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63E1" w:rsidRPr="00EC374B" w:rsidRDefault="00E063E1" w:rsidP="00E063E1">
      <w:pPr>
        <w:autoSpaceDE w:val="0"/>
        <w:autoSpaceDN w:val="0"/>
        <w:adjustRightInd w:val="0"/>
        <w:spacing w:after="0" w:line="240" w:lineRule="auto"/>
        <w:jc w:val="center"/>
        <w:rPr>
          <w:rFonts w:ascii="Arial" w:hAnsi="Arial" w:cs="Arial"/>
          <w:b/>
          <w:bCs/>
          <w:color w:val="B2A1C7" w:themeColor="accent4" w:themeTint="99"/>
          <w:sz w:val="24"/>
          <w:szCs w:val="24"/>
        </w:rPr>
      </w:pPr>
      <w:bookmarkStart w:id="0" w:name="_GoBack"/>
      <w:bookmarkEnd w:id="0"/>
    </w:p>
    <w:p w:rsidR="00E063E1" w:rsidRPr="00EC374B" w:rsidRDefault="00E063E1" w:rsidP="00E063E1">
      <w:pPr>
        <w:autoSpaceDE w:val="0"/>
        <w:autoSpaceDN w:val="0"/>
        <w:adjustRightInd w:val="0"/>
        <w:spacing w:after="0" w:line="240" w:lineRule="auto"/>
        <w:jc w:val="center"/>
        <w:rPr>
          <w:rFonts w:ascii="Arial" w:hAnsi="Arial" w:cs="Arial"/>
          <w:b/>
          <w:bCs/>
          <w:sz w:val="32"/>
          <w:szCs w:val="32"/>
        </w:rPr>
      </w:pPr>
    </w:p>
    <w:p w:rsidR="00E063E1" w:rsidRDefault="00E063E1" w:rsidP="00E063E1">
      <w:pPr>
        <w:jc w:val="center"/>
        <w:rPr>
          <w:rFonts w:ascii="Arial Black" w:hAnsi="Arial Black" w:cs="Arial"/>
          <w:sz w:val="32"/>
          <w:szCs w:val="32"/>
        </w:rPr>
      </w:pPr>
    </w:p>
    <w:p w:rsidR="00E063E1" w:rsidRDefault="00E063E1" w:rsidP="00E063E1">
      <w:pPr>
        <w:jc w:val="center"/>
        <w:rPr>
          <w:rFonts w:ascii="Arial Black" w:hAnsi="Arial Black" w:cs="Arial"/>
          <w:sz w:val="32"/>
          <w:szCs w:val="32"/>
        </w:rPr>
      </w:pPr>
    </w:p>
    <w:p w:rsidR="00E063E1" w:rsidRDefault="00E063E1" w:rsidP="00E063E1">
      <w:pPr>
        <w:jc w:val="center"/>
        <w:rPr>
          <w:rFonts w:ascii="Arial Black" w:hAnsi="Arial Black" w:cs="Arial"/>
          <w:sz w:val="32"/>
          <w:szCs w:val="32"/>
        </w:rPr>
      </w:pPr>
    </w:p>
    <w:p w:rsidR="00E063E1" w:rsidRPr="005B46FE" w:rsidRDefault="00E063E1" w:rsidP="00E063E1">
      <w:pPr>
        <w:jc w:val="center"/>
        <w:rPr>
          <w:rFonts w:ascii="Arial Black" w:hAnsi="Arial Black" w:cs="Arial"/>
          <w:b/>
          <w:sz w:val="32"/>
          <w:szCs w:val="32"/>
        </w:rPr>
      </w:pPr>
    </w:p>
    <w:p w:rsidR="00E063E1" w:rsidRPr="005B46FE" w:rsidRDefault="00E063E1" w:rsidP="00E063E1">
      <w:pPr>
        <w:jc w:val="center"/>
        <w:rPr>
          <w:rFonts w:ascii="Arial" w:hAnsi="Arial" w:cs="Arial"/>
          <w:b/>
          <w:sz w:val="40"/>
          <w:szCs w:val="40"/>
        </w:rPr>
      </w:pPr>
    </w:p>
    <w:p w:rsidR="00E063E1" w:rsidRPr="008464D7" w:rsidRDefault="00E063E1" w:rsidP="00E063E1">
      <w:pPr>
        <w:jc w:val="center"/>
        <w:rPr>
          <w:rFonts w:ascii="Arial" w:hAnsi="Arial" w:cs="Arial"/>
          <w:b/>
          <w:sz w:val="40"/>
          <w:szCs w:val="40"/>
        </w:rPr>
      </w:pPr>
      <w:r w:rsidRPr="008464D7">
        <w:rPr>
          <w:rFonts w:ascii="Arial" w:hAnsi="Arial" w:cs="Arial"/>
          <w:b/>
          <w:sz w:val="40"/>
          <w:szCs w:val="40"/>
        </w:rPr>
        <w:t>PRESUPUESTO DE EGRESOS DEL ESTADO DE COLIMA PARA EL EJERCICIO FISCAL 2017</w:t>
      </w:r>
    </w:p>
    <w:p w:rsidR="00E063E1" w:rsidRPr="008464D7" w:rsidRDefault="00E063E1" w:rsidP="00E063E1"/>
    <w:p w:rsidR="00E063E1" w:rsidRPr="008464D7" w:rsidRDefault="00E063E1" w:rsidP="00E063E1"/>
    <w:p w:rsidR="00E063E1" w:rsidRPr="008464D7" w:rsidRDefault="00E063E1" w:rsidP="00E063E1"/>
    <w:p w:rsidR="00E063E1" w:rsidRPr="008464D7" w:rsidRDefault="00E063E1" w:rsidP="00E063E1"/>
    <w:p w:rsidR="00E063E1" w:rsidRPr="008464D7" w:rsidRDefault="00E063E1" w:rsidP="00E063E1"/>
    <w:p w:rsidR="00E063E1" w:rsidRPr="008464D7" w:rsidRDefault="00E063E1" w:rsidP="00E063E1"/>
    <w:p w:rsidR="00E063E1" w:rsidRPr="008464D7" w:rsidRDefault="00E063E1" w:rsidP="00E063E1"/>
    <w:p w:rsidR="00E063E1" w:rsidRPr="008464D7" w:rsidRDefault="00E063E1" w:rsidP="00E063E1"/>
    <w:p w:rsidR="00E063E1" w:rsidRPr="008464D7" w:rsidRDefault="00E063E1" w:rsidP="00E063E1"/>
    <w:p w:rsidR="00E063E1" w:rsidRPr="008464D7" w:rsidRDefault="00E063E1" w:rsidP="00E063E1"/>
    <w:p w:rsidR="00E063E1" w:rsidRPr="008464D7" w:rsidRDefault="00E063E1" w:rsidP="00E063E1"/>
    <w:p w:rsidR="00E063E1" w:rsidRPr="008464D7" w:rsidRDefault="00E063E1" w:rsidP="00E063E1">
      <w:pPr>
        <w:autoSpaceDE w:val="0"/>
        <w:autoSpaceDN w:val="0"/>
        <w:adjustRightInd w:val="0"/>
        <w:spacing w:after="0" w:line="240" w:lineRule="auto"/>
        <w:jc w:val="center"/>
        <w:rPr>
          <w:rFonts w:ascii="Arial" w:hAnsi="Arial" w:cs="Arial"/>
          <w:b/>
          <w:sz w:val="40"/>
          <w:szCs w:val="40"/>
        </w:rPr>
      </w:pPr>
    </w:p>
    <w:p w:rsidR="00E063E1" w:rsidRPr="008464D7" w:rsidRDefault="00E063E1" w:rsidP="00E063E1">
      <w:pPr>
        <w:autoSpaceDE w:val="0"/>
        <w:autoSpaceDN w:val="0"/>
        <w:adjustRightInd w:val="0"/>
        <w:spacing w:after="0" w:line="240" w:lineRule="auto"/>
        <w:jc w:val="center"/>
        <w:rPr>
          <w:rFonts w:ascii="Arial" w:hAnsi="Arial" w:cs="Arial"/>
          <w:b/>
          <w:sz w:val="40"/>
          <w:szCs w:val="40"/>
        </w:rPr>
      </w:pPr>
    </w:p>
    <w:p w:rsidR="00E063E1" w:rsidRPr="008464D7" w:rsidRDefault="00E063E1" w:rsidP="00E063E1">
      <w:pPr>
        <w:autoSpaceDE w:val="0"/>
        <w:autoSpaceDN w:val="0"/>
        <w:adjustRightInd w:val="0"/>
        <w:spacing w:after="0" w:line="240" w:lineRule="auto"/>
        <w:jc w:val="center"/>
        <w:rPr>
          <w:rFonts w:ascii="Arial" w:hAnsi="Arial" w:cs="Arial"/>
          <w:b/>
          <w:sz w:val="40"/>
          <w:szCs w:val="40"/>
        </w:rPr>
      </w:pPr>
    </w:p>
    <w:p w:rsidR="00E063E1" w:rsidRPr="008464D7" w:rsidRDefault="00E063E1" w:rsidP="00E063E1">
      <w:pPr>
        <w:autoSpaceDE w:val="0"/>
        <w:autoSpaceDN w:val="0"/>
        <w:adjustRightInd w:val="0"/>
        <w:spacing w:after="0" w:line="240" w:lineRule="auto"/>
        <w:jc w:val="center"/>
        <w:rPr>
          <w:rFonts w:ascii="Arial" w:hAnsi="Arial" w:cs="Arial"/>
          <w:b/>
          <w:sz w:val="40"/>
          <w:szCs w:val="40"/>
        </w:rPr>
      </w:pPr>
    </w:p>
    <w:p w:rsidR="00E063E1" w:rsidRPr="008464D7" w:rsidRDefault="00E063E1" w:rsidP="00E063E1">
      <w:pPr>
        <w:autoSpaceDE w:val="0"/>
        <w:autoSpaceDN w:val="0"/>
        <w:adjustRightInd w:val="0"/>
        <w:spacing w:after="0" w:line="240" w:lineRule="auto"/>
        <w:jc w:val="center"/>
        <w:rPr>
          <w:rFonts w:ascii="Arial" w:hAnsi="Arial" w:cs="Arial"/>
          <w:b/>
          <w:sz w:val="40"/>
          <w:szCs w:val="40"/>
        </w:rPr>
      </w:pPr>
    </w:p>
    <w:p w:rsidR="00E063E1" w:rsidRPr="008464D7" w:rsidRDefault="00E063E1" w:rsidP="00E063E1">
      <w:pPr>
        <w:autoSpaceDE w:val="0"/>
        <w:autoSpaceDN w:val="0"/>
        <w:adjustRightInd w:val="0"/>
        <w:spacing w:after="0" w:line="240" w:lineRule="auto"/>
        <w:jc w:val="center"/>
        <w:rPr>
          <w:rFonts w:ascii="Arial" w:hAnsi="Arial" w:cs="Arial"/>
          <w:b/>
          <w:sz w:val="40"/>
          <w:szCs w:val="40"/>
        </w:rPr>
      </w:pPr>
    </w:p>
    <w:p w:rsidR="00E063E1" w:rsidRPr="008464D7" w:rsidRDefault="00E063E1" w:rsidP="00E063E1">
      <w:pPr>
        <w:autoSpaceDE w:val="0"/>
        <w:autoSpaceDN w:val="0"/>
        <w:adjustRightInd w:val="0"/>
        <w:spacing w:after="0" w:line="240" w:lineRule="auto"/>
        <w:jc w:val="center"/>
        <w:rPr>
          <w:rFonts w:ascii="Arial" w:hAnsi="Arial" w:cs="Arial"/>
          <w:b/>
          <w:sz w:val="40"/>
          <w:szCs w:val="40"/>
        </w:rPr>
      </w:pPr>
    </w:p>
    <w:p w:rsidR="00E063E1" w:rsidRPr="008464D7" w:rsidRDefault="00E063E1" w:rsidP="00E063E1">
      <w:pPr>
        <w:autoSpaceDE w:val="0"/>
        <w:autoSpaceDN w:val="0"/>
        <w:adjustRightInd w:val="0"/>
        <w:spacing w:after="0" w:line="240" w:lineRule="auto"/>
        <w:jc w:val="center"/>
        <w:rPr>
          <w:rFonts w:ascii="Arial" w:hAnsi="Arial" w:cs="Arial"/>
          <w:b/>
          <w:sz w:val="40"/>
          <w:szCs w:val="40"/>
        </w:rPr>
      </w:pPr>
    </w:p>
    <w:p w:rsidR="00E063E1" w:rsidRPr="008464D7" w:rsidRDefault="00E063E1" w:rsidP="00E063E1">
      <w:pPr>
        <w:autoSpaceDE w:val="0"/>
        <w:autoSpaceDN w:val="0"/>
        <w:adjustRightInd w:val="0"/>
        <w:spacing w:after="0" w:line="240" w:lineRule="auto"/>
        <w:jc w:val="center"/>
        <w:rPr>
          <w:rFonts w:ascii="Arial" w:hAnsi="Arial" w:cs="Arial"/>
          <w:b/>
          <w:sz w:val="40"/>
          <w:szCs w:val="40"/>
        </w:rPr>
      </w:pPr>
    </w:p>
    <w:p w:rsidR="00E063E1" w:rsidRPr="008464D7" w:rsidRDefault="00E063E1" w:rsidP="00E063E1">
      <w:pPr>
        <w:autoSpaceDE w:val="0"/>
        <w:autoSpaceDN w:val="0"/>
        <w:adjustRightInd w:val="0"/>
        <w:spacing w:after="0" w:line="240" w:lineRule="auto"/>
        <w:jc w:val="center"/>
        <w:rPr>
          <w:rFonts w:ascii="Arial" w:hAnsi="Arial" w:cs="Arial"/>
          <w:b/>
          <w:sz w:val="40"/>
          <w:szCs w:val="40"/>
        </w:rPr>
      </w:pPr>
    </w:p>
    <w:p w:rsidR="00E063E1" w:rsidRPr="008464D7" w:rsidRDefault="00E063E1" w:rsidP="00E063E1">
      <w:pPr>
        <w:autoSpaceDE w:val="0"/>
        <w:autoSpaceDN w:val="0"/>
        <w:adjustRightInd w:val="0"/>
        <w:spacing w:after="0" w:line="240" w:lineRule="auto"/>
        <w:jc w:val="center"/>
        <w:rPr>
          <w:rFonts w:ascii="Arial" w:hAnsi="Arial" w:cs="Arial"/>
          <w:b/>
          <w:sz w:val="40"/>
          <w:szCs w:val="40"/>
        </w:rPr>
      </w:pPr>
      <w:r w:rsidRPr="008464D7">
        <w:rPr>
          <w:rFonts w:ascii="Arial" w:hAnsi="Arial" w:cs="Arial"/>
          <w:b/>
          <w:sz w:val="40"/>
          <w:szCs w:val="40"/>
        </w:rPr>
        <w:t>TOMO I. EXPOSICIÓN DE MOTIVOS</w:t>
      </w:r>
    </w:p>
    <w:p w:rsidR="00E063E1" w:rsidRPr="008464D7" w:rsidRDefault="00E063E1" w:rsidP="00E063E1"/>
    <w:p w:rsidR="00E063E1" w:rsidRPr="008464D7" w:rsidRDefault="00E063E1" w:rsidP="00E063E1"/>
    <w:p w:rsidR="00E063E1" w:rsidRPr="008464D7" w:rsidRDefault="00E063E1" w:rsidP="00E063E1"/>
    <w:p w:rsidR="00E063E1" w:rsidRPr="008464D7" w:rsidRDefault="00E063E1" w:rsidP="00E063E1"/>
    <w:p w:rsidR="00E063E1" w:rsidRPr="008464D7" w:rsidRDefault="00E063E1" w:rsidP="00E063E1"/>
    <w:p w:rsidR="00E063E1" w:rsidRPr="008464D7" w:rsidRDefault="00E063E1" w:rsidP="00E063E1"/>
    <w:p w:rsidR="00E063E1" w:rsidRPr="008464D7" w:rsidRDefault="00E063E1" w:rsidP="00E063E1"/>
    <w:p w:rsidR="00E063E1" w:rsidRPr="008464D7" w:rsidRDefault="00E063E1" w:rsidP="00E063E1"/>
    <w:p w:rsidR="00E063E1" w:rsidRPr="008464D7" w:rsidRDefault="00E063E1" w:rsidP="00E063E1"/>
    <w:p w:rsidR="00E063E1" w:rsidRPr="008464D7" w:rsidRDefault="00E063E1" w:rsidP="00E063E1"/>
    <w:p w:rsidR="00E063E1" w:rsidRPr="008464D7" w:rsidRDefault="00E063E1" w:rsidP="00E063E1"/>
    <w:p w:rsidR="00E063E1" w:rsidRPr="008464D7" w:rsidRDefault="00E063E1" w:rsidP="00E063E1">
      <w:pPr>
        <w:tabs>
          <w:tab w:val="left" w:pos="2552"/>
        </w:tabs>
      </w:pPr>
      <w:r w:rsidRPr="008464D7">
        <w:tab/>
      </w:r>
    </w:p>
    <w:p w:rsidR="00E063E1" w:rsidRPr="008464D7" w:rsidRDefault="00E063E1" w:rsidP="00E063E1">
      <w:pPr>
        <w:tabs>
          <w:tab w:val="left" w:pos="2552"/>
        </w:tabs>
      </w:pPr>
    </w:p>
    <w:p w:rsidR="00E063E1" w:rsidRPr="008464D7" w:rsidRDefault="00E063E1" w:rsidP="00E063E1">
      <w:pPr>
        <w:tabs>
          <w:tab w:val="left" w:pos="2552"/>
        </w:tabs>
      </w:pPr>
    </w:p>
    <w:p w:rsidR="00E23519" w:rsidRPr="008464D7" w:rsidRDefault="00E23519" w:rsidP="00E23519">
      <w:pPr>
        <w:spacing w:after="0" w:line="240" w:lineRule="auto"/>
        <w:jc w:val="both"/>
        <w:rPr>
          <w:rFonts w:ascii="Arial" w:hAnsi="Arial" w:cs="Arial"/>
          <w:b/>
          <w:sz w:val="24"/>
          <w:szCs w:val="24"/>
        </w:rPr>
      </w:pPr>
      <w:r w:rsidRPr="008464D7">
        <w:rPr>
          <w:rFonts w:ascii="Arial" w:hAnsi="Arial" w:cs="Arial"/>
          <w:b/>
          <w:sz w:val="24"/>
          <w:szCs w:val="24"/>
        </w:rPr>
        <w:t xml:space="preserve">CC. DIPUTADO PRESIDENTE Y DIPUTADOS SECRETARIOS DE LA </w:t>
      </w:r>
    </w:p>
    <w:p w:rsidR="00E23519" w:rsidRPr="008464D7" w:rsidRDefault="00E23519" w:rsidP="00E23519">
      <w:pPr>
        <w:spacing w:after="0" w:line="240" w:lineRule="auto"/>
        <w:jc w:val="both"/>
        <w:rPr>
          <w:rFonts w:ascii="Arial" w:hAnsi="Arial" w:cs="Arial"/>
          <w:b/>
          <w:sz w:val="24"/>
          <w:szCs w:val="24"/>
        </w:rPr>
      </w:pPr>
      <w:r w:rsidRPr="008464D7">
        <w:rPr>
          <w:rFonts w:ascii="Arial" w:hAnsi="Arial" w:cs="Arial"/>
          <w:b/>
          <w:sz w:val="24"/>
          <w:szCs w:val="24"/>
        </w:rPr>
        <w:t>MESA DIRECTIVA DEL H. CONGRESO DEL ESTADO DE COLIMA.</w:t>
      </w:r>
    </w:p>
    <w:p w:rsidR="00E23519" w:rsidRPr="008464D7" w:rsidRDefault="00E23519" w:rsidP="00E23519">
      <w:pPr>
        <w:spacing w:after="0" w:line="240" w:lineRule="auto"/>
        <w:jc w:val="both"/>
        <w:rPr>
          <w:rFonts w:ascii="Arial" w:hAnsi="Arial" w:cs="Arial"/>
          <w:b/>
          <w:sz w:val="24"/>
          <w:szCs w:val="24"/>
        </w:rPr>
      </w:pPr>
      <w:r w:rsidRPr="008464D7">
        <w:rPr>
          <w:rFonts w:ascii="Arial" w:hAnsi="Arial" w:cs="Arial"/>
          <w:b/>
          <w:sz w:val="24"/>
          <w:szCs w:val="24"/>
        </w:rPr>
        <w:t>PRESENTES.</w:t>
      </w:r>
    </w:p>
    <w:p w:rsidR="00E23519" w:rsidRPr="008464D7" w:rsidRDefault="00E23519" w:rsidP="00E23519">
      <w:pPr>
        <w:spacing w:after="0" w:line="240" w:lineRule="auto"/>
        <w:jc w:val="both"/>
        <w:rPr>
          <w:rFonts w:ascii="Arial" w:hAnsi="Arial" w:cs="Arial"/>
          <w:b/>
        </w:rPr>
      </w:pPr>
    </w:p>
    <w:p w:rsidR="00E23519" w:rsidRPr="008464D7" w:rsidRDefault="00E23519" w:rsidP="00E23519">
      <w:pPr>
        <w:autoSpaceDE w:val="0"/>
        <w:autoSpaceDN w:val="0"/>
        <w:adjustRightInd w:val="0"/>
        <w:spacing w:after="0" w:line="240" w:lineRule="auto"/>
        <w:jc w:val="both"/>
        <w:rPr>
          <w:rFonts w:ascii="Arial" w:eastAsia="Times New Roman" w:hAnsi="Arial" w:cs="Arial"/>
          <w:sz w:val="24"/>
          <w:szCs w:val="24"/>
          <w:lang w:val="es-ES" w:eastAsia="es-ES"/>
        </w:rPr>
      </w:pPr>
      <w:r w:rsidRPr="008464D7">
        <w:rPr>
          <w:rFonts w:ascii="Arial" w:eastAsia="Times New Roman" w:hAnsi="Arial" w:cs="Arial"/>
          <w:b/>
          <w:sz w:val="24"/>
          <w:szCs w:val="24"/>
          <w:lang w:val="es-ES" w:eastAsia="es-ES"/>
        </w:rPr>
        <w:t>JOSÉ IGNACIO PERALTA SÁNCHEZ, Gobernador Constitucional del Estado Libre y Soberano de Colima</w:t>
      </w:r>
      <w:r w:rsidRPr="008464D7">
        <w:rPr>
          <w:rFonts w:ascii="Arial" w:eastAsia="Times New Roman" w:hAnsi="Arial" w:cs="Arial"/>
          <w:sz w:val="24"/>
          <w:szCs w:val="24"/>
          <w:lang w:val="es-ES" w:eastAsia="es-ES"/>
        </w:rPr>
        <w:t xml:space="preserve">, en ejercicio de la facultad que me confieren los artículos 58, fracción XVI de la Constitución Política del Estado Libre y Soberano de Colima y 41 de la Ley de Presupuesto y Gasto Público del Estado de Colima, tengo a bien presentar y poner a consideración de esta Quincuagésima Octava Legislatura Estatal, la presente </w:t>
      </w:r>
      <w:r w:rsidRPr="008464D7">
        <w:rPr>
          <w:rFonts w:ascii="Arial" w:eastAsia="Times New Roman" w:hAnsi="Arial" w:cs="Arial"/>
          <w:b/>
          <w:sz w:val="24"/>
          <w:szCs w:val="24"/>
          <w:lang w:val="es-ES" w:eastAsia="es-ES"/>
        </w:rPr>
        <w:t>Iniciativa con Proyecto de Decreto por la que se expide el PRESUPUESTO DE EGRESOS DEL ESTADO DE COLIMA PARA EL EJERCICIO FISCAL 2017</w:t>
      </w:r>
      <w:r w:rsidRPr="008464D7">
        <w:rPr>
          <w:rFonts w:ascii="Arial" w:eastAsia="Times New Roman" w:hAnsi="Arial" w:cs="Arial"/>
          <w:sz w:val="24"/>
          <w:szCs w:val="24"/>
          <w:lang w:val="es-ES" w:eastAsia="es-ES"/>
        </w:rPr>
        <w:t>,</w:t>
      </w:r>
      <w:r w:rsidRPr="008464D7">
        <w:rPr>
          <w:rFonts w:ascii="Arial" w:eastAsia="Times New Roman" w:hAnsi="Arial" w:cs="Arial"/>
          <w:b/>
          <w:sz w:val="24"/>
          <w:szCs w:val="24"/>
          <w:lang w:val="es-ES" w:eastAsia="es-ES"/>
        </w:rPr>
        <w:t xml:space="preserve"> </w:t>
      </w:r>
      <w:r w:rsidRPr="008464D7">
        <w:rPr>
          <w:rFonts w:ascii="Arial" w:eastAsia="Times New Roman" w:hAnsi="Arial" w:cs="Arial"/>
          <w:sz w:val="24"/>
          <w:szCs w:val="24"/>
          <w:lang w:val="es-ES" w:eastAsia="es-ES"/>
        </w:rPr>
        <w:t>de conformidad a la siguiente:</w:t>
      </w:r>
    </w:p>
    <w:p w:rsidR="00E23519" w:rsidRPr="008464D7" w:rsidRDefault="00E23519" w:rsidP="00E23519">
      <w:pPr>
        <w:autoSpaceDE w:val="0"/>
        <w:autoSpaceDN w:val="0"/>
        <w:adjustRightInd w:val="0"/>
        <w:spacing w:after="0" w:line="240" w:lineRule="auto"/>
        <w:jc w:val="both"/>
        <w:rPr>
          <w:rFonts w:ascii="Arial" w:eastAsia="Times New Roman" w:hAnsi="Arial" w:cs="Arial"/>
          <w:sz w:val="24"/>
          <w:szCs w:val="24"/>
          <w:lang w:val="es-ES" w:eastAsia="es-ES"/>
        </w:rPr>
      </w:pPr>
    </w:p>
    <w:p w:rsidR="00E23519" w:rsidRPr="008464D7" w:rsidRDefault="00E23519" w:rsidP="00E23519">
      <w:pPr>
        <w:pStyle w:val="Prrafodelista"/>
        <w:numPr>
          <w:ilvl w:val="0"/>
          <w:numId w:val="6"/>
        </w:numPr>
        <w:pBdr>
          <w:top w:val="single" w:sz="12" w:space="1" w:color="auto"/>
          <w:left w:val="single" w:sz="12" w:space="4" w:color="auto"/>
          <w:bottom w:val="single" w:sz="12" w:space="1" w:color="auto"/>
          <w:right w:val="single" w:sz="12" w:space="4" w:color="auto"/>
        </w:pBdr>
        <w:autoSpaceDE w:val="0"/>
        <w:autoSpaceDN w:val="0"/>
        <w:adjustRightInd w:val="0"/>
        <w:spacing w:after="0" w:line="240" w:lineRule="auto"/>
        <w:ind w:left="709" w:hanging="709"/>
        <w:rPr>
          <w:rFonts w:ascii="Arial" w:eastAsia="Times New Roman" w:hAnsi="Arial" w:cs="Arial"/>
          <w:b/>
          <w:sz w:val="28"/>
          <w:szCs w:val="28"/>
          <w:lang w:val="es-ES" w:eastAsia="es-ES"/>
        </w:rPr>
      </w:pPr>
      <w:r w:rsidRPr="008464D7">
        <w:rPr>
          <w:rFonts w:ascii="Arial" w:eastAsia="Times New Roman" w:hAnsi="Arial" w:cs="Arial"/>
          <w:b/>
          <w:sz w:val="28"/>
          <w:szCs w:val="28"/>
          <w:lang w:val="es-ES" w:eastAsia="es-ES"/>
        </w:rPr>
        <w:t>EXPOSICIÓN DE MOTIVOS</w:t>
      </w:r>
    </w:p>
    <w:p w:rsidR="00E23519" w:rsidRPr="008464D7" w:rsidRDefault="00E23519" w:rsidP="00E23519">
      <w:pPr>
        <w:spacing w:after="0" w:line="240" w:lineRule="auto"/>
        <w:ind w:right="49"/>
        <w:jc w:val="both"/>
        <w:rPr>
          <w:rFonts w:ascii="Arial" w:hAnsi="Arial" w:cs="Arial"/>
          <w:b/>
        </w:rPr>
      </w:pPr>
    </w:p>
    <w:p w:rsidR="00E23519" w:rsidRPr="008464D7" w:rsidRDefault="00E23519" w:rsidP="00E23519">
      <w:pPr>
        <w:pStyle w:val="Prrafodelista"/>
        <w:numPr>
          <w:ilvl w:val="1"/>
          <w:numId w:val="6"/>
        </w:numPr>
        <w:spacing w:after="0" w:line="240" w:lineRule="auto"/>
        <w:ind w:left="709" w:right="49" w:hanging="709"/>
        <w:jc w:val="both"/>
        <w:rPr>
          <w:rFonts w:ascii="Arial" w:hAnsi="Arial" w:cs="Arial"/>
          <w:b/>
          <w:sz w:val="24"/>
          <w:szCs w:val="24"/>
        </w:rPr>
      </w:pPr>
      <w:r w:rsidRPr="008464D7">
        <w:rPr>
          <w:rFonts w:ascii="Arial" w:hAnsi="Arial" w:cs="Arial"/>
          <w:b/>
          <w:sz w:val="24"/>
          <w:szCs w:val="24"/>
        </w:rPr>
        <w:t>CONSIDERACIONES PRELIMINARES</w:t>
      </w:r>
    </w:p>
    <w:p w:rsidR="00E23519" w:rsidRPr="008464D7" w:rsidRDefault="00E23519" w:rsidP="00E23519">
      <w:pPr>
        <w:pStyle w:val="Prrafodelista"/>
        <w:spacing w:after="0" w:line="240" w:lineRule="auto"/>
        <w:ind w:left="1080" w:right="49"/>
        <w:jc w:val="both"/>
      </w:pPr>
    </w:p>
    <w:p w:rsidR="00E23519" w:rsidRPr="008464D7" w:rsidRDefault="00E23519" w:rsidP="00E23519">
      <w:pPr>
        <w:spacing w:after="0" w:line="240" w:lineRule="auto"/>
        <w:ind w:right="49"/>
        <w:jc w:val="both"/>
        <w:rPr>
          <w:rFonts w:ascii="Arial" w:eastAsia="Times New Roman" w:hAnsi="Arial" w:cs="Arial"/>
          <w:sz w:val="24"/>
          <w:szCs w:val="24"/>
          <w:lang w:val="es-ES" w:eastAsia="es-ES"/>
        </w:rPr>
      </w:pPr>
      <w:r w:rsidRPr="008464D7">
        <w:rPr>
          <w:rFonts w:ascii="Arial" w:eastAsia="Times New Roman" w:hAnsi="Arial" w:cs="Arial"/>
          <w:sz w:val="24"/>
          <w:szCs w:val="24"/>
          <w:lang w:val="es-ES" w:eastAsia="es-ES"/>
        </w:rPr>
        <w:t>La Constitución Política del Estado Libre y Soberano de Colima, en su artículo 58, fracción XVI, establece como obligación del Ejecutivo a mi cargo: “Remitir cada año para su aprobación al Congreso del Estado, a más tardar el 31 de octubre, y en su caso, hasta el 15 de noviembre de cada seis años, cuando con motivo del cambio de gobierno del Ejecutivo del Estado, los proyectos de Ley de Ingresos y Presupuesto de Egresos del Estado”.</w:t>
      </w:r>
    </w:p>
    <w:p w:rsidR="00E23519" w:rsidRPr="008464D7" w:rsidRDefault="00E23519" w:rsidP="00E23519">
      <w:pPr>
        <w:spacing w:after="0" w:line="240" w:lineRule="auto"/>
        <w:ind w:right="49"/>
        <w:jc w:val="both"/>
        <w:rPr>
          <w:rFonts w:ascii="Arial" w:eastAsia="Times New Roman" w:hAnsi="Arial" w:cs="Arial"/>
          <w:sz w:val="24"/>
          <w:szCs w:val="24"/>
          <w:lang w:val="es-ES" w:eastAsia="es-ES"/>
        </w:rPr>
      </w:pPr>
    </w:p>
    <w:p w:rsidR="00E23519" w:rsidRPr="008464D7" w:rsidRDefault="00E23519" w:rsidP="00E23519">
      <w:pPr>
        <w:spacing w:after="0" w:line="240" w:lineRule="auto"/>
        <w:ind w:right="49"/>
        <w:jc w:val="both"/>
        <w:rPr>
          <w:rFonts w:ascii="Arial" w:eastAsia="Times New Roman" w:hAnsi="Arial" w:cs="Arial"/>
          <w:color w:val="000000" w:themeColor="text1"/>
          <w:sz w:val="24"/>
          <w:szCs w:val="24"/>
          <w:lang w:val="es-ES" w:eastAsia="es-ES"/>
        </w:rPr>
      </w:pPr>
      <w:r w:rsidRPr="008464D7">
        <w:rPr>
          <w:rFonts w:ascii="Arial" w:eastAsia="Times New Roman" w:hAnsi="Arial" w:cs="Arial"/>
          <w:sz w:val="24"/>
          <w:szCs w:val="24"/>
          <w:lang w:val="es-ES" w:eastAsia="es-ES"/>
        </w:rPr>
        <w:t xml:space="preserve">La iniciativa que se somete a la consideración de esa Honorable Soberanía, se elaboró con fundamento en las expectativas y proyecciones económicas que establece el Poder Ejecutivo Federal en los Criterios </w:t>
      </w:r>
      <w:r w:rsidRPr="008464D7">
        <w:rPr>
          <w:rFonts w:ascii="Arial" w:eastAsia="Times New Roman" w:hAnsi="Arial" w:cs="Arial"/>
          <w:color w:val="000000" w:themeColor="text1"/>
          <w:sz w:val="24"/>
          <w:szCs w:val="24"/>
          <w:lang w:val="es-ES" w:eastAsia="es-ES"/>
        </w:rPr>
        <w:t>Generales de Política Económica, para el Ejercicio Fiscal 2017; así como en las recomendaciones de la Secretaría de Hacienda y Crédito Público.</w:t>
      </w:r>
    </w:p>
    <w:p w:rsidR="00E23519" w:rsidRPr="008464D7" w:rsidRDefault="00E23519" w:rsidP="00E23519">
      <w:pPr>
        <w:spacing w:after="0" w:line="240" w:lineRule="auto"/>
        <w:ind w:right="49"/>
        <w:jc w:val="both"/>
        <w:rPr>
          <w:rFonts w:ascii="Arial" w:eastAsia="Times New Roman" w:hAnsi="Arial" w:cs="Arial"/>
          <w:color w:val="000000" w:themeColor="text1"/>
          <w:sz w:val="24"/>
          <w:szCs w:val="24"/>
          <w:u w:val="single"/>
          <w:lang w:val="es-ES" w:eastAsia="es-ES"/>
        </w:rPr>
      </w:pPr>
    </w:p>
    <w:p w:rsidR="00E23519" w:rsidRPr="008464D7" w:rsidRDefault="00E23519" w:rsidP="00E23519">
      <w:pPr>
        <w:spacing w:after="0" w:line="240" w:lineRule="auto"/>
        <w:jc w:val="both"/>
        <w:rPr>
          <w:rFonts w:ascii="Arial" w:eastAsia="Times New Roman" w:hAnsi="Arial" w:cs="Arial"/>
          <w:sz w:val="24"/>
          <w:szCs w:val="24"/>
          <w:lang w:eastAsia="es-ES"/>
        </w:rPr>
      </w:pPr>
      <w:r w:rsidRPr="008464D7">
        <w:rPr>
          <w:rFonts w:ascii="Arial" w:eastAsia="Times New Roman" w:hAnsi="Arial" w:cs="Arial"/>
          <w:color w:val="000000" w:themeColor="text1"/>
          <w:sz w:val="24"/>
          <w:szCs w:val="24"/>
          <w:lang w:eastAsia="es-ES"/>
        </w:rPr>
        <w:t>Las expectativas que se plasman en dichos Criterios</w:t>
      </w:r>
      <w:r w:rsidRPr="008464D7">
        <w:rPr>
          <w:rFonts w:ascii="Arial" w:eastAsia="Times New Roman" w:hAnsi="Arial" w:cs="Arial"/>
          <w:color w:val="000000" w:themeColor="text1"/>
          <w:sz w:val="24"/>
          <w:szCs w:val="24"/>
          <w:lang w:val="es-ES" w:eastAsia="es-ES"/>
        </w:rPr>
        <w:t xml:space="preserve"> Generales </w:t>
      </w:r>
      <w:r w:rsidRPr="008464D7">
        <w:rPr>
          <w:rFonts w:ascii="Arial" w:eastAsia="Times New Roman" w:hAnsi="Arial" w:cs="Arial"/>
          <w:color w:val="000000" w:themeColor="text1"/>
          <w:sz w:val="24"/>
          <w:szCs w:val="24"/>
          <w:lang w:eastAsia="es-ES"/>
        </w:rPr>
        <w:t>de Política Económica prevén un entorno económico complicado en lo internacional</w:t>
      </w:r>
      <w:r w:rsidRPr="008464D7">
        <w:rPr>
          <w:rFonts w:ascii="Arial" w:eastAsia="Times New Roman" w:hAnsi="Arial" w:cs="Arial"/>
          <w:sz w:val="24"/>
          <w:szCs w:val="24"/>
          <w:lang w:eastAsia="es-ES"/>
        </w:rPr>
        <w:t xml:space="preserve"> y en lo interno; sin embargo, destacan los  compromisos de la administración del Presidente Enrique Peña Nieto, orientados a preservar y fortalecer la solidez estructural de la hacienda pública y de lograr un mayor nivel de crecimiento económico, a partir de una eficiente política fiscal que apuntalen dicho crecimiento.</w:t>
      </w:r>
    </w:p>
    <w:p w:rsidR="00E23519" w:rsidRPr="008464D7" w:rsidRDefault="00E23519" w:rsidP="00E23519">
      <w:pPr>
        <w:spacing w:after="0" w:line="240" w:lineRule="auto"/>
        <w:jc w:val="both"/>
        <w:rPr>
          <w:rFonts w:ascii="Arial" w:eastAsia="Times New Roman" w:hAnsi="Arial" w:cs="Arial"/>
          <w:i/>
          <w:sz w:val="24"/>
          <w:szCs w:val="24"/>
          <w:lang w:val="es-ES" w:eastAsia="es-ES"/>
        </w:rPr>
      </w:pPr>
    </w:p>
    <w:p w:rsidR="00E23519" w:rsidRPr="008464D7" w:rsidRDefault="00E23519" w:rsidP="00E23519">
      <w:pPr>
        <w:spacing w:after="0" w:line="240" w:lineRule="auto"/>
        <w:jc w:val="both"/>
        <w:rPr>
          <w:rFonts w:ascii="Arial" w:eastAsia="Times New Roman" w:hAnsi="Arial" w:cs="Arial"/>
          <w:sz w:val="24"/>
          <w:szCs w:val="24"/>
          <w:lang w:val="es-ES" w:eastAsia="es-ES"/>
        </w:rPr>
      </w:pPr>
      <w:r w:rsidRPr="008464D7">
        <w:rPr>
          <w:rFonts w:ascii="Arial" w:eastAsia="Times New Roman" w:hAnsi="Arial" w:cs="Arial"/>
          <w:sz w:val="24"/>
          <w:szCs w:val="24"/>
          <w:lang w:val="es-ES" w:eastAsia="es-ES"/>
        </w:rPr>
        <w:t xml:space="preserve">El Proyecto de Presupuesto de Egresos que el Titular del Ejecutivo </w:t>
      </w:r>
      <w:r>
        <w:rPr>
          <w:rFonts w:ascii="Arial" w:eastAsia="Times New Roman" w:hAnsi="Arial" w:cs="Arial"/>
          <w:sz w:val="24"/>
          <w:szCs w:val="24"/>
          <w:lang w:val="es-ES" w:eastAsia="es-ES"/>
        </w:rPr>
        <w:t xml:space="preserve">Federal </w:t>
      </w:r>
      <w:r w:rsidRPr="008464D7">
        <w:rPr>
          <w:rFonts w:ascii="Arial" w:eastAsia="Times New Roman" w:hAnsi="Arial" w:cs="Arial"/>
          <w:sz w:val="24"/>
          <w:szCs w:val="24"/>
          <w:lang w:val="es-ES" w:eastAsia="es-ES"/>
        </w:rPr>
        <w:t xml:space="preserve">turnó al H. Congreso de la Unión se sustenta en supuestos prudentes y realistas para la </w:t>
      </w:r>
      <w:r w:rsidRPr="008464D7">
        <w:rPr>
          <w:rFonts w:ascii="Arial" w:eastAsia="Times New Roman" w:hAnsi="Arial" w:cs="Arial"/>
          <w:sz w:val="24"/>
          <w:szCs w:val="24"/>
          <w:lang w:val="es-ES" w:eastAsia="es-ES"/>
        </w:rPr>
        <w:lastRenderedPageBreak/>
        <w:t xml:space="preserve">estimación de los ingresos y los egresos y plantea </w:t>
      </w:r>
      <w:r>
        <w:rPr>
          <w:rFonts w:ascii="Arial" w:eastAsia="Times New Roman" w:hAnsi="Arial" w:cs="Arial"/>
          <w:sz w:val="24"/>
          <w:szCs w:val="24"/>
          <w:lang w:val="es-ES" w:eastAsia="es-ES"/>
        </w:rPr>
        <w:t xml:space="preserve">las </w:t>
      </w:r>
      <w:r w:rsidRPr="008464D7">
        <w:rPr>
          <w:rFonts w:ascii="Arial" w:eastAsia="Times New Roman" w:hAnsi="Arial" w:cs="Arial"/>
          <w:sz w:val="24"/>
          <w:szCs w:val="24"/>
          <w:lang w:val="es-ES" w:eastAsia="es-ES"/>
        </w:rPr>
        <w:t>acciones necesarias para cumplir con el proceso de consolidación fiscal, sustentado en reducciones al gasto programable, sin recurrir a mayor endeudamiento y a modificaciones al marco fiscal recaudatorio.</w:t>
      </w:r>
    </w:p>
    <w:p w:rsidR="00E23519" w:rsidRPr="008464D7" w:rsidRDefault="00E23519" w:rsidP="00E23519">
      <w:pPr>
        <w:spacing w:after="0" w:line="240" w:lineRule="auto"/>
        <w:jc w:val="both"/>
        <w:rPr>
          <w:rFonts w:ascii="Arial" w:eastAsia="Times New Roman" w:hAnsi="Arial" w:cs="Arial"/>
          <w:sz w:val="24"/>
          <w:szCs w:val="24"/>
          <w:lang w:val="es-ES" w:eastAsia="es-ES"/>
        </w:rPr>
      </w:pPr>
      <w:r w:rsidRPr="008464D7">
        <w:rPr>
          <w:rFonts w:ascii="Arial" w:eastAsia="Times New Roman" w:hAnsi="Arial" w:cs="Arial"/>
          <w:sz w:val="24"/>
          <w:szCs w:val="24"/>
          <w:lang w:val="es-ES" w:eastAsia="es-ES"/>
        </w:rPr>
        <w:t xml:space="preserve">  </w:t>
      </w:r>
    </w:p>
    <w:p w:rsidR="00E23519" w:rsidRPr="008464D7" w:rsidRDefault="00E23519" w:rsidP="00E23519">
      <w:pPr>
        <w:spacing w:after="0" w:line="240" w:lineRule="auto"/>
        <w:jc w:val="both"/>
        <w:rPr>
          <w:rFonts w:ascii="Arial" w:eastAsia="Times New Roman" w:hAnsi="Arial" w:cs="Arial"/>
          <w:i/>
          <w:sz w:val="24"/>
          <w:szCs w:val="24"/>
          <w:lang w:val="es-ES" w:eastAsia="es-ES"/>
        </w:rPr>
      </w:pPr>
      <w:r w:rsidRPr="008464D7">
        <w:rPr>
          <w:rFonts w:ascii="Arial" w:eastAsia="Times New Roman" w:hAnsi="Arial" w:cs="Arial"/>
          <w:sz w:val="24"/>
          <w:szCs w:val="24"/>
          <w:lang w:val="es-ES" w:eastAsia="es-ES"/>
        </w:rPr>
        <w:t>El Paquete Económico federal para 2017, se enmarca en un entorno económico externo complejo y volátil; por tanto, se basa en premisas realistas y prudentes, contribuyendo a preservar la estabilidad macroeconómica, condición fundamental para el crecimiento y el desarrollo económico.</w:t>
      </w:r>
    </w:p>
    <w:p w:rsidR="00E23519" w:rsidRPr="008464D7" w:rsidRDefault="00E23519" w:rsidP="00E23519">
      <w:pPr>
        <w:spacing w:after="0" w:line="240" w:lineRule="auto"/>
        <w:jc w:val="both"/>
        <w:rPr>
          <w:rFonts w:ascii="Arial" w:eastAsia="Times New Roman" w:hAnsi="Arial" w:cs="Arial"/>
          <w:i/>
          <w:sz w:val="24"/>
          <w:szCs w:val="24"/>
          <w:lang w:val="es-ES" w:eastAsia="es-ES"/>
        </w:rPr>
      </w:pPr>
    </w:p>
    <w:p w:rsidR="00E23519" w:rsidRPr="008464D7" w:rsidRDefault="00E23519" w:rsidP="00E23519">
      <w:pPr>
        <w:autoSpaceDE w:val="0"/>
        <w:autoSpaceDN w:val="0"/>
        <w:adjustRightInd w:val="0"/>
        <w:spacing w:after="0" w:line="240" w:lineRule="auto"/>
        <w:jc w:val="both"/>
        <w:rPr>
          <w:rFonts w:ascii="Arial" w:eastAsia="Calibri" w:hAnsi="Arial" w:cs="Arial"/>
          <w:sz w:val="24"/>
          <w:szCs w:val="24"/>
        </w:rPr>
      </w:pPr>
      <w:r w:rsidRPr="008464D7">
        <w:rPr>
          <w:rFonts w:ascii="Arial" w:eastAsia="Calibri" w:hAnsi="Arial" w:cs="Arial"/>
          <w:sz w:val="24"/>
          <w:szCs w:val="24"/>
          <w:lang w:val="es-ES"/>
        </w:rPr>
        <w:t>E</w:t>
      </w:r>
      <w:r w:rsidRPr="008464D7">
        <w:rPr>
          <w:rFonts w:ascii="Arial" w:eastAsia="Calibri" w:hAnsi="Arial" w:cs="Arial"/>
          <w:sz w:val="24"/>
          <w:szCs w:val="24"/>
        </w:rPr>
        <w:t xml:space="preserve">n dicha propuesta se refleja el compromiso del Ejecutivo Federal de mantener el manejo responsable de las finanzas públicas y la estabilidad económica. Se refrenda la decisión de no aumentar impuestos y de no recurrir a mayor endeudamiento ante la previsión de menores ingresos petroleros, así como de mantener la trayectoria decreciente del déficit fiscal. </w:t>
      </w:r>
    </w:p>
    <w:p w:rsidR="00E23519" w:rsidRPr="008464D7" w:rsidRDefault="00E23519" w:rsidP="00E23519">
      <w:pPr>
        <w:autoSpaceDE w:val="0"/>
        <w:autoSpaceDN w:val="0"/>
        <w:adjustRightInd w:val="0"/>
        <w:spacing w:after="0" w:line="240" w:lineRule="auto"/>
        <w:jc w:val="both"/>
        <w:rPr>
          <w:rFonts w:ascii="Arial" w:eastAsia="Times New Roman" w:hAnsi="Arial" w:cs="Arial"/>
          <w:i/>
          <w:sz w:val="24"/>
          <w:szCs w:val="24"/>
          <w:lang w:val="es-ES" w:eastAsia="es-ES"/>
        </w:rPr>
      </w:pPr>
    </w:p>
    <w:p w:rsidR="00E23519" w:rsidRPr="008464D7" w:rsidRDefault="00E23519" w:rsidP="00E23519">
      <w:pPr>
        <w:spacing w:after="0" w:line="240" w:lineRule="auto"/>
        <w:jc w:val="both"/>
        <w:rPr>
          <w:rFonts w:ascii="Arial" w:eastAsia="Times New Roman" w:hAnsi="Arial" w:cs="Arial"/>
          <w:sz w:val="24"/>
          <w:szCs w:val="24"/>
          <w:lang w:val="es-ES" w:eastAsia="es-ES"/>
        </w:rPr>
      </w:pPr>
      <w:r w:rsidRPr="008464D7">
        <w:rPr>
          <w:rFonts w:ascii="Arial" w:eastAsia="Times New Roman" w:hAnsi="Arial" w:cs="Arial"/>
          <w:sz w:val="24"/>
          <w:szCs w:val="24"/>
          <w:lang w:val="es-ES" w:eastAsia="es-ES"/>
        </w:rPr>
        <w:t>Las previsiones en el ámbito nacional estiman que en 2017 se observará un crecimiento real del Producto Interno Br</w:t>
      </w:r>
      <w:r w:rsidR="00A33E0E">
        <w:rPr>
          <w:rFonts w:ascii="Arial" w:eastAsia="Times New Roman" w:hAnsi="Arial" w:cs="Arial"/>
          <w:sz w:val="24"/>
          <w:szCs w:val="24"/>
          <w:lang w:val="es-ES" w:eastAsia="es-ES"/>
        </w:rPr>
        <w:t>uto (PIB) de entre 2.0 % y 3.0%</w:t>
      </w:r>
      <w:r w:rsidRPr="008464D7">
        <w:rPr>
          <w:rFonts w:ascii="Arial" w:eastAsia="Times New Roman" w:hAnsi="Arial" w:cs="Arial"/>
          <w:sz w:val="24"/>
          <w:szCs w:val="24"/>
          <w:lang w:val="es-ES" w:eastAsia="es-ES"/>
        </w:rPr>
        <w:t>; una inflación de 3%, en línea con la meta del Banco de México, y una tasa de interés nominal promedio de los Cetes a 28 días de 4.9%, también en línea con las expectativas de mercado. Asimismo,</w:t>
      </w:r>
      <w:r w:rsidRPr="008464D7">
        <w:rPr>
          <w:rFonts w:ascii="Arial" w:eastAsia="Times New Roman" w:hAnsi="Arial" w:cs="Arial"/>
          <w:color w:val="FF0000"/>
          <w:sz w:val="24"/>
          <w:szCs w:val="24"/>
          <w:lang w:val="es-ES" w:eastAsia="es-ES"/>
        </w:rPr>
        <w:t xml:space="preserve"> </w:t>
      </w:r>
      <w:r w:rsidRPr="008464D7">
        <w:rPr>
          <w:rFonts w:ascii="Arial" w:eastAsia="Times New Roman" w:hAnsi="Arial" w:cs="Arial"/>
          <w:sz w:val="24"/>
          <w:szCs w:val="24"/>
          <w:lang w:val="es-ES" w:eastAsia="es-ES"/>
        </w:rPr>
        <w:t xml:space="preserve">se estima un tipo de cambio nominal promedio de 18.2 pesos por dólar. </w:t>
      </w:r>
    </w:p>
    <w:p w:rsidR="00E23519" w:rsidRPr="008464D7" w:rsidRDefault="00E23519" w:rsidP="00E23519">
      <w:pPr>
        <w:spacing w:after="0" w:line="240" w:lineRule="auto"/>
        <w:jc w:val="both"/>
        <w:rPr>
          <w:rFonts w:ascii="Arial" w:eastAsia="Times New Roman" w:hAnsi="Arial" w:cs="Arial"/>
          <w:color w:val="FF0000"/>
          <w:sz w:val="24"/>
          <w:szCs w:val="24"/>
          <w:lang w:val="es-ES" w:eastAsia="es-ES"/>
        </w:rPr>
      </w:pPr>
    </w:p>
    <w:p w:rsidR="00E23519" w:rsidRPr="008464D7" w:rsidRDefault="00E23519" w:rsidP="00E23519">
      <w:pPr>
        <w:spacing w:after="0" w:line="240" w:lineRule="auto"/>
        <w:jc w:val="both"/>
        <w:rPr>
          <w:rFonts w:ascii="Arial" w:eastAsia="Times New Roman" w:hAnsi="Arial" w:cs="Arial"/>
          <w:sz w:val="24"/>
          <w:szCs w:val="24"/>
          <w:lang w:val="es-ES" w:eastAsia="es-ES"/>
        </w:rPr>
      </w:pPr>
      <w:r w:rsidRPr="008464D7">
        <w:rPr>
          <w:rFonts w:ascii="Arial" w:eastAsia="Times New Roman" w:hAnsi="Arial" w:cs="Arial"/>
          <w:sz w:val="24"/>
          <w:szCs w:val="24"/>
          <w:lang w:val="es-ES" w:eastAsia="es-ES"/>
        </w:rPr>
        <w:t>Para estimar los ingresos petroleros para 2017 se utilizó un precio promedio del petróleo (canasta mexicana) del orden de los 42 pesos promedio de dólares por barril.</w:t>
      </w:r>
    </w:p>
    <w:p w:rsidR="00E23519" w:rsidRPr="008464D7" w:rsidRDefault="00E23519" w:rsidP="00E23519">
      <w:pPr>
        <w:spacing w:after="0" w:line="240" w:lineRule="auto"/>
        <w:jc w:val="both"/>
        <w:rPr>
          <w:rFonts w:ascii="Arial" w:eastAsia="Times New Roman" w:hAnsi="Arial" w:cs="Arial"/>
          <w:sz w:val="24"/>
          <w:szCs w:val="24"/>
          <w:lang w:val="es-ES" w:eastAsia="es-ES"/>
        </w:rPr>
      </w:pPr>
    </w:p>
    <w:p w:rsidR="00E23519" w:rsidRPr="008464D7" w:rsidRDefault="00E23519" w:rsidP="00E23519">
      <w:pPr>
        <w:spacing w:after="0" w:line="240" w:lineRule="auto"/>
        <w:jc w:val="both"/>
        <w:rPr>
          <w:rFonts w:ascii="Arial" w:hAnsi="Arial" w:cs="Arial"/>
          <w:sz w:val="24"/>
          <w:szCs w:val="24"/>
        </w:rPr>
      </w:pPr>
      <w:r w:rsidRPr="008464D7">
        <w:rPr>
          <w:rFonts w:ascii="Arial" w:hAnsi="Arial" w:cs="Arial"/>
          <w:sz w:val="24"/>
          <w:szCs w:val="24"/>
        </w:rPr>
        <w:t>Considerando el diagnóstico de la evolución de las finanzas públicas se observa la existencia de retos que deben atenderse desde la perspectiva del gasto. Así, el Proyecto de Presupuesto de Egresos de la Federación (PPEF) para 2017 representa no sólo la consolidación del esfuerzo de reingeniería del gasto público emprendido durante la conformación del PPEF 2016, sino también la contención del gasto en servicios personales y la disminución de los gastos de operación, así como la adopción de alternativas de financiamiento, en especial en materia de inversión pública, como las Asociaciones Público Privadas (APP)</w:t>
      </w:r>
    </w:p>
    <w:p w:rsidR="00E23519" w:rsidRPr="008464D7" w:rsidRDefault="00E23519" w:rsidP="00E23519">
      <w:pPr>
        <w:spacing w:after="0" w:line="240" w:lineRule="auto"/>
        <w:jc w:val="both"/>
        <w:rPr>
          <w:rFonts w:ascii="Arial" w:hAnsi="Arial" w:cs="Arial"/>
          <w:sz w:val="24"/>
          <w:szCs w:val="24"/>
        </w:rPr>
      </w:pPr>
    </w:p>
    <w:p w:rsidR="00E23519" w:rsidRPr="008464D7" w:rsidRDefault="00E23519" w:rsidP="00E23519">
      <w:pPr>
        <w:spacing w:after="0" w:line="240" w:lineRule="auto"/>
        <w:jc w:val="both"/>
        <w:rPr>
          <w:rFonts w:ascii="Arial" w:hAnsi="Arial" w:cs="Arial"/>
          <w:sz w:val="24"/>
          <w:szCs w:val="24"/>
        </w:rPr>
      </w:pPr>
      <w:r w:rsidRPr="008464D7">
        <w:rPr>
          <w:rFonts w:ascii="Arial" w:hAnsi="Arial" w:cs="Arial"/>
          <w:sz w:val="24"/>
          <w:szCs w:val="24"/>
        </w:rPr>
        <w:t xml:space="preserve">De esta forma, el escenario planteado en el PPEF 2017 se basa principalmente en cuatro elementos. El primero de ellos consiste en la contención de los recursos destinados a servicios personales. Para lograrlo, se implementó una metodología de unificación de áreas con funciones comunes y se homologaron las estructuras de mando y enlace. </w:t>
      </w:r>
    </w:p>
    <w:p w:rsidR="00E23519" w:rsidRPr="008464D7" w:rsidRDefault="00E23519" w:rsidP="00E23519">
      <w:pPr>
        <w:spacing w:after="0" w:line="240" w:lineRule="auto"/>
        <w:jc w:val="both"/>
        <w:rPr>
          <w:rFonts w:ascii="Arial" w:hAnsi="Arial" w:cs="Arial"/>
          <w:sz w:val="24"/>
          <w:szCs w:val="24"/>
        </w:rPr>
      </w:pPr>
    </w:p>
    <w:p w:rsidR="00E23519" w:rsidRPr="008464D7" w:rsidRDefault="00E23519" w:rsidP="00E23519">
      <w:pPr>
        <w:spacing w:after="0" w:line="240" w:lineRule="auto"/>
        <w:jc w:val="both"/>
        <w:rPr>
          <w:rFonts w:ascii="Arial" w:hAnsi="Arial" w:cs="Arial"/>
          <w:sz w:val="24"/>
          <w:szCs w:val="24"/>
        </w:rPr>
      </w:pPr>
      <w:r w:rsidRPr="008464D7">
        <w:rPr>
          <w:rFonts w:ascii="Arial" w:hAnsi="Arial" w:cs="Arial"/>
          <w:sz w:val="24"/>
          <w:szCs w:val="24"/>
        </w:rPr>
        <w:t>El segundo elemento contempló la reducción en los gastos de operación, continuando con el proceso de austeridad en materia de gasto de operación iniciado en 2016.</w:t>
      </w:r>
    </w:p>
    <w:p w:rsidR="00E23519" w:rsidRPr="008464D7" w:rsidRDefault="00E23519" w:rsidP="00E23519">
      <w:pPr>
        <w:spacing w:after="0" w:line="240" w:lineRule="auto"/>
        <w:jc w:val="both"/>
        <w:rPr>
          <w:rFonts w:ascii="Arial" w:hAnsi="Arial" w:cs="Arial"/>
          <w:sz w:val="24"/>
          <w:szCs w:val="24"/>
        </w:rPr>
      </w:pPr>
    </w:p>
    <w:p w:rsidR="00E23519" w:rsidRPr="008464D7" w:rsidRDefault="00E23519" w:rsidP="00E23519">
      <w:pPr>
        <w:spacing w:after="0" w:line="240" w:lineRule="auto"/>
        <w:jc w:val="both"/>
        <w:rPr>
          <w:rFonts w:ascii="Arial" w:hAnsi="Arial" w:cs="Arial"/>
          <w:sz w:val="24"/>
          <w:szCs w:val="24"/>
        </w:rPr>
      </w:pPr>
      <w:r w:rsidRPr="008464D7">
        <w:rPr>
          <w:rFonts w:ascii="Arial" w:hAnsi="Arial" w:cs="Arial"/>
          <w:sz w:val="24"/>
          <w:szCs w:val="24"/>
        </w:rPr>
        <w:t>El tercer criterio con el que se elaboró el PPEF es privilegiar programas que contribuyen a la reducción de la pobreza a través de la disminución de las carencias sociales, así como al incremento del acceso efectivo a los derechos sociales.</w:t>
      </w:r>
    </w:p>
    <w:p w:rsidR="00E23519" w:rsidRPr="008464D7" w:rsidRDefault="00E23519" w:rsidP="00E23519">
      <w:pPr>
        <w:spacing w:after="0" w:line="240" w:lineRule="auto"/>
        <w:jc w:val="both"/>
        <w:rPr>
          <w:rFonts w:ascii="Arial" w:hAnsi="Arial" w:cs="Arial"/>
          <w:sz w:val="24"/>
          <w:szCs w:val="24"/>
        </w:rPr>
      </w:pPr>
    </w:p>
    <w:p w:rsidR="00E23519" w:rsidRPr="008464D7" w:rsidRDefault="00E23519" w:rsidP="00E23519">
      <w:pPr>
        <w:spacing w:after="0" w:line="240" w:lineRule="auto"/>
        <w:jc w:val="both"/>
        <w:rPr>
          <w:rFonts w:ascii="Arial" w:hAnsi="Arial" w:cs="Arial"/>
          <w:sz w:val="24"/>
          <w:szCs w:val="24"/>
        </w:rPr>
      </w:pPr>
      <w:r w:rsidRPr="008464D7">
        <w:rPr>
          <w:rFonts w:ascii="Arial" w:hAnsi="Arial" w:cs="Arial"/>
          <w:sz w:val="24"/>
          <w:szCs w:val="24"/>
        </w:rPr>
        <w:t>Como último elemento, se realizó una priorización de la inversión productiva sobre la administrativa.</w:t>
      </w:r>
    </w:p>
    <w:p w:rsidR="00E23519" w:rsidRPr="008464D7" w:rsidRDefault="00E23519" w:rsidP="00E23519">
      <w:pPr>
        <w:spacing w:after="0" w:line="240" w:lineRule="auto"/>
        <w:jc w:val="both"/>
      </w:pPr>
    </w:p>
    <w:p w:rsidR="00E23519" w:rsidRPr="008464D7" w:rsidRDefault="00E23519" w:rsidP="00E23519">
      <w:pPr>
        <w:spacing w:after="0" w:line="240" w:lineRule="auto"/>
        <w:jc w:val="both"/>
        <w:rPr>
          <w:rFonts w:ascii="Arial" w:eastAsia="Times New Roman" w:hAnsi="Arial" w:cs="Arial"/>
          <w:sz w:val="24"/>
          <w:szCs w:val="24"/>
          <w:lang w:val="es-ES" w:eastAsia="es-ES"/>
        </w:rPr>
      </w:pPr>
      <w:r w:rsidRPr="008464D7">
        <w:rPr>
          <w:rFonts w:ascii="Arial" w:eastAsia="Times New Roman" w:hAnsi="Arial" w:cs="Arial"/>
          <w:sz w:val="24"/>
          <w:szCs w:val="24"/>
          <w:lang w:val="es-ES" w:eastAsia="es-ES"/>
        </w:rPr>
        <w:t xml:space="preserve">De esta manera y en línea con las expectativas nacionales, así como en las previsiones y prospectiva </w:t>
      </w:r>
      <w:r>
        <w:rPr>
          <w:rFonts w:ascii="Arial" w:eastAsia="Times New Roman" w:hAnsi="Arial" w:cs="Arial"/>
          <w:sz w:val="24"/>
          <w:szCs w:val="24"/>
          <w:lang w:val="es-ES" w:eastAsia="es-ES"/>
        </w:rPr>
        <w:t>contenidas</w:t>
      </w:r>
      <w:r w:rsidRPr="008464D7">
        <w:rPr>
          <w:rFonts w:ascii="Arial" w:eastAsia="Times New Roman" w:hAnsi="Arial" w:cs="Arial"/>
          <w:sz w:val="24"/>
          <w:szCs w:val="24"/>
          <w:lang w:val="es-ES" w:eastAsia="es-ES"/>
        </w:rPr>
        <w:t xml:space="preserve"> en el Plan Estatal de Desarrollo 2016-2021,  el Proyecto de Presupuesto de Egresos que se somete a la consideración de esa Soberanía, está orientado a dar respuesta a las demandas más sentidas de la sociedad, para seguir impulsando el desarrollo integral del Estado y generar las condiciones y oportunidades para lograr mejores niveles de vida y bienestar para las familias colimenses.</w:t>
      </w:r>
    </w:p>
    <w:p w:rsidR="00E23519" w:rsidRPr="008464D7" w:rsidRDefault="00E23519" w:rsidP="00E23519">
      <w:pPr>
        <w:spacing w:after="0" w:line="240" w:lineRule="auto"/>
        <w:jc w:val="both"/>
        <w:rPr>
          <w:rFonts w:ascii="Arial" w:eastAsia="Times New Roman" w:hAnsi="Arial" w:cs="Arial"/>
          <w:sz w:val="24"/>
          <w:szCs w:val="24"/>
          <w:lang w:val="es-ES" w:eastAsia="es-ES"/>
        </w:rPr>
      </w:pPr>
    </w:p>
    <w:p w:rsidR="00E23519" w:rsidRPr="008464D7" w:rsidRDefault="00E23519" w:rsidP="00E23519">
      <w:pPr>
        <w:spacing w:after="0" w:line="240" w:lineRule="auto"/>
        <w:jc w:val="both"/>
        <w:rPr>
          <w:rFonts w:ascii="Arial" w:eastAsia="Times New Roman" w:hAnsi="Arial" w:cs="Arial"/>
          <w:sz w:val="24"/>
          <w:szCs w:val="24"/>
          <w:lang w:val="es-ES" w:eastAsia="es-ES"/>
        </w:rPr>
      </w:pPr>
      <w:r w:rsidRPr="008464D7">
        <w:rPr>
          <w:rFonts w:ascii="Arial" w:eastAsia="Times New Roman" w:hAnsi="Arial" w:cs="Arial"/>
          <w:sz w:val="24"/>
          <w:szCs w:val="24"/>
          <w:lang w:val="es-ES" w:eastAsia="es-ES"/>
        </w:rPr>
        <w:t xml:space="preserve">En línea con el Plan Estatal de Desarrollo, que se constituye como la carta de navegación de la gestión gubernamental, se integró el presente </w:t>
      </w:r>
      <w:r>
        <w:rPr>
          <w:rFonts w:ascii="Arial" w:eastAsia="Times New Roman" w:hAnsi="Arial" w:cs="Arial"/>
          <w:sz w:val="24"/>
          <w:szCs w:val="24"/>
          <w:lang w:val="es-ES" w:eastAsia="es-ES"/>
        </w:rPr>
        <w:t>Proyecto de P</w:t>
      </w:r>
      <w:r w:rsidRPr="008464D7">
        <w:rPr>
          <w:rFonts w:ascii="Arial" w:eastAsia="Times New Roman" w:hAnsi="Arial" w:cs="Arial"/>
          <w:sz w:val="24"/>
          <w:szCs w:val="24"/>
          <w:lang w:val="es-ES" w:eastAsia="es-ES"/>
        </w:rPr>
        <w:t xml:space="preserve">resupuesto </w:t>
      </w:r>
      <w:r w:rsidR="00A33E0E">
        <w:rPr>
          <w:rFonts w:ascii="Arial" w:eastAsia="Times New Roman" w:hAnsi="Arial" w:cs="Arial"/>
          <w:sz w:val="24"/>
          <w:szCs w:val="24"/>
          <w:lang w:val="es-ES" w:eastAsia="es-ES"/>
        </w:rPr>
        <w:t xml:space="preserve">de Egresos </w:t>
      </w:r>
      <w:r w:rsidRPr="008464D7">
        <w:rPr>
          <w:rFonts w:ascii="Arial" w:eastAsia="Times New Roman" w:hAnsi="Arial" w:cs="Arial"/>
          <w:sz w:val="24"/>
          <w:szCs w:val="24"/>
          <w:lang w:val="es-ES" w:eastAsia="es-ES"/>
        </w:rPr>
        <w:t>que se turna a esa Soberanía para su análisis, discusión y aprobación.</w:t>
      </w:r>
    </w:p>
    <w:p w:rsidR="00E23519" w:rsidRPr="008464D7" w:rsidRDefault="00E23519" w:rsidP="00E23519">
      <w:pPr>
        <w:spacing w:after="0" w:line="240" w:lineRule="auto"/>
        <w:jc w:val="both"/>
        <w:rPr>
          <w:rFonts w:ascii="Arial" w:eastAsia="Times New Roman" w:hAnsi="Arial" w:cs="Arial"/>
          <w:sz w:val="24"/>
          <w:szCs w:val="24"/>
          <w:lang w:val="es-ES" w:eastAsia="es-ES"/>
        </w:rPr>
      </w:pPr>
    </w:p>
    <w:p w:rsidR="00E23519" w:rsidRPr="008464D7" w:rsidRDefault="00E23519" w:rsidP="00E23519">
      <w:pPr>
        <w:spacing w:after="0" w:line="240"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Su aprobación</w:t>
      </w:r>
      <w:r w:rsidRPr="008464D7">
        <w:rPr>
          <w:rFonts w:ascii="Arial" w:eastAsia="Times New Roman" w:hAnsi="Arial" w:cs="Arial"/>
          <w:sz w:val="24"/>
          <w:szCs w:val="24"/>
          <w:lang w:val="es-ES" w:eastAsia="es-ES"/>
        </w:rPr>
        <w:t>, fortalecer</w:t>
      </w:r>
      <w:r>
        <w:rPr>
          <w:rFonts w:ascii="Arial" w:eastAsia="Times New Roman" w:hAnsi="Arial" w:cs="Arial"/>
          <w:sz w:val="24"/>
          <w:szCs w:val="24"/>
          <w:lang w:val="es-ES" w:eastAsia="es-ES"/>
        </w:rPr>
        <w:t>á</w:t>
      </w:r>
      <w:r w:rsidRPr="008464D7">
        <w:rPr>
          <w:rFonts w:ascii="Arial" w:eastAsia="Times New Roman" w:hAnsi="Arial" w:cs="Arial"/>
          <w:sz w:val="24"/>
          <w:szCs w:val="24"/>
          <w:lang w:val="es-ES" w:eastAsia="es-ES"/>
        </w:rPr>
        <w:t xml:space="preserve"> las políticas públicas que se emprenderán en el ejercicio fiscal 2017 para atender prioridades vinculadas con aquellos aspectos que proporcionarán el bienestar social, el crecimiento económico, la paz y la seguridad de la población; de igual manera, posibilitarán continuar trabajando por una mejor calidad de vida, la disminución de la pobreza y fortalecer los esfuerzos para que nuevamente sea Colima uno de los estados más seguros del país.</w:t>
      </w:r>
    </w:p>
    <w:p w:rsidR="00E23519" w:rsidRPr="008464D7" w:rsidRDefault="00E23519" w:rsidP="00E23519">
      <w:pPr>
        <w:spacing w:after="0" w:line="240" w:lineRule="auto"/>
        <w:jc w:val="both"/>
        <w:rPr>
          <w:rFonts w:ascii="Arial" w:eastAsia="Times New Roman" w:hAnsi="Arial" w:cs="Arial"/>
          <w:sz w:val="24"/>
          <w:szCs w:val="24"/>
          <w:lang w:val="es-ES" w:eastAsia="es-ES"/>
        </w:rPr>
      </w:pPr>
    </w:p>
    <w:p w:rsidR="00E23519" w:rsidRPr="008464D7" w:rsidRDefault="00E23519" w:rsidP="00E23519">
      <w:pPr>
        <w:spacing w:after="0" w:line="240" w:lineRule="auto"/>
        <w:jc w:val="both"/>
        <w:rPr>
          <w:rFonts w:ascii="Arial" w:eastAsia="Times New Roman" w:hAnsi="Arial" w:cs="Arial"/>
          <w:sz w:val="24"/>
          <w:szCs w:val="24"/>
          <w:lang w:val="es-ES" w:eastAsia="es-ES"/>
        </w:rPr>
      </w:pPr>
      <w:r w:rsidRPr="008464D7">
        <w:rPr>
          <w:rFonts w:ascii="Arial" w:eastAsia="Times New Roman" w:hAnsi="Arial" w:cs="Arial"/>
          <w:sz w:val="24"/>
          <w:szCs w:val="24"/>
          <w:lang w:val="es-ES" w:eastAsia="es-ES"/>
        </w:rPr>
        <w:t>En congruencia con lo anterior, la política presupuestaria para el próximo ejercicio fiscal será de prudencia, austeridad y de estricta racionalidad en el ejercicio del gasto público, fincado en una visión que priorice dar respuestas oportunas a las demandas más sentidas de las familias colimenses, especialmente aquellas de los sectores más vulnerables.</w:t>
      </w:r>
    </w:p>
    <w:p w:rsidR="00E23519" w:rsidRPr="008464D7" w:rsidRDefault="00E23519" w:rsidP="00E23519">
      <w:pPr>
        <w:spacing w:after="0" w:line="240" w:lineRule="auto"/>
        <w:contextualSpacing/>
        <w:jc w:val="both"/>
        <w:rPr>
          <w:rFonts w:ascii="Arial" w:eastAsia="Times New Roman" w:hAnsi="Arial" w:cs="Arial"/>
          <w:sz w:val="24"/>
          <w:szCs w:val="24"/>
          <w:lang w:val="es-ES" w:eastAsia="es-ES"/>
        </w:rPr>
      </w:pPr>
    </w:p>
    <w:p w:rsidR="00E23519" w:rsidRPr="008464D7" w:rsidRDefault="00E23519" w:rsidP="00E23519">
      <w:pPr>
        <w:spacing w:after="0" w:line="240" w:lineRule="auto"/>
        <w:contextualSpacing/>
        <w:jc w:val="both"/>
        <w:rPr>
          <w:rFonts w:ascii="Arial" w:eastAsia="Times New Roman" w:hAnsi="Arial" w:cs="Arial"/>
          <w:b/>
          <w:sz w:val="24"/>
          <w:szCs w:val="24"/>
          <w:lang w:val="es-ES" w:eastAsia="es-ES"/>
        </w:rPr>
      </w:pPr>
      <w:r w:rsidRPr="008464D7">
        <w:rPr>
          <w:rFonts w:ascii="Arial" w:eastAsia="Times New Roman" w:hAnsi="Arial" w:cs="Arial"/>
          <w:sz w:val="24"/>
          <w:szCs w:val="24"/>
          <w:lang w:val="es-ES" w:eastAsia="es-ES"/>
        </w:rPr>
        <w:t xml:space="preserve">Regidos con la Visión 2021 Colima con mayor bienestar para sus habitantes, el Proyecto de Presupuesto que se somete a la consideración del Honorable Congreso </w:t>
      </w:r>
      <w:r w:rsidRPr="008464D7">
        <w:rPr>
          <w:rFonts w:ascii="Arial" w:eastAsia="Times New Roman" w:hAnsi="Arial" w:cs="Arial"/>
          <w:sz w:val="24"/>
          <w:szCs w:val="24"/>
          <w:lang w:val="es-ES" w:eastAsia="es-ES"/>
        </w:rPr>
        <w:lastRenderedPageBreak/>
        <w:t>del Estado, incorpora prioridades de desarrollo vinculadas con los ejes estratégicos del Plan Estatal de Desarrollo 2016-2021 (PED).</w:t>
      </w:r>
    </w:p>
    <w:p w:rsidR="00E23519" w:rsidRPr="008464D7" w:rsidRDefault="00E23519" w:rsidP="00E23519">
      <w:pPr>
        <w:spacing w:after="0" w:line="240" w:lineRule="auto"/>
        <w:contextualSpacing/>
        <w:jc w:val="both"/>
        <w:rPr>
          <w:lang w:val="es-ES"/>
        </w:rPr>
      </w:pPr>
    </w:p>
    <w:p w:rsidR="00E23519" w:rsidRPr="008464D7" w:rsidRDefault="00E23519" w:rsidP="00E23519">
      <w:pPr>
        <w:spacing w:after="0" w:line="240" w:lineRule="auto"/>
        <w:contextualSpacing/>
        <w:jc w:val="both"/>
        <w:rPr>
          <w:rFonts w:ascii="Arial" w:eastAsia="Times New Roman" w:hAnsi="Arial" w:cs="Arial"/>
          <w:sz w:val="24"/>
          <w:szCs w:val="24"/>
          <w:lang w:val="es-ES" w:eastAsia="es-ES"/>
        </w:rPr>
      </w:pPr>
      <w:r w:rsidRPr="008464D7">
        <w:rPr>
          <w:rFonts w:ascii="Arial" w:eastAsia="Times New Roman" w:hAnsi="Arial" w:cs="Arial"/>
          <w:sz w:val="24"/>
          <w:szCs w:val="24"/>
          <w:lang w:val="es-ES" w:eastAsia="es-ES"/>
        </w:rPr>
        <w:t>La reactivación de Colima por medio de la acción pública que se fortalecerá en 2017,está en línea con la visión 2021 del PED cuyo propósito se orienta a ser el estado del país que brinde el mayor bienestar a sus habitantes, con base en la competitividad y sustentabilidad de su economía del conocimiento, que ofrezca más empleos y mejor pagados y que funcione en un círculo virtuoso con el desarrollo social, donde sus habitantes viva</w:t>
      </w:r>
      <w:r w:rsidR="00A33E0E">
        <w:rPr>
          <w:rFonts w:ascii="Arial" w:eastAsia="Times New Roman" w:hAnsi="Arial" w:cs="Arial"/>
          <w:sz w:val="24"/>
          <w:szCs w:val="24"/>
          <w:lang w:val="es-ES" w:eastAsia="es-ES"/>
        </w:rPr>
        <w:t>n seguros y sin pobreza extrema</w:t>
      </w:r>
      <w:r w:rsidRPr="008464D7">
        <w:rPr>
          <w:rFonts w:ascii="Arial" w:eastAsia="Times New Roman" w:hAnsi="Arial" w:cs="Arial"/>
          <w:sz w:val="24"/>
          <w:szCs w:val="24"/>
          <w:lang w:val="es-ES" w:eastAsia="es-ES"/>
        </w:rPr>
        <w:t>, d</w:t>
      </w:r>
      <w:r w:rsidR="00A33E0E">
        <w:rPr>
          <w:rFonts w:ascii="Arial" w:eastAsia="Times New Roman" w:hAnsi="Arial" w:cs="Arial"/>
          <w:sz w:val="24"/>
          <w:szCs w:val="24"/>
          <w:lang w:val="es-ES" w:eastAsia="es-ES"/>
        </w:rPr>
        <w:t>entro de un entorno igualitario</w:t>
      </w:r>
      <w:r w:rsidRPr="008464D7">
        <w:rPr>
          <w:rFonts w:ascii="Arial" w:eastAsia="Times New Roman" w:hAnsi="Arial" w:cs="Arial"/>
          <w:sz w:val="24"/>
          <w:szCs w:val="24"/>
          <w:lang w:val="es-ES" w:eastAsia="es-ES"/>
        </w:rPr>
        <w:t xml:space="preserve">, además de un estado verde y con gobierno abierto, responsable y austero. </w:t>
      </w:r>
    </w:p>
    <w:p w:rsidR="00E23519" w:rsidRPr="008464D7" w:rsidRDefault="00E23519" w:rsidP="00E23519">
      <w:pPr>
        <w:spacing w:after="0" w:line="240" w:lineRule="auto"/>
        <w:jc w:val="both"/>
        <w:rPr>
          <w:lang w:val="es-ES"/>
        </w:rPr>
      </w:pPr>
    </w:p>
    <w:p w:rsidR="00E23519" w:rsidRPr="008464D7" w:rsidRDefault="00E23519" w:rsidP="00E23519">
      <w:pPr>
        <w:spacing w:after="0" w:line="240"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En función de ello, el P</w:t>
      </w:r>
      <w:r w:rsidRPr="008464D7">
        <w:rPr>
          <w:rFonts w:ascii="Arial" w:eastAsia="Times New Roman" w:hAnsi="Arial" w:cs="Arial"/>
          <w:sz w:val="24"/>
          <w:szCs w:val="24"/>
          <w:lang w:val="es-ES" w:eastAsia="es-ES"/>
        </w:rPr>
        <w:t xml:space="preserve">resupuesto de </w:t>
      </w:r>
      <w:r>
        <w:rPr>
          <w:rFonts w:ascii="Arial" w:eastAsia="Times New Roman" w:hAnsi="Arial" w:cs="Arial"/>
          <w:sz w:val="24"/>
          <w:szCs w:val="24"/>
          <w:lang w:val="es-ES" w:eastAsia="es-ES"/>
        </w:rPr>
        <w:t>E</w:t>
      </w:r>
      <w:r w:rsidRPr="008464D7">
        <w:rPr>
          <w:rFonts w:ascii="Arial" w:eastAsia="Times New Roman" w:hAnsi="Arial" w:cs="Arial"/>
          <w:sz w:val="24"/>
          <w:szCs w:val="24"/>
          <w:lang w:val="es-ES" w:eastAsia="es-ES"/>
        </w:rPr>
        <w:t xml:space="preserve">gresos que se somete a la consideración de ese Honorable Congreso del Estado, se alinea con el Eje Transversal del PED denominado, </w:t>
      </w:r>
      <w:r w:rsidRPr="008464D7">
        <w:rPr>
          <w:rFonts w:ascii="Arial" w:eastAsia="Times New Roman" w:hAnsi="Arial" w:cs="Arial"/>
          <w:i/>
          <w:sz w:val="24"/>
          <w:szCs w:val="24"/>
          <w:lang w:val="es-ES" w:eastAsia="es-ES"/>
        </w:rPr>
        <w:t>Colima con un Gobierno Moderno, Efectivo y Transparente</w:t>
      </w:r>
      <w:r w:rsidRPr="008464D7">
        <w:rPr>
          <w:rFonts w:ascii="Arial" w:eastAsia="Times New Roman" w:hAnsi="Arial" w:cs="Arial"/>
          <w:sz w:val="24"/>
          <w:szCs w:val="24"/>
          <w:lang w:val="es-ES" w:eastAsia="es-ES"/>
        </w:rPr>
        <w:t>, mismo que en su visión 2021, se orienta entre otros aspectos al fortalecimiento de las finanzas públicas que incentiven el pleno desarrollo de los sectores productivos, un Presupuesto basado en Resultados (PbR) y un sistema moderno e integral de implementación, monitoreo y evaluación de programas sociales.</w:t>
      </w:r>
    </w:p>
    <w:p w:rsidR="00E23519" w:rsidRPr="008464D7" w:rsidRDefault="00E23519" w:rsidP="00E23519">
      <w:pPr>
        <w:spacing w:after="0" w:line="240" w:lineRule="auto"/>
        <w:jc w:val="both"/>
        <w:rPr>
          <w:rFonts w:ascii="Arial" w:eastAsia="Times New Roman" w:hAnsi="Arial" w:cs="Arial"/>
          <w:sz w:val="24"/>
          <w:szCs w:val="24"/>
          <w:lang w:val="es-ES" w:eastAsia="es-ES"/>
        </w:rPr>
      </w:pPr>
    </w:p>
    <w:p w:rsidR="00E23519" w:rsidRPr="008464D7" w:rsidRDefault="00E23519" w:rsidP="00E23519">
      <w:pPr>
        <w:spacing w:after="0" w:line="240" w:lineRule="auto"/>
        <w:jc w:val="both"/>
        <w:rPr>
          <w:rFonts w:ascii="Arial" w:eastAsia="Times New Roman" w:hAnsi="Arial" w:cs="Arial"/>
          <w:sz w:val="24"/>
          <w:szCs w:val="24"/>
          <w:lang w:val="es-ES" w:eastAsia="es-ES"/>
        </w:rPr>
      </w:pPr>
      <w:r w:rsidRPr="008464D7">
        <w:rPr>
          <w:rFonts w:ascii="Arial" w:eastAsia="Times New Roman" w:hAnsi="Arial" w:cs="Arial"/>
          <w:sz w:val="24"/>
          <w:szCs w:val="24"/>
          <w:lang w:val="es-ES" w:eastAsia="es-ES"/>
        </w:rPr>
        <w:t>La propuesta que se somete a la consideración de esa Soberanía, se formuló con un</w:t>
      </w:r>
      <w:r>
        <w:rPr>
          <w:rFonts w:ascii="Arial" w:eastAsia="Times New Roman" w:hAnsi="Arial" w:cs="Arial"/>
          <w:sz w:val="24"/>
          <w:szCs w:val="24"/>
          <w:lang w:val="es-ES" w:eastAsia="es-ES"/>
        </w:rPr>
        <w:t>a visión responsable y objetiva,</w:t>
      </w:r>
      <w:r w:rsidRPr="008464D7">
        <w:rPr>
          <w:rFonts w:ascii="Arial" w:eastAsia="Times New Roman" w:hAnsi="Arial" w:cs="Arial"/>
          <w:sz w:val="24"/>
          <w:szCs w:val="24"/>
          <w:lang w:val="es-ES" w:eastAsia="es-ES"/>
        </w:rPr>
        <w:t xml:space="preserve"> privilegiando la asignación del presupuesto a la prevención del delito, seguridad pública, salud y bienestar social, educación, desarrollo económico, apoyo a los jóvenes, superación de la pobreza de grupos vulnerables, apoyo al campo y al impulso de la infraestructura social y productiva, para mejorar los niveles de bienestar y propiciar la generación de empleos de calidad.</w:t>
      </w:r>
    </w:p>
    <w:p w:rsidR="00E23519" w:rsidRPr="008464D7" w:rsidRDefault="00E23519" w:rsidP="00E23519">
      <w:pPr>
        <w:spacing w:after="0" w:line="240" w:lineRule="auto"/>
        <w:jc w:val="both"/>
        <w:rPr>
          <w:rFonts w:ascii="Arial" w:eastAsia="Times New Roman" w:hAnsi="Arial" w:cs="Arial"/>
          <w:sz w:val="24"/>
          <w:szCs w:val="24"/>
          <w:lang w:val="es-ES" w:eastAsia="es-ES"/>
        </w:rPr>
      </w:pPr>
    </w:p>
    <w:p w:rsidR="00E23519" w:rsidRPr="008464D7" w:rsidRDefault="00E23519" w:rsidP="00E23519">
      <w:pPr>
        <w:spacing w:after="0" w:line="240" w:lineRule="auto"/>
        <w:jc w:val="both"/>
        <w:rPr>
          <w:rFonts w:ascii="Arial" w:eastAsia="Calibri" w:hAnsi="Arial" w:cs="Arial"/>
          <w:sz w:val="24"/>
          <w:szCs w:val="24"/>
          <w:lang w:val="es-ES"/>
        </w:rPr>
      </w:pPr>
      <w:r>
        <w:rPr>
          <w:rFonts w:ascii="Arial" w:eastAsia="Calibri" w:hAnsi="Arial" w:cs="Arial"/>
          <w:sz w:val="24"/>
          <w:szCs w:val="24"/>
          <w:lang w:val="es-ES"/>
        </w:rPr>
        <w:t>En el presente P</w:t>
      </w:r>
      <w:r w:rsidRPr="008464D7">
        <w:rPr>
          <w:rFonts w:ascii="Arial" w:eastAsia="Calibri" w:hAnsi="Arial" w:cs="Arial"/>
          <w:sz w:val="24"/>
          <w:szCs w:val="24"/>
          <w:lang w:val="es-ES"/>
        </w:rPr>
        <w:t xml:space="preserve">royecto, se establecen las adecuaciones y previsiones presupuestarias que se derivan de las reformas previstas en la Ley Orgánica de la Administración Pública del Estado de Colima, aprobada por el H. Congreso del Estado de Colima, el 29 de septiembre de 2015 y publicada en el Periódico Oficial “El Estado de Colima” el 1º de octubre de 2015, mediante Decreto Número 583, misma que adecúa y actualiza la estructura administrativa del Gobierno Estatal, reordenando el aparato gubernamental, eliminando duplicidades y redefiniendo competencias y responsabilidades entre las dependencias del Ejecutivo. </w:t>
      </w:r>
    </w:p>
    <w:p w:rsidR="00E23519" w:rsidRPr="008464D7" w:rsidRDefault="00E23519" w:rsidP="00E23519">
      <w:pPr>
        <w:spacing w:after="0" w:line="240" w:lineRule="auto"/>
        <w:jc w:val="both"/>
        <w:rPr>
          <w:rFonts w:ascii="Arial" w:eastAsia="Calibri" w:hAnsi="Arial" w:cs="Arial"/>
          <w:sz w:val="24"/>
          <w:szCs w:val="24"/>
          <w:lang w:val="es-ES"/>
        </w:rPr>
      </w:pPr>
    </w:p>
    <w:p w:rsidR="00E23519" w:rsidRPr="008464D7" w:rsidRDefault="00E23519" w:rsidP="00E23519">
      <w:pPr>
        <w:spacing w:after="0" w:line="240" w:lineRule="auto"/>
        <w:jc w:val="both"/>
        <w:rPr>
          <w:rFonts w:ascii="Arial" w:eastAsia="Calibri" w:hAnsi="Arial" w:cs="Arial"/>
          <w:sz w:val="24"/>
          <w:szCs w:val="24"/>
          <w:lang w:val="es-ES"/>
        </w:rPr>
      </w:pPr>
      <w:r w:rsidRPr="008464D7">
        <w:rPr>
          <w:rFonts w:ascii="Arial" w:eastAsia="Times New Roman" w:hAnsi="Arial" w:cs="Arial"/>
          <w:sz w:val="24"/>
          <w:szCs w:val="24"/>
          <w:lang w:val="es-ES" w:eastAsia="es-ES"/>
        </w:rPr>
        <w:t>En congruencia a lo previsto en el artículo 73,</w:t>
      </w:r>
      <w:r w:rsidR="00A33E0E">
        <w:rPr>
          <w:rFonts w:ascii="Arial" w:eastAsia="Times New Roman" w:hAnsi="Arial" w:cs="Arial"/>
          <w:sz w:val="24"/>
          <w:szCs w:val="24"/>
          <w:lang w:val="es-ES" w:eastAsia="es-ES"/>
        </w:rPr>
        <w:t xml:space="preserve"> </w:t>
      </w:r>
      <w:r w:rsidRPr="008464D7">
        <w:rPr>
          <w:rFonts w:ascii="Arial" w:eastAsia="Times New Roman" w:hAnsi="Arial" w:cs="Arial"/>
          <w:sz w:val="24"/>
          <w:szCs w:val="24"/>
          <w:lang w:val="es-ES" w:eastAsia="es-ES"/>
        </w:rPr>
        <w:t xml:space="preserve">fracción XXVIII, de la Constitución Política de los Estados Unidos Mexicanos, así como en  los Artículos 6 y 7 de la Ley General de Contabilidad Gubernamental, que señalan la obligatoriedad de que los </w:t>
      </w:r>
      <w:r w:rsidR="00A33E0E" w:rsidRPr="008464D7">
        <w:rPr>
          <w:rFonts w:ascii="Arial" w:eastAsia="Times New Roman" w:hAnsi="Arial" w:cs="Arial"/>
          <w:sz w:val="24"/>
          <w:szCs w:val="24"/>
          <w:lang w:val="es-ES" w:eastAsia="es-ES"/>
        </w:rPr>
        <w:t xml:space="preserve">Entes Públicos </w:t>
      </w:r>
      <w:r w:rsidRPr="008464D7">
        <w:rPr>
          <w:rFonts w:ascii="Arial" w:eastAsia="Times New Roman" w:hAnsi="Arial" w:cs="Arial"/>
          <w:sz w:val="24"/>
          <w:szCs w:val="24"/>
          <w:lang w:val="es-ES" w:eastAsia="es-ES"/>
        </w:rPr>
        <w:t xml:space="preserve">adopten e implementen, en el ámbito de sus respectivas competencias, las decisiones que tome el Consejo Nacional de Armonización </w:t>
      </w:r>
      <w:r w:rsidRPr="008464D7">
        <w:rPr>
          <w:rFonts w:ascii="Arial" w:eastAsia="Times New Roman" w:hAnsi="Arial" w:cs="Arial"/>
          <w:sz w:val="24"/>
          <w:szCs w:val="24"/>
          <w:lang w:val="es-ES" w:eastAsia="es-ES"/>
        </w:rPr>
        <w:lastRenderedPageBreak/>
        <w:t>Contable (CONAC), órgano de coordinación en la materia, emisor de normas y lineamientos para la generación de información financiera. En ese tenor, el Gobierno del Estado de Colima, continuará impulsando las acciones necesarias para ir modificando y adaptando su sistema presupuestario, acorde con los clasificadores y lineamientos que emite dicho Consejo.</w:t>
      </w:r>
    </w:p>
    <w:p w:rsidR="00E23519" w:rsidRPr="008464D7" w:rsidRDefault="00E23519" w:rsidP="00E23519">
      <w:pPr>
        <w:autoSpaceDE w:val="0"/>
        <w:autoSpaceDN w:val="0"/>
        <w:adjustRightInd w:val="0"/>
        <w:spacing w:after="0" w:line="240" w:lineRule="auto"/>
        <w:jc w:val="both"/>
        <w:rPr>
          <w:rFonts w:ascii="Arial" w:eastAsia="Times New Roman" w:hAnsi="Arial" w:cs="Arial"/>
          <w:sz w:val="24"/>
          <w:szCs w:val="24"/>
          <w:lang w:val="es-ES" w:eastAsia="es-ES"/>
        </w:rPr>
      </w:pPr>
    </w:p>
    <w:p w:rsidR="00E23519" w:rsidRPr="008464D7" w:rsidRDefault="00E23519" w:rsidP="00E23519">
      <w:pPr>
        <w:autoSpaceDE w:val="0"/>
        <w:autoSpaceDN w:val="0"/>
        <w:adjustRightInd w:val="0"/>
        <w:spacing w:after="0" w:line="240" w:lineRule="auto"/>
        <w:jc w:val="both"/>
        <w:rPr>
          <w:rFonts w:ascii="Arial" w:eastAsia="Times New Roman" w:hAnsi="Arial" w:cs="Arial"/>
          <w:i/>
          <w:sz w:val="24"/>
          <w:szCs w:val="24"/>
          <w:lang w:val="es-ES" w:eastAsia="es-ES"/>
        </w:rPr>
      </w:pPr>
      <w:r w:rsidRPr="008464D7">
        <w:rPr>
          <w:rFonts w:ascii="Arial" w:eastAsia="Times New Roman" w:hAnsi="Arial" w:cs="Arial"/>
          <w:sz w:val="24"/>
          <w:szCs w:val="24"/>
          <w:lang w:val="es-ES" w:eastAsia="es-ES"/>
        </w:rPr>
        <w:t>De igual forma, la presente iniciativa que se somete a consideración de</w:t>
      </w:r>
      <w:r>
        <w:rPr>
          <w:rFonts w:ascii="Arial" w:eastAsia="Times New Roman" w:hAnsi="Arial" w:cs="Arial"/>
          <w:sz w:val="24"/>
          <w:szCs w:val="24"/>
          <w:lang w:val="es-ES" w:eastAsia="es-ES"/>
        </w:rPr>
        <w:t>l</w:t>
      </w:r>
      <w:r w:rsidRPr="008464D7">
        <w:rPr>
          <w:rFonts w:ascii="Arial" w:eastAsia="Times New Roman" w:hAnsi="Arial" w:cs="Arial"/>
          <w:sz w:val="24"/>
          <w:szCs w:val="24"/>
          <w:lang w:val="es-ES" w:eastAsia="es-ES"/>
        </w:rPr>
        <w:t xml:space="preserve"> Honorable Congreso</w:t>
      </w:r>
      <w:r>
        <w:rPr>
          <w:rFonts w:ascii="Arial" w:eastAsia="Times New Roman" w:hAnsi="Arial" w:cs="Arial"/>
          <w:sz w:val="24"/>
          <w:szCs w:val="24"/>
          <w:lang w:val="es-ES" w:eastAsia="es-ES"/>
        </w:rPr>
        <w:t xml:space="preserve"> del Estado</w:t>
      </w:r>
      <w:r w:rsidRPr="008464D7">
        <w:rPr>
          <w:rFonts w:ascii="Arial" w:eastAsia="Times New Roman" w:hAnsi="Arial" w:cs="Arial"/>
          <w:sz w:val="24"/>
          <w:szCs w:val="24"/>
          <w:lang w:val="es-ES" w:eastAsia="es-ES"/>
        </w:rPr>
        <w:t xml:space="preserve">, es congruente con lo previsto en el Artículo 107 de la Constitución Política del Estado Libre y Soberano de Colima, en el cual se establece que: </w:t>
      </w:r>
      <w:r w:rsidRPr="008464D7">
        <w:rPr>
          <w:rFonts w:ascii="Arial" w:eastAsia="Times New Roman" w:hAnsi="Arial" w:cs="Arial"/>
          <w:i/>
          <w:sz w:val="24"/>
          <w:szCs w:val="24"/>
          <w:lang w:val="es-ES" w:eastAsia="es-ES"/>
        </w:rPr>
        <w:t>“La Hacienda Pública tiene por objeto atender los gastos del Estado. Los recursos y fondos públicos que administren, custodien o ejerzan los poderes del Estado, los ayuntamientos, órganos estatales autónomos previstos por esta Constitución, organismos públicos descentralizados contemplados en las leyes, empresas de participación pública, fideicomisos públicos, estatales o municipales, así como a cargo de cualquier persona física o moral, pública o privada, se manejarán con eficiencia, eficacia, economía, transparencia y honradez para satisfacer los objetivos a los que están destinados.”</w:t>
      </w:r>
    </w:p>
    <w:p w:rsidR="00E23519" w:rsidRPr="008464D7" w:rsidRDefault="00E23519" w:rsidP="00E23519">
      <w:pPr>
        <w:autoSpaceDE w:val="0"/>
        <w:autoSpaceDN w:val="0"/>
        <w:adjustRightInd w:val="0"/>
        <w:spacing w:after="0" w:line="240" w:lineRule="auto"/>
        <w:jc w:val="both"/>
        <w:rPr>
          <w:rFonts w:ascii="Arial" w:eastAsia="Times New Roman" w:hAnsi="Arial" w:cs="Arial"/>
          <w:i/>
          <w:sz w:val="24"/>
          <w:szCs w:val="24"/>
          <w:lang w:val="es-ES" w:eastAsia="es-ES"/>
        </w:rPr>
      </w:pPr>
    </w:p>
    <w:p w:rsidR="00E23519" w:rsidRPr="008464D7" w:rsidRDefault="00E23519" w:rsidP="00E23519">
      <w:pPr>
        <w:spacing w:line="240" w:lineRule="auto"/>
        <w:jc w:val="both"/>
        <w:rPr>
          <w:rFonts w:ascii="Arial" w:eastAsia="Times New Roman" w:hAnsi="Arial" w:cs="Arial"/>
          <w:sz w:val="24"/>
          <w:szCs w:val="24"/>
          <w:lang w:val="es-ES" w:eastAsia="es-ES"/>
        </w:rPr>
      </w:pPr>
      <w:r w:rsidRPr="008464D7">
        <w:rPr>
          <w:rFonts w:ascii="Arial" w:eastAsia="Times New Roman" w:hAnsi="Arial" w:cs="Arial"/>
          <w:sz w:val="24"/>
          <w:szCs w:val="24"/>
          <w:lang w:val="es-ES" w:eastAsia="es-ES"/>
        </w:rPr>
        <w:t xml:space="preserve">En el marco de la Gestión Pública para Resultados (GPR), y en congruencia con lo mencionado en párrafos anteriores, redoblaremos los esfuerzos para fortalecer el Presupuesto basado en Resultados (PbR), </w:t>
      </w:r>
      <w:r>
        <w:rPr>
          <w:rFonts w:ascii="Arial" w:eastAsia="Times New Roman" w:hAnsi="Arial" w:cs="Arial"/>
          <w:sz w:val="24"/>
          <w:szCs w:val="24"/>
          <w:lang w:val="es-ES" w:eastAsia="es-ES"/>
        </w:rPr>
        <w:t>e</w:t>
      </w:r>
      <w:r w:rsidRPr="008464D7">
        <w:rPr>
          <w:rFonts w:ascii="Arial" w:eastAsia="Times New Roman" w:hAnsi="Arial" w:cs="Arial"/>
          <w:sz w:val="24"/>
          <w:szCs w:val="24"/>
          <w:lang w:val="es-ES" w:eastAsia="es-ES"/>
        </w:rPr>
        <w:t>l Presupuesto con enfoque Base Cero y el Sistema de Evaluación del Desempeño (SED).</w:t>
      </w:r>
    </w:p>
    <w:p w:rsidR="00E23519" w:rsidRPr="008464D7" w:rsidRDefault="00E23519" w:rsidP="00E23519">
      <w:pPr>
        <w:autoSpaceDE w:val="0"/>
        <w:autoSpaceDN w:val="0"/>
        <w:adjustRightInd w:val="0"/>
        <w:spacing w:after="0" w:line="240" w:lineRule="auto"/>
        <w:jc w:val="both"/>
        <w:rPr>
          <w:rFonts w:ascii="Arial" w:eastAsia="Calibri" w:hAnsi="Arial" w:cs="Arial"/>
          <w:sz w:val="24"/>
          <w:szCs w:val="24"/>
        </w:rPr>
      </w:pPr>
      <w:r w:rsidRPr="008464D7">
        <w:rPr>
          <w:rFonts w:ascii="Arial" w:eastAsia="Calibri" w:hAnsi="Arial" w:cs="Arial"/>
          <w:bCs/>
          <w:sz w:val="24"/>
          <w:szCs w:val="24"/>
        </w:rPr>
        <w:t>De merecer la presente iniciativa la aprobación de esa Honorable Legislatura, se privilegiarán además las acciones que promuevan:</w:t>
      </w:r>
      <w:r>
        <w:rPr>
          <w:rFonts w:ascii="Arial" w:eastAsia="Calibri" w:hAnsi="Arial" w:cs="Arial"/>
          <w:sz w:val="24"/>
          <w:szCs w:val="24"/>
        </w:rPr>
        <w:t xml:space="preserve"> l</w:t>
      </w:r>
      <w:r w:rsidRPr="008464D7">
        <w:rPr>
          <w:rFonts w:ascii="Arial" w:eastAsia="Calibri" w:hAnsi="Arial" w:cs="Arial"/>
          <w:sz w:val="24"/>
          <w:szCs w:val="24"/>
        </w:rPr>
        <w:t>a igualdad entre mujeres y hombres, la erradicación de la violencia de género y la erradicación de cualquier forma de discriminación de género.</w:t>
      </w:r>
    </w:p>
    <w:p w:rsidR="00E23519" w:rsidRPr="008464D7" w:rsidRDefault="00E23519" w:rsidP="00E23519">
      <w:pPr>
        <w:autoSpaceDE w:val="0"/>
        <w:autoSpaceDN w:val="0"/>
        <w:adjustRightInd w:val="0"/>
        <w:spacing w:after="0" w:line="240" w:lineRule="auto"/>
        <w:jc w:val="both"/>
        <w:rPr>
          <w:rFonts w:ascii="Arial" w:eastAsia="Calibri" w:hAnsi="Arial" w:cs="Arial"/>
          <w:b/>
          <w:bCs/>
          <w:color w:val="FF0000"/>
          <w:sz w:val="24"/>
          <w:szCs w:val="24"/>
          <w:lang w:val="es-ES"/>
        </w:rPr>
      </w:pPr>
    </w:p>
    <w:p w:rsidR="00E23519" w:rsidRPr="008464D7" w:rsidRDefault="00E23519" w:rsidP="00E23519">
      <w:pPr>
        <w:spacing w:after="0" w:line="240" w:lineRule="auto"/>
        <w:jc w:val="both"/>
        <w:rPr>
          <w:rFonts w:ascii="Arial" w:eastAsia="Times New Roman" w:hAnsi="Arial" w:cs="Arial"/>
          <w:sz w:val="24"/>
          <w:szCs w:val="24"/>
          <w:lang w:val="es-ES" w:eastAsia="es-ES"/>
        </w:rPr>
      </w:pPr>
      <w:r w:rsidRPr="008464D7">
        <w:rPr>
          <w:rFonts w:ascii="Arial" w:eastAsia="Times New Roman" w:hAnsi="Arial" w:cs="Arial"/>
          <w:sz w:val="24"/>
          <w:szCs w:val="24"/>
          <w:lang w:val="es-ES" w:eastAsia="es-ES"/>
        </w:rPr>
        <w:t xml:space="preserve">Con el propósito de atender las observaciones derivadas del Informe del Grupo de Trabajo conformado para atender la solicitud de alerta de violencia de género contra las mujeres en el Estado de Colima, reformulamos el Manual para la Elaboración del Anteproyecto de Presupuesto para el Ejercicio 2017, en aras de atender las observaciones para etiquetar más recursos para el precitado tema y en cumplimiento a lo dispuesto por el artículo 41, fracción II de la Ley Federal de Presupuesto y Responsabilidad Hacendaria; y artículos 4, 7, 16 y 23 fracción V de la Ley de Presupuesto y Gasto Público del Estado de Colima; fortalecimos en la estructura programática la transversalidad presupuestaria en los siguientes elementos:  </w:t>
      </w:r>
    </w:p>
    <w:p w:rsidR="00E23519" w:rsidRPr="008464D7" w:rsidRDefault="00E23519" w:rsidP="00E23519">
      <w:pPr>
        <w:spacing w:after="0" w:line="240" w:lineRule="auto"/>
        <w:jc w:val="both"/>
        <w:rPr>
          <w:rFonts w:ascii="Arial" w:eastAsia="Times New Roman" w:hAnsi="Arial" w:cs="Arial"/>
          <w:sz w:val="24"/>
          <w:szCs w:val="24"/>
          <w:lang w:val="es-ES" w:eastAsia="es-ES"/>
        </w:rPr>
      </w:pPr>
    </w:p>
    <w:p w:rsidR="00E23519" w:rsidRPr="008464D7" w:rsidRDefault="00E23519" w:rsidP="00E23519">
      <w:pPr>
        <w:pStyle w:val="Prrafodelista"/>
        <w:numPr>
          <w:ilvl w:val="0"/>
          <w:numId w:val="34"/>
        </w:numPr>
        <w:spacing w:after="0" w:line="240" w:lineRule="auto"/>
        <w:jc w:val="both"/>
        <w:rPr>
          <w:rFonts w:ascii="Arial" w:eastAsia="Times New Roman" w:hAnsi="Arial" w:cs="Arial"/>
          <w:sz w:val="24"/>
          <w:szCs w:val="24"/>
          <w:lang w:val="es-ES" w:eastAsia="es-ES"/>
        </w:rPr>
      </w:pPr>
      <w:r w:rsidRPr="008464D7">
        <w:rPr>
          <w:rFonts w:ascii="Arial" w:eastAsia="Times New Roman" w:hAnsi="Arial" w:cs="Arial"/>
          <w:sz w:val="24"/>
          <w:szCs w:val="24"/>
          <w:lang w:val="es-ES" w:eastAsia="es-ES"/>
        </w:rPr>
        <w:t>Igualdad Sustantiva.</w:t>
      </w:r>
    </w:p>
    <w:p w:rsidR="00E23519" w:rsidRPr="008464D7" w:rsidRDefault="00E23519" w:rsidP="00E23519">
      <w:pPr>
        <w:pStyle w:val="Prrafodelista"/>
        <w:numPr>
          <w:ilvl w:val="0"/>
          <w:numId w:val="34"/>
        </w:numPr>
        <w:spacing w:after="0" w:line="240" w:lineRule="auto"/>
        <w:jc w:val="both"/>
        <w:rPr>
          <w:rFonts w:ascii="Arial" w:eastAsia="Times New Roman" w:hAnsi="Arial" w:cs="Arial"/>
          <w:sz w:val="24"/>
          <w:szCs w:val="24"/>
          <w:lang w:val="es-ES" w:eastAsia="es-ES"/>
        </w:rPr>
      </w:pPr>
      <w:r w:rsidRPr="008464D7">
        <w:rPr>
          <w:rFonts w:ascii="Arial" w:eastAsia="Times New Roman" w:hAnsi="Arial" w:cs="Arial"/>
          <w:sz w:val="24"/>
          <w:szCs w:val="24"/>
          <w:lang w:val="es-ES" w:eastAsia="es-ES"/>
        </w:rPr>
        <w:t>Desarrollo de los Jóvenes.</w:t>
      </w:r>
    </w:p>
    <w:p w:rsidR="00E23519" w:rsidRPr="008464D7" w:rsidRDefault="00E23519" w:rsidP="00E23519">
      <w:pPr>
        <w:pStyle w:val="Prrafodelista"/>
        <w:numPr>
          <w:ilvl w:val="0"/>
          <w:numId w:val="34"/>
        </w:numPr>
        <w:spacing w:after="0" w:line="240" w:lineRule="auto"/>
        <w:jc w:val="both"/>
        <w:rPr>
          <w:rFonts w:ascii="Arial" w:eastAsia="Times New Roman" w:hAnsi="Arial" w:cs="Arial"/>
          <w:sz w:val="24"/>
          <w:szCs w:val="24"/>
          <w:lang w:val="es-ES" w:eastAsia="es-ES"/>
        </w:rPr>
      </w:pPr>
      <w:r w:rsidRPr="008464D7">
        <w:rPr>
          <w:rFonts w:ascii="Arial" w:eastAsia="Times New Roman" w:hAnsi="Arial" w:cs="Arial"/>
          <w:sz w:val="24"/>
          <w:szCs w:val="24"/>
          <w:lang w:val="es-ES" w:eastAsia="es-ES"/>
        </w:rPr>
        <w:t>Atención a Grupos en Situación de Vulnerabilidad.</w:t>
      </w:r>
    </w:p>
    <w:p w:rsidR="00E23519" w:rsidRPr="008464D7" w:rsidRDefault="00E23519" w:rsidP="00E23519">
      <w:pPr>
        <w:pStyle w:val="Prrafodelista"/>
        <w:numPr>
          <w:ilvl w:val="0"/>
          <w:numId w:val="34"/>
        </w:numPr>
        <w:spacing w:after="0" w:line="240" w:lineRule="auto"/>
        <w:jc w:val="both"/>
        <w:rPr>
          <w:rFonts w:ascii="Arial" w:eastAsia="Times New Roman" w:hAnsi="Arial" w:cs="Arial"/>
          <w:sz w:val="24"/>
          <w:szCs w:val="24"/>
          <w:lang w:val="es-ES" w:eastAsia="es-ES"/>
        </w:rPr>
      </w:pPr>
      <w:r w:rsidRPr="008464D7">
        <w:rPr>
          <w:rFonts w:ascii="Arial" w:eastAsia="Times New Roman" w:hAnsi="Arial" w:cs="Arial"/>
          <w:sz w:val="24"/>
          <w:szCs w:val="24"/>
          <w:lang w:val="es-ES" w:eastAsia="es-ES"/>
        </w:rPr>
        <w:lastRenderedPageBreak/>
        <w:t>Mitigación de los efectos del cambio climático.</w:t>
      </w:r>
    </w:p>
    <w:p w:rsidR="00E23519" w:rsidRPr="008464D7" w:rsidRDefault="00E23519" w:rsidP="00E23519">
      <w:pPr>
        <w:pStyle w:val="Prrafodelista"/>
        <w:numPr>
          <w:ilvl w:val="0"/>
          <w:numId w:val="34"/>
        </w:numPr>
        <w:spacing w:after="0" w:line="240" w:lineRule="auto"/>
        <w:jc w:val="both"/>
        <w:rPr>
          <w:rFonts w:ascii="Arial" w:eastAsia="Times New Roman" w:hAnsi="Arial" w:cs="Arial"/>
          <w:sz w:val="24"/>
          <w:szCs w:val="24"/>
          <w:lang w:val="es-ES" w:eastAsia="es-ES"/>
        </w:rPr>
      </w:pPr>
      <w:r w:rsidRPr="008464D7">
        <w:rPr>
          <w:rFonts w:ascii="Arial" w:eastAsia="Times New Roman" w:hAnsi="Arial" w:cs="Arial"/>
          <w:sz w:val="24"/>
          <w:szCs w:val="24"/>
          <w:lang w:val="es-ES" w:eastAsia="es-ES"/>
        </w:rPr>
        <w:t>Atención a Niños, Niñas y Adolescentes.</w:t>
      </w:r>
    </w:p>
    <w:p w:rsidR="00E23519" w:rsidRPr="008464D7" w:rsidRDefault="00E23519" w:rsidP="00E23519">
      <w:pPr>
        <w:spacing w:after="0" w:line="240" w:lineRule="auto"/>
        <w:jc w:val="both"/>
        <w:rPr>
          <w:lang w:val="es-ES"/>
        </w:rPr>
      </w:pPr>
    </w:p>
    <w:p w:rsidR="00E23519" w:rsidRPr="008464D7" w:rsidRDefault="00E23519" w:rsidP="00E23519">
      <w:pPr>
        <w:spacing w:after="0" w:line="240" w:lineRule="auto"/>
        <w:jc w:val="both"/>
        <w:rPr>
          <w:rFonts w:ascii="Arial" w:eastAsia="Times New Roman" w:hAnsi="Arial" w:cs="Arial"/>
          <w:sz w:val="24"/>
          <w:szCs w:val="24"/>
          <w:lang w:val="es-ES" w:eastAsia="es-ES"/>
        </w:rPr>
      </w:pPr>
      <w:r w:rsidRPr="008464D7">
        <w:rPr>
          <w:rFonts w:ascii="Arial" w:eastAsia="Times New Roman" w:hAnsi="Arial" w:cs="Arial"/>
          <w:sz w:val="24"/>
          <w:szCs w:val="24"/>
          <w:lang w:val="es-ES" w:eastAsia="es-ES"/>
        </w:rPr>
        <w:t>Estos enfoques transversales del presupuesto se reflejan en la Clave Presupuestaria 2017, lo que permitirá darle un seguimiento puntual al ejercicio del gasto en general y el derivado de la referida transversalidad.</w:t>
      </w:r>
    </w:p>
    <w:p w:rsidR="00E23519" w:rsidRPr="008464D7" w:rsidRDefault="00E23519" w:rsidP="00E23519">
      <w:pPr>
        <w:spacing w:after="0" w:line="240" w:lineRule="auto"/>
        <w:jc w:val="both"/>
        <w:rPr>
          <w:rFonts w:ascii="Arial" w:eastAsia="Times New Roman" w:hAnsi="Arial" w:cs="Arial"/>
          <w:sz w:val="24"/>
          <w:szCs w:val="24"/>
          <w:lang w:val="es-ES" w:eastAsia="es-ES"/>
        </w:rPr>
      </w:pPr>
    </w:p>
    <w:p w:rsidR="00E23519" w:rsidRPr="008464D7" w:rsidRDefault="00E23519" w:rsidP="00E23519">
      <w:pPr>
        <w:spacing w:line="240" w:lineRule="auto"/>
        <w:jc w:val="both"/>
        <w:rPr>
          <w:rFonts w:ascii="Arial" w:eastAsia="Times New Roman" w:hAnsi="Arial" w:cs="Arial"/>
          <w:sz w:val="24"/>
          <w:szCs w:val="24"/>
          <w:lang w:val="es-ES" w:eastAsia="es-ES"/>
        </w:rPr>
      </w:pPr>
      <w:r w:rsidRPr="008464D7">
        <w:rPr>
          <w:rFonts w:ascii="Arial" w:eastAsia="Times New Roman" w:hAnsi="Arial" w:cs="Arial"/>
          <w:sz w:val="24"/>
          <w:szCs w:val="24"/>
          <w:lang w:val="es-ES" w:eastAsia="es-ES"/>
        </w:rPr>
        <w:t>Especialmente el tema de atención a la Igualdad entre Mujeres y Hombres reviste una prioridad fundamental, habiéndose etiquetado mayores recursos con perspectiva de género y para la atención a la violencia de género con la finalidad de fortalecer las instituciones encargadas de la atención y procuración de justicia para las mujeres en situación de violencia.</w:t>
      </w:r>
    </w:p>
    <w:p w:rsidR="00E23519" w:rsidRPr="008464D7" w:rsidRDefault="00E23519" w:rsidP="00E23519">
      <w:pPr>
        <w:spacing w:line="240" w:lineRule="auto"/>
        <w:jc w:val="both"/>
        <w:rPr>
          <w:rFonts w:ascii="Arial" w:hAnsi="Arial" w:cs="Arial"/>
          <w:sz w:val="24"/>
          <w:szCs w:val="24"/>
        </w:rPr>
      </w:pPr>
      <w:r w:rsidRPr="008464D7">
        <w:rPr>
          <w:rFonts w:ascii="Arial" w:hAnsi="Arial" w:cs="Arial"/>
          <w:sz w:val="24"/>
          <w:szCs w:val="24"/>
        </w:rPr>
        <w:t>Aplicando la metodología propuesta por la UNICEF, incluimos en el proyecto de presupuesto las previsiones de gasto a la atención de la niñez, para identificar y cuantificar el gasto público para la infancia a fin de establecer la proporción de recursos dirigidos a este grupo de población.</w:t>
      </w:r>
    </w:p>
    <w:p w:rsidR="00E23519" w:rsidRPr="001416A2" w:rsidRDefault="00E23519" w:rsidP="00E23519">
      <w:pPr>
        <w:pStyle w:val="Texto"/>
        <w:spacing w:after="0" w:line="240" w:lineRule="auto"/>
        <w:ind w:firstLine="0"/>
        <w:rPr>
          <w:sz w:val="24"/>
          <w:szCs w:val="24"/>
        </w:rPr>
      </w:pPr>
      <w:r w:rsidRPr="001416A2">
        <w:rPr>
          <w:sz w:val="24"/>
          <w:szCs w:val="24"/>
        </w:rPr>
        <w:t>La UNICEF propone el desarrollo de anexos transversales en todos los presupuestos de egresos estatales con el fin de orientar el ejercicio de los recursos públicos bajo el enfoque de derechos y contar con herramientas que favorezcan la igualdad de oportunidades y garanticen el bienestar de la niñez.</w:t>
      </w:r>
    </w:p>
    <w:p w:rsidR="00E23519" w:rsidRPr="008464D7" w:rsidRDefault="00E23519" w:rsidP="00E23519">
      <w:pPr>
        <w:pStyle w:val="Texto"/>
        <w:spacing w:after="0" w:line="240" w:lineRule="auto"/>
        <w:rPr>
          <w:sz w:val="24"/>
          <w:szCs w:val="24"/>
        </w:rPr>
      </w:pPr>
    </w:p>
    <w:p w:rsidR="00E23519" w:rsidRPr="008464D7" w:rsidRDefault="00E23519" w:rsidP="008E779D">
      <w:pPr>
        <w:pStyle w:val="Texto"/>
        <w:spacing w:after="0" w:line="240" w:lineRule="auto"/>
        <w:ind w:firstLine="0"/>
        <w:rPr>
          <w:sz w:val="24"/>
          <w:szCs w:val="24"/>
        </w:rPr>
      </w:pPr>
      <w:r w:rsidRPr="008464D7">
        <w:rPr>
          <w:sz w:val="24"/>
          <w:szCs w:val="24"/>
        </w:rPr>
        <w:t>Incorporamos en la distribución del Anexo Transversalidad Presupuestaria, los grupos de derechos para la atención de las niñas, niños y adolescentes con el fin de fortalecer la transparencia y los mecanismos de rendición de cuentas para la planeación y ejecución del gasto en infancia.  Este es un precedente para el desarrollo de políticas sociales integrales y articuladas para la atención de dicho sector.</w:t>
      </w:r>
      <w:r w:rsidR="008E779D">
        <w:rPr>
          <w:sz w:val="24"/>
          <w:szCs w:val="24"/>
        </w:rPr>
        <w:t xml:space="preserve"> </w:t>
      </w:r>
      <w:r w:rsidRPr="008464D7">
        <w:rPr>
          <w:sz w:val="24"/>
          <w:szCs w:val="24"/>
        </w:rPr>
        <w:t>En congruencia con lo anterior y a partir de los elementos previamente señalados, la Transversalidad Presupuestaria se desagregó de la siguiente manera:</w:t>
      </w:r>
    </w:p>
    <w:p w:rsidR="00E23519" w:rsidRPr="008464D7" w:rsidRDefault="00E23519" w:rsidP="00E23519">
      <w:pPr>
        <w:spacing w:line="240" w:lineRule="auto"/>
        <w:jc w:val="both"/>
        <w:rPr>
          <w:rFonts w:ascii="Arial" w:hAnsi="Arial" w:cs="Arial"/>
        </w:rPr>
      </w:pPr>
      <w:r w:rsidRPr="008464D7">
        <w:rPr>
          <w:noProof/>
        </w:rPr>
        <w:lastRenderedPageBreak/>
        <w:drawing>
          <wp:inline distT="0" distB="0" distL="0" distR="0" wp14:anchorId="298FEA8F" wp14:editId="11263290">
            <wp:extent cx="5612130" cy="3549936"/>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2130" cy="3549936"/>
                    </a:xfrm>
                    <a:prstGeom prst="rect">
                      <a:avLst/>
                    </a:prstGeom>
                    <a:noFill/>
                    <a:ln>
                      <a:noFill/>
                    </a:ln>
                  </pic:spPr>
                </pic:pic>
              </a:graphicData>
            </a:graphic>
          </wp:inline>
        </w:drawing>
      </w:r>
    </w:p>
    <w:p w:rsidR="00E23519" w:rsidRPr="008464D7" w:rsidRDefault="00E23519" w:rsidP="00E23519">
      <w:pPr>
        <w:autoSpaceDE w:val="0"/>
        <w:autoSpaceDN w:val="0"/>
        <w:adjustRightInd w:val="0"/>
        <w:spacing w:after="0" w:line="240" w:lineRule="auto"/>
        <w:jc w:val="both"/>
        <w:rPr>
          <w:rFonts w:ascii="Arial" w:hAnsi="Arial" w:cs="Arial"/>
          <w:color w:val="FF0000"/>
          <w:sz w:val="24"/>
          <w:szCs w:val="24"/>
        </w:rPr>
      </w:pPr>
      <w:r w:rsidRPr="008464D7">
        <w:rPr>
          <w:rFonts w:ascii="Arial" w:hAnsi="Arial" w:cs="Arial"/>
          <w:sz w:val="24"/>
          <w:szCs w:val="24"/>
        </w:rPr>
        <w:t>Sensible a las condiciones adversas que enfrenta la economía, la presente administración promueve políticas y ejecuta acciones encaminadas a fortalecer la economía de las familias colimenses; en función de ello, se prevén recursos para continuar subsidiando el Impuesto sobre Tenencia o Uso de Vehículos Automotores</w:t>
      </w:r>
      <w:r w:rsidRPr="008464D7">
        <w:rPr>
          <w:rFonts w:ascii="Arial" w:hAnsi="Arial" w:cs="Arial"/>
          <w:color w:val="FF0000"/>
          <w:sz w:val="24"/>
          <w:szCs w:val="24"/>
        </w:rPr>
        <w:t>.</w:t>
      </w:r>
    </w:p>
    <w:p w:rsidR="00E23519" w:rsidRPr="008464D7" w:rsidRDefault="00E23519" w:rsidP="00E23519">
      <w:pPr>
        <w:autoSpaceDE w:val="0"/>
        <w:autoSpaceDN w:val="0"/>
        <w:adjustRightInd w:val="0"/>
        <w:spacing w:after="0" w:line="240" w:lineRule="auto"/>
        <w:jc w:val="both"/>
        <w:rPr>
          <w:rFonts w:ascii="Arial" w:hAnsi="Arial" w:cs="Arial"/>
          <w:sz w:val="24"/>
          <w:szCs w:val="24"/>
        </w:rPr>
      </w:pPr>
    </w:p>
    <w:p w:rsidR="00E23519" w:rsidRPr="008464D7" w:rsidRDefault="00E23519" w:rsidP="00E23519">
      <w:pPr>
        <w:spacing w:after="0" w:line="240" w:lineRule="auto"/>
        <w:jc w:val="both"/>
        <w:rPr>
          <w:rFonts w:ascii="Arial" w:eastAsia="Times New Roman" w:hAnsi="Arial" w:cs="Arial"/>
          <w:sz w:val="24"/>
          <w:szCs w:val="24"/>
          <w:lang w:val="es-ES" w:eastAsia="es-ES"/>
        </w:rPr>
      </w:pPr>
      <w:r w:rsidRPr="008464D7">
        <w:rPr>
          <w:rFonts w:ascii="Arial" w:eastAsia="Times New Roman" w:hAnsi="Arial" w:cs="Arial"/>
          <w:sz w:val="24"/>
          <w:szCs w:val="24"/>
          <w:lang w:val="es-ES" w:eastAsia="es-ES"/>
        </w:rPr>
        <w:t xml:space="preserve">Asimismo, mediante la construcción de las Matrices de Indicadores para Resultados (MIRS) de los programas y de la generación de un Clasificador de Transversalidad de los Programas Presupuestarios, permite incorporar en forma automatizada la información en el Sistema Integral de Administración  Financiera,  para poder emitir además de los diferentes informes institucionales a los que obliga la ley ,los  informes  en sus diferentes clasificaciones  sobre los temas de referencia y a la vez fortalecer el seguimiento puntual  en el ejercicio de dichos recursos. </w:t>
      </w:r>
    </w:p>
    <w:p w:rsidR="00E23519" w:rsidRPr="008464D7" w:rsidRDefault="00E23519" w:rsidP="00E23519">
      <w:pPr>
        <w:spacing w:after="0" w:line="240" w:lineRule="auto"/>
        <w:jc w:val="both"/>
        <w:rPr>
          <w:rFonts w:ascii="Arial" w:eastAsia="Times New Roman" w:hAnsi="Arial" w:cs="Arial"/>
          <w:sz w:val="24"/>
          <w:szCs w:val="24"/>
          <w:lang w:val="es-ES" w:eastAsia="es-ES"/>
        </w:rPr>
      </w:pPr>
    </w:p>
    <w:p w:rsidR="00E23519" w:rsidRPr="008464D7" w:rsidRDefault="00E23519" w:rsidP="00E23519">
      <w:pPr>
        <w:spacing w:after="0" w:line="240" w:lineRule="auto"/>
        <w:jc w:val="both"/>
        <w:rPr>
          <w:rFonts w:ascii="Arial" w:eastAsia="Times New Roman" w:hAnsi="Arial" w:cs="Arial"/>
          <w:sz w:val="24"/>
          <w:szCs w:val="24"/>
          <w:lang w:val="es-ES" w:eastAsia="es-ES"/>
        </w:rPr>
      </w:pPr>
      <w:r w:rsidRPr="008464D7">
        <w:rPr>
          <w:rFonts w:ascii="Arial" w:eastAsia="Times New Roman" w:hAnsi="Arial" w:cs="Arial"/>
          <w:sz w:val="24"/>
          <w:szCs w:val="24"/>
          <w:lang w:val="es-ES" w:eastAsia="es-ES"/>
        </w:rPr>
        <w:t>En línea con El Plan Nacional de Desarrollo 2013 – 2018 del Licenciado Enrique Peña Nieto, Presidente Constitucional de los Estados Unidos Mexicanos, el presente proyecto promueve transversalmente, en todas las políticas públicas, tres estrategias: Democratizar la Productividad, Consolidar un Gobierno Cercano y Moderno, así como incorporar la Perspectiva de Género</w:t>
      </w:r>
      <w:r w:rsidRPr="008464D7">
        <w:rPr>
          <w:rFonts w:ascii="Arial" w:eastAsia="Times New Roman" w:hAnsi="Arial" w:cs="Arial"/>
          <w:sz w:val="24"/>
          <w:szCs w:val="24"/>
          <w:shd w:val="clear" w:color="auto" w:fill="FFFFFF"/>
          <w:lang w:val="es-ES" w:eastAsia="es-ES"/>
        </w:rPr>
        <w:t>.</w:t>
      </w:r>
    </w:p>
    <w:p w:rsidR="00E23519" w:rsidRPr="008464D7" w:rsidRDefault="00E23519" w:rsidP="00E23519">
      <w:pPr>
        <w:spacing w:line="240" w:lineRule="auto"/>
        <w:jc w:val="both"/>
        <w:rPr>
          <w:rFonts w:ascii="Arial" w:hAnsi="Arial" w:cs="Arial"/>
        </w:rPr>
      </w:pPr>
    </w:p>
    <w:p w:rsidR="00E23519" w:rsidRDefault="00E23519" w:rsidP="00E23519">
      <w:pPr>
        <w:autoSpaceDE w:val="0"/>
        <w:autoSpaceDN w:val="0"/>
        <w:adjustRightInd w:val="0"/>
        <w:spacing w:after="0" w:line="240" w:lineRule="auto"/>
        <w:jc w:val="both"/>
        <w:rPr>
          <w:rFonts w:ascii="Arial" w:hAnsi="Arial" w:cs="Arial"/>
          <w:sz w:val="24"/>
          <w:szCs w:val="24"/>
        </w:rPr>
      </w:pPr>
    </w:p>
    <w:p w:rsidR="00E23519" w:rsidRPr="008E779D" w:rsidRDefault="00E23519" w:rsidP="00E23519">
      <w:pPr>
        <w:autoSpaceDE w:val="0"/>
        <w:autoSpaceDN w:val="0"/>
        <w:adjustRightInd w:val="0"/>
        <w:spacing w:after="0" w:line="240" w:lineRule="auto"/>
        <w:jc w:val="both"/>
        <w:rPr>
          <w:rFonts w:ascii="Arial" w:hAnsi="Arial" w:cs="Arial"/>
          <w:b/>
          <w:sz w:val="24"/>
          <w:szCs w:val="24"/>
        </w:rPr>
      </w:pPr>
      <w:r w:rsidRPr="008E779D">
        <w:rPr>
          <w:rFonts w:ascii="Arial" w:hAnsi="Arial" w:cs="Arial"/>
          <w:b/>
          <w:sz w:val="24"/>
          <w:szCs w:val="24"/>
        </w:rPr>
        <w:t>Fuentes de Financiamiento:</w:t>
      </w:r>
    </w:p>
    <w:p w:rsidR="00E23519" w:rsidRPr="008464D7" w:rsidRDefault="00E23519" w:rsidP="00E23519">
      <w:pPr>
        <w:autoSpaceDE w:val="0"/>
        <w:autoSpaceDN w:val="0"/>
        <w:adjustRightInd w:val="0"/>
        <w:spacing w:after="0" w:line="240" w:lineRule="auto"/>
        <w:jc w:val="both"/>
        <w:rPr>
          <w:rFonts w:ascii="Arial" w:hAnsi="Arial" w:cs="Arial"/>
          <w:sz w:val="24"/>
          <w:szCs w:val="24"/>
        </w:rPr>
      </w:pPr>
    </w:p>
    <w:p w:rsidR="00E23519" w:rsidRPr="008464D7" w:rsidRDefault="00E23519" w:rsidP="00E23519">
      <w:pPr>
        <w:autoSpaceDE w:val="0"/>
        <w:autoSpaceDN w:val="0"/>
        <w:adjustRightInd w:val="0"/>
        <w:spacing w:after="0" w:line="240" w:lineRule="auto"/>
        <w:jc w:val="both"/>
        <w:rPr>
          <w:rFonts w:ascii="Arial" w:hAnsi="Arial" w:cs="Arial"/>
          <w:sz w:val="24"/>
          <w:szCs w:val="24"/>
        </w:rPr>
      </w:pPr>
      <w:r w:rsidRPr="008464D7">
        <w:rPr>
          <w:rFonts w:ascii="Arial" w:hAnsi="Arial" w:cs="Arial"/>
          <w:sz w:val="24"/>
          <w:szCs w:val="24"/>
        </w:rPr>
        <w:t xml:space="preserve">El presupuesto total se distribuye de la siguiente manera según sus Fuentes de Financiamiento: </w:t>
      </w:r>
    </w:p>
    <w:p w:rsidR="00E23519" w:rsidRPr="008464D7" w:rsidRDefault="00E23519" w:rsidP="00E23519">
      <w:pPr>
        <w:autoSpaceDE w:val="0"/>
        <w:autoSpaceDN w:val="0"/>
        <w:adjustRightInd w:val="0"/>
        <w:spacing w:after="0" w:line="240" w:lineRule="auto"/>
        <w:jc w:val="both"/>
        <w:rPr>
          <w:rFonts w:ascii="Arial" w:hAnsi="Arial" w:cs="Arial"/>
          <w:sz w:val="24"/>
          <w:szCs w:val="24"/>
        </w:rPr>
      </w:pPr>
    </w:p>
    <w:p w:rsidR="00E23519" w:rsidRDefault="00E23519" w:rsidP="00E23519">
      <w:pPr>
        <w:autoSpaceDE w:val="0"/>
        <w:autoSpaceDN w:val="0"/>
        <w:adjustRightInd w:val="0"/>
        <w:spacing w:after="0" w:line="240" w:lineRule="auto"/>
        <w:jc w:val="both"/>
        <w:rPr>
          <w:rFonts w:ascii="Arial" w:hAnsi="Arial" w:cs="Arial"/>
          <w:sz w:val="24"/>
          <w:szCs w:val="24"/>
        </w:rPr>
      </w:pPr>
      <w:r>
        <w:rPr>
          <w:rFonts w:ascii="Arial" w:hAnsi="Arial" w:cs="Arial"/>
          <w:sz w:val="24"/>
          <w:szCs w:val="24"/>
        </w:rPr>
        <w:t>El 9.7</w:t>
      </w:r>
      <w:r w:rsidRPr="008464D7">
        <w:rPr>
          <w:rFonts w:ascii="Arial" w:hAnsi="Arial" w:cs="Arial"/>
          <w:sz w:val="24"/>
          <w:szCs w:val="24"/>
        </w:rPr>
        <w:t xml:space="preserve"> por ciento que equivale a 1,508.1 millones de pesos, será financia</w:t>
      </w:r>
      <w:r>
        <w:rPr>
          <w:rFonts w:ascii="Arial" w:hAnsi="Arial" w:cs="Arial"/>
          <w:sz w:val="24"/>
          <w:szCs w:val="24"/>
        </w:rPr>
        <w:t>do con Ingresos locales; el 28.2</w:t>
      </w:r>
      <w:r w:rsidRPr="008464D7">
        <w:rPr>
          <w:rFonts w:ascii="Arial" w:hAnsi="Arial" w:cs="Arial"/>
          <w:sz w:val="24"/>
          <w:szCs w:val="24"/>
        </w:rPr>
        <w:t xml:space="preserve"> por ciento que asciende a 4,375.5 millones de pesos con recursos provenie</w:t>
      </w:r>
      <w:r>
        <w:rPr>
          <w:rFonts w:ascii="Arial" w:hAnsi="Arial" w:cs="Arial"/>
          <w:sz w:val="24"/>
          <w:szCs w:val="24"/>
        </w:rPr>
        <w:t>ntes de Participaciones; el 35.5</w:t>
      </w:r>
      <w:r w:rsidRPr="008464D7">
        <w:rPr>
          <w:rFonts w:ascii="Arial" w:hAnsi="Arial" w:cs="Arial"/>
          <w:sz w:val="24"/>
          <w:szCs w:val="24"/>
        </w:rPr>
        <w:t xml:space="preserve"> por ciento de Fondos de Aportacio</w:t>
      </w:r>
      <w:r>
        <w:rPr>
          <w:rFonts w:ascii="Arial" w:hAnsi="Arial" w:cs="Arial"/>
          <w:sz w:val="24"/>
          <w:szCs w:val="24"/>
        </w:rPr>
        <w:t>nes del Ramo General 33; el 16.4</w:t>
      </w:r>
      <w:r w:rsidRPr="008464D7">
        <w:rPr>
          <w:rFonts w:ascii="Arial" w:hAnsi="Arial" w:cs="Arial"/>
          <w:sz w:val="24"/>
          <w:szCs w:val="24"/>
        </w:rPr>
        <w:t xml:space="preserve"> por ciento de Convenios susc</w:t>
      </w:r>
      <w:r>
        <w:rPr>
          <w:rFonts w:ascii="Arial" w:hAnsi="Arial" w:cs="Arial"/>
          <w:sz w:val="24"/>
          <w:szCs w:val="24"/>
        </w:rPr>
        <w:t>ritos con la Federación; y el 10.2</w:t>
      </w:r>
      <w:r w:rsidRPr="008464D7">
        <w:rPr>
          <w:rFonts w:ascii="Arial" w:hAnsi="Arial" w:cs="Arial"/>
          <w:sz w:val="24"/>
          <w:szCs w:val="24"/>
        </w:rPr>
        <w:t xml:space="preserve"> por ciento proviene de Transferencias, Asignaciones, Subsidios y otras Ayudas</w:t>
      </w:r>
      <w:r>
        <w:rPr>
          <w:rFonts w:ascii="Arial" w:hAnsi="Arial" w:cs="Arial"/>
          <w:sz w:val="24"/>
          <w:szCs w:val="24"/>
        </w:rPr>
        <w:t>.</w:t>
      </w:r>
    </w:p>
    <w:p w:rsidR="00B204CB" w:rsidRDefault="00B204CB" w:rsidP="00E23519">
      <w:pPr>
        <w:autoSpaceDE w:val="0"/>
        <w:autoSpaceDN w:val="0"/>
        <w:adjustRightInd w:val="0"/>
        <w:spacing w:after="0" w:line="240" w:lineRule="auto"/>
        <w:jc w:val="both"/>
        <w:rPr>
          <w:rFonts w:ascii="Arial" w:hAnsi="Arial" w:cs="Arial"/>
          <w:sz w:val="24"/>
          <w:szCs w:val="24"/>
        </w:rPr>
      </w:pPr>
    </w:p>
    <w:p w:rsidR="00E23519" w:rsidRDefault="00B204CB" w:rsidP="00E23519">
      <w:pPr>
        <w:spacing w:line="240" w:lineRule="auto"/>
        <w:jc w:val="both"/>
        <w:rPr>
          <w:rFonts w:ascii="Arial" w:hAnsi="Arial" w:cs="Arial"/>
        </w:rPr>
      </w:pPr>
      <w:r w:rsidRPr="00B204CB">
        <w:rPr>
          <w:noProof/>
        </w:rPr>
        <w:drawing>
          <wp:inline distT="0" distB="0" distL="0" distR="0">
            <wp:extent cx="5612130" cy="3055090"/>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3055090"/>
                    </a:xfrm>
                    <a:prstGeom prst="rect">
                      <a:avLst/>
                    </a:prstGeom>
                    <a:noFill/>
                    <a:ln>
                      <a:noFill/>
                    </a:ln>
                  </pic:spPr>
                </pic:pic>
              </a:graphicData>
            </a:graphic>
          </wp:inline>
        </w:drawing>
      </w:r>
    </w:p>
    <w:p w:rsidR="00E23519" w:rsidRPr="008464D7" w:rsidRDefault="00E23519" w:rsidP="00E23519">
      <w:pPr>
        <w:spacing w:line="240" w:lineRule="auto"/>
        <w:jc w:val="both"/>
        <w:rPr>
          <w:rFonts w:ascii="Arial" w:hAnsi="Arial" w:cs="Arial"/>
        </w:rPr>
      </w:pPr>
    </w:p>
    <w:p w:rsidR="00E23519" w:rsidRDefault="00E23519" w:rsidP="00E23519">
      <w:pPr>
        <w:spacing w:line="240" w:lineRule="auto"/>
        <w:jc w:val="both"/>
        <w:rPr>
          <w:rFonts w:ascii="Arial" w:hAnsi="Arial" w:cs="Arial"/>
        </w:rPr>
      </w:pPr>
    </w:p>
    <w:p w:rsidR="00E23519" w:rsidRDefault="00E23519" w:rsidP="00E23519">
      <w:pPr>
        <w:spacing w:line="240" w:lineRule="auto"/>
        <w:jc w:val="both"/>
        <w:rPr>
          <w:rFonts w:ascii="Arial" w:hAnsi="Arial" w:cs="Arial"/>
        </w:rPr>
      </w:pPr>
    </w:p>
    <w:p w:rsidR="00E23519" w:rsidRDefault="00E23519" w:rsidP="00E23519">
      <w:pPr>
        <w:spacing w:line="240" w:lineRule="auto"/>
        <w:jc w:val="both"/>
        <w:rPr>
          <w:rFonts w:ascii="Arial" w:hAnsi="Arial" w:cs="Arial"/>
        </w:rPr>
      </w:pPr>
    </w:p>
    <w:p w:rsidR="00E23519" w:rsidRDefault="00E23519" w:rsidP="00E23519">
      <w:pPr>
        <w:spacing w:line="240" w:lineRule="auto"/>
        <w:jc w:val="both"/>
        <w:rPr>
          <w:rFonts w:ascii="Arial" w:hAnsi="Arial" w:cs="Arial"/>
        </w:rPr>
      </w:pPr>
    </w:p>
    <w:p w:rsidR="00E23519" w:rsidRDefault="00E23519" w:rsidP="00E23519">
      <w:pPr>
        <w:spacing w:line="240" w:lineRule="auto"/>
        <w:jc w:val="both"/>
        <w:rPr>
          <w:rFonts w:ascii="Arial" w:hAnsi="Arial" w:cs="Arial"/>
        </w:rPr>
      </w:pPr>
    </w:p>
    <w:p w:rsidR="00E23519" w:rsidRDefault="00E23519" w:rsidP="00E23519">
      <w:pPr>
        <w:spacing w:line="240" w:lineRule="auto"/>
        <w:jc w:val="both"/>
        <w:rPr>
          <w:rFonts w:ascii="Arial" w:hAnsi="Arial" w:cs="Arial"/>
        </w:rPr>
      </w:pPr>
    </w:p>
    <w:p w:rsidR="00E23519" w:rsidRPr="008464D7" w:rsidRDefault="00E23519" w:rsidP="00E23519">
      <w:pPr>
        <w:spacing w:line="240" w:lineRule="auto"/>
        <w:jc w:val="both"/>
        <w:rPr>
          <w:rFonts w:ascii="Arial" w:hAnsi="Arial" w:cs="Arial"/>
        </w:rPr>
      </w:pPr>
      <w:r w:rsidRPr="000738A7">
        <w:rPr>
          <w:noProof/>
        </w:rPr>
        <w:lastRenderedPageBreak/>
        <w:drawing>
          <wp:inline distT="0" distB="0" distL="0" distR="0" wp14:anchorId="60A75DB0" wp14:editId="0FC211BA">
            <wp:extent cx="5612130" cy="3600571"/>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3600571"/>
                    </a:xfrm>
                    <a:prstGeom prst="rect">
                      <a:avLst/>
                    </a:prstGeom>
                    <a:noFill/>
                    <a:ln>
                      <a:noFill/>
                    </a:ln>
                  </pic:spPr>
                </pic:pic>
              </a:graphicData>
            </a:graphic>
          </wp:inline>
        </w:drawing>
      </w:r>
    </w:p>
    <w:p w:rsidR="00E23519" w:rsidRDefault="00E23519" w:rsidP="00E23519">
      <w:pPr>
        <w:spacing w:after="0" w:line="240" w:lineRule="auto"/>
        <w:jc w:val="both"/>
        <w:rPr>
          <w:rFonts w:ascii="Arial" w:hAnsi="Arial" w:cs="Arial"/>
          <w:sz w:val="24"/>
          <w:szCs w:val="24"/>
        </w:rPr>
      </w:pPr>
    </w:p>
    <w:p w:rsidR="00E23519" w:rsidRPr="008464D7" w:rsidRDefault="00E23519" w:rsidP="00E23519">
      <w:pPr>
        <w:spacing w:after="0" w:line="240" w:lineRule="auto"/>
        <w:jc w:val="both"/>
        <w:rPr>
          <w:rFonts w:ascii="Arial" w:hAnsi="Arial" w:cs="Arial"/>
        </w:rPr>
      </w:pPr>
      <w:r w:rsidRPr="008464D7">
        <w:rPr>
          <w:rFonts w:ascii="Arial" w:hAnsi="Arial" w:cs="Arial"/>
          <w:sz w:val="24"/>
          <w:szCs w:val="24"/>
        </w:rPr>
        <w:t>En cuanto al origen de las Fuentes de F</w:t>
      </w:r>
      <w:r>
        <w:rPr>
          <w:rFonts w:ascii="Arial" w:hAnsi="Arial" w:cs="Arial"/>
          <w:sz w:val="24"/>
          <w:szCs w:val="24"/>
        </w:rPr>
        <w:t>inanciamiento del gasto, el 37.9</w:t>
      </w:r>
      <w:r w:rsidRPr="008464D7">
        <w:rPr>
          <w:rFonts w:ascii="Arial" w:hAnsi="Arial" w:cs="Arial"/>
          <w:sz w:val="24"/>
          <w:szCs w:val="24"/>
        </w:rPr>
        <w:t xml:space="preserve"> por ciento proviene de Ingresos Lo</w:t>
      </w:r>
      <w:r>
        <w:rPr>
          <w:rFonts w:ascii="Arial" w:hAnsi="Arial" w:cs="Arial"/>
          <w:sz w:val="24"/>
          <w:szCs w:val="24"/>
        </w:rPr>
        <w:t>cales y Participaciones; el 62.1</w:t>
      </w:r>
      <w:r w:rsidRPr="008464D7">
        <w:rPr>
          <w:rFonts w:ascii="Arial" w:hAnsi="Arial" w:cs="Arial"/>
          <w:sz w:val="24"/>
          <w:szCs w:val="24"/>
        </w:rPr>
        <w:t xml:space="preserve"> por ciento de Recursos Federales, los cuales se conforman de las Aportaciones del Ramo 33, Convenios, Transferencias, Asignac</w:t>
      </w:r>
      <w:r>
        <w:rPr>
          <w:rFonts w:ascii="Arial" w:hAnsi="Arial" w:cs="Arial"/>
          <w:sz w:val="24"/>
          <w:szCs w:val="24"/>
        </w:rPr>
        <w:t>iones, Subsidios y otras Ayudas.</w:t>
      </w:r>
      <w:r w:rsidRPr="008464D7">
        <w:rPr>
          <w:rFonts w:ascii="Arial" w:hAnsi="Arial" w:cs="Arial"/>
          <w:sz w:val="24"/>
          <w:szCs w:val="24"/>
        </w:rPr>
        <w:t xml:space="preserve"> </w:t>
      </w:r>
    </w:p>
    <w:p w:rsidR="00E23519" w:rsidRPr="008464D7" w:rsidRDefault="00E23519" w:rsidP="00E23519">
      <w:pPr>
        <w:spacing w:line="240" w:lineRule="auto"/>
        <w:jc w:val="both"/>
        <w:rPr>
          <w:rFonts w:ascii="Arial" w:hAnsi="Arial" w:cs="Arial"/>
        </w:rPr>
      </w:pPr>
    </w:p>
    <w:p w:rsidR="00E23519" w:rsidRPr="008464D7" w:rsidRDefault="00E23519" w:rsidP="00E23519">
      <w:pPr>
        <w:spacing w:line="240" w:lineRule="auto"/>
        <w:jc w:val="both"/>
        <w:rPr>
          <w:rFonts w:ascii="Arial" w:hAnsi="Arial" w:cs="Arial"/>
        </w:rPr>
      </w:pPr>
    </w:p>
    <w:p w:rsidR="00E23519" w:rsidRPr="008464D7" w:rsidRDefault="00E23519" w:rsidP="00E23519">
      <w:pPr>
        <w:spacing w:line="240" w:lineRule="auto"/>
        <w:jc w:val="both"/>
        <w:rPr>
          <w:rFonts w:ascii="Arial" w:hAnsi="Arial" w:cs="Arial"/>
        </w:rPr>
      </w:pPr>
    </w:p>
    <w:p w:rsidR="00E23519" w:rsidRPr="008464D7" w:rsidRDefault="00E23519" w:rsidP="00E23519">
      <w:pPr>
        <w:spacing w:line="240" w:lineRule="auto"/>
        <w:jc w:val="both"/>
        <w:rPr>
          <w:rFonts w:ascii="Arial" w:hAnsi="Arial" w:cs="Arial"/>
        </w:rPr>
      </w:pPr>
    </w:p>
    <w:p w:rsidR="00E23519" w:rsidRPr="008464D7" w:rsidRDefault="00E23519" w:rsidP="00E23519">
      <w:pPr>
        <w:spacing w:line="240" w:lineRule="auto"/>
        <w:jc w:val="both"/>
        <w:rPr>
          <w:rFonts w:ascii="Arial" w:hAnsi="Arial" w:cs="Arial"/>
        </w:rPr>
      </w:pPr>
    </w:p>
    <w:p w:rsidR="00E23519" w:rsidRDefault="00E23519" w:rsidP="00E23519">
      <w:pPr>
        <w:spacing w:line="240" w:lineRule="auto"/>
        <w:jc w:val="both"/>
        <w:rPr>
          <w:rFonts w:ascii="Arial" w:hAnsi="Arial" w:cs="Arial"/>
        </w:rPr>
      </w:pPr>
    </w:p>
    <w:p w:rsidR="00E23519" w:rsidRPr="008464D7" w:rsidRDefault="00E23519" w:rsidP="00E23519">
      <w:pPr>
        <w:spacing w:line="240" w:lineRule="auto"/>
        <w:jc w:val="both"/>
        <w:rPr>
          <w:rFonts w:ascii="Arial" w:hAnsi="Arial" w:cs="Arial"/>
        </w:rPr>
      </w:pPr>
    </w:p>
    <w:p w:rsidR="00E23519" w:rsidRPr="008464D7" w:rsidRDefault="00720793" w:rsidP="00E23519">
      <w:pPr>
        <w:spacing w:line="240" w:lineRule="auto"/>
        <w:jc w:val="center"/>
        <w:rPr>
          <w:rFonts w:ascii="Arial" w:hAnsi="Arial" w:cs="Arial"/>
        </w:rPr>
      </w:pPr>
      <w:r>
        <w:rPr>
          <w:noProof/>
        </w:rPr>
        <w:lastRenderedPageBreak/>
        <w:drawing>
          <wp:inline distT="0" distB="0" distL="0" distR="0" wp14:anchorId="4A8E3019" wp14:editId="6C6BCEB2">
            <wp:extent cx="5029200" cy="3130922"/>
            <wp:effectExtent l="0" t="0" r="0" b="0"/>
            <wp:docPr id="1" name="Gráfico 1">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03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23519" w:rsidRDefault="00E23519" w:rsidP="00E23519">
      <w:pPr>
        <w:ind w:left="1416" w:firstLine="708"/>
        <w:rPr>
          <w:b/>
          <w:sz w:val="28"/>
        </w:rPr>
      </w:pPr>
    </w:p>
    <w:p w:rsidR="00E23519" w:rsidRPr="008464D7" w:rsidRDefault="00E23519" w:rsidP="00E23519">
      <w:pPr>
        <w:ind w:left="1416" w:firstLine="708"/>
        <w:rPr>
          <w:b/>
          <w:sz w:val="28"/>
        </w:rPr>
      </w:pPr>
      <w:r w:rsidRPr="008464D7">
        <w:rPr>
          <w:b/>
          <w:sz w:val="28"/>
        </w:rPr>
        <w:t>Ingresos de Libre Disposición</w:t>
      </w:r>
    </w:p>
    <w:p w:rsidR="00E23519" w:rsidRPr="008464D7" w:rsidRDefault="00E23519" w:rsidP="00E23519">
      <w:pPr>
        <w:tabs>
          <w:tab w:val="left" w:pos="2205"/>
        </w:tabs>
        <w:spacing w:after="0" w:line="240" w:lineRule="auto"/>
        <w:jc w:val="both"/>
        <w:rPr>
          <w:rFonts w:ascii="Arial" w:hAnsi="Arial" w:cs="Arial"/>
          <w:i/>
          <w:sz w:val="24"/>
          <w:szCs w:val="24"/>
        </w:rPr>
      </w:pPr>
      <w:r w:rsidRPr="008464D7">
        <w:rPr>
          <w:rFonts w:ascii="Arial" w:hAnsi="Arial" w:cs="Arial"/>
          <w:sz w:val="24"/>
          <w:szCs w:val="24"/>
        </w:rPr>
        <w:t xml:space="preserve">De acuerdo a lo previsto en la Ley de Disciplina Financiera de las Entidades Federativas y los Municipios, </w:t>
      </w:r>
      <w:r w:rsidRPr="008464D7">
        <w:rPr>
          <w:rFonts w:ascii="Arial" w:hAnsi="Arial" w:cs="Arial"/>
          <w:i/>
          <w:sz w:val="24"/>
          <w:szCs w:val="24"/>
        </w:rPr>
        <w:t>“los Ingresos de Libre Disposición se constituyen de</w:t>
      </w:r>
      <w:r w:rsidRPr="008464D7">
        <w:rPr>
          <w:rFonts w:ascii="Arial" w:hAnsi="Arial" w:cs="Arial"/>
          <w:b/>
          <w:i/>
          <w:sz w:val="24"/>
          <w:szCs w:val="24"/>
        </w:rPr>
        <w:t xml:space="preserve"> </w:t>
      </w:r>
      <w:r w:rsidRPr="008464D7">
        <w:rPr>
          <w:rFonts w:ascii="Arial" w:hAnsi="Arial" w:cs="Arial"/>
          <w:i/>
          <w:sz w:val="24"/>
          <w:szCs w:val="24"/>
        </w:rPr>
        <w:t xml:space="preserve">los Ingresos locales y las participaciones federales, así como los recursos que, en su caso, reciban del Fondo de Estabilización de los Ingresos de las Entidades Federativas en los términos del artículo 19 de la Ley Federal de Presupuesto y Responsabilidad Hacendaria y cualquier otro recurso que no esté destinado a un fin específico.” </w:t>
      </w:r>
    </w:p>
    <w:p w:rsidR="00E23519" w:rsidRPr="008464D7" w:rsidRDefault="00E23519" w:rsidP="00E23519">
      <w:pPr>
        <w:spacing w:line="240" w:lineRule="auto"/>
        <w:jc w:val="both"/>
        <w:rPr>
          <w:rFonts w:ascii="Arial" w:hAnsi="Arial" w:cs="Arial"/>
        </w:rPr>
      </w:pPr>
    </w:p>
    <w:p w:rsidR="00E23519" w:rsidRPr="008464D7" w:rsidRDefault="00E23519" w:rsidP="00E23519">
      <w:pPr>
        <w:spacing w:line="240" w:lineRule="auto"/>
        <w:jc w:val="both"/>
        <w:rPr>
          <w:rFonts w:ascii="Arial" w:hAnsi="Arial" w:cs="Arial"/>
        </w:rPr>
      </w:pPr>
    </w:p>
    <w:p w:rsidR="00E23519" w:rsidRDefault="00E23519" w:rsidP="00E23519">
      <w:pPr>
        <w:spacing w:line="240" w:lineRule="auto"/>
        <w:jc w:val="both"/>
        <w:rPr>
          <w:rFonts w:ascii="Arial" w:hAnsi="Arial" w:cs="Arial"/>
        </w:rPr>
      </w:pPr>
    </w:p>
    <w:p w:rsidR="00E23519" w:rsidRDefault="00E23519" w:rsidP="00E23519">
      <w:pPr>
        <w:spacing w:line="240" w:lineRule="auto"/>
        <w:jc w:val="both"/>
        <w:rPr>
          <w:rFonts w:ascii="Arial" w:hAnsi="Arial" w:cs="Arial"/>
        </w:rPr>
      </w:pPr>
    </w:p>
    <w:p w:rsidR="00E23519" w:rsidRDefault="00E23519" w:rsidP="00E23519">
      <w:pPr>
        <w:tabs>
          <w:tab w:val="left" w:pos="2205"/>
        </w:tabs>
        <w:spacing w:after="0" w:line="240" w:lineRule="auto"/>
        <w:jc w:val="both"/>
        <w:rPr>
          <w:rFonts w:ascii="Arial" w:hAnsi="Arial" w:cs="Arial"/>
          <w:sz w:val="24"/>
          <w:szCs w:val="24"/>
        </w:rPr>
      </w:pPr>
    </w:p>
    <w:p w:rsidR="00E23519" w:rsidRDefault="00E23519" w:rsidP="00E23519">
      <w:pPr>
        <w:tabs>
          <w:tab w:val="left" w:pos="2205"/>
        </w:tabs>
        <w:spacing w:after="0" w:line="240" w:lineRule="auto"/>
        <w:jc w:val="both"/>
        <w:rPr>
          <w:rFonts w:ascii="Arial" w:hAnsi="Arial" w:cs="Arial"/>
          <w:sz w:val="24"/>
          <w:szCs w:val="24"/>
        </w:rPr>
      </w:pPr>
      <w:r w:rsidRPr="000738A7">
        <w:rPr>
          <w:noProof/>
        </w:rPr>
        <w:lastRenderedPageBreak/>
        <w:drawing>
          <wp:inline distT="0" distB="0" distL="0" distR="0" wp14:anchorId="5E4376E2" wp14:editId="5D34A261">
            <wp:extent cx="5495925" cy="340042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5925" cy="3400425"/>
                    </a:xfrm>
                    <a:prstGeom prst="rect">
                      <a:avLst/>
                    </a:prstGeom>
                    <a:noFill/>
                    <a:ln>
                      <a:noFill/>
                    </a:ln>
                  </pic:spPr>
                </pic:pic>
              </a:graphicData>
            </a:graphic>
          </wp:inline>
        </w:drawing>
      </w:r>
    </w:p>
    <w:p w:rsidR="00E23519" w:rsidRDefault="00E23519" w:rsidP="00E23519">
      <w:pPr>
        <w:tabs>
          <w:tab w:val="left" w:pos="2205"/>
        </w:tabs>
        <w:spacing w:after="0" w:line="240" w:lineRule="auto"/>
        <w:jc w:val="both"/>
        <w:rPr>
          <w:rFonts w:ascii="Arial" w:hAnsi="Arial" w:cs="Arial"/>
          <w:sz w:val="24"/>
          <w:szCs w:val="24"/>
        </w:rPr>
      </w:pPr>
    </w:p>
    <w:p w:rsidR="00E23519" w:rsidRDefault="00E23519" w:rsidP="00E23519">
      <w:pPr>
        <w:tabs>
          <w:tab w:val="left" w:pos="2205"/>
        </w:tabs>
        <w:spacing w:after="0" w:line="240" w:lineRule="auto"/>
        <w:jc w:val="both"/>
        <w:rPr>
          <w:rFonts w:ascii="Arial" w:hAnsi="Arial" w:cs="Arial"/>
          <w:sz w:val="24"/>
          <w:szCs w:val="24"/>
        </w:rPr>
      </w:pPr>
    </w:p>
    <w:p w:rsidR="00E23519" w:rsidRPr="008464D7" w:rsidRDefault="00E23519" w:rsidP="00E23519">
      <w:pPr>
        <w:tabs>
          <w:tab w:val="left" w:pos="2205"/>
        </w:tabs>
        <w:spacing w:after="0" w:line="240" w:lineRule="auto"/>
        <w:jc w:val="both"/>
        <w:rPr>
          <w:rFonts w:ascii="Arial" w:hAnsi="Arial" w:cs="Arial"/>
          <w:sz w:val="24"/>
          <w:szCs w:val="24"/>
        </w:rPr>
      </w:pPr>
      <w:r>
        <w:rPr>
          <w:rFonts w:ascii="Arial" w:hAnsi="Arial" w:cs="Arial"/>
          <w:sz w:val="24"/>
          <w:szCs w:val="24"/>
        </w:rPr>
        <w:t>Es pertinente precisar</w:t>
      </w:r>
      <w:r w:rsidRPr="008464D7">
        <w:rPr>
          <w:rFonts w:ascii="Arial" w:hAnsi="Arial" w:cs="Arial"/>
          <w:sz w:val="24"/>
          <w:szCs w:val="24"/>
        </w:rPr>
        <w:t xml:space="preserve"> que la Ley de Disciplina Financiera de las Entidades Federativas y los Municipios señala en su artículo 6° que: “</w:t>
      </w:r>
      <w:r w:rsidRPr="00FF185D">
        <w:rPr>
          <w:rFonts w:ascii="Arial" w:hAnsi="Arial" w:cs="Arial"/>
          <w:i/>
          <w:sz w:val="24"/>
          <w:szCs w:val="24"/>
        </w:rPr>
        <w:t>El Gasto total propuesto por el Ejecutivo de la Entidad Federativa en el proyecto de Presupuesto de Egresos, aquél que apruebe la Legislatura local y el que se ejerza en el año fiscal, deberá contribuir a un Balance presupuestario sostenible…</w:t>
      </w:r>
      <w:r w:rsidRPr="008464D7">
        <w:rPr>
          <w:rFonts w:ascii="Arial" w:hAnsi="Arial" w:cs="Arial"/>
          <w:sz w:val="24"/>
          <w:szCs w:val="24"/>
        </w:rPr>
        <w:t>”</w:t>
      </w:r>
    </w:p>
    <w:p w:rsidR="00E23519" w:rsidRPr="008464D7" w:rsidRDefault="00E23519" w:rsidP="00E23519">
      <w:pPr>
        <w:tabs>
          <w:tab w:val="left" w:pos="2205"/>
        </w:tabs>
        <w:spacing w:after="0" w:line="240" w:lineRule="auto"/>
        <w:jc w:val="both"/>
        <w:rPr>
          <w:rFonts w:ascii="Arial" w:hAnsi="Arial" w:cs="Arial"/>
          <w:sz w:val="24"/>
          <w:szCs w:val="24"/>
        </w:rPr>
      </w:pPr>
    </w:p>
    <w:p w:rsidR="00E23519" w:rsidRPr="008464D7" w:rsidRDefault="00E23519" w:rsidP="00E23519">
      <w:pPr>
        <w:tabs>
          <w:tab w:val="left" w:pos="2205"/>
        </w:tabs>
        <w:spacing w:after="0" w:line="240" w:lineRule="auto"/>
        <w:jc w:val="both"/>
        <w:rPr>
          <w:rFonts w:ascii="Arial" w:hAnsi="Arial" w:cs="Arial"/>
          <w:i/>
          <w:sz w:val="24"/>
          <w:szCs w:val="24"/>
        </w:rPr>
      </w:pPr>
      <w:r w:rsidRPr="008464D7">
        <w:rPr>
          <w:rFonts w:ascii="Arial" w:hAnsi="Arial" w:cs="Arial"/>
          <w:sz w:val="24"/>
          <w:szCs w:val="24"/>
        </w:rPr>
        <w:t xml:space="preserve">En ese tenor, dicho artículo establece en su fracción III que </w:t>
      </w:r>
      <w:r w:rsidRPr="008464D7">
        <w:rPr>
          <w:rFonts w:ascii="Arial" w:hAnsi="Arial" w:cs="Arial"/>
          <w:i/>
          <w:sz w:val="24"/>
          <w:szCs w:val="24"/>
        </w:rPr>
        <w:t xml:space="preserve">“…En caso de que la Legislatura local modifique la Ley de Ingresos y el Presupuesto de Egresos de tal manera que genere un Balance presupuestario de recursos disponibles negativo, deberá motivar su decisión sujetándose a las fracciones I y II de este artículo. A partir de la aprobación del Balance presupuestario de recursos disponibles negativo a que se refiere este párrafo…” </w:t>
      </w:r>
    </w:p>
    <w:p w:rsidR="00E23519" w:rsidRPr="008464D7" w:rsidRDefault="00E23519" w:rsidP="00E23519">
      <w:pPr>
        <w:tabs>
          <w:tab w:val="left" w:pos="2205"/>
        </w:tabs>
        <w:spacing w:after="0" w:line="240" w:lineRule="auto"/>
        <w:jc w:val="both"/>
        <w:rPr>
          <w:rFonts w:ascii="Arial" w:hAnsi="Arial" w:cs="Arial"/>
          <w:sz w:val="24"/>
          <w:szCs w:val="24"/>
        </w:rPr>
      </w:pPr>
    </w:p>
    <w:p w:rsidR="00E23519" w:rsidRPr="008464D7" w:rsidRDefault="00E23519" w:rsidP="00E23519">
      <w:pPr>
        <w:spacing w:after="0" w:line="240" w:lineRule="auto"/>
        <w:jc w:val="both"/>
        <w:rPr>
          <w:rFonts w:ascii="Arial" w:eastAsia="Times New Roman" w:hAnsi="Arial" w:cs="Arial"/>
          <w:sz w:val="24"/>
          <w:szCs w:val="24"/>
          <w:lang w:val="es-ES" w:eastAsia="es-ES"/>
        </w:rPr>
      </w:pPr>
      <w:r w:rsidRPr="008464D7">
        <w:rPr>
          <w:rFonts w:ascii="Arial" w:eastAsia="Times New Roman" w:hAnsi="Arial" w:cs="Arial"/>
          <w:sz w:val="24"/>
          <w:szCs w:val="24"/>
          <w:lang w:val="es-ES" w:eastAsia="es-ES"/>
        </w:rPr>
        <w:t xml:space="preserve">El gasto total del Proyecto de Presupuesto de Egresos del Estado de Colima, para el Ejercicio Fiscal 2017 que se somete a la consideración y aprobación, por parte de ese Honorable Congreso, suma la cantidad de </w:t>
      </w:r>
      <w:r>
        <w:rPr>
          <w:rFonts w:ascii="Arial" w:eastAsia="Times New Roman" w:hAnsi="Arial" w:cs="Arial"/>
          <w:b/>
          <w:bCs/>
          <w:sz w:val="24"/>
          <w:szCs w:val="24"/>
        </w:rPr>
        <w:t>15,517.5</w:t>
      </w:r>
      <w:r w:rsidRPr="008464D7">
        <w:rPr>
          <w:rFonts w:ascii="Arial" w:eastAsia="Times New Roman" w:hAnsi="Arial" w:cs="Arial"/>
          <w:b/>
          <w:bCs/>
          <w:sz w:val="24"/>
          <w:szCs w:val="24"/>
        </w:rPr>
        <w:t xml:space="preserve"> millones de pesos, </w:t>
      </w:r>
      <w:r w:rsidRPr="008464D7">
        <w:rPr>
          <w:rFonts w:ascii="Arial" w:eastAsia="Times New Roman" w:hAnsi="Arial" w:cs="Arial"/>
          <w:sz w:val="24"/>
          <w:szCs w:val="24"/>
          <w:lang w:val="es-ES" w:eastAsia="es-ES"/>
        </w:rPr>
        <w:t xml:space="preserve">monto superior en </w:t>
      </w:r>
      <w:r w:rsidR="000608AB">
        <w:rPr>
          <w:rFonts w:ascii="Arial" w:eastAsia="Times New Roman" w:hAnsi="Arial" w:cs="Arial"/>
          <w:b/>
          <w:sz w:val="24"/>
          <w:szCs w:val="24"/>
          <w:lang w:val="es-ES" w:eastAsia="es-ES"/>
        </w:rPr>
        <w:t>16.3</w:t>
      </w:r>
      <w:r w:rsidRPr="008464D7">
        <w:rPr>
          <w:rFonts w:ascii="Arial" w:eastAsia="Times New Roman" w:hAnsi="Arial" w:cs="Arial"/>
          <w:sz w:val="24"/>
          <w:szCs w:val="24"/>
          <w:lang w:val="es-ES" w:eastAsia="es-ES"/>
        </w:rPr>
        <w:t xml:space="preserve"> por ciento al aprobado para el Ejercicio Fiscal 2016.</w:t>
      </w:r>
    </w:p>
    <w:p w:rsidR="00E23519" w:rsidRPr="008464D7" w:rsidRDefault="00E23519" w:rsidP="00E23519">
      <w:pPr>
        <w:spacing w:line="240" w:lineRule="auto"/>
        <w:jc w:val="both"/>
        <w:rPr>
          <w:rFonts w:ascii="Arial" w:hAnsi="Arial" w:cs="Arial"/>
        </w:rPr>
      </w:pPr>
    </w:p>
    <w:p w:rsidR="00E23519" w:rsidRPr="008464D7" w:rsidRDefault="00E23519" w:rsidP="00E23519">
      <w:pPr>
        <w:spacing w:line="240" w:lineRule="auto"/>
        <w:jc w:val="both"/>
        <w:rPr>
          <w:rFonts w:ascii="Arial" w:hAnsi="Arial" w:cs="Arial"/>
        </w:rPr>
      </w:pPr>
    </w:p>
    <w:p w:rsidR="00E23519" w:rsidRPr="008464D7" w:rsidRDefault="00E23519" w:rsidP="00E23519">
      <w:pPr>
        <w:spacing w:line="240" w:lineRule="auto"/>
        <w:jc w:val="both"/>
        <w:rPr>
          <w:rFonts w:ascii="Arial" w:hAnsi="Arial" w:cs="Arial"/>
        </w:rPr>
      </w:pPr>
    </w:p>
    <w:p w:rsidR="00E23519" w:rsidRPr="008464D7" w:rsidRDefault="00E23519" w:rsidP="00E23519">
      <w:pPr>
        <w:pStyle w:val="Prrafodelista"/>
        <w:autoSpaceDE w:val="0"/>
        <w:autoSpaceDN w:val="0"/>
        <w:adjustRightInd w:val="0"/>
        <w:spacing w:after="0" w:line="240" w:lineRule="auto"/>
        <w:ind w:left="0"/>
        <w:rPr>
          <w:rFonts w:ascii="Arial" w:hAnsi="Arial" w:cs="Arial"/>
          <w:b/>
          <w:sz w:val="24"/>
          <w:szCs w:val="24"/>
        </w:rPr>
      </w:pPr>
      <w:r>
        <w:rPr>
          <w:rFonts w:ascii="Arial" w:hAnsi="Arial" w:cs="Arial"/>
          <w:b/>
          <w:sz w:val="24"/>
          <w:szCs w:val="24"/>
        </w:rPr>
        <w:t>I.2</w:t>
      </w:r>
      <w:r w:rsidRPr="008464D7">
        <w:rPr>
          <w:rFonts w:ascii="Arial" w:hAnsi="Arial" w:cs="Arial"/>
          <w:b/>
          <w:sz w:val="24"/>
          <w:szCs w:val="24"/>
        </w:rPr>
        <w:t>. POLÍTICA DE GASTO</w:t>
      </w:r>
    </w:p>
    <w:p w:rsidR="00E23519" w:rsidRPr="008464D7" w:rsidRDefault="00E23519" w:rsidP="00E23519">
      <w:pPr>
        <w:autoSpaceDE w:val="0"/>
        <w:autoSpaceDN w:val="0"/>
        <w:adjustRightInd w:val="0"/>
        <w:spacing w:after="0" w:line="240" w:lineRule="auto"/>
        <w:jc w:val="both"/>
        <w:rPr>
          <w:rFonts w:ascii="Arial" w:hAnsi="Arial" w:cs="Arial"/>
          <w:b/>
          <w:color w:val="FF0000"/>
          <w:sz w:val="28"/>
          <w:szCs w:val="28"/>
        </w:rPr>
      </w:pPr>
    </w:p>
    <w:p w:rsidR="00E23519" w:rsidRPr="008464D7" w:rsidRDefault="00E23519" w:rsidP="00E23519">
      <w:pPr>
        <w:autoSpaceDE w:val="0"/>
        <w:autoSpaceDN w:val="0"/>
        <w:adjustRightInd w:val="0"/>
        <w:spacing w:after="0" w:line="240" w:lineRule="auto"/>
        <w:jc w:val="both"/>
        <w:rPr>
          <w:rFonts w:ascii="Arial" w:hAnsi="Arial" w:cs="Arial"/>
          <w:b/>
          <w:sz w:val="24"/>
          <w:szCs w:val="24"/>
        </w:rPr>
      </w:pPr>
      <w:r w:rsidRPr="008464D7">
        <w:rPr>
          <w:rFonts w:ascii="Arial" w:hAnsi="Arial" w:cs="Arial"/>
          <w:b/>
          <w:sz w:val="24"/>
          <w:szCs w:val="24"/>
        </w:rPr>
        <w:t>I.2.1. Visión del gasto público.</w:t>
      </w:r>
    </w:p>
    <w:p w:rsidR="00E23519" w:rsidRPr="008464D7" w:rsidRDefault="00E23519" w:rsidP="00E23519">
      <w:pPr>
        <w:autoSpaceDE w:val="0"/>
        <w:autoSpaceDN w:val="0"/>
        <w:adjustRightInd w:val="0"/>
        <w:spacing w:after="0" w:line="240" w:lineRule="auto"/>
        <w:jc w:val="both"/>
        <w:rPr>
          <w:rFonts w:ascii="Arial" w:hAnsi="Arial" w:cs="Arial"/>
        </w:rPr>
      </w:pPr>
    </w:p>
    <w:p w:rsidR="00E23519" w:rsidRPr="008464D7" w:rsidRDefault="00E23519" w:rsidP="00E23519">
      <w:pPr>
        <w:autoSpaceDE w:val="0"/>
        <w:autoSpaceDN w:val="0"/>
        <w:adjustRightInd w:val="0"/>
        <w:spacing w:after="0" w:line="240" w:lineRule="auto"/>
        <w:jc w:val="both"/>
        <w:rPr>
          <w:rFonts w:ascii="Arial" w:hAnsi="Arial" w:cs="Arial"/>
          <w:sz w:val="24"/>
          <w:szCs w:val="24"/>
        </w:rPr>
      </w:pPr>
      <w:r w:rsidRPr="008464D7">
        <w:rPr>
          <w:rFonts w:ascii="Arial" w:hAnsi="Arial" w:cs="Arial"/>
          <w:sz w:val="24"/>
          <w:szCs w:val="24"/>
        </w:rPr>
        <w:t xml:space="preserve">Cuanto más escasos son los recursos, mayor importancia cobra el aumentar la efectividad de su uso. </w:t>
      </w:r>
      <w:r w:rsidRPr="008464D7">
        <w:rPr>
          <w:rFonts w:ascii="Arial" w:hAnsi="Arial" w:cs="Arial"/>
          <w:color w:val="000000" w:themeColor="text1"/>
          <w:sz w:val="24"/>
          <w:szCs w:val="24"/>
        </w:rPr>
        <w:t>En ese tenor, en el presente proyecto dejamos</w:t>
      </w:r>
      <w:r w:rsidRPr="008464D7">
        <w:rPr>
          <w:rFonts w:ascii="Arial" w:hAnsi="Arial" w:cs="Arial"/>
          <w:sz w:val="24"/>
          <w:szCs w:val="24"/>
        </w:rPr>
        <w:t xml:space="preserve"> de lado criterios de asignación clientelar del gasto y la práctica incrementalista, que consiste en aumentar la misma proporción de recursos a todos los ejecutores año tras año.</w:t>
      </w:r>
    </w:p>
    <w:p w:rsidR="00E23519" w:rsidRPr="008464D7" w:rsidRDefault="00E23519" w:rsidP="00E23519">
      <w:pPr>
        <w:autoSpaceDE w:val="0"/>
        <w:autoSpaceDN w:val="0"/>
        <w:adjustRightInd w:val="0"/>
        <w:spacing w:after="0" w:line="240" w:lineRule="auto"/>
        <w:jc w:val="both"/>
        <w:rPr>
          <w:rFonts w:ascii="Arial" w:hAnsi="Arial" w:cs="Arial"/>
          <w:sz w:val="24"/>
          <w:szCs w:val="24"/>
        </w:rPr>
      </w:pPr>
    </w:p>
    <w:p w:rsidR="00E23519" w:rsidRPr="008464D7" w:rsidRDefault="00E23519" w:rsidP="00E23519">
      <w:pPr>
        <w:autoSpaceDE w:val="0"/>
        <w:autoSpaceDN w:val="0"/>
        <w:adjustRightInd w:val="0"/>
        <w:spacing w:after="0" w:line="240" w:lineRule="auto"/>
        <w:jc w:val="both"/>
        <w:rPr>
          <w:rFonts w:ascii="Arial" w:hAnsi="Arial" w:cs="Arial"/>
          <w:sz w:val="24"/>
          <w:szCs w:val="24"/>
        </w:rPr>
      </w:pPr>
      <w:r w:rsidRPr="008464D7">
        <w:rPr>
          <w:rFonts w:ascii="Arial" w:hAnsi="Arial" w:cs="Arial"/>
          <w:sz w:val="24"/>
          <w:szCs w:val="24"/>
        </w:rPr>
        <w:t xml:space="preserve">Se rompen inercias para perpetuar estructuras de gasto anteriores como si fueran válidas para todos los años. </w:t>
      </w:r>
    </w:p>
    <w:p w:rsidR="00E23519" w:rsidRPr="008464D7" w:rsidRDefault="00E23519" w:rsidP="00E23519">
      <w:pPr>
        <w:autoSpaceDE w:val="0"/>
        <w:autoSpaceDN w:val="0"/>
        <w:adjustRightInd w:val="0"/>
        <w:spacing w:after="0" w:line="240" w:lineRule="auto"/>
        <w:jc w:val="both"/>
        <w:rPr>
          <w:rFonts w:ascii="Arial" w:hAnsi="Arial" w:cs="Arial"/>
          <w:sz w:val="24"/>
          <w:szCs w:val="24"/>
        </w:rPr>
      </w:pPr>
    </w:p>
    <w:p w:rsidR="00E23519" w:rsidRPr="008464D7" w:rsidRDefault="00E23519" w:rsidP="00E23519">
      <w:pPr>
        <w:autoSpaceDE w:val="0"/>
        <w:autoSpaceDN w:val="0"/>
        <w:adjustRightInd w:val="0"/>
        <w:spacing w:after="0" w:line="240" w:lineRule="auto"/>
        <w:jc w:val="both"/>
        <w:rPr>
          <w:rFonts w:ascii="Arial" w:hAnsi="Arial" w:cs="Arial"/>
          <w:sz w:val="24"/>
          <w:szCs w:val="24"/>
        </w:rPr>
      </w:pPr>
      <w:r w:rsidRPr="008464D7">
        <w:rPr>
          <w:rFonts w:ascii="Arial" w:hAnsi="Arial" w:cs="Arial"/>
          <w:sz w:val="24"/>
          <w:szCs w:val="24"/>
        </w:rPr>
        <w:t xml:space="preserve">La articulación entre el presupuesto y la planificación, la elaboración del marco fiscal de mediano plazo de ingresos y gastos de mediano plazo, permitirán una planificación financiera más allá del periodo anual. </w:t>
      </w:r>
    </w:p>
    <w:p w:rsidR="00E23519" w:rsidRPr="008464D7" w:rsidRDefault="00E23519" w:rsidP="00E23519">
      <w:pPr>
        <w:autoSpaceDE w:val="0"/>
        <w:autoSpaceDN w:val="0"/>
        <w:adjustRightInd w:val="0"/>
        <w:spacing w:after="0" w:line="240" w:lineRule="auto"/>
        <w:jc w:val="both"/>
        <w:rPr>
          <w:rFonts w:ascii="Arial" w:hAnsi="Arial" w:cs="Arial"/>
          <w:sz w:val="24"/>
          <w:szCs w:val="24"/>
        </w:rPr>
      </w:pPr>
    </w:p>
    <w:p w:rsidR="00E23519" w:rsidRPr="008464D7" w:rsidRDefault="00E23519" w:rsidP="00E23519">
      <w:pPr>
        <w:spacing w:line="240" w:lineRule="auto"/>
        <w:jc w:val="both"/>
        <w:rPr>
          <w:rFonts w:ascii="Arial" w:hAnsi="Arial" w:cs="Arial"/>
          <w:sz w:val="24"/>
          <w:szCs w:val="24"/>
        </w:rPr>
      </w:pPr>
      <w:r w:rsidRPr="008464D7">
        <w:rPr>
          <w:rFonts w:ascii="Arial" w:hAnsi="Arial" w:cs="Arial"/>
          <w:sz w:val="24"/>
          <w:szCs w:val="24"/>
        </w:rPr>
        <w:t xml:space="preserve">Retomamos en la presupuestación las metodologías derivadas de la Gestión para Resultados del Desarrollo GpRD, como estrategia de gestión que centra sus esfuerzos en dirigir todos los recursos humanos, financieros, tecnológicos y naturales, sean estos internos o externos, hacia la consecución de resultados de desarrollo esperados. </w:t>
      </w:r>
    </w:p>
    <w:p w:rsidR="00E23519" w:rsidRPr="008464D7" w:rsidRDefault="00E23519" w:rsidP="00E23519">
      <w:pPr>
        <w:spacing w:line="240" w:lineRule="auto"/>
        <w:jc w:val="both"/>
        <w:rPr>
          <w:rFonts w:ascii="Arial" w:hAnsi="Arial" w:cs="Arial"/>
          <w:sz w:val="24"/>
          <w:szCs w:val="24"/>
        </w:rPr>
      </w:pPr>
      <w:r w:rsidRPr="008464D7">
        <w:rPr>
          <w:rFonts w:ascii="Arial" w:hAnsi="Arial" w:cs="Arial"/>
          <w:sz w:val="24"/>
          <w:szCs w:val="24"/>
        </w:rPr>
        <w:t>El foco de atención ya no se encuentra en los insumos en sí (cuánto dinero se obtendrá o cuándo se puede gastar) sino en los resultados mensurables (qué se puede lograr con esos fondos) en todas las fases del proceso de desarrollo.</w:t>
      </w:r>
    </w:p>
    <w:p w:rsidR="00E23519" w:rsidRPr="008464D7" w:rsidRDefault="00E23519" w:rsidP="00E23519">
      <w:pPr>
        <w:autoSpaceDE w:val="0"/>
        <w:autoSpaceDN w:val="0"/>
        <w:adjustRightInd w:val="0"/>
        <w:spacing w:after="0" w:line="240" w:lineRule="auto"/>
        <w:jc w:val="both"/>
        <w:rPr>
          <w:rFonts w:ascii="Arial" w:hAnsi="Arial" w:cs="Arial"/>
          <w:sz w:val="24"/>
          <w:szCs w:val="24"/>
        </w:rPr>
      </w:pPr>
      <w:r w:rsidRPr="008464D7">
        <w:rPr>
          <w:rFonts w:ascii="Arial" w:hAnsi="Arial" w:cs="Arial"/>
          <w:sz w:val="24"/>
          <w:szCs w:val="24"/>
        </w:rPr>
        <w:t>De igual manera, en la perspectiva de la ejecución del propio presupuesto consideramos postulados de la gestión financiera pública, entendida esta como el conjunto de elementos administrativos que hace posible la captación de recursos y su aplicación para la concreción de los objetivos y las metas.</w:t>
      </w:r>
    </w:p>
    <w:p w:rsidR="00E23519" w:rsidRPr="008464D7" w:rsidRDefault="00E23519" w:rsidP="00E23519">
      <w:pPr>
        <w:autoSpaceDE w:val="0"/>
        <w:autoSpaceDN w:val="0"/>
        <w:adjustRightInd w:val="0"/>
        <w:spacing w:after="0" w:line="240" w:lineRule="auto"/>
        <w:jc w:val="both"/>
        <w:rPr>
          <w:rFonts w:cs="Rotis Sans Serif Std Light"/>
          <w:color w:val="000000"/>
          <w:sz w:val="26"/>
          <w:szCs w:val="26"/>
        </w:rPr>
      </w:pPr>
    </w:p>
    <w:p w:rsidR="00E23519" w:rsidRPr="008464D7" w:rsidRDefault="00E23519" w:rsidP="00E23519">
      <w:pPr>
        <w:autoSpaceDE w:val="0"/>
        <w:autoSpaceDN w:val="0"/>
        <w:adjustRightInd w:val="0"/>
        <w:spacing w:after="0" w:line="240" w:lineRule="auto"/>
        <w:jc w:val="both"/>
        <w:rPr>
          <w:rFonts w:ascii="Arial" w:hAnsi="Arial" w:cs="Arial"/>
          <w:sz w:val="24"/>
          <w:szCs w:val="24"/>
        </w:rPr>
      </w:pPr>
      <w:r w:rsidRPr="008464D7">
        <w:rPr>
          <w:rFonts w:ascii="Arial" w:hAnsi="Arial" w:cs="Arial"/>
          <w:sz w:val="24"/>
          <w:szCs w:val="24"/>
        </w:rPr>
        <w:t xml:space="preserve">Este primer proyecto de presupuesto que formula la presente administración, se diseñó con un marco plurianual, a través de la inclusión de un marco macroeconómico, marco fiscal, marco presupuestario y un presupuesto plurianual. </w:t>
      </w:r>
    </w:p>
    <w:p w:rsidR="00E23519" w:rsidRPr="008464D7" w:rsidRDefault="00E23519" w:rsidP="00E23519">
      <w:pPr>
        <w:autoSpaceDE w:val="0"/>
        <w:autoSpaceDN w:val="0"/>
        <w:adjustRightInd w:val="0"/>
        <w:spacing w:after="0" w:line="240" w:lineRule="auto"/>
        <w:jc w:val="both"/>
        <w:rPr>
          <w:rFonts w:ascii="Arial" w:hAnsi="Arial" w:cs="Arial"/>
          <w:sz w:val="24"/>
          <w:szCs w:val="24"/>
        </w:rPr>
      </w:pPr>
    </w:p>
    <w:p w:rsidR="00E23519" w:rsidRDefault="00E23519" w:rsidP="00E23519">
      <w:pPr>
        <w:autoSpaceDE w:val="0"/>
        <w:autoSpaceDN w:val="0"/>
        <w:adjustRightInd w:val="0"/>
        <w:spacing w:after="0" w:line="240" w:lineRule="auto"/>
        <w:jc w:val="both"/>
        <w:rPr>
          <w:rFonts w:ascii="Arial" w:hAnsi="Arial" w:cs="Arial"/>
          <w:sz w:val="24"/>
          <w:szCs w:val="24"/>
        </w:rPr>
      </w:pPr>
      <w:r w:rsidRPr="008464D7">
        <w:rPr>
          <w:rFonts w:ascii="Arial" w:hAnsi="Arial" w:cs="Arial"/>
          <w:color w:val="000000"/>
          <w:sz w:val="24"/>
          <w:szCs w:val="24"/>
        </w:rPr>
        <w:t>Esta visión tiene el propósito de apuntalar el enfoque hacia el desarrollo sostenido que genere progreso social y aumente la ca</w:t>
      </w:r>
      <w:r>
        <w:rPr>
          <w:rFonts w:ascii="Arial" w:hAnsi="Arial" w:cs="Arial"/>
          <w:color w:val="000000"/>
          <w:sz w:val="24"/>
          <w:szCs w:val="24"/>
        </w:rPr>
        <w:t xml:space="preserve">lidad de vida de los colimenses. </w:t>
      </w:r>
      <w:r w:rsidRPr="008464D7">
        <w:rPr>
          <w:rFonts w:ascii="Arial" w:hAnsi="Arial" w:cs="Arial"/>
          <w:sz w:val="24"/>
          <w:szCs w:val="24"/>
        </w:rPr>
        <w:t xml:space="preserve">El marco macroeconómico corresponde al conjunto de proyecciones de variables macroeconómicas exclusivamente. </w:t>
      </w:r>
    </w:p>
    <w:p w:rsidR="00E23519" w:rsidRPr="008464D7" w:rsidRDefault="00E23519" w:rsidP="00E23519">
      <w:pPr>
        <w:autoSpaceDE w:val="0"/>
        <w:autoSpaceDN w:val="0"/>
        <w:adjustRightInd w:val="0"/>
        <w:spacing w:after="0" w:line="240" w:lineRule="auto"/>
        <w:jc w:val="both"/>
        <w:rPr>
          <w:rFonts w:ascii="Arial" w:hAnsi="Arial" w:cs="Arial"/>
          <w:sz w:val="24"/>
          <w:szCs w:val="24"/>
        </w:rPr>
      </w:pPr>
    </w:p>
    <w:p w:rsidR="00E23519" w:rsidRPr="008464D7" w:rsidRDefault="00E23519" w:rsidP="00E23519">
      <w:pPr>
        <w:autoSpaceDE w:val="0"/>
        <w:autoSpaceDN w:val="0"/>
        <w:adjustRightInd w:val="0"/>
        <w:spacing w:after="0" w:line="240" w:lineRule="auto"/>
        <w:jc w:val="both"/>
        <w:rPr>
          <w:rFonts w:ascii="Arial" w:hAnsi="Arial" w:cs="Arial"/>
          <w:sz w:val="24"/>
          <w:szCs w:val="24"/>
        </w:rPr>
      </w:pPr>
      <w:r w:rsidRPr="008464D7">
        <w:rPr>
          <w:rFonts w:ascii="Arial" w:hAnsi="Arial" w:cs="Arial"/>
          <w:sz w:val="24"/>
          <w:szCs w:val="24"/>
        </w:rPr>
        <w:lastRenderedPageBreak/>
        <w:t>El marco fiscal se concentra en proyecciones de ingresos y de gastos públicos por grandes agregaciones donde los totales son consistentes con las estimaciones macroeconómicas internacionales y nacionales que pueden afectar los ingresos.</w:t>
      </w:r>
    </w:p>
    <w:p w:rsidR="00E23519" w:rsidRPr="008464D7" w:rsidRDefault="00E23519" w:rsidP="00E23519">
      <w:pPr>
        <w:autoSpaceDE w:val="0"/>
        <w:autoSpaceDN w:val="0"/>
        <w:adjustRightInd w:val="0"/>
        <w:spacing w:after="0" w:line="240" w:lineRule="auto"/>
        <w:jc w:val="both"/>
        <w:rPr>
          <w:rFonts w:ascii="Arial" w:hAnsi="Arial" w:cs="Arial"/>
          <w:sz w:val="24"/>
          <w:szCs w:val="24"/>
        </w:rPr>
      </w:pPr>
    </w:p>
    <w:p w:rsidR="00E23519" w:rsidRPr="008464D7" w:rsidRDefault="00E23519" w:rsidP="00E23519">
      <w:pPr>
        <w:autoSpaceDE w:val="0"/>
        <w:autoSpaceDN w:val="0"/>
        <w:adjustRightInd w:val="0"/>
        <w:spacing w:after="0" w:line="240" w:lineRule="auto"/>
        <w:jc w:val="both"/>
        <w:rPr>
          <w:rFonts w:ascii="Arial" w:hAnsi="Arial" w:cs="Arial"/>
          <w:sz w:val="24"/>
          <w:szCs w:val="24"/>
        </w:rPr>
      </w:pPr>
      <w:r w:rsidRPr="008464D7">
        <w:rPr>
          <w:rFonts w:ascii="Arial" w:hAnsi="Arial" w:cs="Arial"/>
          <w:sz w:val="24"/>
          <w:szCs w:val="24"/>
        </w:rPr>
        <w:t>El marco presupuestario desagrega estimaciones de gasto con visión plurianual.</w:t>
      </w:r>
    </w:p>
    <w:p w:rsidR="00E23519" w:rsidRPr="008464D7" w:rsidRDefault="00E23519" w:rsidP="00E23519">
      <w:pPr>
        <w:autoSpaceDE w:val="0"/>
        <w:autoSpaceDN w:val="0"/>
        <w:adjustRightInd w:val="0"/>
        <w:spacing w:after="0" w:line="240" w:lineRule="auto"/>
        <w:jc w:val="both"/>
        <w:rPr>
          <w:rFonts w:ascii="Arial" w:hAnsi="Arial" w:cs="Arial"/>
          <w:color w:val="FF0000"/>
          <w:sz w:val="24"/>
          <w:szCs w:val="24"/>
        </w:rPr>
      </w:pPr>
    </w:p>
    <w:p w:rsidR="00E23519" w:rsidRPr="008464D7" w:rsidRDefault="00E23519" w:rsidP="00E23519">
      <w:pPr>
        <w:autoSpaceDE w:val="0"/>
        <w:autoSpaceDN w:val="0"/>
        <w:adjustRightInd w:val="0"/>
        <w:spacing w:after="0" w:line="240" w:lineRule="auto"/>
        <w:jc w:val="both"/>
        <w:rPr>
          <w:rFonts w:ascii="Arial" w:hAnsi="Arial" w:cs="Arial"/>
          <w:color w:val="FF0000"/>
          <w:sz w:val="24"/>
          <w:szCs w:val="24"/>
        </w:rPr>
      </w:pPr>
      <w:r w:rsidRPr="008464D7">
        <w:rPr>
          <w:rFonts w:ascii="Arial" w:hAnsi="Arial" w:cs="Arial"/>
          <w:sz w:val="24"/>
          <w:szCs w:val="24"/>
        </w:rPr>
        <w:t>El presupuesto plurianual desagrega dependencias y organismo ejecutores de gasto, así como sus programas presupuestarios con horizonte de mediano plazo.</w:t>
      </w:r>
      <w:r w:rsidRPr="008464D7">
        <w:rPr>
          <w:rFonts w:ascii="Arial" w:hAnsi="Arial" w:cs="Arial"/>
          <w:color w:val="FF0000"/>
          <w:sz w:val="24"/>
          <w:szCs w:val="24"/>
        </w:rPr>
        <w:t xml:space="preserve">  </w:t>
      </w:r>
    </w:p>
    <w:p w:rsidR="00E23519" w:rsidRPr="008464D7" w:rsidRDefault="00E23519" w:rsidP="00E23519">
      <w:pPr>
        <w:spacing w:line="240" w:lineRule="auto"/>
        <w:jc w:val="both"/>
        <w:rPr>
          <w:rFonts w:ascii="Arial" w:hAnsi="Arial" w:cs="Arial"/>
        </w:rPr>
      </w:pPr>
    </w:p>
    <w:p w:rsidR="00E23519" w:rsidRPr="008464D7" w:rsidRDefault="00E23519" w:rsidP="00E23519">
      <w:pPr>
        <w:autoSpaceDE w:val="0"/>
        <w:autoSpaceDN w:val="0"/>
        <w:adjustRightInd w:val="0"/>
        <w:spacing w:after="0" w:line="240" w:lineRule="auto"/>
        <w:rPr>
          <w:rFonts w:ascii="Arial" w:hAnsi="Arial" w:cs="Arial"/>
          <w:b/>
          <w:sz w:val="24"/>
          <w:szCs w:val="24"/>
        </w:rPr>
      </w:pPr>
      <w:r w:rsidRPr="008464D7">
        <w:rPr>
          <w:rFonts w:ascii="Arial" w:hAnsi="Arial" w:cs="Arial"/>
          <w:b/>
          <w:sz w:val="24"/>
          <w:szCs w:val="24"/>
        </w:rPr>
        <w:t>I.3. ENTORNO EXTERNO E INTERNO</w:t>
      </w:r>
    </w:p>
    <w:p w:rsidR="00E23519" w:rsidRPr="008464D7" w:rsidRDefault="00E23519" w:rsidP="00E23519">
      <w:pPr>
        <w:autoSpaceDE w:val="0"/>
        <w:autoSpaceDN w:val="0"/>
        <w:adjustRightInd w:val="0"/>
        <w:spacing w:after="0" w:line="240" w:lineRule="auto"/>
        <w:jc w:val="both"/>
        <w:rPr>
          <w:rFonts w:ascii="Arial" w:hAnsi="Arial" w:cs="Arial"/>
          <w:b/>
          <w:sz w:val="24"/>
          <w:szCs w:val="24"/>
        </w:rPr>
      </w:pPr>
    </w:p>
    <w:p w:rsidR="00E23519" w:rsidRPr="008464D7" w:rsidRDefault="00E23519" w:rsidP="00E23519">
      <w:pPr>
        <w:autoSpaceDE w:val="0"/>
        <w:autoSpaceDN w:val="0"/>
        <w:adjustRightInd w:val="0"/>
        <w:spacing w:after="0" w:line="240" w:lineRule="auto"/>
        <w:jc w:val="both"/>
        <w:rPr>
          <w:rFonts w:ascii="Arial" w:hAnsi="Arial" w:cs="Arial"/>
          <w:b/>
          <w:sz w:val="24"/>
          <w:szCs w:val="24"/>
        </w:rPr>
      </w:pPr>
      <w:r w:rsidRPr="008464D7">
        <w:rPr>
          <w:rFonts w:ascii="Arial" w:hAnsi="Arial" w:cs="Arial"/>
          <w:b/>
          <w:sz w:val="24"/>
          <w:szCs w:val="24"/>
        </w:rPr>
        <w:t>I.3.1.  Entorno externo</w:t>
      </w:r>
    </w:p>
    <w:p w:rsidR="00E23519" w:rsidRPr="008464D7" w:rsidRDefault="00E23519" w:rsidP="00E23519">
      <w:pPr>
        <w:spacing w:line="240" w:lineRule="auto"/>
        <w:jc w:val="both"/>
        <w:rPr>
          <w:rFonts w:ascii="Arial" w:hAnsi="Arial" w:cs="Arial"/>
        </w:rPr>
      </w:pPr>
    </w:p>
    <w:p w:rsidR="00E23519" w:rsidRDefault="00E23519" w:rsidP="00E23519">
      <w:pPr>
        <w:autoSpaceDE w:val="0"/>
        <w:autoSpaceDN w:val="0"/>
        <w:adjustRightInd w:val="0"/>
        <w:spacing w:after="0" w:line="240" w:lineRule="auto"/>
        <w:jc w:val="both"/>
        <w:rPr>
          <w:rFonts w:ascii="Arial" w:hAnsi="Arial" w:cs="Arial"/>
          <w:sz w:val="24"/>
          <w:szCs w:val="24"/>
        </w:rPr>
      </w:pPr>
      <w:r w:rsidRPr="008464D7">
        <w:rPr>
          <w:rFonts w:ascii="Arial" w:hAnsi="Arial" w:cs="Arial"/>
          <w:sz w:val="24"/>
          <w:szCs w:val="24"/>
        </w:rPr>
        <w:t>De acuerdo a lo previsto en los Criterios Generales de Política Económica 2017,</w:t>
      </w:r>
      <w:r>
        <w:rPr>
          <w:rFonts w:ascii="Arial" w:hAnsi="Arial" w:cs="Arial"/>
          <w:sz w:val="24"/>
          <w:szCs w:val="24"/>
        </w:rPr>
        <w:t xml:space="preserve"> e</w:t>
      </w:r>
      <w:r w:rsidRPr="008464D7">
        <w:rPr>
          <w:rFonts w:ascii="Arial" w:hAnsi="Arial" w:cs="Arial"/>
          <w:sz w:val="24"/>
          <w:szCs w:val="24"/>
        </w:rPr>
        <w:t>l Paquete Económico 2017 que turnó el Ejecutivo</w:t>
      </w:r>
      <w:r>
        <w:rPr>
          <w:rFonts w:ascii="Arial" w:hAnsi="Arial" w:cs="Arial"/>
          <w:sz w:val="24"/>
          <w:szCs w:val="24"/>
        </w:rPr>
        <w:t xml:space="preserve"> Federal</w:t>
      </w:r>
      <w:r w:rsidRPr="008464D7">
        <w:rPr>
          <w:rFonts w:ascii="Arial" w:hAnsi="Arial" w:cs="Arial"/>
          <w:sz w:val="24"/>
          <w:szCs w:val="24"/>
        </w:rPr>
        <w:t xml:space="preserve"> al H. Congreso de la Unión, se presenta en un entorno externo adverso, que se caracteriza por una alta volatilidad en los mercados financieros globales, un crecimiento negativo de la producción industrial en Estados Unidos, bajos precios del petróleo y la mayor probabilidad de políticas proteccionistas en el mundo.</w:t>
      </w:r>
    </w:p>
    <w:p w:rsidR="00E23519" w:rsidRPr="008464D7" w:rsidRDefault="00E23519" w:rsidP="00E23519">
      <w:pPr>
        <w:autoSpaceDE w:val="0"/>
        <w:autoSpaceDN w:val="0"/>
        <w:adjustRightInd w:val="0"/>
        <w:spacing w:after="0" w:line="240" w:lineRule="auto"/>
        <w:jc w:val="both"/>
        <w:rPr>
          <w:rFonts w:ascii="Arial" w:hAnsi="Arial" w:cs="Arial"/>
          <w:sz w:val="24"/>
          <w:szCs w:val="24"/>
        </w:rPr>
      </w:pPr>
    </w:p>
    <w:p w:rsidR="00E23519" w:rsidRPr="008464D7" w:rsidRDefault="00E23519" w:rsidP="00E23519">
      <w:pPr>
        <w:spacing w:line="240" w:lineRule="auto"/>
        <w:jc w:val="both"/>
        <w:rPr>
          <w:rFonts w:ascii="Arial" w:hAnsi="Arial" w:cs="Arial"/>
          <w:sz w:val="24"/>
          <w:szCs w:val="24"/>
        </w:rPr>
      </w:pPr>
      <w:r w:rsidRPr="008464D7">
        <w:rPr>
          <w:rFonts w:ascii="Arial" w:hAnsi="Arial" w:cs="Arial"/>
          <w:sz w:val="24"/>
          <w:szCs w:val="24"/>
        </w:rPr>
        <w:t>Las perspectivas de un mayor dinamismo en los próximos años se asocian, además de a un mejor desempeño en la economía mundial, en particular a la producción industrial de los Estados Unidos, a los beneficios permanentes de las Reformas Estructurales, incluyendo la estabilización y un eventual incremento en la producción de petróleo, las cuales permitirán incrementar la productividad de forma sustancial.</w:t>
      </w:r>
    </w:p>
    <w:p w:rsidR="00E23519" w:rsidRPr="008464D7" w:rsidRDefault="00E23519" w:rsidP="00E23519">
      <w:pPr>
        <w:spacing w:line="240" w:lineRule="auto"/>
        <w:jc w:val="both"/>
        <w:rPr>
          <w:rFonts w:ascii="Arial" w:hAnsi="Arial" w:cs="Arial"/>
          <w:sz w:val="24"/>
          <w:szCs w:val="24"/>
        </w:rPr>
      </w:pPr>
      <w:r w:rsidRPr="008464D7">
        <w:rPr>
          <w:rFonts w:ascii="Arial" w:hAnsi="Arial" w:cs="Arial"/>
          <w:sz w:val="24"/>
          <w:szCs w:val="24"/>
        </w:rPr>
        <w:t>Para 2017, los principales analistas y organismos internacionales esperan una aceleración moderada de la economía mundial con respecto a 2016, impulsada, principalmente, por las economías emergentes, que se espera crezcan a un ritmo de 4.6 por ciento en 2017. En cuanto a Estados Unidos, se proyecta que el crecimiento pase de 1.5 a 2.2 por ciento y en cuanto a la producción industrial se pronostica un crecimiento de 2.0 por ciento que contrasta con una contracción de -0.9 por ciento esperada para 2016. No obstante, el balance de riesgos para el crecimiento global es negativo debido a las condiciones financieras, el entorno geopolítico y la posible implementación de medidas proteccionistas.</w:t>
      </w:r>
    </w:p>
    <w:p w:rsidR="00E23519" w:rsidRPr="008464D7" w:rsidRDefault="00E23519" w:rsidP="00E23519">
      <w:pPr>
        <w:spacing w:line="240" w:lineRule="auto"/>
        <w:jc w:val="both"/>
        <w:rPr>
          <w:rFonts w:ascii="Arial" w:hAnsi="Arial" w:cs="Arial"/>
          <w:sz w:val="24"/>
          <w:szCs w:val="24"/>
        </w:rPr>
      </w:pPr>
      <w:r w:rsidRPr="008464D7">
        <w:rPr>
          <w:rFonts w:ascii="Arial" w:hAnsi="Arial" w:cs="Arial"/>
          <w:sz w:val="24"/>
          <w:szCs w:val="24"/>
        </w:rPr>
        <w:t>Considerando el panorama económico existente, el Paquete Económico 2017 preserva la estabilidad macroeconómica y está diseñado para hacer frente a los retos en las finanzas públicas.</w:t>
      </w:r>
    </w:p>
    <w:p w:rsidR="00E23519" w:rsidRPr="008464D7" w:rsidRDefault="00E23519" w:rsidP="00E23519">
      <w:pPr>
        <w:spacing w:line="240" w:lineRule="auto"/>
        <w:jc w:val="both"/>
        <w:rPr>
          <w:rFonts w:ascii="Arial" w:hAnsi="Arial" w:cs="Arial"/>
          <w:sz w:val="24"/>
          <w:szCs w:val="24"/>
        </w:rPr>
      </w:pPr>
      <w:r w:rsidRPr="008464D7">
        <w:rPr>
          <w:rFonts w:ascii="Arial" w:hAnsi="Arial" w:cs="Arial"/>
          <w:sz w:val="24"/>
          <w:szCs w:val="24"/>
        </w:rPr>
        <w:lastRenderedPageBreak/>
        <w:t>El Paquete Económico 2017 refrenda el compromiso con la estabilidad macroeconómica ante un entorno internacional adverso. Las medidas presentadas contribuyen a seguir protegiendo la economía de las familias mexicanas.</w:t>
      </w:r>
    </w:p>
    <w:p w:rsidR="00E23519" w:rsidRPr="008464D7" w:rsidRDefault="00E23519" w:rsidP="00E23519">
      <w:pPr>
        <w:jc w:val="both"/>
        <w:rPr>
          <w:rFonts w:ascii="Arial" w:hAnsi="Arial" w:cs="Arial"/>
          <w:b/>
          <w:sz w:val="24"/>
          <w:szCs w:val="24"/>
        </w:rPr>
      </w:pPr>
      <w:r w:rsidRPr="008464D7">
        <w:rPr>
          <w:rFonts w:ascii="Arial" w:hAnsi="Arial" w:cs="Arial"/>
          <w:b/>
          <w:sz w:val="24"/>
          <w:szCs w:val="24"/>
        </w:rPr>
        <w:t>1.3.1.1. Entorno Internacional.</w:t>
      </w:r>
    </w:p>
    <w:p w:rsidR="00E23519" w:rsidRPr="008464D7" w:rsidRDefault="00E23519" w:rsidP="00E23519">
      <w:pPr>
        <w:spacing w:after="0" w:line="240" w:lineRule="auto"/>
        <w:jc w:val="both"/>
        <w:rPr>
          <w:rFonts w:ascii="Arial" w:hAnsi="Arial" w:cs="Arial"/>
          <w:sz w:val="24"/>
          <w:szCs w:val="24"/>
        </w:rPr>
      </w:pPr>
      <w:r w:rsidRPr="008464D7">
        <w:rPr>
          <w:rFonts w:ascii="Arial" w:hAnsi="Arial" w:cs="Arial"/>
          <w:sz w:val="24"/>
          <w:szCs w:val="24"/>
        </w:rPr>
        <w:t>La actividad económica mundial registró resultados mixtos durante la segunda mitad de 2015 y la primera mitad de 2016. En países avanzados, Estados Unidos creció a un ritmo moderado durante la segunda mitad de 2015 y perdió dinamismo en la primera parte de 2016, debido principalmente a un deterioro en la inversión. Por otro lado, el mercado laboral estadounidense continuó fortaleciéndose, aunque a un menor ritmo.</w:t>
      </w:r>
    </w:p>
    <w:p w:rsidR="00E23519" w:rsidRPr="008464D7" w:rsidRDefault="00E23519" w:rsidP="00E23519">
      <w:pPr>
        <w:spacing w:after="0" w:line="240" w:lineRule="auto"/>
        <w:jc w:val="both"/>
        <w:rPr>
          <w:rFonts w:ascii="Arial" w:hAnsi="Arial" w:cs="Arial"/>
          <w:sz w:val="24"/>
          <w:szCs w:val="24"/>
        </w:rPr>
      </w:pPr>
    </w:p>
    <w:p w:rsidR="00E23519" w:rsidRPr="008464D7" w:rsidRDefault="00E23519" w:rsidP="00E23519">
      <w:pPr>
        <w:spacing w:after="0" w:line="240" w:lineRule="auto"/>
        <w:jc w:val="both"/>
        <w:rPr>
          <w:rFonts w:ascii="Arial" w:hAnsi="Arial" w:cs="Arial"/>
          <w:sz w:val="24"/>
          <w:szCs w:val="24"/>
        </w:rPr>
      </w:pPr>
      <w:r w:rsidRPr="008464D7">
        <w:rPr>
          <w:rFonts w:ascii="Arial" w:hAnsi="Arial" w:cs="Arial"/>
          <w:sz w:val="24"/>
          <w:szCs w:val="24"/>
        </w:rPr>
        <w:t xml:space="preserve">En la zona del euro, la economía continuó recuperándose a un ritmo moderado durante la segunda mitad de 2015 y la primera mitad de 2016, impulsada por la caída en los precios del petróleo y los mayores estímulos monetarios implementados por el Banco Central Europeo (BCE). Por otro lado, la economía japonesa aumentó su dinamismo económico a principios de 2016, resultado de una recuperación del consumo privado. Como consecuencia de los resultados divergentes en términos del mercado laboral, crecimiento económico e inflación en estas regiones, continuó la divergencia en las políticas monetarias de las principales economías avanzadas. Por un lado, existe incertidumbre sobre la normalización de la política monetaria de la Reserva Federal de los Estados Unidos (FED, por sus siglas en inglés), mientras que en Europa y Japón el esfuerzo de los bancos centrales, enfocado en asegurar el retorno a los niveles de inflación objetivo, los ha llevado a implementar políticas monetarias acomodaticias. </w:t>
      </w:r>
    </w:p>
    <w:p w:rsidR="00E23519" w:rsidRPr="008464D7" w:rsidRDefault="00E23519" w:rsidP="00E23519">
      <w:pPr>
        <w:spacing w:after="0" w:line="240" w:lineRule="auto"/>
        <w:jc w:val="both"/>
        <w:rPr>
          <w:rFonts w:ascii="Arial" w:hAnsi="Arial" w:cs="Arial"/>
          <w:sz w:val="24"/>
          <w:szCs w:val="24"/>
        </w:rPr>
      </w:pPr>
    </w:p>
    <w:p w:rsidR="00E23519" w:rsidRPr="008464D7" w:rsidRDefault="00E23519" w:rsidP="00E23519">
      <w:pPr>
        <w:spacing w:after="0" w:line="240" w:lineRule="auto"/>
        <w:jc w:val="both"/>
        <w:rPr>
          <w:rFonts w:ascii="Arial" w:hAnsi="Arial" w:cs="Arial"/>
          <w:sz w:val="24"/>
          <w:szCs w:val="24"/>
        </w:rPr>
      </w:pPr>
      <w:r w:rsidRPr="008464D7">
        <w:rPr>
          <w:rFonts w:ascii="Arial" w:hAnsi="Arial" w:cs="Arial"/>
          <w:sz w:val="24"/>
          <w:szCs w:val="24"/>
        </w:rPr>
        <w:t>Por su parte, las economías emergentes continuaron perdiendo dinamismo a finales de 2015 y durante la primera mitad de 2016. En general, esta pérdida de dinamismo fue resultado de la desaceleración de la economía china y la caída en los precios de las materias primas.</w:t>
      </w:r>
    </w:p>
    <w:p w:rsidR="00E23519" w:rsidRPr="008464D7" w:rsidRDefault="00E23519" w:rsidP="00E23519">
      <w:pPr>
        <w:spacing w:after="0" w:line="240" w:lineRule="auto"/>
        <w:jc w:val="both"/>
        <w:rPr>
          <w:rFonts w:ascii="Arial" w:hAnsi="Arial" w:cs="Arial"/>
          <w:sz w:val="24"/>
          <w:szCs w:val="24"/>
        </w:rPr>
      </w:pPr>
    </w:p>
    <w:p w:rsidR="00E23519" w:rsidRDefault="00E23519" w:rsidP="00E23519">
      <w:pPr>
        <w:spacing w:after="0" w:line="240" w:lineRule="auto"/>
        <w:jc w:val="both"/>
        <w:rPr>
          <w:rFonts w:ascii="Arial" w:hAnsi="Arial" w:cs="Arial"/>
          <w:sz w:val="24"/>
          <w:szCs w:val="24"/>
        </w:rPr>
      </w:pPr>
      <w:r w:rsidRPr="008464D7">
        <w:rPr>
          <w:rFonts w:ascii="Arial" w:hAnsi="Arial" w:cs="Arial"/>
          <w:sz w:val="24"/>
          <w:szCs w:val="24"/>
        </w:rPr>
        <w:t>Durante la segunda mitad de 2015 y en los primeros ocho meses de 2016, se han observado episodios de alta volatilidad en los mercados financieros, resultado de la incertidumbre respecto a la normalización de la política monetaria de la FED, la desaceleración en las economías emergentes, particularmente China, así como la persistente caída en los precios internacionales del petróleo. No obstante, se observó una reducción en la volatilidad desde febrero de 2016 ante las acciones de los principales bancos centrales en el mundo, el repunte en los precios del petróleo, así como una estabilización de la economía china. Posteriormente, en junio de 2016, se dio un nuevo episodio transitorio de volatilidad tras conocerse el resultado del referendo del Reino Unido a favor de su salida de la Unión Europea.</w:t>
      </w:r>
    </w:p>
    <w:p w:rsidR="00E23519" w:rsidRPr="008464D7" w:rsidRDefault="00E23519" w:rsidP="00E23519">
      <w:pPr>
        <w:spacing w:after="0" w:line="240" w:lineRule="auto"/>
        <w:jc w:val="both"/>
        <w:rPr>
          <w:rFonts w:ascii="Arial" w:hAnsi="Arial" w:cs="Arial"/>
          <w:sz w:val="24"/>
          <w:szCs w:val="24"/>
        </w:rPr>
      </w:pPr>
      <w:r w:rsidRPr="008464D7">
        <w:rPr>
          <w:rFonts w:ascii="Arial" w:hAnsi="Arial" w:cs="Arial"/>
          <w:sz w:val="24"/>
          <w:szCs w:val="24"/>
        </w:rPr>
        <w:lastRenderedPageBreak/>
        <w:t>El precio del petróleo ha registrado un comportamiento volátil ante el desequilibrio entre la oferta y demanda de crudo a nivel global. Después de alcanzar, en los primeros meses de 2016, su nivel más bajo desde el 2003, el precio ha presentado una recuperación importante, derivada de las revisiones al alza de la demanda global, numerosos recortes no planeados en la producción, la menor producción de Estados Unidos; y más recientemente, la creciente expectativa sobre un acuerdo para congelar la producción de los miembros de la Organización de Países Exportadores de Petróleo (OPEP) y Rusia en su reunión extraoficial de septiembre.</w:t>
      </w:r>
    </w:p>
    <w:p w:rsidR="00E23519" w:rsidRPr="008464D7" w:rsidRDefault="00E23519" w:rsidP="00E23519">
      <w:pPr>
        <w:spacing w:line="240" w:lineRule="auto"/>
        <w:rPr>
          <w:rFonts w:ascii="Arial" w:hAnsi="Arial" w:cs="Arial"/>
          <w:b/>
          <w:sz w:val="24"/>
          <w:szCs w:val="24"/>
        </w:rPr>
      </w:pPr>
    </w:p>
    <w:p w:rsidR="00E23519" w:rsidRPr="008464D7" w:rsidRDefault="00E23519" w:rsidP="00E23519">
      <w:pPr>
        <w:spacing w:line="240" w:lineRule="auto"/>
        <w:rPr>
          <w:rFonts w:ascii="Arial" w:hAnsi="Arial" w:cs="Arial"/>
          <w:b/>
          <w:sz w:val="24"/>
          <w:szCs w:val="24"/>
        </w:rPr>
      </w:pPr>
      <w:r w:rsidRPr="008464D7">
        <w:rPr>
          <w:rFonts w:ascii="Arial" w:hAnsi="Arial" w:cs="Arial"/>
          <w:b/>
          <w:sz w:val="24"/>
          <w:szCs w:val="24"/>
        </w:rPr>
        <w:t>I.3.1.2. Entorno Nacional.</w:t>
      </w:r>
    </w:p>
    <w:p w:rsidR="00E23519" w:rsidRPr="008464D7" w:rsidRDefault="00E23519" w:rsidP="00E23519">
      <w:pPr>
        <w:spacing w:after="0" w:line="240" w:lineRule="auto"/>
        <w:jc w:val="both"/>
        <w:rPr>
          <w:rFonts w:ascii="Arial" w:hAnsi="Arial" w:cs="Arial"/>
          <w:sz w:val="24"/>
          <w:szCs w:val="24"/>
        </w:rPr>
      </w:pPr>
      <w:r w:rsidRPr="008464D7">
        <w:rPr>
          <w:rFonts w:ascii="Arial" w:hAnsi="Arial" w:cs="Arial"/>
          <w:sz w:val="24"/>
          <w:szCs w:val="24"/>
        </w:rPr>
        <w:t>Considerando el panorama económico internacional prevaleciente, así como su prospectiva, el Paquete Económico 2017 presentado por el Ejecutivo Federal al H. Congreso de la Unión preserva la estabilidad macroeconómica y está diseñado para hacer frente a los retos en las finanzas públicas, y considera diferentes aspectos entre los que sobresalen los que a continuación se enuncian:</w:t>
      </w:r>
    </w:p>
    <w:p w:rsidR="00E23519" w:rsidRPr="008464D7" w:rsidRDefault="00E23519" w:rsidP="00E23519">
      <w:pPr>
        <w:spacing w:after="0" w:line="240" w:lineRule="auto"/>
        <w:jc w:val="both"/>
        <w:rPr>
          <w:rFonts w:ascii="Arial" w:hAnsi="Arial" w:cs="Arial"/>
          <w:sz w:val="24"/>
          <w:szCs w:val="24"/>
        </w:rPr>
      </w:pPr>
    </w:p>
    <w:p w:rsidR="00E23519" w:rsidRPr="008464D7" w:rsidRDefault="00E23519" w:rsidP="00E23519">
      <w:pPr>
        <w:spacing w:after="0" w:line="240" w:lineRule="auto"/>
        <w:jc w:val="both"/>
        <w:rPr>
          <w:rFonts w:ascii="Arial" w:hAnsi="Arial" w:cs="Arial"/>
          <w:b/>
          <w:sz w:val="24"/>
          <w:szCs w:val="24"/>
        </w:rPr>
      </w:pPr>
      <w:r w:rsidRPr="008464D7">
        <w:rPr>
          <w:rFonts w:ascii="Arial" w:hAnsi="Arial" w:cs="Arial"/>
          <w:b/>
          <w:sz w:val="24"/>
          <w:szCs w:val="24"/>
        </w:rPr>
        <w:t>Evolución de la inflación.</w:t>
      </w:r>
    </w:p>
    <w:p w:rsidR="00E23519" w:rsidRPr="008464D7" w:rsidRDefault="00E23519" w:rsidP="00E23519">
      <w:pPr>
        <w:spacing w:after="0" w:line="240" w:lineRule="auto"/>
        <w:jc w:val="both"/>
        <w:rPr>
          <w:rFonts w:ascii="Arial" w:hAnsi="Arial" w:cs="Arial"/>
          <w:b/>
          <w:sz w:val="24"/>
          <w:szCs w:val="24"/>
        </w:rPr>
      </w:pPr>
    </w:p>
    <w:p w:rsidR="00E23519" w:rsidRPr="008464D7" w:rsidRDefault="00E23519" w:rsidP="00E23519">
      <w:pPr>
        <w:spacing w:after="0" w:line="240" w:lineRule="auto"/>
        <w:jc w:val="both"/>
        <w:rPr>
          <w:rFonts w:ascii="Arial" w:hAnsi="Arial" w:cs="Arial"/>
          <w:sz w:val="24"/>
          <w:szCs w:val="24"/>
        </w:rPr>
      </w:pPr>
      <w:r w:rsidRPr="008464D7">
        <w:rPr>
          <w:rFonts w:ascii="Arial" w:hAnsi="Arial" w:cs="Arial"/>
          <w:sz w:val="24"/>
          <w:szCs w:val="24"/>
        </w:rPr>
        <w:t>En 2016, las expectativas inflacionarias de corto plazo son cercanas a la meta puntual de inflación del Banco de México. Por su parte, las expectativas de inflación de mediano y largo plazos se mantienen estables y firmemente ancladas a la meta del Banco de México (3.0 por ciento +/- 1.0 por ciento).</w:t>
      </w:r>
    </w:p>
    <w:p w:rsidR="00E23519" w:rsidRPr="008464D7" w:rsidRDefault="00E23519" w:rsidP="00E23519">
      <w:pPr>
        <w:spacing w:after="0" w:line="240" w:lineRule="auto"/>
        <w:jc w:val="both"/>
        <w:rPr>
          <w:rFonts w:ascii="Arial" w:hAnsi="Arial" w:cs="Arial"/>
          <w:sz w:val="24"/>
          <w:szCs w:val="24"/>
        </w:rPr>
      </w:pPr>
    </w:p>
    <w:p w:rsidR="00E23519" w:rsidRPr="008464D7" w:rsidRDefault="00E23519" w:rsidP="00E23519">
      <w:pPr>
        <w:spacing w:after="0" w:line="240" w:lineRule="auto"/>
        <w:jc w:val="both"/>
        <w:rPr>
          <w:rFonts w:ascii="Arial" w:hAnsi="Arial" w:cs="Arial"/>
          <w:b/>
          <w:sz w:val="24"/>
          <w:szCs w:val="24"/>
        </w:rPr>
      </w:pPr>
      <w:r w:rsidRPr="008464D7">
        <w:rPr>
          <w:rFonts w:ascii="Arial" w:hAnsi="Arial" w:cs="Arial"/>
          <w:b/>
          <w:sz w:val="24"/>
          <w:szCs w:val="24"/>
        </w:rPr>
        <w:t>Política Fiscal 2017.</w:t>
      </w:r>
    </w:p>
    <w:p w:rsidR="00E23519" w:rsidRPr="008464D7" w:rsidRDefault="00E23519" w:rsidP="00E23519">
      <w:pPr>
        <w:spacing w:after="0" w:line="240" w:lineRule="auto"/>
        <w:jc w:val="both"/>
        <w:rPr>
          <w:rFonts w:ascii="Arial" w:hAnsi="Arial" w:cs="Arial"/>
          <w:b/>
          <w:sz w:val="24"/>
          <w:szCs w:val="24"/>
        </w:rPr>
      </w:pPr>
    </w:p>
    <w:p w:rsidR="00E23519" w:rsidRDefault="00E23519" w:rsidP="00E23519">
      <w:pPr>
        <w:spacing w:after="0" w:line="240" w:lineRule="auto"/>
        <w:jc w:val="both"/>
        <w:rPr>
          <w:rFonts w:ascii="Arial" w:hAnsi="Arial" w:cs="Arial"/>
          <w:sz w:val="24"/>
          <w:szCs w:val="24"/>
        </w:rPr>
      </w:pPr>
      <w:r w:rsidRPr="008464D7">
        <w:rPr>
          <w:rFonts w:ascii="Arial" w:hAnsi="Arial" w:cs="Arial"/>
          <w:sz w:val="24"/>
          <w:szCs w:val="24"/>
        </w:rPr>
        <w:t>El Paquete Económico para 2017 presenta una estrategia macroeconómica y fiscal con el objetivo de preservar la estabilidad macroeconómica como política de Estado, enfatizando las acciones que permitirán mitigar los riesgos del contexto económico internacional que tienen un impacto en las finanzas públicas.</w:t>
      </w:r>
    </w:p>
    <w:p w:rsidR="00E23519" w:rsidRPr="008464D7" w:rsidRDefault="00E23519" w:rsidP="00E23519">
      <w:pPr>
        <w:spacing w:after="0" w:line="240" w:lineRule="auto"/>
        <w:jc w:val="both"/>
        <w:rPr>
          <w:rFonts w:ascii="Arial" w:hAnsi="Arial" w:cs="Arial"/>
          <w:sz w:val="24"/>
          <w:szCs w:val="24"/>
        </w:rPr>
      </w:pPr>
    </w:p>
    <w:p w:rsidR="00E23519" w:rsidRPr="008464D7" w:rsidRDefault="00E23519" w:rsidP="00E23519">
      <w:pPr>
        <w:spacing w:after="0" w:line="240" w:lineRule="auto"/>
        <w:jc w:val="both"/>
        <w:rPr>
          <w:rFonts w:ascii="Arial" w:hAnsi="Arial" w:cs="Arial"/>
          <w:sz w:val="24"/>
          <w:szCs w:val="24"/>
        </w:rPr>
      </w:pPr>
      <w:r w:rsidRPr="008464D7">
        <w:rPr>
          <w:rFonts w:ascii="Arial" w:hAnsi="Arial" w:cs="Arial"/>
          <w:sz w:val="24"/>
          <w:szCs w:val="24"/>
        </w:rPr>
        <w:t>En primer lugar, se plantea que las acciones necesarias para cumplir con el proceso de consolidación fiscal tendrán que descansar en reducciones del gasto programable, ya que no se recurrirá a un mayor endeudamiento y no se contemplan modificaciones al marco fiscal con fines recaudatorios. En segundo lugar, se proponen supuestos prudentes y realistas para las estimaciones de ingresos.  Se plantea utilizar un precio de 42 Dólares por Barril para las estimaciones de finanzas públicas.</w:t>
      </w:r>
    </w:p>
    <w:p w:rsidR="00E23519" w:rsidRPr="008464D7" w:rsidRDefault="00E23519" w:rsidP="00E23519">
      <w:pPr>
        <w:spacing w:after="0" w:line="240" w:lineRule="auto"/>
        <w:jc w:val="both"/>
        <w:rPr>
          <w:rFonts w:ascii="Arial" w:hAnsi="Arial" w:cs="Arial"/>
          <w:sz w:val="24"/>
          <w:szCs w:val="24"/>
        </w:rPr>
      </w:pPr>
    </w:p>
    <w:p w:rsidR="00E23519" w:rsidRPr="008464D7" w:rsidRDefault="00E23519" w:rsidP="00E23519">
      <w:pPr>
        <w:spacing w:after="0" w:line="240" w:lineRule="auto"/>
        <w:jc w:val="both"/>
        <w:rPr>
          <w:rFonts w:ascii="Arial" w:hAnsi="Arial" w:cs="Arial"/>
          <w:sz w:val="24"/>
          <w:szCs w:val="24"/>
        </w:rPr>
      </w:pPr>
      <w:r w:rsidRPr="008464D7">
        <w:rPr>
          <w:rFonts w:ascii="Arial" w:hAnsi="Arial" w:cs="Arial"/>
          <w:sz w:val="24"/>
          <w:szCs w:val="24"/>
        </w:rPr>
        <w:lastRenderedPageBreak/>
        <w:t>En cuanto a la política de ingresos para 2017, no propone la creación de nuevos impuestos, ni incrementar las tasas de los ya existentes, o cualquier otra modificación que resulte en aumentos de la carga tributaria de los contribuyentes.</w:t>
      </w:r>
    </w:p>
    <w:p w:rsidR="00E23519" w:rsidRPr="008464D7" w:rsidRDefault="00E23519" w:rsidP="00E23519">
      <w:pPr>
        <w:spacing w:after="0" w:line="240" w:lineRule="auto"/>
        <w:jc w:val="both"/>
        <w:rPr>
          <w:rFonts w:ascii="Arial" w:hAnsi="Arial" w:cs="Arial"/>
          <w:b/>
          <w:sz w:val="24"/>
          <w:szCs w:val="24"/>
        </w:rPr>
      </w:pPr>
    </w:p>
    <w:p w:rsidR="00E23519" w:rsidRPr="008464D7" w:rsidRDefault="00E23519" w:rsidP="00E23519">
      <w:pPr>
        <w:spacing w:after="0" w:line="240" w:lineRule="auto"/>
        <w:jc w:val="both"/>
        <w:rPr>
          <w:rFonts w:ascii="Arial" w:hAnsi="Arial" w:cs="Arial"/>
          <w:b/>
          <w:sz w:val="24"/>
          <w:szCs w:val="24"/>
        </w:rPr>
      </w:pPr>
      <w:r w:rsidRPr="008464D7">
        <w:rPr>
          <w:rFonts w:ascii="Arial" w:hAnsi="Arial" w:cs="Arial"/>
          <w:b/>
          <w:sz w:val="24"/>
          <w:szCs w:val="24"/>
        </w:rPr>
        <w:t xml:space="preserve">Política de Gasto. </w:t>
      </w:r>
    </w:p>
    <w:p w:rsidR="00E23519" w:rsidRPr="008464D7" w:rsidRDefault="00E23519" w:rsidP="00E23519">
      <w:pPr>
        <w:spacing w:after="0" w:line="240" w:lineRule="auto"/>
        <w:jc w:val="both"/>
        <w:rPr>
          <w:rFonts w:ascii="Arial" w:hAnsi="Arial" w:cs="Arial"/>
          <w:b/>
          <w:sz w:val="24"/>
          <w:szCs w:val="24"/>
        </w:rPr>
      </w:pPr>
    </w:p>
    <w:p w:rsidR="00E23519" w:rsidRPr="008464D7" w:rsidRDefault="00E23519" w:rsidP="00E23519">
      <w:pPr>
        <w:spacing w:after="0" w:line="240" w:lineRule="auto"/>
        <w:jc w:val="both"/>
        <w:rPr>
          <w:rFonts w:ascii="Arial" w:hAnsi="Arial" w:cs="Arial"/>
          <w:sz w:val="24"/>
          <w:szCs w:val="24"/>
        </w:rPr>
      </w:pPr>
      <w:r w:rsidRPr="008464D7">
        <w:rPr>
          <w:rFonts w:ascii="Arial" w:hAnsi="Arial" w:cs="Arial"/>
          <w:sz w:val="24"/>
          <w:szCs w:val="24"/>
        </w:rPr>
        <w:t>Considerando el diagnóstico de la evolución de las finanzas públicas se observa la existencia de retos que deben atenderse desde la perspectiva del gasto. Así, el PPEF 2017 representa no sólo la consolidación del esfuerzo de reingeniería del gasto público, sino también la contención del gasto en servicios personales y la disminución de los gastos de operación, así como la adopción de alternativas de financiamiento, en especial en materia de inversión pública, como las APP.</w:t>
      </w:r>
    </w:p>
    <w:p w:rsidR="00E23519" w:rsidRPr="008464D7" w:rsidRDefault="00E23519" w:rsidP="00E23519">
      <w:pPr>
        <w:spacing w:after="0" w:line="240" w:lineRule="auto"/>
        <w:jc w:val="both"/>
        <w:rPr>
          <w:rFonts w:ascii="Arial" w:hAnsi="Arial" w:cs="Arial"/>
          <w:sz w:val="24"/>
          <w:szCs w:val="24"/>
        </w:rPr>
      </w:pPr>
    </w:p>
    <w:p w:rsidR="00E23519" w:rsidRPr="008464D7" w:rsidRDefault="00E23519" w:rsidP="00E23519">
      <w:pPr>
        <w:spacing w:after="0" w:line="240" w:lineRule="auto"/>
        <w:jc w:val="both"/>
        <w:rPr>
          <w:rFonts w:ascii="Arial" w:hAnsi="Arial" w:cs="Arial"/>
          <w:sz w:val="24"/>
          <w:szCs w:val="24"/>
        </w:rPr>
      </w:pPr>
      <w:r w:rsidRPr="008464D7">
        <w:rPr>
          <w:rFonts w:ascii="Arial" w:hAnsi="Arial" w:cs="Arial"/>
          <w:sz w:val="24"/>
          <w:szCs w:val="24"/>
        </w:rPr>
        <w:t>Ante esto, el escenario planteado en el PPEF 2017 se basa principalmente en cuatro elementos: i) contención de los recursos destinados a servicios personales; ii) reducción en los gastos de operación; iii) privilegiar programas que contribuyen a la reducción de la pobreza,</w:t>
      </w:r>
      <w:r>
        <w:rPr>
          <w:rFonts w:ascii="Arial" w:hAnsi="Arial" w:cs="Arial"/>
          <w:sz w:val="24"/>
          <w:szCs w:val="24"/>
        </w:rPr>
        <w:t xml:space="preserve"> y iv)</w:t>
      </w:r>
      <w:r w:rsidRPr="008464D7">
        <w:rPr>
          <w:rFonts w:ascii="Arial" w:hAnsi="Arial" w:cs="Arial"/>
          <w:sz w:val="24"/>
          <w:szCs w:val="24"/>
        </w:rPr>
        <w:t xml:space="preserve"> la priorización de la inversión productiva sobre la administrativa.</w:t>
      </w:r>
    </w:p>
    <w:p w:rsidR="00E23519" w:rsidRPr="008464D7" w:rsidRDefault="00E23519" w:rsidP="00E23519">
      <w:pPr>
        <w:spacing w:after="0" w:line="240" w:lineRule="auto"/>
        <w:jc w:val="both"/>
        <w:rPr>
          <w:rFonts w:ascii="Arial" w:hAnsi="Arial" w:cs="Arial"/>
          <w:sz w:val="24"/>
          <w:szCs w:val="24"/>
        </w:rPr>
      </w:pPr>
    </w:p>
    <w:p w:rsidR="00E23519" w:rsidRPr="008464D7" w:rsidRDefault="00E23519" w:rsidP="00E23519">
      <w:pPr>
        <w:spacing w:after="0" w:line="240" w:lineRule="auto"/>
        <w:jc w:val="both"/>
        <w:rPr>
          <w:rFonts w:ascii="Arial" w:hAnsi="Arial" w:cs="Arial"/>
          <w:sz w:val="24"/>
          <w:szCs w:val="24"/>
        </w:rPr>
      </w:pPr>
      <w:r w:rsidRPr="008464D7">
        <w:rPr>
          <w:rFonts w:ascii="Arial" w:hAnsi="Arial" w:cs="Arial"/>
          <w:sz w:val="24"/>
          <w:szCs w:val="24"/>
        </w:rPr>
        <w:t>Asimismo, renueva y maximiza el compromiso del Gobierno de la República con la Transparencia Presupuestaria.</w:t>
      </w:r>
    </w:p>
    <w:p w:rsidR="00E23519" w:rsidRPr="008464D7" w:rsidRDefault="00E23519" w:rsidP="00E23519">
      <w:pPr>
        <w:spacing w:after="0" w:line="240" w:lineRule="auto"/>
        <w:jc w:val="both"/>
        <w:rPr>
          <w:rFonts w:ascii="Arial" w:hAnsi="Arial" w:cs="Arial"/>
          <w:sz w:val="24"/>
          <w:szCs w:val="24"/>
        </w:rPr>
      </w:pPr>
    </w:p>
    <w:p w:rsidR="00E23519" w:rsidRPr="008464D7" w:rsidRDefault="00E23519" w:rsidP="00E23519">
      <w:pPr>
        <w:spacing w:after="0" w:line="240" w:lineRule="auto"/>
        <w:jc w:val="both"/>
        <w:rPr>
          <w:rFonts w:ascii="Arial" w:hAnsi="Arial" w:cs="Arial"/>
          <w:b/>
          <w:sz w:val="24"/>
          <w:szCs w:val="24"/>
        </w:rPr>
      </w:pPr>
      <w:r w:rsidRPr="008464D7">
        <w:rPr>
          <w:rFonts w:ascii="Arial" w:hAnsi="Arial" w:cs="Arial"/>
          <w:b/>
          <w:sz w:val="24"/>
          <w:szCs w:val="24"/>
        </w:rPr>
        <w:t xml:space="preserve">Perspectivas de finanzas públicas para 2017. </w:t>
      </w:r>
    </w:p>
    <w:p w:rsidR="00E23519" w:rsidRPr="008464D7" w:rsidRDefault="00E23519" w:rsidP="00E23519">
      <w:pPr>
        <w:spacing w:after="0" w:line="240" w:lineRule="auto"/>
        <w:jc w:val="both"/>
        <w:rPr>
          <w:rFonts w:ascii="Arial" w:hAnsi="Arial" w:cs="Arial"/>
          <w:b/>
          <w:sz w:val="24"/>
          <w:szCs w:val="24"/>
        </w:rPr>
      </w:pPr>
    </w:p>
    <w:p w:rsidR="00E23519" w:rsidRDefault="00E23519" w:rsidP="00E23519">
      <w:pPr>
        <w:spacing w:after="0" w:line="240" w:lineRule="auto"/>
        <w:jc w:val="both"/>
        <w:rPr>
          <w:rFonts w:ascii="Arial" w:hAnsi="Arial" w:cs="Arial"/>
          <w:sz w:val="24"/>
          <w:szCs w:val="24"/>
        </w:rPr>
      </w:pPr>
      <w:r w:rsidRPr="008464D7">
        <w:rPr>
          <w:rFonts w:ascii="Arial" w:hAnsi="Arial" w:cs="Arial"/>
          <w:sz w:val="24"/>
          <w:szCs w:val="24"/>
        </w:rPr>
        <w:t>El Paquete Económico para 2017 refleja el compromiso del Ejecutivo Federal de continuar con un manejo responsable de las finanzas públicas para promover la estabilidad económica. Asimismo, la propuesta de la Iniciativa de la Ley de Ingresos de la Federación  así como el PPEF 2017 mantienen el compromiso de no aumentar impuestos y de no recurrir a un mayor endeudamiento ante la previsión de menores ingresos. En consecuencia, para continuar con la trayectoria de consolidación fiscal comprometida y que culminará en 2018, el esfuerzo recaerá en ajustes en el gasto público.</w:t>
      </w:r>
    </w:p>
    <w:p w:rsidR="00E23519" w:rsidRPr="008464D7" w:rsidRDefault="00E23519" w:rsidP="00E23519">
      <w:pPr>
        <w:spacing w:after="0" w:line="240" w:lineRule="auto"/>
        <w:jc w:val="both"/>
        <w:rPr>
          <w:rFonts w:ascii="Arial" w:hAnsi="Arial" w:cs="Arial"/>
          <w:sz w:val="24"/>
          <w:szCs w:val="24"/>
        </w:rPr>
      </w:pPr>
    </w:p>
    <w:p w:rsidR="00E23519" w:rsidRPr="008464D7" w:rsidRDefault="00E23519" w:rsidP="00E23519">
      <w:pPr>
        <w:spacing w:line="240" w:lineRule="auto"/>
        <w:jc w:val="both"/>
        <w:rPr>
          <w:rFonts w:ascii="Arial" w:hAnsi="Arial" w:cs="Arial"/>
          <w:sz w:val="24"/>
          <w:szCs w:val="24"/>
        </w:rPr>
      </w:pPr>
      <w:r w:rsidRPr="008464D7">
        <w:rPr>
          <w:rFonts w:ascii="Arial" w:hAnsi="Arial" w:cs="Arial"/>
          <w:sz w:val="24"/>
          <w:szCs w:val="24"/>
        </w:rPr>
        <w:t>Por primera vez desde 2008, se prevé tener un superávit primario de 0.4 por ciento del PIB</w:t>
      </w:r>
      <w:r>
        <w:rPr>
          <w:rFonts w:ascii="Arial" w:hAnsi="Arial" w:cs="Arial"/>
          <w:sz w:val="24"/>
          <w:szCs w:val="24"/>
        </w:rPr>
        <w:t>.</w:t>
      </w:r>
    </w:p>
    <w:p w:rsidR="00E23519" w:rsidRPr="008464D7" w:rsidRDefault="00E23519" w:rsidP="00E23519">
      <w:pPr>
        <w:spacing w:line="240" w:lineRule="auto"/>
        <w:jc w:val="center"/>
        <w:rPr>
          <w:rFonts w:ascii="Arial" w:hAnsi="Arial" w:cs="Arial"/>
          <w:sz w:val="24"/>
          <w:szCs w:val="24"/>
        </w:rPr>
      </w:pPr>
      <w:r w:rsidRPr="00B4344A">
        <w:rPr>
          <w:noProof/>
        </w:rPr>
        <w:lastRenderedPageBreak/>
        <w:drawing>
          <wp:inline distT="0" distB="0" distL="0" distR="0" wp14:anchorId="47463AC1" wp14:editId="6C48DDF2">
            <wp:extent cx="5162550" cy="3686175"/>
            <wp:effectExtent l="0" t="0" r="0"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62550" cy="3686175"/>
                    </a:xfrm>
                    <a:prstGeom prst="rect">
                      <a:avLst/>
                    </a:prstGeom>
                    <a:noFill/>
                    <a:ln>
                      <a:noFill/>
                    </a:ln>
                  </pic:spPr>
                </pic:pic>
              </a:graphicData>
            </a:graphic>
          </wp:inline>
        </w:drawing>
      </w:r>
    </w:p>
    <w:p w:rsidR="00E23519" w:rsidRPr="008464D7" w:rsidRDefault="00E23519" w:rsidP="00E23519">
      <w:pPr>
        <w:spacing w:after="0" w:line="240" w:lineRule="auto"/>
        <w:jc w:val="both"/>
        <w:rPr>
          <w:rFonts w:ascii="Arial" w:hAnsi="Arial" w:cs="Arial"/>
          <w:sz w:val="24"/>
          <w:szCs w:val="24"/>
        </w:rPr>
      </w:pPr>
      <w:r w:rsidRPr="008464D7">
        <w:rPr>
          <w:rFonts w:ascii="Arial" w:hAnsi="Arial" w:cs="Arial"/>
          <w:sz w:val="24"/>
          <w:szCs w:val="24"/>
        </w:rPr>
        <w:t>El escenario de finanzas públicas para 2017 se construyó con la integración de los siguientes elementos:</w:t>
      </w:r>
    </w:p>
    <w:p w:rsidR="00E23519" w:rsidRPr="008464D7" w:rsidRDefault="00E23519" w:rsidP="00E23519">
      <w:pPr>
        <w:spacing w:after="0" w:line="240" w:lineRule="auto"/>
        <w:jc w:val="both"/>
        <w:rPr>
          <w:rFonts w:ascii="Arial" w:hAnsi="Arial" w:cs="Arial"/>
          <w:sz w:val="24"/>
          <w:szCs w:val="24"/>
        </w:rPr>
      </w:pPr>
    </w:p>
    <w:p w:rsidR="00E23519" w:rsidRPr="008464D7" w:rsidRDefault="00E23519" w:rsidP="00E23519">
      <w:pPr>
        <w:pStyle w:val="Prrafodelista"/>
        <w:numPr>
          <w:ilvl w:val="0"/>
          <w:numId w:val="35"/>
        </w:numPr>
        <w:spacing w:after="0" w:line="240" w:lineRule="auto"/>
        <w:ind w:left="426"/>
        <w:jc w:val="both"/>
        <w:rPr>
          <w:rFonts w:ascii="Arial" w:hAnsi="Arial" w:cs="Arial"/>
          <w:sz w:val="24"/>
          <w:szCs w:val="24"/>
        </w:rPr>
      </w:pPr>
      <w:r w:rsidRPr="008464D7">
        <w:rPr>
          <w:rFonts w:ascii="Arial" w:hAnsi="Arial" w:cs="Arial"/>
          <w:sz w:val="24"/>
          <w:szCs w:val="24"/>
        </w:rPr>
        <w:t xml:space="preserve">Una estimación de los ingresos presupuestarios congruente con los pronósticos presentados de variables como el crecimiento económico, el precio y plataforma de producción de petróleo, y el tipo de cambio, y </w:t>
      </w:r>
    </w:p>
    <w:p w:rsidR="00E23519" w:rsidRPr="008464D7" w:rsidRDefault="00E23519" w:rsidP="00E23519">
      <w:pPr>
        <w:spacing w:after="0" w:line="240" w:lineRule="auto"/>
        <w:ind w:left="426"/>
        <w:jc w:val="both"/>
        <w:rPr>
          <w:rFonts w:ascii="Arial" w:hAnsi="Arial" w:cs="Arial"/>
          <w:sz w:val="24"/>
          <w:szCs w:val="24"/>
        </w:rPr>
      </w:pPr>
    </w:p>
    <w:p w:rsidR="00E23519" w:rsidRPr="008464D7" w:rsidRDefault="00E23519" w:rsidP="00E23519">
      <w:pPr>
        <w:pStyle w:val="Prrafodelista"/>
        <w:numPr>
          <w:ilvl w:val="0"/>
          <w:numId w:val="35"/>
        </w:numPr>
        <w:spacing w:after="0" w:line="240" w:lineRule="auto"/>
        <w:ind w:left="426"/>
        <w:jc w:val="both"/>
        <w:rPr>
          <w:rFonts w:ascii="Arial" w:hAnsi="Arial" w:cs="Arial"/>
          <w:sz w:val="24"/>
          <w:szCs w:val="24"/>
        </w:rPr>
      </w:pPr>
      <w:r w:rsidRPr="008464D7">
        <w:rPr>
          <w:rFonts w:ascii="Arial" w:hAnsi="Arial" w:cs="Arial"/>
          <w:sz w:val="24"/>
          <w:szCs w:val="24"/>
        </w:rPr>
        <w:t>Una proyección del gasto no programable, que incorpora el efecto de la evolución esperada de la recaudación federal participable, determinada a su vez por los ingresos, así como de los compromisos de pagos inerciales implícitos en el nivel de diferimiento de pagos y la deuda pública, las tasas de interés y el tipo de cambio. De esta forma, el gasto programable se convierte en la variable de ajuste para alcanzar el cumplimiento de las métricas de balance.</w:t>
      </w:r>
    </w:p>
    <w:p w:rsidR="00E23519" w:rsidRPr="008464D7" w:rsidRDefault="00E23519" w:rsidP="00E23519"/>
    <w:p w:rsidR="00E23519" w:rsidRPr="008464D7" w:rsidRDefault="00E23519" w:rsidP="00E23519">
      <w:pPr>
        <w:jc w:val="center"/>
      </w:pPr>
      <w:r w:rsidRPr="008464D7">
        <w:rPr>
          <w:noProof/>
        </w:rPr>
        <w:lastRenderedPageBreak/>
        <w:drawing>
          <wp:inline distT="0" distB="0" distL="0" distR="0" wp14:anchorId="427772F7" wp14:editId="7B8256DA">
            <wp:extent cx="5398805" cy="6828069"/>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29026" cy="6866291"/>
                    </a:xfrm>
                    <a:prstGeom prst="rect">
                      <a:avLst/>
                    </a:prstGeom>
                    <a:noFill/>
                    <a:ln>
                      <a:noFill/>
                    </a:ln>
                  </pic:spPr>
                </pic:pic>
              </a:graphicData>
            </a:graphic>
          </wp:inline>
        </w:drawing>
      </w:r>
    </w:p>
    <w:p w:rsidR="00E23519" w:rsidRPr="008464D7" w:rsidRDefault="00E23519" w:rsidP="00E23519">
      <w:pPr>
        <w:spacing w:line="240" w:lineRule="auto"/>
        <w:jc w:val="both"/>
        <w:rPr>
          <w:rFonts w:ascii="Arial" w:hAnsi="Arial" w:cs="Arial"/>
          <w:b/>
          <w:sz w:val="24"/>
          <w:szCs w:val="24"/>
        </w:rPr>
      </w:pPr>
    </w:p>
    <w:p w:rsidR="00E23519" w:rsidRPr="008464D7" w:rsidRDefault="00E23519" w:rsidP="00E23519">
      <w:pPr>
        <w:spacing w:line="240" w:lineRule="auto"/>
        <w:jc w:val="both"/>
        <w:rPr>
          <w:rFonts w:ascii="Arial" w:hAnsi="Arial" w:cs="Arial"/>
          <w:b/>
          <w:sz w:val="24"/>
          <w:szCs w:val="24"/>
        </w:rPr>
      </w:pPr>
      <w:r w:rsidRPr="008464D7">
        <w:rPr>
          <w:rFonts w:ascii="Arial" w:hAnsi="Arial" w:cs="Arial"/>
          <w:b/>
          <w:sz w:val="24"/>
          <w:szCs w:val="24"/>
        </w:rPr>
        <w:lastRenderedPageBreak/>
        <w:t>Escenario macroeconómico 2018-2022.</w:t>
      </w:r>
    </w:p>
    <w:p w:rsidR="00E23519" w:rsidRPr="008464D7" w:rsidRDefault="00E23519" w:rsidP="00E23519">
      <w:pPr>
        <w:spacing w:line="240" w:lineRule="auto"/>
        <w:jc w:val="both"/>
        <w:rPr>
          <w:rFonts w:ascii="Arial" w:hAnsi="Arial" w:cs="Arial"/>
          <w:sz w:val="24"/>
          <w:szCs w:val="24"/>
        </w:rPr>
      </w:pPr>
      <w:r w:rsidRPr="008464D7">
        <w:rPr>
          <w:rFonts w:ascii="Arial" w:hAnsi="Arial" w:cs="Arial"/>
          <w:sz w:val="24"/>
          <w:szCs w:val="24"/>
        </w:rPr>
        <w:t>Se estima que durante 2018 el PIB de México tenga un crecimiento anual de entre 2.5 y 3.5 por ciento, mientras que en el periodo 2019-2020 éste se ubicaría en un rango de 3 a 4 por ciento y para el periodo 2021-2022 de entre 4 y 5 por ciento.</w:t>
      </w:r>
    </w:p>
    <w:p w:rsidR="00E23519" w:rsidRPr="008464D7" w:rsidRDefault="00E23519" w:rsidP="00E23519">
      <w:pPr>
        <w:spacing w:line="240" w:lineRule="auto"/>
        <w:jc w:val="both"/>
        <w:rPr>
          <w:rFonts w:ascii="Arial" w:hAnsi="Arial" w:cs="Arial"/>
          <w:sz w:val="24"/>
          <w:szCs w:val="24"/>
        </w:rPr>
      </w:pPr>
      <w:r w:rsidRPr="008464D7">
        <w:rPr>
          <w:rFonts w:ascii="Arial" w:hAnsi="Arial" w:cs="Arial"/>
          <w:sz w:val="24"/>
          <w:szCs w:val="24"/>
        </w:rPr>
        <w:t>El escenario macroeconómico de mediano plazo está sujeto a riesgos que podrían modificar las trayectorias anticipadas. Dentro de los riesgos a la baja destacan:</w:t>
      </w:r>
    </w:p>
    <w:p w:rsidR="00E23519" w:rsidRDefault="00E23519" w:rsidP="00E23519">
      <w:pPr>
        <w:pStyle w:val="Prrafodelista"/>
        <w:numPr>
          <w:ilvl w:val="0"/>
          <w:numId w:val="25"/>
        </w:numPr>
        <w:spacing w:line="240" w:lineRule="auto"/>
        <w:jc w:val="both"/>
        <w:rPr>
          <w:rFonts w:ascii="Arial" w:hAnsi="Arial" w:cs="Arial"/>
          <w:sz w:val="24"/>
          <w:szCs w:val="24"/>
        </w:rPr>
      </w:pPr>
      <w:r w:rsidRPr="008464D7">
        <w:rPr>
          <w:rFonts w:ascii="Arial" w:hAnsi="Arial" w:cs="Arial"/>
          <w:sz w:val="24"/>
          <w:szCs w:val="24"/>
          <w:u w:val="single"/>
        </w:rPr>
        <w:t>Un crecimiento económico de Estados Unidos menor que el previsto</w:t>
      </w:r>
      <w:r w:rsidRPr="008464D7">
        <w:rPr>
          <w:rFonts w:ascii="Arial" w:hAnsi="Arial" w:cs="Arial"/>
          <w:b/>
          <w:sz w:val="24"/>
          <w:szCs w:val="24"/>
          <w:u w:val="single"/>
        </w:rPr>
        <w:t>.</w:t>
      </w:r>
      <w:r w:rsidRPr="008464D7">
        <w:rPr>
          <w:rFonts w:ascii="Arial" w:hAnsi="Arial" w:cs="Arial"/>
          <w:sz w:val="24"/>
          <w:szCs w:val="24"/>
        </w:rPr>
        <w:t xml:space="preserve"> En caso de materializarse un menor crecimiento de esa economía, las exportaciones de México aumentarían a tasas menores que las proyectadas. </w:t>
      </w:r>
    </w:p>
    <w:p w:rsidR="00E23519" w:rsidRPr="008464D7" w:rsidRDefault="00E23519" w:rsidP="00E23519">
      <w:pPr>
        <w:pStyle w:val="Prrafodelista"/>
        <w:spacing w:line="240" w:lineRule="auto"/>
        <w:jc w:val="both"/>
        <w:rPr>
          <w:rFonts w:ascii="Arial" w:hAnsi="Arial" w:cs="Arial"/>
          <w:sz w:val="24"/>
          <w:szCs w:val="24"/>
        </w:rPr>
      </w:pPr>
    </w:p>
    <w:p w:rsidR="00E23519" w:rsidRDefault="00E23519" w:rsidP="00E23519">
      <w:pPr>
        <w:pStyle w:val="Prrafodelista"/>
        <w:numPr>
          <w:ilvl w:val="0"/>
          <w:numId w:val="25"/>
        </w:numPr>
        <w:spacing w:line="240" w:lineRule="auto"/>
        <w:jc w:val="both"/>
        <w:rPr>
          <w:rFonts w:ascii="Arial" w:hAnsi="Arial" w:cs="Arial"/>
          <w:sz w:val="24"/>
          <w:szCs w:val="24"/>
        </w:rPr>
      </w:pPr>
      <w:r w:rsidRPr="008464D7">
        <w:rPr>
          <w:rFonts w:ascii="Arial" w:hAnsi="Arial" w:cs="Arial"/>
          <w:sz w:val="24"/>
          <w:szCs w:val="24"/>
          <w:u w:val="single"/>
        </w:rPr>
        <w:t>Condiciones en los mercados financieros internacionales menos</w:t>
      </w:r>
      <w:r w:rsidRPr="008464D7">
        <w:rPr>
          <w:rFonts w:ascii="Arial" w:hAnsi="Arial" w:cs="Arial"/>
          <w:sz w:val="24"/>
          <w:szCs w:val="24"/>
        </w:rPr>
        <w:t xml:space="preserve"> favorables</w:t>
      </w:r>
      <w:r w:rsidRPr="008464D7">
        <w:rPr>
          <w:rFonts w:ascii="Arial" w:hAnsi="Arial" w:cs="Arial"/>
          <w:b/>
          <w:sz w:val="24"/>
          <w:szCs w:val="24"/>
        </w:rPr>
        <w:t>.</w:t>
      </w:r>
      <w:r w:rsidRPr="008464D7">
        <w:rPr>
          <w:rFonts w:ascii="Arial" w:hAnsi="Arial" w:cs="Arial"/>
          <w:sz w:val="24"/>
          <w:szCs w:val="24"/>
        </w:rPr>
        <w:t xml:space="preserve"> Este fenómeno se traduciría en condiciones más restrictivas de financiamiento para los sectores público y privado del país, y en un deterioro en la confianza de consumidores y empresas.</w:t>
      </w:r>
    </w:p>
    <w:p w:rsidR="00E23519" w:rsidRPr="00B4344A" w:rsidRDefault="00E23519" w:rsidP="00E23519">
      <w:pPr>
        <w:pStyle w:val="Prrafodelista"/>
        <w:rPr>
          <w:rFonts w:ascii="Arial" w:hAnsi="Arial" w:cs="Arial"/>
          <w:sz w:val="24"/>
          <w:szCs w:val="24"/>
        </w:rPr>
      </w:pPr>
    </w:p>
    <w:p w:rsidR="00E23519" w:rsidRPr="008464D7" w:rsidRDefault="00E23519" w:rsidP="00E23519">
      <w:pPr>
        <w:pStyle w:val="Prrafodelista"/>
        <w:numPr>
          <w:ilvl w:val="0"/>
          <w:numId w:val="25"/>
        </w:numPr>
        <w:spacing w:line="240" w:lineRule="auto"/>
        <w:jc w:val="both"/>
        <w:rPr>
          <w:rFonts w:ascii="Arial" w:hAnsi="Arial" w:cs="Arial"/>
          <w:sz w:val="24"/>
          <w:szCs w:val="24"/>
        </w:rPr>
      </w:pPr>
      <w:r w:rsidRPr="008464D7">
        <w:rPr>
          <w:rFonts w:ascii="Arial" w:hAnsi="Arial" w:cs="Arial"/>
          <w:sz w:val="24"/>
          <w:szCs w:val="24"/>
          <w:u w:val="single"/>
        </w:rPr>
        <w:t>Precios internacionales del petróleo deprimidos o un bajo dinamismo de la plataforma de producción de petróleo</w:t>
      </w:r>
      <w:r w:rsidRPr="008464D7">
        <w:rPr>
          <w:rFonts w:ascii="Arial" w:hAnsi="Arial" w:cs="Arial"/>
          <w:b/>
          <w:sz w:val="24"/>
          <w:szCs w:val="24"/>
        </w:rPr>
        <w:t>.</w:t>
      </w:r>
      <w:r w:rsidRPr="008464D7">
        <w:rPr>
          <w:rFonts w:ascii="Arial" w:hAnsi="Arial" w:cs="Arial"/>
          <w:sz w:val="24"/>
          <w:szCs w:val="24"/>
        </w:rPr>
        <w:t xml:space="preserve"> Esta situación afectaría adversamente el nivel de ingresos petroleros, generando presiones a las finanzas públicas en el mediano plazo, así como a la tasa de crecimiento potencial de la economía.  </w:t>
      </w:r>
    </w:p>
    <w:p w:rsidR="00E23519" w:rsidRPr="008464D7" w:rsidRDefault="00E23519" w:rsidP="00E23519">
      <w:pPr>
        <w:autoSpaceDE w:val="0"/>
        <w:autoSpaceDN w:val="0"/>
        <w:adjustRightInd w:val="0"/>
        <w:spacing w:before="240" w:after="0" w:line="240" w:lineRule="auto"/>
        <w:jc w:val="both"/>
        <w:rPr>
          <w:rFonts w:ascii="Arial" w:hAnsi="Arial" w:cs="Arial"/>
          <w:b/>
          <w:sz w:val="24"/>
          <w:szCs w:val="24"/>
        </w:rPr>
      </w:pPr>
      <w:r w:rsidRPr="008464D7">
        <w:rPr>
          <w:rFonts w:ascii="Arial" w:hAnsi="Arial" w:cs="Arial"/>
          <w:b/>
          <w:sz w:val="24"/>
          <w:szCs w:val="24"/>
        </w:rPr>
        <w:t>I.3.2. ENTORNO INTERNO</w:t>
      </w:r>
    </w:p>
    <w:p w:rsidR="00E23519" w:rsidRPr="008464D7" w:rsidRDefault="00E23519" w:rsidP="00E23519">
      <w:pPr>
        <w:spacing w:before="240" w:line="240" w:lineRule="auto"/>
        <w:jc w:val="both"/>
        <w:rPr>
          <w:rFonts w:ascii="Arial" w:hAnsi="Arial" w:cs="Arial"/>
          <w:b/>
          <w:sz w:val="24"/>
          <w:szCs w:val="24"/>
        </w:rPr>
      </w:pPr>
      <w:r w:rsidRPr="008464D7">
        <w:rPr>
          <w:rFonts w:ascii="Arial" w:hAnsi="Arial" w:cs="Arial"/>
          <w:b/>
          <w:sz w:val="24"/>
          <w:szCs w:val="24"/>
        </w:rPr>
        <w:t>Panorama Económico de Colima.</w:t>
      </w:r>
    </w:p>
    <w:p w:rsidR="00E23519" w:rsidRPr="008464D7" w:rsidRDefault="00E23519" w:rsidP="00E23519">
      <w:pPr>
        <w:spacing w:line="240" w:lineRule="auto"/>
        <w:jc w:val="both"/>
        <w:rPr>
          <w:rFonts w:ascii="Arial" w:hAnsi="Arial" w:cs="Arial"/>
          <w:sz w:val="24"/>
          <w:szCs w:val="24"/>
        </w:rPr>
      </w:pPr>
      <w:r w:rsidRPr="008464D7">
        <w:rPr>
          <w:rFonts w:ascii="Arial" w:hAnsi="Arial" w:cs="Arial"/>
          <w:sz w:val="24"/>
          <w:szCs w:val="24"/>
        </w:rPr>
        <w:t>Por su ubicación geográfica y su desempeño económico y social, Colima tiene una posición privilegiada en México y un enorme potencial hacia el futuro.</w:t>
      </w:r>
    </w:p>
    <w:p w:rsidR="00E23519" w:rsidRPr="008464D7" w:rsidRDefault="00E23519" w:rsidP="00E23519">
      <w:pPr>
        <w:spacing w:line="240" w:lineRule="auto"/>
        <w:jc w:val="both"/>
        <w:rPr>
          <w:rFonts w:ascii="Arial" w:hAnsi="Arial" w:cs="Arial"/>
          <w:sz w:val="24"/>
          <w:szCs w:val="24"/>
        </w:rPr>
      </w:pPr>
      <w:r w:rsidRPr="008464D7">
        <w:rPr>
          <w:rFonts w:ascii="Arial" w:hAnsi="Arial" w:cs="Arial"/>
          <w:sz w:val="24"/>
          <w:szCs w:val="24"/>
        </w:rPr>
        <w:t>La visión 2021 establecida en el PED</w:t>
      </w:r>
      <w:r>
        <w:rPr>
          <w:rFonts w:ascii="Arial" w:hAnsi="Arial" w:cs="Arial"/>
          <w:sz w:val="24"/>
          <w:szCs w:val="24"/>
        </w:rPr>
        <w:t xml:space="preserve"> 2016-2021</w:t>
      </w:r>
      <w:r w:rsidRPr="008464D7">
        <w:rPr>
          <w:rFonts w:ascii="Arial" w:hAnsi="Arial" w:cs="Arial"/>
          <w:sz w:val="24"/>
          <w:szCs w:val="24"/>
        </w:rPr>
        <w:t xml:space="preserve"> es que Colima sea el estado del país que brinde el mayor bienestar a sus habitantes, con base en la competitividad y sustentabilidad de su economía del conocimiento, que ofrezca más empleos y mejor pagados y que funcione en un círculo virtuoso con el desarrollo social, donde sus habitantes vivan seguros y sin pobreza extrema, dentro de un entorno igualitario. Además de un estado verde y con un gobierno abierto, responsable y austero.</w:t>
      </w:r>
    </w:p>
    <w:p w:rsidR="00E23519" w:rsidRPr="008464D7" w:rsidRDefault="00E23519" w:rsidP="00E23519">
      <w:pPr>
        <w:spacing w:line="240" w:lineRule="auto"/>
        <w:jc w:val="both"/>
        <w:rPr>
          <w:rFonts w:ascii="Arial" w:hAnsi="Arial" w:cs="Arial"/>
          <w:sz w:val="24"/>
          <w:szCs w:val="24"/>
        </w:rPr>
      </w:pPr>
      <w:r w:rsidRPr="008464D7">
        <w:rPr>
          <w:rFonts w:ascii="Arial" w:hAnsi="Arial" w:cs="Arial"/>
          <w:sz w:val="24"/>
          <w:szCs w:val="24"/>
        </w:rPr>
        <w:t xml:space="preserve">Actualmente, la actividad económica tiene tres polos de desarrollo regional: Manzanillo, donde la actividad logística del puerto y, en menor medida, el turismo son las actividades predominantes; Colima con las actividades gubernamentales y </w:t>
      </w:r>
      <w:r w:rsidRPr="008464D7">
        <w:rPr>
          <w:rFonts w:ascii="Arial" w:hAnsi="Arial" w:cs="Arial"/>
          <w:sz w:val="24"/>
          <w:szCs w:val="24"/>
        </w:rPr>
        <w:lastRenderedPageBreak/>
        <w:t>de servicios; y el valle de Tecomán, que aporta una tercera parte de la actividad agrícola estatal.</w:t>
      </w:r>
    </w:p>
    <w:p w:rsidR="00E23519" w:rsidRPr="008464D7" w:rsidRDefault="00E23519" w:rsidP="00E23519">
      <w:pPr>
        <w:spacing w:line="240" w:lineRule="auto"/>
        <w:jc w:val="both"/>
        <w:rPr>
          <w:rFonts w:ascii="Arial" w:hAnsi="Arial" w:cs="Arial"/>
          <w:sz w:val="24"/>
          <w:szCs w:val="24"/>
        </w:rPr>
      </w:pPr>
      <w:r w:rsidRPr="008464D7">
        <w:rPr>
          <w:rFonts w:ascii="Arial" w:hAnsi="Arial" w:cs="Arial"/>
          <w:sz w:val="24"/>
          <w:szCs w:val="24"/>
        </w:rPr>
        <w:t>Colima es la economía 31 del país, con una aportación de 0.60 por ciento al PIB nacional.</w:t>
      </w:r>
    </w:p>
    <w:p w:rsidR="00E23519" w:rsidRPr="008464D7" w:rsidRDefault="00E23519" w:rsidP="00E23519">
      <w:pPr>
        <w:spacing w:line="240" w:lineRule="auto"/>
        <w:jc w:val="both"/>
        <w:rPr>
          <w:rFonts w:ascii="Arial" w:hAnsi="Arial" w:cs="Arial"/>
          <w:sz w:val="24"/>
          <w:szCs w:val="24"/>
        </w:rPr>
      </w:pPr>
      <w:r w:rsidRPr="008464D7">
        <w:rPr>
          <w:rFonts w:ascii="Arial" w:hAnsi="Arial" w:cs="Arial"/>
          <w:sz w:val="24"/>
          <w:szCs w:val="24"/>
        </w:rPr>
        <w:t>Con un PIB de 79,813 millones de pesos (MDP) en 2014, Colima se posiciona como la economía número 31 en el país, con una aportación al PIB total del 0.60%, en términos reales, sólo por encima del estado de Tlaxcala.</w:t>
      </w:r>
    </w:p>
    <w:p w:rsidR="00E23519" w:rsidRPr="008464D7" w:rsidRDefault="00E23519" w:rsidP="00E23519">
      <w:pPr>
        <w:spacing w:line="240" w:lineRule="auto"/>
        <w:jc w:val="both"/>
        <w:rPr>
          <w:rFonts w:ascii="Arial" w:hAnsi="Arial" w:cs="Arial"/>
          <w:sz w:val="24"/>
          <w:szCs w:val="24"/>
        </w:rPr>
      </w:pPr>
      <w:r w:rsidRPr="008464D7">
        <w:rPr>
          <w:rFonts w:ascii="Arial" w:hAnsi="Arial" w:cs="Arial"/>
          <w:sz w:val="24"/>
          <w:szCs w:val="24"/>
        </w:rPr>
        <w:t>La economía de Colima ha mantenido un crecimiento superior al de la economía nacional durante los últimos años.</w:t>
      </w:r>
    </w:p>
    <w:p w:rsidR="00E23519" w:rsidRPr="008464D7" w:rsidRDefault="00E23519" w:rsidP="00E23519">
      <w:pPr>
        <w:spacing w:before="240" w:after="0"/>
        <w:jc w:val="both"/>
        <w:rPr>
          <w:rFonts w:ascii="Arial" w:hAnsi="Arial" w:cs="Arial"/>
          <w:sz w:val="28"/>
          <w:szCs w:val="28"/>
        </w:rPr>
      </w:pPr>
      <w:r w:rsidRPr="008464D7">
        <w:rPr>
          <w:rFonts w:ascii="Arial" w:hAnsi="Arial" w:cs="Arial"/>
          <w:sz w:val="24"/>
          <w:szCs w:val="24"/>
        </w:rPr>
        <w:t>De 2004 a 2015, el PIB del estado creció, en términos reales, a una tasa promedio de 3.3%. Salvo en 2009, durante la crisis económica mundial, el PIB del estado ha crecido cada año desde 2004</w:t>
      </w:r>
    </w:p>
    <w:p w:rsidR="00E23519" w:rsidRPr="008464D7" w:rsidRDefault="008A5921" w:rsidP="00E23519">
      <w:pPr>
        <w:spacing w:line="240" w:lineRule="auto"/>
        <w:jc w:val="center"/>
        <w:rPr>
          <w:rFonts w:ascii="Arial" w:hAnsi="Arial" w:cs="Arial"/>
          <w:sz w:val="24"/>
          <w:szCs w:val="24"/>
        </w:rPr>
      </w:pPr>
      <w:r>
        <w:rPr>
          <w:rFonts w:ascii="Arial" w:hAnsi="Arial" w:cs="Arial"/>
          <w:noProof/>
          <w:sz w:val="24"/>
          <w:szCs w:val="24"/>
        </w:rPr>
        <w:drawing>
          <wp:inline distT="0" distB="0" distL="0" distR="0" wp14:anchorId="085C4E4B">
            <wp:extent cx="4358245" cy="3115674"/>
            <wp:effectExtent l="0" t="0" r="4445"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95129" cy="3142042"/>
                    </a:xfrm>
                    <a:prstGeom prst="rect">
                      <a:avLst/>
                    </a:prstGeom>
                    <a:noFill/>
                  </pic:spPr>
                </pic:pic>
              </a:graphicData>
            </a:graphic>
          </wp:inline>
        </w:drawing>
      </w:r>
    </w:p>
    <w:p w:rsidR="00E23519" w:rsidRPr="008464D7" w:rsidRDefault="00E23519" w:rsidP="00E23519">
      <w:pPr>
        <w:spacing w:line="240" w:lineRule="auto"/>
        <w:jc w:val="both"/>
        <w:rPr>
          <w:rFonts w:ascii="Arial" w:hAnsi="Arial" w:cs="Arial"/>
          <w:sz w:val="24"/>
          <w:szCs w:val="24"/>
        </w:rPr>
      </w:pPr>
      <w:r w:rsidRPr="008464D7">
        <w:rPr>
          <w:rFonts w:ascii="Arial" w:hAnsi="Arial" w:cs="Arial"/>
          <w:sz w:val="24"/>
          <w:szCs w:val="24"/>
        </w:rPr>
        <w:t>Colima cuenta con 29,273 unidades económicas que representan 0.69% del total nacional, lo que coloca al estado sólo por encima de Baja California Sur con 0.66% y por debajo de Campeche con 0.77%.</w:t>
      </w:r>
    </w:p>
    <w:p w:rsidR="00E23519" w:rsidRDefault="00E23519" w:rsidP="00E23519">
      <w:pPr>
        <w:spacing w:line="240" w:lineRule="auto"/>
        <w:jc w:val="both"/>
        <w:rPr>
          <w:rFonts w:ascii="Arial" w:hAnsi="Arial" w:cs="Arial"/>
          <w:sz w:val="24"/>
          <w:szCs w:val="24"/>
        </w:rPr>
      </w:pPr>
      <w:r w:rsidRPr="008464D7">
        <w:rPr>
          <w:rFonts w:ascii="Arial" w:hAnsi="Arial" w:cs="Arial"/>
          <w:sz w:val="24"/>
          <w:szCs w:val="24"/>
        </w:rPr>
        <w:t xml:space="preserve">Estas unidades económicas generaron una producción bruta total (PBT) de 40,858.58 MDP (0.29% del total nacional) en 2013, un valor agregado censal bruto (VACB) de 18,870.77 MDP (0.32% del total nacional) y una formación bruta de capital fijo (FBCF) de 2,272.47 MDP. Esto sitúa a Colima como el último lugar en el </w:t>
      </w:r>
      <w:r w:rsidRPr="008464D7">
        <w:rPr>
          <w:rFonts w:ascii="Arial" w:hAnsi="Arial" w:cs="Arial"/>
          <w:sz w:val="24"/>
          <w:szCs w:val="24"/>
        </w:rPr>
        <w:lastRenderedPageBreak/>
        <w:t>país en aportación a la PBT y el VACB. Con respecto a la FBCF, el estado se posiciona como el número 26 nacional, con una contribución del 0.57%.</w:t>
      </w:r>
    </w:p>
    <w:p w:rsidR="00E23519" w:rsidRPr="008464D7" w:rsidRDefault="00E23519" w:rsidP="00E23519">
      <w:pPr>
        <w:spacing w:line="240" w:lineRule="auto"/>
        <w:jc w:val="both"/>
        <w:rPr>
          <w:rFonts w:ascii="Arial" w:hAnsi="Arial" w:cs="Arial"/>
          <w:sz w:val="24"/>
          <w:szCs w:val="24"/>
        </w:rPr>
      </w:pPr>
    </w:p>
    <w:p w:rsidR="00E23519" w:rsidRPr="008464D7" w:rsidRDefault="00E23519" w:rsidP="00E23519">
      <w:pPr>
        <w:jc w:val="both"/>
        <w:rPr>
          <w:rFonts w:ascii="Arial" w:hAnsi="Arial" w:cs="Arial"/>
          <w:b/>
          <w:sz w:val="24"/>
          <w:szCs w:val="24"/>
        </w:rPr>
      </w:pPr>
      <w:r w:rsidRPr="008464D7">
        <w:rPr>
          <w:rFonts w:ascii="Arial" w:hAnsi="Arial" w:cs="Arial"/>
          <w:b/>
          <w:sz w:val="24"/>
          <w:szCs w:val="24"/>
        </w:rPr>
        <w:t>El sector primario: agricultura, ganadería y pesca.</w:t>
      </w:r>
    </w:p>
    <w:p w:rsidR="00E23519" w:rsidRPr="008464D7" w:rsidRDefault="00E23519" w:rsidP="00E23519">
      <w:pPr>
        <w:spacing w:line="240" w:lineRule="auto"/>
        <w:jc w:val="both"/>
        <w:rPr>
          <w:rFonts w:ascii="Arial" w:hAnsi="Arial" w:cs="Arial"/>
          <w:sz w:val="24"/>
          <w:szCs w:val="24"/>
        </w:rPr>
      </w:pPr>
      <w:r w:rsidRPr="008464D7">
        <w:rPr>
          <w:rFonts w:ascii="Arial" w:hAnsi="Arial" w:cs="Arial"/>
          <w:sz w:val="24"/>
          <w:szCs w:val="24"/>
        </w:rPr>
        <w:t>A lo largo de las últimas décadas, este sector ha perdido relevancia en la economía del estado. Así, su participación en el PIB pasó de 6.7% a 4.7%, entre 2003 y 2014. Además, desde 2009, el sector ha decrecido cada año (0.4% entre 2015 y 2014).</w:t>
      </w:r>
    </w:p>
    <w:p w:rsidR="00E23519" w:rsidRPr="008464D7" w:rsidRDefault="00E23519" w:rsidP="00E23519">
      <w:pPr>
        <w:spacing w:line="240" w:lineRule="auto"/>
        <w:jc w:val="both"/>
        <w:rPr>
          <w:rFonts w:ascii="Arial" w:hAnsi="Arial" w:cs="Arial"/>
          <w:color w:val="000000" w:themeColor="text1"/>
          <w:sz w:val="24"/>
          <w:szCs w:val="24"/>
        </w:rPr>
      </w:pPr>
      <w:r w:rsidRPr="008464D7">
        <w:rPr>
          <w:rFonts w:ascii="Arial" w:hAnsi="Arial" w:cs="Arial"/>
          <w:color w:val="000000" w:themeColor="text1"/>
          <w:sz w:val="24"/>
          <w:szCs w:val="24"/>
        </w:rPr>
        <w:t>Tecomán aportó 33% del valor de la producción total estatal a 2014, seguido por Manzanillo (12%) y Coquimatlán (11%). De los principales productos perennes, cerca de 59% del limón producido en el estado se cultiva en Tecomán; 42.6% de la caña de azúcar se cultiva en Cuauhtémoc; y 39.3% de la papaya, también en Tecomán. De los cultivos cíclicos, casi 70% de la sandía se cultiva en Armería, lxtlahuacán y Colima. Por su parte, la mitad de la producción de melón se cultiva en Colima; y el chile verde se cultiva casi en su totalidad en Manzanillo.</w:t>
      </w:r>
    </w:p>
    <w:p w:rsidR="00E23519" w:rsidRPr="008464D7" w:rsidRDefault="00E23519" w:rsidP="00E23519">
      <w:pPr>
        <w:spacing w:before="240" w:line="240" w:lineRule="auto"/>
        <w:jc w:val="both"/>
        <w:rPr>
          <w:rFonts w:ascii="Arial" w:hAnsi="Arial" w:cs="Arial"/>
          <w:b/>
          <w:color w:val="000000" w:themeColor="text1"/>
          <w:sz w:val="24"/>
          <w:szCs w:val="24"/>
        </w:rPr>
      </w:pPr>
      <w:r w:rsidRPr="008464D7">
        <w:rPr>
          <w:rFonts w:ascii="Arial" w:hAnsi="Arial" w:cs="Arial"/>
          <w:b/>
          <w:color w:val="000000" w:themeColor="text1"/>
          <w:sz w:val="24"/>
          <w:szCs w:val="24"/>
        </w:rPr>
        <w:t>El sector industrial</w:t>
      </w:r>
    </w:p>
    <w:p w:rsidR="00E23519" w:rsidRPr="008464D7" w:rsidRDefault="00E23519" w:rsidP="00E23519">
      <w:pPr>
        <w:spacing w:line="240" w:lineRule="auto"/>
        <w:jc w:val="both"/>
        <w:rPr>
          <w:rFonts w:ascii="Arial" w:hAnsi="Arial" w:cs="Arial"/>
          <w:b/>
          <w:sz w:val="24"/>
          <w:szCs w:val="24"/>
        </w:rPr>
      </w:pPr>
      <w:r w:rsidRPr="008464D7">
        <w:rPr>
          <w:rFonts w:ascii="Arial" w:hAnsi="Arial" w:cs="Arial"/>
          <w:b/>
          <w:sz w:val="24"/>
          <w:szCs w:val="24"/>
        </w:rPr>
        <w:t>Al cierre de 2015, el crecimiento en el sector industrial es apenas suficiente.</w:t>
      </w:r>
    </w:p>
    <w:p w:rsidR="00E23519" w:rsidRPr="008464D7" w:rsidRDefault="00E23519" w:rsidP="00E23519">
      <w:pPr>
        <w:spacing w:line="240" w:lineRule="auto"/>
        <w:jc w:val="both"/>
        <w:rPr>
          <w:rFonts w:ascii="Arial" w:hAnsi="Arial" w:cs="Arial"/>
          <w:color w:val="000000" w:themeColor="text1"/>
          <w:sz w:val="24"/>
          <w:szCs w:val="24"/>
        </w:rPr>
      </w:pPr>
      <w:r w:rsidRPr="008464D7">
        <w:rPr>
          <w:rFonts w:ascii="Arial" w:hAnsi="Arial" w:cs="Arial"/>
          <w:color w:val="000000" w:themeColor="text1"/>
          <w:sz w:val="24"/>
          <w:szCs w:val="24"/>
        </w:rPr>
        <w:t>A pesar de este crecimiento, la industria ha perdido relevancia en la economía colimense, ya que su participación en el PIB estatal pasó de 32% a 28% entre 2003 y 2014.</w:t>
      </w:r>
    </w:p>
    <w:p w:rsidR="00E23519" w:rsidRPr="008464D7" w:rsidRDefault="00E23519" w:rsidP="00E23519">
      <w:pPr>
        <w:spacing w:line="240" w:lineRule="auto"/>
        <w:jc w:val="both"/>
        <w:rPr>
          <w:rFonts w:ascii="Arial" w:hAnsi="Arial" w:cs="Arial"/>
          <w:color w:val="000000" w:themeColor="text1"/>
          <w:sz w:val="24"/>
          <w:szCs w:val="24"/>
        </w:rPr>
      </w:pPr>
      <w:r w:rsidRPr="008464D7">
        <w:rPr>
          <w:rFonts w:ascii="Arial" w:hAnsi="Arial" w:cs="Arial"/>
          <w:color w:val="000000" w:themeColor="text1"/>
          <w:sz w:val="24"/>
          <w:szCs w:val="24"/>
        </w:rPr>
        <w:t>El sector industrial colimense se integra en 43.0% por la construcción, en 34.6% por la generación transmisión y distribución de energía eléctrica, suministro de agua y de gas por duetos al consumidor final, en 19.8% por la industria manufacturera y en 2.5% por la minería.</w:t>
      </w:r>
    </w:p>
    <w:p w:rsidR="00E23519" w:rsidRPr="008464D7" w:rsidRDefault="00BF24A1" w:rsidP="00E23519">
      <w:pPr>
        <w:spacing w:line="240" w:lineRule="auto"/>
        <w:jc w:val="center"/>
      </w:pPr>
      <w:r>
        <w:rPr>
          <w:noProof/>
        </w:rPr>
        <w:lastRenderedPageBreak/>
        <w:drawing>
          <wp:inline distT="0" distB="0" distL="0" distR="0" wp14:anchorId="78EBE283">
            <wp:extent cx="4183215" cy="4379718"/>
            <wp:effectExtent l="0" t="0" r="8255"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97410" cy="4394579"/>
                    </a:xfrm>
                    <a:prstGeom prst="rect">
                      <a:avLst/>
                    </a:prstGeom>
                    <a:noFill/>
                  </pic:spPr>
                </pic:pic>
              </a:graphicData>
            </a:graphic>
          </wp:inline>
        </w:drawing>
      </w:r>
    </w:p>
    <w:p w:rsidR="00E23519" w:rsidRPr="008464D7" w:rsidRDefault="00E23519" w:rsidP="00E23519">
      <w:pPr>
        <w:spacing w:after="0" w:line="240" w:lineRule="auto"/>
        <w:jc w:val="both"/>
        <w:rPr>
          <w:rFonts w:ascii="Arial" w:hAnsi="Arial" w:cs="Arial"/>
          <w:color w:val="000000" w:themeColor="text1"/>
          <w:sz w:val="24"/>
          <w:szCs w:val="24"/>
        </w:rPr>
      </w:pPr>
      <w:r w:rsidRPr="008464D7">
        <w:rPr>
          <w:rFonts w:ascii="Arial" w:hAnsi="Arial" w:cs="Arial"/>
          <w:color w:val="000000" w:themeColor="text1"/>
          <w:sz w:val="24"/>
          <w:szCs w:val="24"/>
        </w:rPr>
        <w:t>Colima cuenta con una de las infraestructuras en el sector energético más importantes de México, con un alcance regional en el occidente del país, y que hacen del estado un atractivo polo de desarrollo industrial.</w:t>
      </w:r>
    </w:p>
    <w:p w:rsidR="00E23519" w:rsidRDefault="00E23519" w:rsidP="00E23519">
      <w:pPr>
        <w:spacing w:line="240" w:lineRule="auto"/>
        <w:jc w:val="both"/>
        <w:rPr>
          <w:rFonts w:ascii="Arial" w:hAnsi="Arial" w:cs="Arial"/>
          <w:b/>
          <w:color w:val="000000" w:themeColor="text1"/>
          <w:sz w:val="24"/>
          <w:szCs w:val="24"/>
        </w:rPr>
      </w:pPr>
    </w:p>
    <w:p w:rsidR="00E23519" w:rsidRPr="008464D7" w:rsidRDefault="00E23519" w:rsidP="00E23519">
      <w:pPr>
        <w:spacing w:line="240" w:lineRule="auto"/>
        <w:jc w:val="both"/>
        <w:rPr>
          <w:rFonts w:ascii="Arial" w:hAnsi="Arial" w:cs="Arial"/>
          <w:b/>
          <w:color w:val="000000" w:themeColor="text1"/>
          <w:sz w:val="24"/>
          <w:szCs w:val="24"/>
        </w:rPr>
      </w:pPr>
      <w:r w:rsidRPr="008464D7">
        <w:rPr>
          <w:rFonts w:ascii="Arial" w:hAnsi="Arial" w:cs="Arial"/>
          <w:b/>
          <w:color w:val="000000" w:themeColor="text1"/>
          <w:sz w:val="24"/>
          <w:szCs w:val="24"/>
        </w:rPr>
        <w:t>EI sector servicios.</w:t>
      </w:r>
    </w:p>
    <w:p w:rsidR="00E23519" w:rsidRDefault="00E23519" w:rsidP="00E23519">
      <w:pPr>
        <w:spacing w:after="0" w:line="240" w:lineRule="auto"/>
        <w:jc w:val="both"/>
        <w:rPr>
          <w:rFonts w:ascii="Arial" w:hAnsi="Arial" w:cs="Arial"/>
          <w:sz w:val="24"/>
          <w:szCs w:val="24"/>
        </w:rPr>
      </w:pPr>
      <w:r w:rsidRPr="008464D7">
        <w:rPr>
          <w:rFonts w:ascii="Arial" w:hAnsi="Arial" w:cs="Arial"/>
          <w:sz w:val="24"/>
          <w:szCs w:val="24"/>
        </w:rPr>
        <w:t>El sector servicios adquiere cada vez mayor relevancia.</w:t>
      </w:r>
    </w:p>
    <w:p w:rsidR="00E23519" w:rsidRPr="008464D7" w:rsidRDefault="00E23519" w:rsidP="00E23519">
      <w:pPr>
        <w:spacing w:after="0" w:line="240" w:lineRule="auto"/>
        <w:jc w:val="both"/>
        <w:rPr>
          <w:rFonts w:ascii="Arial" w:hAnsi="Arial" w:cs="Arial"/>
          <w:sz w:val="24"/>
          <w:szCs w:val="24"/>
        </w:rPr>
      </w:pPr>
    </w:p>
    <w:p w:rsidR="00E23519" w:rsidRPr="008464D7" w:rsidRDefault="00E23519" w:rsidP="00E23519">
      <w:pPr>
        <w:spacing w:after="0" w:line="240" w:lineRule="auto"/>
        <w:jc w:val="both"/>
        <w:rPr>
          <w:rFonts w:ascii="Arial" w:hAnsi="Arial" w:cs="Arial"/>
          <w:color w:val="000000" w:themeColor="text1"/>
          <w:sz w:val="24"/>
          <w:szCs w:val="24"/>
        </w:rPr>
      </w:pPr>
      <w:r w:rsidRPr="008464D7">
        <w:rPr>
          <w:rFonts w:ascii="Arial" w:hAnsi="Arial" w:cs="Arial"/>
          <w:color w:val="000000" w:themeColor="text1"/>
          <w:sz w:val="24"/>
          <w:szCs w:val="24"/>
        </w:rPr>
        <w:t>El sector servicios agrupa 26,244 unidades económicas, lo que representa 89.7% del total. Estas generan una producción bruta de 23,738 MDP correspondiente a 58.1% del total, y ocupan a 111,315 personas que producen el 70.4% del VACB del estado, equivalente a 13,293 MDP.</w:t>
      </w:r>
    </w:p>
    <w:p w:rsidR="00E23519" w:rsidRPr="008464D7" w:rsidRDefault="00E23519" w:rsidP="00E23519">
      <w:pPr>
        <w:spacing w:after="0" w:line="240" w:lineRule="auto"/>
        <w:jc w:val="both"/>
        <w:rPr>
          <w:rFonts w:ascii="Arial" w:hAnsi="Arial" w:cs="Arial"/>
          <w:color w:val="000000" w:themeColor="text1"/>
          <w:sz w:val="24"/>
          <w:szCs w:val="24"/>
        </w:rPr>
      </w:pPr>
    </w:p>
    <w:p w:rsidR="00E23519" w:rsidRPr="008464D7" w:rsidRDefault="00E23519" w:rsidP="00E23519">
      <w:pPr>
        <w:spacing w:line="240" w:lineRule="auto"/>
        <w:jc w:val="both"/>
        <w:rPr>
          <w:rFonts w:ascii="Arial" w:hAnsi="Arial" w:cs="Arial"/>
          <w:color w:val="000000" w:themeColor="text1"/>
          <w:sz w:val="24"/>
          <w:szCs w:val="24"/>
        </w:rPr>
      </w:pPr>
      <w:r w:rsidRPr="008464D7">
        <w:rPr>
          <w:rFonts w:ascii="Arial" w:hAnsi="Arial" w:cs="Arial"/>
          <w:color w:val="000000" w:themeColor="text1"/>
          <w:sz w:val="24"/>
          <w:szCs w:val="24"/>
        </w:rPr>
        <w:t xml:space="preserve">La alta participación de este sector en la economía del estado es el resultado de un mayor dinamismo y desarrollo del comercio, el transporte, la logística, el </w:t>
      </w:r>
      <w:r w:rsidRPr="008464D7">
        <w:rPr>
          <w:rFonts w:ascii="Arial" w:hAnsi="Arial" w:cs="Arial"/>
          <w:color w:val="000000" w:themeColor="text1"/>
          <w:sz w:val="24"/>
          <w:szCs w:val="24"/>
        </w:rPr>
        <w:lastRenderedPageBreak/>
        <w:t>almacenamiento, los servicios inmobiliarios y de alquiler de bienes muebles e intangibles. Estos subsectores constituyen 61.5% del PIB de este sector y tuvieron tasas de crecimiento superiores al promedio estatal, entre 2003 y 2014.</w:t>
      </w:r>
    </w:p>
    <w:p w:rsidR="00E23519" w:rsidRPr="008464D7" w:rsidRDefault="00E23519" w:rsidP="00E23519">
      <w:pPr>
        <w:spacing w:line="240" w:lineRule="auto"/>
        <w:jc w:val="both"/>
        <w:rPr>
          <w:rFonts w:ascii="Arial" w:hAnsi="Arial" w:cs="Arial"/>
          <w:color w:val="000000" w:themeColor="text1"/>
          <w:sz w:val="24"/>
          <w:szCs w:val="24"/>
        </w:rPr>
      </w:pPr>
      <w:r w:rsidRPr="008464D7">
        <w:rPr>
          <w:rFonts w:ascii="Arial" w:hAnsi="Arial" w:cs="Arial"/>
          <w:color w:val="000000" w:themeColor="text1"/>
          <w:sz w:val="24"/>
          <w:szCs w:val="24"/>
        </w:rPr>
        <w:t>El comercio ha incrementado significativamente su participación en el PIB, al pasar de 7,706 a 13,708 MDP, en términos reales, de 2003 a 2014. Es decir, de 13.3 a 17.2%. Este sector aglutina a 12,354 unidades económicas equivalentes a 47.1% del total del sector servicios, de las cuales 893 se dedican a actividades de comercio al por mayor, registran un personal ocupado de 8,256, una producción de 3,606.4 MDP y generan un VACB por 2, 163.4 MDP.</w:t>
      </w:r>
    </w:p>
    <w:p w:rsidR="00E23519" w:rsidRPr="008464D7" w:rsidRDefault="00BF24A1" w:rsidP="00E23519">
      <w:pPr>
        <w:spacing w:line="240" w:lineRule="auto"/>
        <w:jc w:val="center"/>
      </w:pPr>
      <w:r>
        <w:rPr>
          <w:noProof/>
        </w:rPr>
        <w:drawing>
          <wp:inline distT="0" distB="0" distL="0" distR="0" wp14:anchorId="4D3A3B31" wp14:editId="1351BD03">
            <wp:extent cx="3633997" cy="4024618"/>
            <wp:effectExtent l="0" t="0" r="5080" b="0"/>
            <wp:docPr id="21"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pic:cNvPicPr>
                      <a:picLocks noChangeAspect="1"/>
                    </pic:cNvPicPr>
                  </pic:nvPicPr>
                  <pic:blipFill rotWithShape="1">
                    <a:blip r:embed="rId17"/>
                    <a:srcRect l="19875" t="17309" r="46702" b="14384"/>
                    <a:stretch/>
                  </pic:blipFill>
                  <pic:spPr>
                    <a:xfrm>
                      <a:off x="0" y="0"/>
                      <a:ext cx="3658081" cy="4051291"/>
                    </a:xfrm>
                    <a:prstGeom prst="rect">
                      <a:avLst/>
                    </a:prstGeom>
                  </pic:spPr>
                </pic:pic>
              </a:graphicData>
            </a:graphic>
          </wp:inline>
        </w:drawing>
      </w:r>
    </w:p>
    <w:p w:rsidR="00E23519" w:rsidRPr="008464D7" w:rsidRDefault="00E23519" w:rsidP="00E23519">
      <w:pPr>
        <w:spacing w:line="240" w:lineRule="auto"/>
        <w:jc w:val="both"/>
        <w:rPr>
          <w:rFonts w:ascii="Arial" w:hAnsi="Arial" w:cs="Arial"/>
          <w:b/>
          <w:color w:val="000000" w:themeColor="text1"/>
          <w:sz w:val="24"/>
          <w:szCs w:val="24"/>
        </w:rPr>
      </w:pPr>
      <w:r w:rsidRPr="008464D7">
        <w:rPr>
          <w:rFonts w:ascii="Arial" w:hAnsi="Arial" w:cs="Arial"/>
          <w:b/>
          <w:color w:val="000000" w:themeColor="text1"/>
          <w:sz w:val="24"/>
          <w:szCs w:val="24"/>
        </w:rPr>
        <w:t>El sector turismo</w:t>
      </w:r>
    </w:p>
    <w:p w:rsidR="00E23519" w:rsidRPr="008464D7" w:rsidRDefault="00E23519" w:rsidP="00E23519">
      <w:pPr>
        <w:spacing w:line="240" w:lineRule="auto"/>
        <w:jc w:val="both"/>
        <w:rPr>
          <w:rFonts w:ascii="Arial" w:hAnsi="Arial" w:cs="Arial"/>
          <w:color w:val="000000" w:themeColor="text1"/>
          <w:sz w:val="24"/>
          <w:szCs w:val="24"/>
        </w:rPr>
      </w:pPr>
      <w:r w:rsidRPr="008464D7">
        <w:rPr>
          <w:rFonts w:ascii="Arial" w:hAnsi="Arial" w:cs="Arial"/>
          <w:color w:val="000000" w:themeColor="text1"/>
          <w:sz w:val="24"/>
          <w:szCs w:val="24"/>
        </w:rPr>
        <w:t>El dinamismo del sector servicios dejó de lado el desarrollo del turismo, que representa 10% del PIB estatal.</w:t>
      </w:r>
    </w:p>
    <w:p w:rsidR="00E23519" w:rsidRPr="008464D7" w:rsidRDefault="00E23519" w:rsidP="00E23519">
      <w:pPr>
        <w:spacing w:line="240" w:lineRule="auto"/>
        <w:jc w:val="both"/>
        <w:rPr>
          <w:rFonts w:ascii="Arial" w:hAnsi="Arial" w:cs="Arial"/>
          <w:color w:val="000000" w:themeColor="text1"/>
          <w:sz w:val="24"/>
          <w:szCs w:val="24"/>
        </w:rPr>
      </w:pPr>
      <w:r w:rsidRPr="008464D7">
        <w:rPr>
          <w:rFonts w:ascii="Arial" w:hAnsi="Arial" w:cs="Arial"/>
          <w:color w:val="000000" w:themeColor="text1"/>
          <w:sz w:val="24"/>
          <w:szCs w:val="24"/>
        </w:rPr>
        <w:t>Pese a la importancia del sector en la economía del estado, Colima no ha logrado consolidar su posición en el turismo nacional.</w:t>
      </w:r>
    </w:p>
    <w:p w:rsidR="00E23519" w:rsidRPr="008464D7" w:rsidRDefault="00E23519" w:rsidP="00E23519">
      <w:pPr>
        <w:spacing w:line="240" w:lineRule="auto"/>
        <w:jc w:val="both"/>
        <w:rPr>
          <w:rFonts w:ascii="Arial" w:hAnsi="Arial" w:cs="Arial"/>
          <w:color w:val="000000" w:themeColor="text1"/>
          <w:sz w:val="24"/>
          <w:szCs w:val="24"/>
        </w:rPr>
      </w:pPr>
      <w:r w:rsidRPr="008464D7">
        <w:rPr>
          <w:rFonts w:ascii="Arial" w:hAnsi="Arial" w:cs="Arial"/>
          <w:color w:val="000000" w:themeColor="text1"/>
          <w:sz w:val="24"/>
          <w:szCs w:val="24"/>
        </w:rPr>
        <w:lastRenderedPageBreak/>
        <w:t>El turismo está concentrado en Manzanillo y Colima, con un porcentaje de ocupación promedio superior a 40% entre 2013 y 2015. La mayor parte del turismo receptivo es captado por Manzanillo, con un porcentaje de ocupación superior a 3%. Lo anterior se debe a que en el municipio se localizan tanto el aeropuerto internacional de la entidad como el Puerto. Esta concentración también refleja la poca movilidad de los turistas internacionales en la entidad, pese a los diversos atractivos turísticos que   el estado posee y que posibilitan la conformación de rutas turistas a lo largo de su territorio.</w:t>
      </w:r>
    </w:p>
    <w:p w:rsidR="00E23519" w:rsidRPr="008464D7" w:rsidRDefault="00E23519" w:rsidP="00E23519">
      <w:pPr>
        <w:spacing w:line="240" w:lineRule="auto"/>
        <w:jc w:val="both"/>
        <w:rPr>
          <w:rFonts w:ascii="Arial" w:hAnsi="Arial" w:cs="Arial"/>
          <w:color w:val="000000" w:themeColor="text1"/>
          <w:sz w:val="24"/>
          <w:szCs w:val="24"/>
        </w:rPr>
      </w:pPr>
      <w:r w:rsidRPr="008464D7">
        <w:rPr>
          <w:rFonts w:ascii="Arial" w:hAnsi="Arial" w:cs="Arial"/>
          <w:b/>
          <w:color w:val="000000" w:themeColor="text1"/>
          <w:sz w:val="24"/>
          <w:szCs w:val="24"/>
        </w:rPr>
        <w:t>Exportaciones.</w:t>
      </w:r>
    </w:p>
    <w:p w:rsidR="00E23519" w:rsidRPr="008464D7" w:rsidRDefault="00E23519" w:rsidP="00E23519">
      <w:pPr>
        <w:spacing w:line="240" w:lineRule="auto"/>
        <w:jc w:val="both"/>
        <w:rPr>
          <w:rFonts w:ascii="Arial" w:hAnsi="Arial" w:cs="Arial"/>
          <w:sz w:val="24"/>
          <w:szCs w:val="24"/>
        </w:rPr>
      </w:pPr>
      <w:r w:rsidRPr="008464D7">
        <w:rPr>
          <w:rFonts w:ascii="Arial" w:hAnsi="Arial" w:cs="Arial"/>
          <w:sz w:val="24"/>
          <w:szCs w:val="24"/>
        </w:rPr>
        <w:t>La industria es la principal generadora de exportaciones en Colima.</w:t>
      </w:r>
    </w:p>
    <w:p w:rsidR="00E23519" w:rsidRPr="008464D7" w:rsidRDefault="00E23519" w:rsidP="00E23519">
      <w:pPr>
        <w:spacing w:line="240" w:lineRule="auto"/>
        <w:jc w:val="both"/>
        <w:rPr>
          <w:rFonts w:ascii="Arial" w:hAnsi="Arial" w:cs="Arial"/>
          <w:color w:val="000000" w:themeColor="text1"/>
          <w:sz w:val="24"/>
          <w:szCs w:val="24"/>
        </w:rPr>
      </w:pPr>
      <w:r w:rsidRPr="008464D7">
        <w:rPr>
          <w:rFonts w:ascii="Arial" w:hAnsi="Arial" w:cs="Arial"/>
          <w:color w:val="000000" w:themeColor="text1"/>
          <w:sz w:val="24"/>
          <w:szCs w:val="24"/>
        </w:rPr>
        <w:t>Del total de exportaciones colimenses, 78% corresponden a la minería, la construcción y la industria manufacturera. El sector agropecuario participa con 21% y el sector servicios con 1%.</w:t>
      </w:r>
    </w:p>
    <w:p w:rsidR="00E23519" w:rsidRPr="008464D7" w:rsidRDefault="00E23519" w:rsidP="00E23519">
      <w:pPr>
        <w:spacing w:line="240" w:lineRule="auto"/>
        <w:jc w:val="both"/>
        <w:rPr>
          <w:rFonts w:ascii="Arial" w:hAnsi="Arial" w:cs="Arial"/>
          <w:color w:val="000000" w:themeColor="text1"/>
          <w:sz w:val="24"/>
          <w:szCs w:val="24"/>
        </w:rPr>
      </w:pPr>
      <w:r w:rsidRPr="008464D7">
        <w:rPr>
          <w:rFonts w:ascii="Arial" w:hAnsi="Arial" w:cs="Arial"/>
          <w:color w:val="000000" w:themeColor="text1"/>
          <w:sz w:val="24"/>
          <w:szCs w:val="24"/>
        </w:rPr>
        <w:t>Los principales destinos de las exportaciones del estado son Estados Unidos, Canadá, China, Japón, Corea del Sur, República Checa, Brasil, Países Bajos, Australia, Colombia, Ecuador y Perú.</w:t>
      </w:r>
    </w:p>
    <w:p w:rsidR="00E23519" w:rsidRPr="008464D7" w:rsidRDefault="00E23519" w:rsidP="00E23519">
      <w:pPr>
        <w:spacing w:line="240" w:lineRule="auto"/>
        <w:jc w:val="both"/>
        <w:rPr>
          <w:rFonts w:ascii="Arial" w:hAnsi="Arial" w:cs="Arial"/>
          <w:b/>
          <w:color w:val="000000" w:themeColor="text1"/>
          <w:sz w:val="24"/>
          <w:szCs w:val="24"/>
        </w:rPr>
      </w:pPr>
      <w:r w:rsidRPr="008464D7">
        <w:rPr>
          <w:rFonts w:ascii="Arial" w:hAnsi="Arial" w:cs="Arial"/>
          <w:b/>
          <w:color w:val="000000" w:themeColor="text1"/>
          <w:sz w:val="24"/>
          <w:szCs w:val="24"/>
        </w:rPr>
        <w:t>Ocupación y empleo.</w:t>
      </w:r>
    </w:p>
    <w:p w:rsidR="00E23519" w:rsidRPr="008464D7" w:rsidRDefault="00E23519" w:rsidP="00E23519">
      <w:pPr>
        <w:spacing w:line="240" w:lineRule="auto"/>
        <w:jc w:val="both"/>
        <w:rPr>
          <w:rFonts w:ascii="Arial" w:hAnsi="Arial" w:cs="Arial"/>
          <w:color w:val="000000" w:themeColor="text1"/>
          <w:sz w:val="24"/>
          <w:szCs w:val="24"/>
        </w:rPr>
      </w:pPr>
      <w:r w:rsidRPr="008464D7">
        <w:rPr>
          <w:rFonts w:ascii="Arial" w:hAnsi="Arial" w:cs="Arial"/>
          <w:color w:val="000000" w:themeColor="text1"/>
          <w:sz w:val="24"/>
          <w:szCs w:val="24"/>
        </w:rPr>
        <w:t xml:space="preserve">Colima cuenta con una situación laboral favorable para sus habitantes. La población económicamente activa (PEA) ocupada es de 96.9%, casi un punto porcentual por encima del promedio nacional. De igual forma, la tasa de participación laboral de </w:t>
      </w:r>
    </w:p>
    <w:p w:rsidR="00E23519" w:rsidRDefault="00E23519" w:rsidP="00E23519">
      <w:pPr>
        <w:jc w:val="both"/>
        <w:rPr>
          <w:rFonts w:ascii="Arial" w:hAnsi="Arial" w:cs="Arial"/>
          <w:color w:val="000000" w:themeColor="text1"/>
          <w:sz w:val="24"/>
          <w:szCs w:val="24"/>
        </w:rPr>
      </w:pPr>
      <w:r w:rsidRPr="008464D7">
        <w:rPr>
          <w:rFonts w:ascii="Arial" w:hAnsi="Arial" w:cs="Arial"/>
          <w:color w:val="000000" w:themeColor="text1"/>
          <w:sz w:val="24"/>
          <w:szCs w:val="24"/>
        </w:rPr>
        <w:t>Colima (66.5%) está 6 puntos porcentuales     por     encima     del    promedio nacional. Además, la tasa de informalidad laboral en Colima (20.6%) es siete puntos porcentuales menor a la del país.</w:t>
      </w:r>
    </w:p>
    <w:p w:rsidR="00E23519" w:rsidRDefault="00B204CB" w:rsidP="00B204CB">
      <w:pPr>
        <w:jc w:val="center"/>
        <w:rPr>
          <w:rFonts w:ascii="Arial" w:hAnsi="Arial" w:cs="Arial"/>
          <w:color w:val="000000" w:themeColor="text1"/>
          <w:sz w:val="24"/>
          <w:szCs w:val="24"/>
        </w:rPr>
      </w:pPr>
      <w:r>
        <w:rPr>
          <w:rFonts w:ascii="Arial" w:hAnsi="Arial" w:cs="Arial"/>
          <w:noProof/>
          <w:color w:val="000000" w:themeColor="text1"/>
          <w:sz w:val="24"/>
          <w:szCs w:val="24"/>
        </w:rPr>
        <w:lastRenderedPageBreak/>
        <w:drawing>
          <wp:inline distT="0" distB="0" distL="0" distR="0" wp14:anchorId="7E853EA1">
            <wp:extent cx="4102678" cy="266856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11883" cy="2674548"/>
                    </a:xfrm>
                    <a:prstGeom prst="rect">
                      <a:avLst/>
                    </a:prstGeom>
                    <a:noFill/>
                  </pic:spPr>
                </pic:pic>
              </a:graphicData>
            </a:graphic>
          </wp:inline>
        </w:drawing>
      </w:r>
    </w:p>
    <w:p w:rsidR="00E23519" w:rsidRDefault="00E23519" w:rsidP="00E23519">
      <w:pPr>
        <w:jc w:val="both"/>
        <w:rPr>
          <w:rFonts w:ascii="Arial" w:hAnsi="Arial" w:cs="Arial"/>
          <w:color w:val="000000" w:themeColor="text1"/>
          <w:sz w:val="24"/>
          <w:szCs w:val="24"/>
        </w:rPr>
      </w:pPr>
    </w:p>
    <w:p w:rsidR="00E23519" w:rsidRPr="008464D7" w:rsidRDefault="00E23519" w:rsidP="00E23519">
      <w:pPr>
        <w:spacing w:line="240" w:lineRule="auto"/>
        <w:jc w:val="both"/>
        <w:rPr>
          <w:rFonts w:ascii="Arial" w:hAnsi="Arial" w:cs="Arial"/>
          <w:b/>
          <w:color w:val="000000" w:themeColor="text1"/>
          <w:sz w:val="24"/>
          <w:szCs w:val="24"/>
        </w:rPr>
      </w:pPr>
      <w:r w:rsidRPr="008464D7">
        <w:rPr>
          <w:rFonts w:ascii="Arial" w:hAnsi="Arial" w:cs="Arial"/>
          <w:b/>
          <w:color w:val="000000" w:themeColor="text1"/>
          <w:sz w:val="24"/>
          <w:szCs w:val="24"/>
        </w:rPr>
        <w:t>Competitividad</w:t>
      </w:r>
    </w:p>
    <w:p w:rsidR="00E23519" w:rsidRPr="008464D7" w:rsidRDefault="00E23519" w:rsidP="00E23519">
      <w:pPr>
        <w:jc w:val="both"/>
        <w:rPr>
          <w:rFonts w:ascii="Arial" w:hAnsi="Arial" w:cs="Arial"/>
          <w:color w:val="000000" w:themeColor="text1"/>
          <w:sz w:val="24"/>
          <w:szCs w:val="24"/>
        </w:rPr>
      </w:pPr>
      <w:r w:rsidRPr="008464D7">
        <w:rPr>
          <w:rFonts w:ascii="Arial" w:hAnsi="Arial" w:cs="Arial"/>
          <w:color w:val="000000" w:themeColor="text1"/>
          <w:sz w:val="24"/>
          <w:szCs w:val="24"/>
        </w:rPr>
        <w:t>Colima es uno de los Estados más destacados para hacer negocios, ocupa el séptimo lugar nacional en competitividad. La ciudad de Colima tiene la segunda posición nacional por la facilidad de hacer negocios según la evaluación de Doing Business.</w:t>
      </w:r>
    </w:p>
    <w:p w:rsidR="00E23519" w:rsidRPr="008464D7" w:rsidRDefault="00E23519" w:rsidP="00E23519"/>
    <w:p w:rsidR="00E23519" w:rsidRDefault="00E23519" w:rsidP="00E23519">
      <w:pPr>
        <w:rPr>
          <w:rFonts w:ascii="Arial" w:hAnsi="Arial" w:cs="Arial"/>
          <w:b/>
          <w:bCs/>
          <w:sz w:val="40"/>
          <w:szCs w:val="40"/>
        </w:rPr>
      </w:pPr>
      <w:r>
        <w:rPr>
          <w:rFonts w:ascii="Arial" w:hAnsi="Arial" w:cs="Arial"/>
          <w:b/>
          <w:bCs/>
          <w:sz w:val="40"/>
          <w:szCs w:val="40"/>
        </w:rPr>
        <w:br w:type="page"/>
      </w:r>
    </w:p>
    <w:p w:rsidR="00E23519" w:rsidRPr="008464D7" w:rsidRDefault="00E23519" w:rsidP="00E23519">
      <w:pPr>
        <w:rPr>
          <w:rFonts w:ascii="Arial" w:hAnsi="Arial" w:cs="Arial"/>
          <w:b/>
          <w:bCs/>
          <w:sz w:val="40"/>
          <w:szCs w:val="40"/>
        </w:rPr>
      </w:pPr>
    </w:p>
    <w:p w:rsidR="00E23519" w:rsidRPr="008464D7" w:rsidRDefault="00E23519" w:rsidP="00E23519">
      <w:pPr>
        <w:rPr>
          <w:rFonts w:ascii="Arial" w:hAnsi="Arial" w:cs="Arial"/>
          <w:b/>
          <w:bCs/>
          <w:sz w:val="40"/>
          <w:szCs w:val="40"/>
        </w:rPr>
      </w:pPr>
    </w:p>
    <w:p w:rsidR="00E23519" w:rsidRPr="008464D7" w:rsidRDefault="00E23519" w:rsidP="00E23519">
      <w:pPr>
        <w:rPr>
          <w:rFonts w:ascii="Arial" w:hAnsi="Arial" w:cs="Arial"/>
          <w:b/>
          <w:bCs/>
          <w:sz w:val="40"/>
          <w:szCs w:val="40"/>
        </w:rPr>
      </w:pPr>
    </w:p>
    <w:p w:rsidR="00E23519" w:rsidRPr="008464D7" w:rsidRDefault="00E23519" w:rsidP="00E23519">
      <w:pPr>
        <w:rPr>
          <w:rFonts w:ascii="Arial" w:hAnsi="Arial" w:cs="Arial"/>
          <w:b/>
          <w:bCs/>
          <w:sz w:val="40"/>
          <w:szCs w:val="40"/>
        </w:rPr>
      </w:pPr>
    </w:p>
    <w:p w:rsidR="00E23519" w:rsidRPr="008464D7" w:rsidRDefault="00E23519" w:rsidP="00E23519">
      <w:pPr>
        <w:rPr>
          <w:rFonts w:ascii="Arial" w:hAnsi="Arial" w:cs="Arial"/>
          <w:b/>
          <w:bCs/>
          <w:sz w:val="40"/>
          <w:szCs w:val="40"/>
        </w:rPr>
      </w:pPr>
    </w:p>
    <w:p w:rsidR="00E23519" w:rsidRPr="008464D7" w:rsidRDefault="00E23519" w:rsidP="00E23519">
      <w:pPr>
        <w:rPr>
          <w:rFonts w:ascii="Arial" w:hAnsi="Arial" w:cs="Arial"/>
          <w:b/>
          <w:bCs/>
          <w:sz w:val="40"/>
          <w:szCs w:val="40"/>
        </w:rPr>
      </w:pPr>
    </w:p>
    <w:p w:rsidR="00E23519" w:rsidRPr="008464D7" w:rsidRDefault="00E23519" w:rsidP="00E23519">
      <w:pPr>
        <w:jc w:val="center"/>
        <w:rPr>
          <w:rFonts w:ascii="Arial" w:hAnsi="Arial" w:cs="Arial"/>
          <w:b/>
          <w:bCs/>
          <w:sz w:val="40"/>
          <w:szCs w:val="40"/>
        </w:rPr>
      </w:pPr>
      <w:r w:rsidRPr="008464D7">
        <w:rPr>
          <w:rFonts w:ascii="Arial" w:hAnsi="Arial" w:cs="Arial"/>
          <w:b/>
          <w:bCs/>
          <w:sz w:val="40"/>
          <w:szCs w:val="40"/>
        </w:rPr>
        <w:t>TOMO II. MARCO PLURIANUAL (MARCO FISCAL DE MEDIANO PLAZO).</w:t>
      </w:r>
    </w:p>
    <w:p w:rsidR="00E23519" w:rsidRPr="008464D7" w:rsidRDefault="00E23519" w:rsidP="00E23519">
      <w:pPr>
        <w:jc w:val="center"/>
        <w:rPr>
          <w:rFonts w:ascii="Arial" w:hAnsi="Arial" w:cs="Arial"/>
          <w:b/>
          <w:bCs/>
          <w:sz w:val="40"/>
          <w:szCs w:val="40"/>
        </w:rPr>
      </w:pPr>
    </w:p>
    <w:p w:rsidR="00E23519" w:rsidRDefault="00E23519" w:rsidP="00E23519">
      <w:pPr>
        <w:rPr>
          <w:rFonts w:ascii="Arial" w:hAnsi="Arial" w:cs="Arial"/>
          <w:b/>
          <w:bCs/>
          <w:sz w:val="40"/>
          <w:szCs w:val="40"/>
        </w:rPr>
      </w:pPr>
      <w:r>
        <w:rPr>
          <w:rFonts w:ascii="Arial" w:hAnsi="Arial" w:cs="Arial"/>
          <w:b/>
          <w:bCs/>
          <w:sz w:val="40"/>
          <w:szCs w:val="40"/>
        </w:rPr>
        <w:br w:type="page"/>
      </w:r>
    </w:p>
    <w:p w:rsidR="00E23519" w:rsidRPr="008464D7" w:rsidRDefault="00E23519" w:rsidP="00E23519">
      <w:pPr>
        <w:pStyle w:val="Prrafodelista"/>
        <w:numPr>
          <w:ilvl w:val="0"/>
          <w:numId w:val="6"/>
        </w:numPr>
        <w:pBdr>
          <w:top w:val="single" w:sz="12" w:space="1" w:color="auto"/>
          <w:left w:val="single" w:sz="12" w:space="4" w:color="auto"/>
          <w:bottom w:val="single" w:sz="12" w:space="1" w:color="auto"/>
          <w:right w:val="single" w:sz="12" w:space="4" w:color="auto"/>
        </w:pBdr>
        <w:spacing w:line="240" w:lineRule="auto"/>
        <w:ind w:hanging="720"/>
        <w:jc w:val="both"/>
        <w:rPr>
          <w:rFonts w:ascii="Arial" w:hAnsi="Arial" w:cs="Arial"/>
          <w:b/>
          <w:sz w:val="28"/>
          <w:szCs w:val="28"/>
        </w:rPr>
      </w:pPr>
      <w:r w:rsidRPr="008464D7">
        <w:rPr>
          <w:rFonts w:ascii="Arial" w:hAnsi="Arial" w:cs="Arial"/>
          <w:b/>
          <w:sz w:val="28"/>
          <w:szCs w:val="28"/>
        </w:rPr>
        <w:lastRenderedPageBreak/>
        <w:t>MARCO PLURIANUAL (MARCO FISCAL DE MEDIANO PLAZO)</w:t>
      </w:r>
    </w:p>
    <w:p w:rsidR="00E23519" w:rsidRPr="008464D7" w:rsidRDefault="00E23519" w:rsidP="00E23519">
      <w:pPr>
        <w:autoSpaceDE w:val="0"/>
        <w:autoSpaceDN w:val="0"/>
        <w:adjustRightInd w:val="0"/>
        <w:spacing w:after="0" w:line="240" w:lineRule="auto"/>
        <w:jc w:val="both"/>
        <w:rPr>
          <w:rFonts w:ascii="Arial" w:hAnsi="Arial" w:cs="Arial"/>
          <w:sz w:val="24"/>
          <w:szCs w:val="24"/>
        </w:rPr>
      </w:pPr>
      <w:r w:rsidRPr="008464D7">
        <w:rPr>
          <w:rFonts w:ascii="Arial" w:hAnsi="Arial" w:cs="Arial"/>
          <w:sz w:val="24"/>
          <w:szCs w:val="24"/>
        </w:rPr>
        <w:t>La presente iniciativa de Decreto de Presupuesto de Egresos que se somete a la consideración de esta Soberanía, se integró tomando en consideración los postulados y reglas de disciplina financiera previstos en la propia Ley de Disciplina Financiera de las Entidades Federativas y los Municipios, los derivados de la Ley de Presupuesto y Gasto Público del Estado de Colima, Ley General de Contabilidad Gubernamental, las normas emitidas por el CONAC y demás ordenamientos de la materia.</w:t>
      </w:r>
    </w:p>
    <w:p w:rsidR="00E23519" w:rsidRPr="008464D7" w:rsidRDefault="00E23519" w:rsidP="00E23519">
      <w:pPr>
        <w:autoSpaceDE w:val="0"/>
        <w:autoSpaceDN w:val="0"/>
        <w:adjustRightInd w:val="0"/>
        <w:spacing w:after="0" w:line="240" w:lineRule="auto"/>
        <w:jc w:val="both"/>
        <w:rPr>
          <w:rFonts w:ascii="Arial" w:hAnsi="Arial" w:cs="Arial"/>
          <w:sz w:val="24"/>
          <w:szCs w:val="24"/>
        </w:rPr>
      </w:pPr>
    </w:p>
    <w:p w:rsidR="00E23519" w:rsidRPr="008464D7" w:rsidRDefault="00E23519" w:rsidP="00E23519">
      <w:pPr>
        <w:autoSpaceDE w:val="0"/>
        <w:autoSpaceDN w:val="0"/>
        <w:adjustRightInd w:val="0"/>
        <w:spacing w:after="0" w:line="240" w:lineRule="auto"/>
        <w:jc w:val="both"/>
        <w:rPr>
          <w:rFonts w:ascii="Arial" w:hAnsi="Arial" w:cs="Arial"/>
          <w:sz w:val="24"/>
          <w:szCs w:val="24"/>
        </w:rPr>
      </w:pPr>
      <w:r w:rsidRPr="008464D7">
        <w:rPr>
          <w:rFonts w:ascii="Arial" w:hAnsi="Arial" w:cs="Arial"/>
          <w:sz w:val="24"/>
          <w:szCs w:val="24"/>
        </w:rPr>
        <w:t>En ese tenor se incorporan los siguientes elementos:</w:t>
      </w:r>
    </w:p>
    <w:p w:rsidR="00E23519" w:rsidRPr="008464D7" w:rsidRDefault="00E23519" w:rsidP="00E23519">
      <w:pPr>
        <w:pStyle w:val="Texto"/>
        <w:spacing w:after="0" w:line="240" w:lineRule="auto"/>
        <w:rPr>
          <w:color w:val="000000"/>
          <w:sz w:val="28"/>
          <w:szCs w:val="28"/>
          <w:lang w:val="es-MX"/>
        </w:rPr>
      </w:pPr>
    </w:p>
    <w:p w:rsidR="00E23519" w:rsidRPr="008464D7" w:rsidRDefault="00E23519" w:rsidP="00E23519">
      <w:pPr>
        <w:pStyle w:val="Texto"/>
        <w:numPr>
          <w:ilvl w:val="0"/>
          <w:numId w:val="22"/>
        </w:numPr>
        <w:spacing w:after="0" w:line="240" w:lineRule="auto"/>
        <w:rPr>
          <w:color w:val="000000"/>
          <w:sz w:val="24"/>
          <w:szCs w:val="24"/>
        </w:rPr>
      </w:pPr>
      <w:r w:rsidRPr="008464D7">
        <w:rPr>
          <w:color w:val="000000"/>
          <w:sz w:val="24"/>
          <w:szCs w:val="24"/>
        </w:rPr>
        <w:t>Objetivos anuales, estrategias y metas;</w:t>
      </w:r>
    </w:p>
    <w:p w:rsidR="00E23519" w:rsidRPr="008464D7" w:rsidRDefault="00E23519" w:rsidP="00E23519">
      <w:pPr>
        <w:pStyle w:val="Texto"/>
        <w:spacing w:after="0" w:line="240" w:lineRule="auto"/>
        <w:ind w:left="288" w:firstLine="0"/>
        <w:rPr>
          <w:color w:val="000000"/>
          <w:sz w:val="24"/>
          <w:szCs w:val="24"/>
        </w:rPr>
      </w:pPr>
    </w:p>
    <w:p w:rsidR="00E23519" w:rsidRPr="008464D7" w:rsidRDefault="00E23519" w:rsidP="00E23519">
      <w:pPr>
        <w:pStyle w:val="Texto"/>
        <w:numPr>
          <w:ilvl w:val="0"/>
          <w:numId w:val="22"/>
        </w:numPr>
        <w:spacing w:after="0" w:line="240" w:lineRule="auto"/>
        <w:rPr>
          <w:color w:val="000000"/>
          <w:sz w:val="24"/>
          <w:szCs w:val="24"/>
        </w:rPr>
      </w:pPr>
      <w:r w:rsidRPr="008464D7">
        <w:rPr>
          <w:color w:val="000000"/>
          <w:sz w:val="24"/>
          <w:szCs w:val="24"/>
        </w:rPr>
        <w:t xml:space="preserve">Proyecciones de finanzas públicas, considerando las premisas empleadas en los Criterios Generales de Política Económica. </w:t>
      </w:r>
    </w:p>
    <w:p w:rsidR="00E23519" w:rsidRPr="008464D7" w:rsidRDefault="00E23519" w:rsidP="00E23519">
      <w:pPr>
        <w:pStyle w:val="Texto"/>
        <w:spacing w:after="0" w:line="240" w:lineRule="auto"/>
        <w:ind w:firstLine="0"/>
        <w:rPr>
          <w:color w:val="000000"/>
          <w:sz w:val="24"/>
          <w:szCs w:val="24"/>
        </w:rPr>
      </w:pPr>
    </w:p>
    <w:p w:rsidR="00E23519" w:rsidRPr="008464D7" w:rsidRDefault="00E23519" w:rsidP="00E23519">
      <w:pPr>
        <w:pStyle w:val="Texto"/>
        <w:numPr>
          <w:ilvl w:val="0"/>
          <w:numId w:val="22"/>
        </w:numPr>
        <w:spacing w:after="0" w:line="240" w:lineRule="auto"/>
        <w:rPr>
          <w:color w:val="000000"/>
          <w:sz w:val="24"/>
          <w:szCs w:val="24"/>
        </w:rPr>
      </w:pPr>
      <w:r w:rsidRPr="008464D7">
        <w:rPr>
          <w:color w:val="000000"/>
          <w:sz w:val="24"/>
          <w:szCs w:val="24"/>
        </w:rPr>
        <w:t>Descripción de los riesgos relevantes para las finanzas públicas, incluyendo los montos de Deuda Contingente, acompañados de propuestas de acción para enfrentarlos;</w:t>
      </w:r>
    </w:p>
    <w:p w:rsidR="00E23519" w:rsidRPr="008464D7" w:rsidRDefault="00E23519" w:rsidP="00E23519">
      <w:pPr>
        <w:pStyle w:val="Texto"/>
        <w:spacing w:after="0" w:line="240" w:lineRule="auto"/>
        <w:ind w:left="288" w:firstLine="0"/>
        <w:rPr>
          <w:color w:val="000000"/>
          <w:sz w:val="24"/>
          <w:szCs w:val="24"/>
        </w:rPr>
      </w:pPr>
    </w:p>
    <w:p w:rsidR="00E23519" w:rsidRPr="008464D7" w:rsidRDefault="00E23519" w:rsidP="00E23519">
      <w:pPr>
        <w:pStyle w:val="Texto"/>
        <w:numPr>
          <w:ilvl w:val="0"/>
          <w:numId w:val="22"/>
        </w:numPr>
        <w:spacing w:after="0" w:line="240" w:lineRule="auto"/>
        <w:rPr>
          <w:color w:val="000000"/>
          <w:sz w:val="24"/>
          <w:szCs w:val="24"/>
        </w:rPr>
      </w:pPr>
      <w:r w:rsidRPr="008464D7">
        <w:rPr>
          <w:color w:val="000000"/>
          <w:sz w:val="24"/>
          <w:szCs w:val="24"/>
        </w:rPr>
        <w:t>Resultados de las finanzas públicas que abarcan un periodo de los cinco últimos años y el ejercicio fiscal en cuestión, de acuerdo con los formatos emitidos por el Consejo Nacional de Armonización Contable para este fin.</w:t>
      </w:r>
    </w:p>
    <w:p w:rsidR="00E23519" w:rsidRPr="008464D7" w:rsidRDefault="00E23519" w:rsidP="00E23519">
      <w:pPr>
        <w:pStyle w:val="Texto"/>
        <w:spacing w:after="0" w:line="240" w:lineRule="auto"/>
        <w:ind w:left="288" w:firstLine="0"/>
        <w:rPr>
          <w:color w:val="FF0000"/>
          <w:sz w:val="24"/>
          <w:szCs w:val="24"/>
        </w:rPr>
      </w:pPr>
    </w:p>
    <w:p w:rsidR="00E23519" w:rsidRPr="008464D7" w:rsidRDefault="00E23519" w:rsidP="00E23519">
      <w:pPr>
        <w:pStyle w:val="Texto"/>
        <w:numPr>
          <w:ilvl w:val="0"/>
          <w:numId w:val="22"/>
        </w:numPr>
        <w:spacing w:after="0" w:line="240" w:lineRule="auto"/>
        <w:rPr>
          <w:color w:val="000000"/>
          <w:sz w:val="24"/>
          <w:szCs w:val="24"/>
        </w:rPr>
      </w:pPr>
      <w:r w:rsidRPr="008464D7">
        <w:rPr>
          <w:sz w:val="24"/>
          <w:szCs w:val="24"/>
        </w:rPr>
        <w:t>Resumen de estudio actuarial de las pensiones de los trabajadores.</w:t>
      </w:r>
      <w:r w:rsidRPr="008464D7">
        <w:rPr>
          <w:color w:val="FF0000"/>
          <w:sz w:val="24"/>
          <w:szCs w:val="24"/>
        </w:rPr>
        <w:t xml:space="preserve"> </w:t>
      </w:r>
    </w:p>
    <w:p w:rsidR="00E23519" w:rsidRPr="008464D7" w:rsidRDefault="00E23519" w:rsidP="00E23519">
      <w:pPr>
        <w:pStyle w:val="Texto"/>
        <w:spacing w:after="0" w:line="240" w:lineRule="auto"/>
        <w:ind w:left="720" w:firstLine="0"/>
        <w:rPr>
          <w:color w:val="000000"/>
          <w:sz w:val="24"/>
          <w:szCs w:val="24"/>
        </w:rPr>
      </w:pPr>
    </w:p>
    <w:p w:rsidR="00E23519" w:rsidRPr="008464D7" w:rsidRDefault="00E23519" w:rsidP="00E23519">
      <w:pPr>
        <w:pStyle w:val="Texto"/>
        <w:numPr>
          <w:ilvl w:val="0"/>
          <w:numId w:val="22"/>
        </w:numPr>
        <w:spacing w:after="0" w:line="240" w:lineRule="auto"/>
        <w:rPr>
          <w:sz w:val="24"/>
          <w:szCs w:val="24"/>
        </w:rPr>
      </w:pPr>
      <w:r w:rsidRPr="008464D7">
        <w:rPr>
          <w:sz w:val="24"/>
          <w:szCs w:val="24"/>
        </w:rPr>
        <w:t>El balance presupuestario y su justificación.</w:t>
      </w:r>
    </w:p>
    <w:p w:rsidR="00E23519" w:rsidRPr="008464D7" w:rsidRDefault="00E23519" w:rsidP="00E23519">
      <w:pPr>
        <w:pStyle w:val="Texto"/>
        <w:spacing w:after="0" w:line="240" w:lineRule="auto"/>
        <w:ind w:left="720" w:firstLine="0"/>
        <w:rPr>
          <w:sz w:val="24"/>
          <w:szCs w:val="24"/>
        </w:rPr>
      </w:pPr>
    </w:p>
    <w:p w:rsidR="00E23519" w:rsidRPr="008464D7" w:rsidRDefault="00E23519" w:rsidP="00E23519">
      <w:pPr>
        <w:pStyle w:val="Texto"/>
        <w:numPr>
          <w:ilvl w:val="0"/>
          <w:numId w:val="22"/>
        </w:numPr>
        <w:spacing w:after="0" w:line="240" w:lineRule="auto"/>
        <w:rPr>
          <w:sz w:val="24"/>
          <w:szCs w:val="24"/>
        </w:rPr>
      </w:pPr>
      <w:r w:rsidRPr="008464D7">
        <w:rPr>
          <w:sz w:val="24"/>
          <w:szCs w:val="24"/>
        </w:rPr>
        <w:t>Previsión de recursos para el Fondo de Desastres Naturales.</w:t>
      </w:r>
    </w:p>
    <w:p w:rsidR="00E23519" w:rsidRPr="008464D7" w:rsidRDefault="00E23519" w:rsidP="00E23519">
      <w:pPr>
        <w:pStyle w:val="Texto"/>
        <w:spacing w:after="0" w:line="240" w:lineRule="auto"/>
        <w:ind w:left="720" w:firstLine="0"/>
        <w:rPr>
          <w:sz w:val="24"/>
          <w:szCs w:val="24"/>
        </w:rPr>
      </w:pPr>
    </w:p>
    <w:p w:rsidR="00E23519" w:rsidRPr="008464D7" w:rsidRDefault="00E23519" w:rsidP="00E23519">
      <w:pPr>
        <w:pStyle w:val="Texto"/>
        <w:numPr>
          <w:ilvl w:val="0"/>
          <w:numId w:val="22"/>
        </w:numPr>
        <w:spacing w:after="0" w:line="240" w:lineRule="auto"/>
        <w:rPr>
          <w:sz w:val="24"/>
          <w:szCs w:val="24"/>
        </w:rPr>
      </w:pPr>
      <w:r w:rsidRPr="008464D7">
        <w:rPr>
          <w:sz w:val="24"/>
          <w:szCs w:val="24"/>
        </w:rPr>
        <w:t>Inclusión de una sección específica de las erogaciones correspondientes al gasto en servicios personales.</w:t>
      </w:r>
    </w:p>
    <w:p w:rsidR="00E23519" w:rsidRPr="008464D7" w:rsidRDefault="00E23519" w:rsidP="00E23519">
      <w:pPr>
        <w:pStyle w:val="Texto"/>
        <w:spacing w:after="0" w:line="240" w:lineRule="auto"/>
        <w:ind w:left="720" w:firstLine="0"/>
        <w:rPr>
          <w:sz w:val="24"/>
          <w:szCs w:val="24"/>
        </w:rPr>
      </w:pPr>
    </w:p>
    <w:p w:rsidR="00E23519" w:rsidRPr="008464D7" w:rsidRDefault="00E23519" w:rsidP="00E23519">
      <w:pPr>
        <w:pStyle w:val="Texto"/>
        <w:numPr>
          <w:ilvl w:val="0"/>
          <w:numId w:val="22"/>
        </w:numPr>
        <w:spacing w:after="0" w:line="240" w:lineRule="auto"/>
        <w:rPr>
          <w:sz w:val="24"/>
          <w:szCs w:val="24"/>
        </w:rPr>
      </w:pPr>
      <w:r w:rsidRPr="008464D7">
        <w:rPr>
          <w:sz w:val="24"/>
          <w:szCs w:val="24"/>
        </w:rPr>
        <w:t>Recursos para cubrir los adeudos del ejercicio fiscal anterior (2016)</w:t>
      </w:r>
    </w:p>
    <w:p w:rsidR="00E23519" w:rsidRPr="008464D7" w:rsidRDefault="00E23519" w:rsidP="00E23519">
      <w:pPr>
        <w:rPr>
          <w:lang w:val="es-ES"/>
        </w:rPr>
      </w:pPr>
    </w:p>
    <w:p w:rsidR="00E23519" w:rsidRPr="008464D7" w:rsidRDefault="00E23519" w:rsidP="00E23519">
      <w:pPr>
        <w:rPr>
          <w:sz w:val="24"/>
          <w:szCs w:val="24"/>
          <w:lang w:val="es-ES"/>
        </w:rPr>
      </w:pPr>
    </w:p>
    <w:p w:rsidR="00E23519" w:rsidRPr="008464D7" w:rsidRDefault="00E23519" w:rsidP="00E23519">
      <w:pPr>
        <w:rPr>
          <w:sz w:val="24"/>
          <w:szCs w:val="24"/>
          <w:lang w:val="es-ES"/>
        </w:rPr>
      </w:pPr>
    </w:p>
    <w:p w:rsidR="00E23519" w:rsidRPr="008464D7" w:rsidRDefault="00E23519" w:rsidP="00E23519">
      <w:pPr>
        <w:autoSpaceDE w:val="0"/>
        <w:autoSpaceDN w:val="0"/>
        <w:adjustRightInd w:val="0"/>
        <w:spacing w:after="0" w:line="240" w:lineRule="auto"/>
        <w:rPr>
          <w:rFonts w:ascii="Arial" w:hAnsi="Arial" w:cs="Arial"/>
          <w:b/>
          <w:color w:val="FF0000"/>
          <w:sz w:val="24"/>
          <w:szCs w:val="24"/>
        </w:rPr>
      </w:pPr>
      <w:r w:rsidRPr="008464D7">
        <w:rPr>
          <w:rFonts w:ascii="Arial" w:eastAsia="Times New Roman" w:hAnsi="Arial" w:cs="Arial"/>
          <w:b/>
          <w:sz w:val="24"/>
          <w:szCs w:val="24"/>
          <w:lang w:val="es-ES" w:eastAsia="es-ES"/>
        </w:rPr>
        <w:lastRenderedPageBreak/>
        <w:t>2.1.</w:t>
      </w:r>
      <w:r w:rsidRPr="008464D7">
        <w:rPr>
          <w:rFonts w:ascii="Arial" w:eastAsia="Times New Roman" w:hAnsi="Arial" w:cs="Arial"/>
          <w:sz w:val="24"/>
          <w:szCs w:val="24"/>
          <w:lang w:val="es-ES" w:eastAsia="es-ES"/>
        </w:rPr>
        <w:t xml:space="preserve"> </w:t>
      </w:r>
      <w:r w:rsidRPr="008464D7">
        <w:rPr>
          <w:rFonts w:ascii="Arial" w:hAnsi="Arial" w:cs="Arial"/>
          <w:b/>
          <w:sz w:val="24"/>
          <w:szCs w:val="24"/>
        </w:rPr>
        <w:t>OBJETIVOS ANUALES, ESTRATEGIAS Y METAS.</w:t>
      </w:r>
    </w:p>
    <w:p w:rsidR="00E23519" w:rsidRPr="008464D7" w:rsidRDefault="00E23519" w:rsidP="00E23519">
      <w:pPr>
        <w:autoSpaceDE w:val="0"/>
        <w:autoSpaceDN w:val="0"/>
        <w:adjustRightInd w:val="0"/>
        <w:spacing w:after="0" w:line="240" w:lineRule="auto"/>
        <w:jc w:val="both"/>
        <w:rPr>
          <w:rFonts w:ascii="Arial" w:hAnsi="Arial" w:cs="Arial"/>
          <w:color w:val="FF0000"/>
          <w:sz w:val="24"/>
          <w:szCs w:val="24"/>
        </w:rPr>
      </w:pPr>
    </w:p>
    <w:p w:rsidR="00E23519" w:rsidRPr="008464D7" w:rsidRDefault="00E23519" w:rsidP="00E23519">
      <w:pPr>
        <w:autoSpaceDE w:val="0"/>
        <w:autoSpaceDN w:val="0"/>
        <w:adjustRightInd w:val="0"/>
        <w:spacing w:after="0" w:line="240" w:lineRule="auto"/>
        <w:jc w:val="both"/>
        <w:rPr>
          <w:rFonts w:ascii="Arial" w:hAnsi="Arial" w:cs="Arial"/>
          <w:sz w:val="24"/>
          <w:szCs w:val="24"/>
        </w:rPr>
      </w:pPr>
      <w:r w:rsidRPr="008464D7">
        <w:rPr>
          <w:rFonts w:ascii="Arial" w:hAnsi="Arial" w:cs="Arial"/>
          <w:sz w:val="24"/>
          <w:szCs w:val="24"/>
        </w:rPr>
        <w:t>En congruencia con lo establecido en la Constitución Política del Estado Libre y Soberano de Colima, la Ley de Planeación Democrática para el Desarrollo del Estado de Colima y el Plan Estatal de Desarrollo 2016-2021, se consideran en éste seis ejes estratégicos enfocados a garantizar el desarrollo integral y sostenible del Estado, mediante el fomento al crecimiento económico y social en pro de una mayor calidad de vida y bienestar de las familias colimenses.</w:t>
      </w:r>
    </w:p>
    <w:p w:rsidR="00E23519" w:rsidRPr="008464D7" w:rsidRDefault="00E23519" w:rsidP="00E23519">
      <w:pPr>
        <w:autoSpaceDE w:val="0"/>
        <w:autoSpaceDN w:val="0"/>
        <w:adjustRightInd w:val="0"/>
        <w:spacing w:after="0" w:line="240" w:lineRule="auto"/>
        <w:jc w:val="both"/>
        <w:rPr>
          <w:rFonts w:ascii="Arial" w:hAnsi="Arial" w:cs="Arial"/>
          <w:b/>
          <w:color w:val="FF0000"/>
          <w:sz w:val="28"/>
          <w:szCs w:val="28"/>
        </w:rPr>
      </w:pPr>
    </w:p>
    <w:p w:rsidR="00E23519" w:rsidRPr="008464D7" w:rsidRDefault="00E23519" w:rsidP="00E23519">
      <w:pPr>
        <w:pStyle w:val="Default"/>
        <w:jc w:val="both"/>
        <w:rPr>
          <w:rFonts w:ascii="Arial" w:hAnsi="Arial" w:cs="Arial"/>
          <w:color w:val="auto"/>
        </w:rPr>
      </w:pPr>
      <w:r w:rsidRPr="008464D7">
        <w:rPr>
          <w:rFonts w:ascii="Arial" w:hAnsi="Arial" w:cs="Arial"/>
          <w:color w:val="auto"/>
        </w:rPr>
        <w:t xml:space="preserve">Fundado en las premisas de la </w:t>
      </w:r>
      <w:r w:rsidRPr="008464D7">
        <w:rPr>
          <w:rFonts w:ascii="Arial" w:hAnsi="Arial" w:cs="Arial"/>
          <w:bCs/>
          <w:color w:val="auto"/>
        </w:rPr>
        <w:t xml:space="preserve">Ley de Planeación Democrática para el Desarrollo del Estado de Colima y en la Ley de Disciplina Financiera para Entidades Federativas y Municipios, </w:t>
      </w:r>
      <w:r w:rsidRPr="008464D7">
        <w:rPr>
          <w:rFonts w:ascii="Arial" w:hAnsi="Arial" w:cs="Arial"/>
          <w:color w:val="auto"/>
        </w:rPr>
        <w:t>el proyecto retoma los siguientes principios y postulados:</w:t>
      </w:r>
    </w:p>
    <w:p w:rsidR="00E23519" w:rsidRPr="008464D7" w:rsidRDefault="00E23519" w:rsidP="00E23519">
      <w:pPr>
        <w:autoSpaceDE w:val="0"/>
        <w:autoSpaceDN w:val="0"/>
        <w:adjustRightInd w:val="0"/>
        <w:spacing w:after="0" w:line="240" w:lineRule="auto"/>
        <w:jc w:val="both"/>
        <w:rPr>
          <w:rFonts w:ascii="Arial" w:hAnsi="Arial" w:cs="Arial"/>
          <w:color w:val="000000"/>
          <w:sz w:val="24"/>
          <w:szCs w:val="24"/>
        </w:rPr>
      </w:pPr>
    </w:p>
    <w:p w:rsidR="00E23519" w:rsidRPr="008464D7" w:rsidRDefault="00E23519" w:rsidP="00E23519">
      <w:pPr>
        <w:pStyle w:val="Prrafodelista"/>
        <w:numPr>
          <w:ilvl w:val="0"/>
          <w:numId w:val="23"/>
        </w:numPr>
        <w:autoSpaceDE w:val="0"/>
        <w:autoSpaceDN w:val="0"/>
        <w:adjustRightInd w:val="0"/>
        <w:spacing w:after="0" w:line="240" w:lineRule="auto"/>
        <w:jc w:val="both"/>
        <w:rPr>
          <w:rFonts w:ascii="Arial" w:hAnsi="Arial" w:cs="Arial"/>
          <w:color w:val="000000"/>
          <w:sz w:val="24"/>
          <w:szCs w:val="24"/>
        </w:rPr>
      </w:pPr>
      <w:r w:rsidRPr="008464D7">
        <w:rPr>
          <w:rFonts w:ascii="Arial" w:hAnsi="Arial" w:cs="Arial"/>
          <w:color w:val="000000"/>
          <w:sz w:val="24"/>
          <w:szCs w:val="24"/>
        </w:rPr>
        <w:t xml:space="preserve">La igualdad de derechos y oportunidades sustentados en la atención de las necesidades prioritarias de la población, la mejora de la calidad de vida de las personas y el abatimiento de la pobreza para lograr una sociedad más igualitaria y justa; </w:t>
      </w:r>
    </w:p>
    <w:p w:rsidR="00E23519" w:rsidRPr="008464D7" w:rsidRDefault="00E23519" w:rsidP="00E23519">
      <w:pPr>
        <w:autoSpaceDE w:val="0"/>
        <w:autoSpaceDN w:val="0"/>
        <w:adjustRightInd w:val="0"/>
        <w:spacing w:after="0" w:line="240" w:lineRule="auto"/>
        <w:jc w:val="both"/>
        <w:rPr>
          <w:rFonts w:ascii="Arial" w:hAnsi="Arial" w:cs="Arial"/>
          <w:color w:val="000000"/>
          <w:sz w:val="24"/>
          <w:szCs w:val="24"/>
        </w:rPr>
      </w:pPr>
    </w:p>
    <w:p w:rsidR="00E23519" w:rsidRPr="008464D7" w:rsidRDefault="00E23519" w:rsidP="00E23519">
      <w:pPr>
        <w:pStyle w:val="Prrafodelista"/>
        <w:numPr>
          <w:ilvl w:val="0"/>
          <w:numId w:val="23"/>
        </w:numPr>
        <w:autoSpaceDE w:val="0"/>
        <w:autoSpaceDN w:val="0"/>
        <w:adjustRightInd w:val="0"/>
        <w:spacing w:after="0" w:line="240" w:lineRule="auto"/>
        <w:jc w:val="both"/>
        <w:rPr>
          <w:rFonts w:ascii="Arial" w:hAnsi="Arial" w:cs="Arial"/>
          <w:color w:val="000000"/>
          <w:sz w:val="24"/>
          <w:szCs w:val="24"/>
        </w:rPr>
      </w:pPr>
      <w:r w:rsidRPr="008464D7">
        <w:rPr>
          <w:rFonts w:ascii="Arial" w:hAnsi="Arial" w:cs="Arial"/>
          <w:color w:val="000000"/>
          <w:sz w:val="24"/>
          <w:szCs w:val="24"/>
        </w:rPr>
        <w:t xml:space="preserve">La sustentabilidad en el desarrollo, la preservación del equilibrio ecológico y la protección al ambiente; </w:t>
      </w:r>
    </w:p>
    <w:p w:rsidR="00E23519" w:rsidRPr="008464D7" w:rsidRDefault="00E23519" w:rsidP="00E23519">
      <w:pPr>
        <w:autoSpaceDE w:val="0"/>
        <w:autoSpaceDN w:val="0"/>
        <w:adjustRightInd w:val="0"/>
        <w:spacing w:after="0" w:line="240" w:lineRule="auto"/>
        <w:jc w:val="both"/>
        <w:rPr>
          <w:rFonts w:ascii="Arial" w:hAnsi="Arial" w:cs="Arial"/>
          <w:color w:val="000000"/>
          <w:sz w:val="24"/>
          <w:szCs w:val="24"/>
        </w:rPr>
      </w:pPr>
    </w:p>
    <w:p w:rsidR="00E23519" w:rsidRPr="008464D7" w:rsidRDefault="00E23519" w:rsidP="00E23519">
      <w:pPr>
        <w:pStyle w:val="Prrafodelista"/>
        <w:numPr>
          <w:ilvl w:val="0"/>
          <w:numId w:val="23"/>
        </w:numPr>
        <w:autoSpaceDE w:val="0"/>
        <w:autoSpaceDN w:val="0"/>
        <w:adjustRightInd w:val="0"/>
        <w:spacing w:after="0" w:line="240" w:lineRule="auto"/>
        <w:jc w:val="both"/>
        <w:rPr>
          <w:rFonts w:ascii="Arial" w:hAnsi="Arial" w:cs="Arial"/>
          <w:color w:val="000000"/>
          <w:sz w:val="24"/>
          <w:szCs w:val="24"/>
        </w:rPr>
      </w:pPr>
      <w:r w:rsidRPr="008464D7">
        <w:rPr>
          <w:rFonts w:ascii="Arial" w:hAnsi="Arial" w:cs="Arial"/>
          <w:color w:val="000000"/>
          <w:sz w:val="24"/>
          <w:szCs w:val="24"/>
        </w:rPr>
        <w:t xml:space="preserve">El respeto irrestricto a los derechos humanos consagrados en la Constitución Política de los Estados Unidos Mexicanos, los tratados internacionales en la materia y en la Constitución del Estado; </w:t>
      </w:r>
    </w:p>
    <w:p w:rsidR="00E23519" w:rsidRPr="008464D7" w:rsidRDefault="00E23519" w:rsidP="00E23519">
      <w:pPr>
        <w:autoSpaceDE w:val="0"/>
        <w:autoSpaceDN w:val="0"/>
        <w:adjustRightInd w:val="0"/>
        <w:spacing w:after="0" w:line="240" w:lineRule="auto"/>
        <w:jc w:val="both"/>
        <w:rPr>
          <w:rFonts w:ascii="Arial" w:hAnsi="Arial" w:cs="Arial"/>
          <w:color w:val="000000"/>
          <w:sz w:val="24"/>
          <w:szCs w:val="24"/>
        </w:rPr>
      </w:pPr>
    </w:p>
    <w:p w:rsidR="00E23519" w:rsidRPr="008464D7" w:rsidRDefault="00E23519" w:rsidP="00E23519">
      <w:pPr>
        <w:pStyle w:val="Prrafodelista"/>
        <w:numPr>
          <w:ilvl w:val="0"/>
          <w:numId w:val="23"/>
        </w:numPr>
        <w:autoSpaceDE w:val="0"/>
        <w:autoSpaceDN w:val="0"/>
        <w:adjustRightInd w:val="0"/>
        <w:spacing w:after="0" w:line="240" w:lineRule="auto"/>
        <w:jc w:val="both"/>
        <w:rPr>
          <w:rFonts w:ascii="Arial" w:hAnsi="Arial" w:cs="Arial"/>
          <w:color w:val="000000"/>
          <w:sz w:val="24"/>
          <w:szCs w:val="24"/>
        </w:rPr>
      </w:pPr>
      <w:r w:rsidRPr="008464D7">
        <w:rPr>
          <w:rFonts w:ascii="Arial" w:hAnsi="Arial" w:cs="Arial"/>
          <w:color w:val="000000"/>
          <w:sz w:val="24"/>
          <w:szCs w:val="24"/>
        </w:rPr>
        <w:t xml:space="preserve">La perspectiva de género para garantizar la igualdad de oportunidades; </w:t>
      </w:r>
    </w:p>
    <w:p w:rsidR="00E23519" w:rsidRPr="008464D7" w:rsidRDefault="00E23519" w:rsidP="00E23519">
      <w:pPr>
        <w:autoSpaceDE w:val="0"/>
        <w:autoSpaceDN w:val="0"/>
        <w:adjustRightInd w:val="0"/>
        <w:spacing w:after="0" w:line="240" w:lineRule="auto"/>
        <w:jc w:val="both"/>
        <w:rPr>
          <w:rFonts w:ascii="Arial" w:hAnsi="Arial" w:cs="Arial"/>
          <w:color w:val="000000"/>
          <w:sz w:val="24"/>
          <w:szCs w:val="24"/>
        </w:rPr>
      </w:pPr>
    </w:p>
    <w:p w:rsidR="00E23519" w:rsidRPr="008464D7" w:rsidRDefault="00E23519" w:rsidP="00E23519">
      <w:pPr>
        <w:pStyle w:val="Prrafodelista"/>
        <w:numPr>
          <w:ilvl w:val="0"/>
          <w:numId w:val="23"/>
        </w:numPr>
        <w:autoSpaceDE w:val="0"/>
        <w:autoSpaceDN w:val="0"/>
        <w:adjustRightInd w:val="0"/>
        <w:spacing w:after="0" w:line="240" w:lineRule="auto"/>
        <w:jc w:val="both"/>
        <w:rPr>
          <w:rFonts w:ascii="Arial" w:hAnsi="Arial" w:cs="Arial"/>
          <w:color w:val="000000"/>
          <w:sz w:val="24"/>
          <w:szCs w:val="24"/>
        </w:rPr>
      </w:pPr>
      <w:r w:rsidRPr="008464D7">
        <w:rPr>
          <w:rFonts w:ascii="Arial" w:hAnsi="Arial" w:cs="Arial"/>
          <w:color w:val="000000"/>
          <w:sz w:val="24"/>
          <w:szCs w:val="24"/>
        </w:rPr>
        <w:t xml:space="preserve">La promoción y fomento del crecimiento, y desarrollo económico, así como del empleo; </w:t>
      </w:r>
    </w:p>
    <w:p w:rsidR="00E23519" w:rsidRPr="008464D7" w:rsidRDefault="00E23519" w:rsidP="00E23519">
      <w:pPr>
        <w:autoSpaceDE w:val="0"/>
        <w:autoSpaceDN w:val="0"/>
        <w:adjustRightInd w:val="0"/>
        <w:spacing w:after="0" w:line="240" w:lineRule="auto"/>
        <w:jc w:val="both"/>
        <w:rPr>
          <w:rFonts w:ascii="Arial" w:hAnsi="Arial" w:cs="Arial"/>
          <w:color w:val="000000"/>
          <w:sz w:val="24"/>
          <w:szCs w:val="24"/>
        </w:rPr>
      </w:pPr>
    </w:p>
    <w:p w:rsidR="00E23519" w:rsidRPr="001F7D88" w:rsidRDefault="00E23519" w:rsidP="00E23519">
      <w:pPr>
        <w:pStyle w:val="Default"/>
        <w:numPr>
          <w:ilvl w:val="0"/>
          <w:numId w:val="23"/>
        </w:numPr>
        <w:jc w:val="both"/>
        <w:rPr>
          <w:rFonts w:ascii="Arial" w:hAnsi="Arial" w:cs="Arial"/>
        </w:rPr>
      </w:pPr>
      <w:r w:rsidRPr="001F7D88">
        <w:rPr>
          <w:rFonts w:ascii="Arial" w:hAnsi="Arial" w:cs="Arial"/>
        </w:rPr>
        <w:t xml:space="preserve">El ejercicio honesto, eficaz, eficiente, racional, austero y transparente apegado a la legalidad, y con rendición de cuentas, de los recursos públicos a cargo de los servidores públicos; </w:t>
      </w:r>
    </w:p>
    <w:p w:rsidR="00E23519" w:rsidRPr="008464D7" w:rsidRDefault="00E23519" w:rsidP="00E23519">
      <w:pPr>
        <w:autoSpaceDE w:val="0"/>
        <w:autoSpaceDN w:val="0"/>
        <w:adjustRightInd w:val="0"/>
        <w:spacing w:after="0" w:line="240" w:lineRule="auto"/>
        <w:jc w:val="both"/>
        <w:rPr>
          <w:rFonts w:ascii="Arial" w:hAnsi="Arial" w:cs="Arial"/>
          <w:color w:val="000000"/>
          <w:sz w:val="24"/>
          <w:szCs w:val="24"/>
        </w:rPr>
      </w:pPr>
    </w:p>
    <w:p w:rsidR="00E23519" w:rsidRPr="008464D7" w:rsidRDefault="00E23519" w:rsidP="00E23519">
      <w:pPr>
        <w:pStyle w:val="Prrafodelista"/>
        <w:numPr>
          <w:ilvl w:val="0"/>
          <w:numId w:val="23"/>
        </w:numPr>
        <w:autoSpaceDE w:val="0"/>
        <w:autoSpaceDN w:val="0"/>
        <w:adjustRightInd w:val="0"/>
        <w:spacing w:after="0" w:line="240" w:lineRule="auto"/>
        <w:jc w:val="both"/>
        <w:rPr>
          <w:rFonts w:ascii="Arial" w:hAnsi="Arial" w:cs="Arial"/>
          <w:color w:val="000000"/>
          <w:sz w:val="24"/>
          <w:szCs w:val="24"/>
        </w:rPr>
      </w:pPr>
      <w:r w:rsidRPr="008464D7">
        <w:rPr>
          <w:rFonts w:ascii="Arial" w:hAnsi="Arial" w:cs="Arial"/>
          <w:color w:val="000000"/>
          <w:sz w:val="24"/>
          <w:szCs w:val="24"/>
        </w:rPr>
        <w:t xml:space="preserve">El aprovechamiento de la ubicación estratégica del Estado y de sus fortalezas, para lograr una mejor integración nacional e internacional; </w:t>
      </w:r>
    </w:p>
    <w:p w:rsidR="00E23519" w:rsidRPr="008464D7" w:rsidRDefault="00E23519" w:rsidP="00E23519">
      <w:pPr>
        <w:autoSpaceDE w:val="0"/>
        <w:autoSpaceDN w:val="0"/>
        <w:adjustRightInd w:val="0"/>
        <w:spacing w:after="0" w:line="240" w:lineRule="auto"/>
        <w:ind w:left="708"/>
        <w:jc w:val="both"/>
        <w:rPr>
          <w:rFonts w:ascii="Arial" w:hAnsi="Arial" w:cs="Arial"/>
          <w:color w:val="000000"/>
          <w:sz w:val="24"/>
          <w:szCs w:val="24"/>
        </w:rPr>
      </w:pPr>
    </w:p>
    <w:p w:rsidR="00E23519" w:rsidRPr="008464D7" w:rsidRDefault="00E23519" w:rsidP="00E23519">
      <w:pPr>
        <w:pStyle w:val="Prrafodelista"/>
        <w:numPr>
          <w:ilvl w:val="0"/>
          <w:numId w:val="23"/>
        </w:numPr>
        <w:autoSpaceDE w:val="0"/>
        <w:autoSpaceDN w:val="0"/>
        <w:adjustRightInd w:val="0"/>
        <w:spacing w:after="0" w:line="240" w:lineRule="auto"/>
        <w:jc w:val="both"/>
        <w:rPr>
          <w:rFonts w:ascii="Arial" w:hAnsi="Arial" w:cs="Arial"/>
          <w:color w:val="000000"/>
          <w:sz w:val="24"/>
          <w:szCs w:val="24"/>
        </w:rPr>
      </w:pPr>
      <w:r w:rsidRPr="008464D7">
        <w:rPr>
          <w:rFonts w:ascii="Arial" w:hAnsi="Arial" w:cs="Arial"/>
          <w:color w:val="000000"/>
          <w:sz w:val="24"/>
          <w:szCs w:val="24"/>
        </w:rPr>
        <w:t xml:space="preserve">La elevación del nivel de vida de la población a través de un desarrollo económico, social, político y cultural adecuado; </w:t>
      </w:r>
    </w:p>
    <w:p w:rsidR="00E23519" w:rsidRPr="008464D7" w:rsidRDefault="00E23519" w:rsidP="00E23519">
      <w:pPr>
        <w:autoSpaceDE w:val="0"/>
        <w:autoSpaceDN w:val="0"/>
        <w:adjustRightInd w:val="0"/>
        <w:spacing w:after="0" w:line="240" w:lineRule="auto"/>
        <w:jc w:val="both"/>
        <w:rPr>
          <w:rFonts w:ascii="Arial" w:hAnsi="Arial" w:cs="Arial"/>
          <w:color w:val="000000"/>
          <w:sz w:val="24"/>
          <w:szCs w:val="24"/>
        </w:rPr>
      </w:pPr>
    </w:p>
    <w:p w:rsidR="00E23519" w:rsidRPr="008464D7" w:rsidRDefault="00E23519" w:rsidP="00E23519">
      <w:pPr>
        <w:pStyle w:val="Prrafodelista"/>
        <w:numPr>
          <w:ilvl w:val="0"/>
          <w:numId w:val="23"/>
        </w:numPr>
        <w:autoSpaceDE w:val="0"/>
        <w:autoSpaceDN w:val="0"/>
        <w:adjustRightInd w:val="0"/>
        <w:spacing w:after="0" w:line="240" w:lineRule="auto"/>
        <w:jc w:val="both"/>
        <w:rPr>
          <w:rFonts w:ascii="Arial" w:hAnsi="Arial" w:cs="Arial"/>
          <w:color w:val="000000"/>
          <w:sz w:val="24"/>
          <w:szCs w:val="24"/>
        </w:rPr>
      </w:pPr>
      <w:r w:rsidRPr="008464D7">
        <w:rPr>
          <w:rFonts w:ascii="Arial" w:hAnsi="Arial" w:cs="Arial"/>
          <w:color w:val="000000"/>
          <w:sz w:val="24"/>
          <w:szCs w:val="24"/>
        </w:rPr>
        <w:t>La preservación de la seguridad, e</w:t>
      </w:r>
      <w:r>
        <w:rPr>
          <w:rFonts w:ascii="Arial" w:hAnsi="Arial" w:cs="Arial"/>
          <w:color w:val="000000"/>
          <w:sz w:val="24"/>
          <w:szCs w:val="24"/>
        </w:rPr>
        <w:t>l orden público y la paz social;</w:t>
      </w:r>
      <w:r w:rsidRPr="008464D7">
        <w:rPr>
          <w:rFonts w:ascii="Arial" w:hAnsi="Arial" w:cs="Arial"/>
          <w:color w:val="000000"/>
          <w:sz w:val="24"/>
          <w:szCs w:val="24"/>
        </w:rPr>
        <w:t xml:space="preserve"> </w:t>
      </w:r>
    </w:p>
    <w:p w:rsidR="00E23519" w:rsidRPr="008464D7" w:rsidRDefault="00E23519" w:rsidP="00E23519">
      <w:pPr>
        <w:autoSpaceDE w:val="0"/>
        <w:autoSpaceDN w:val="0"/>
        <w:adjustRightInd w:val="0"/>
        <w:spacing w:after="0" w:line="240" w:lineRule="auto"/>
        <w:jc w:val="both"/>
        <w:rPr>
          <w:rFonts w:ascii="Arial" w:hAnsi="Arial" w:cs="Arial"/>
          <w:color w:val="000000"/>
          <w:sz w:val="24"/>
          <w:szCs w:val="24"/>
        </w:rPr>
      </w:pPr>
    </w:p>
    <w:p w:rsidR="00E23519" w:rsidRPr="008464D7" w:rsidRDefault="00E23519" w:rsidP="00E23519">
      <w:pPr>
        <w:pStyle w:val="Prrafodelista"/>
        <w:numPr>
          <w:ilvl w:val="0"/>
          <w:numId w:val="23"/>
        </w:numPr>
        <w:autoSpaceDE w:val="0"/>
        <w:autoSpaceDN w:val="0"/>
        <w:adjustRightInd w:val="0"/>
        <w:spacing w:after="0" w:line="240" w:lineRule="auto"/>
        <w:jc w:val="both"/>
        <w:rPr>
          <w:rFonts w:ascii="Arial" w:hAnsi="Arial" w:cs="Arial"/>
          <w:sz w:val="24"/>
          <w:szCs w:val="24"/>
        </w:rPr>
      </w:pPr>
      <w:r w:rsidRPr="008464D7">
        <w:rPr>
          <w:rFonts w:ascii="Arial" w:hAnsi="Arial" w:cs="Arial"/>
          <w:sz w:val="24"/>
          <w:szCs w:val="24"/>
        </w:rPr>
        <w:t>El enfoque de gestión para resultados la cual articula los procesos de planeación, programación, presupuestación, evaluación y rendición de cuentas con lo que se avanza hacia la conformación del Presupuesto Basado en Resultados; permite que la asignación presupuestal para cada ámbito del desarrollo esté garantizada y orientada a la atención de las necesidades sociales; y en el mediano plazo contribuirá a mejor</w:t>
      </w:r>
      <w:r>
        <w:rPr>
          <w:rFonts w:ascii="Arial" w:hAnsi="Arial" w:cs="Arial"/>
          <w:sz w:val="24"/>
          <w:szCs w:val="24"/>
        </w:rPr>
        <w:t>ar la calidad del gasto público;</w:t>
      </w:r>
    </w:p>
    <w:p w:rsidR="00E23519" w:rsidRPr="008464D7" w:rsidRDefault="00E23519" w:rsidP="00E23519">
      <w:pPr>
        <w:autoSpaceDE w:val="0"/>
        <w:autoSpaceDN w:val="0"/>
        <w:adjustRightInd w:val="0"/>
        <w:spacing w:after="0" w:line="240" w:lineRule="auto"/>
        <w:jc w:val="both"/>
        <w:rPr>
          <w:rFonts w:ascii="Arial" w:hAnsi="Arial" w:cs="Arial"/>
          <w:sz w:val="24"/>
          <w:szCs w:val="24"/>
        </w:rPr>
      </w:pPr>
    </w:p>
    <w:p w:rsidR="00E23519" w:rsidRPr="008464D7" w:rsidRDefault="00E23519" w:rsidP="00E23519">
      <w:pPr>
        <w:pStyle w:val="Texto"/>
        <w:numPr>
          <w:ilvl w:val="0"/>
          <w:numId w:val="23"/>
        </w:numPr>
        <w:spacing w:after="0" w:line="240" w:lineRule="auto"/>
        <w:rPr>
          <w:sz w:val="24"/>
          <w:szCs w:val="24"/>
        </w:rPr>
      </w:pPr>
      <w:r w:rsidRPr="008464D7">
        <w:rPr>
          <w:sz w:val="24"/>
          <w:szCs w:val="24"/>
        </w:rPr>
        <w:t>Racionalidad, austeridad y equilibrio presupuestal para lograr un manejo sostenible de l</w:t>
      </w:r>
      <w:r>
        <w:rPr>
          <w:sz w:val="24"/>
          <w:szCs w:val="24"/>
        </w:rPr>
        <w:t>as finanzas públicas;</w:t>
      </w:r>
    </w:p>
    <w:p w:rsidR="00E23519" w:rsidRPr="008464D7" w:rsidRDefault="00E23519" w:rsidP="00E23519">
      <w:pPr>
        <w:pStyle w:val="Texto"/>
        <w:spacing w:after="0" w:line="240" w:lineRule="auto"/>
        <w:rPr>
          <w:sz w:val="24"/>
          <w:szCs w:val="24"/>
        </w:rPr>
      </w:pPr>
    </w:p>
    <w:p w:rsidR="00E23519" w:rsidRPr="008464D7" w:rsidRDefault="00E23519" w:rsidP="00E23519">
      <w:pPr>
        <w:pStyle w:val="Prrafodelista"/>
        <w:numPr>
          <w:ilvl w:val="0"/>
          <w:numId w:val="23"/>
        </w:numPr>
        <w:autoSpaceDE w:val="0"/>
        <w:autoSpaceDN w:val="0"/>
        <w:adjustRightInd w:val="0"/>
        <w:spacing w:after="0" w:line="240" w:lineRule="auto"/>
        <w:jc w:val="both"/>
        <w:rPr>
          <w:rFonts w:ascii="Arial" w:hAnsi="Arial" w:cs="Arial"/>
          <w:color w:val="000000"/>
          <w:sz w:val="24"/>
          <w:szCs w:val="24"/>
        </w:rPr>
      </w:pPr>
      <w:r w:rsidRPr="008464D7">
        <w:rPr>
          <w:rFonts w:ascii="Arial" w:hAnsi="Arial" w:cs="Arial"/>
          <w:color w:val="000000"/>
          <w:sz w:val="24"/>
          <w:szCs w:val="24"/>
        </w:rPr>
        <w:t>Disciplina financiera para la observancia de los principios y las disposiciones en materia de responsabilidad hacendaria y financiera, la aplicación de reglas y criterios en el manejo de recursos y contratación de obligaciones, que aseguren una gestión responsable y sostenible de las finanzas públicas, generando condiciones favorables para el cr</w:t>
      </w:r>
      <w:r>
        <w:rPr>
          <w:rFonts w:ascii="Arial" w:hAnsi="Arial" w:cs="Arial"/>
          <w:color w:val="000000"/>
          <w:sz w:val="24"/>
          <w:szCs w:val="24"/>
        </w:rPr>
        <w:t>ecimiento económico y el empleo;</w:t>
      </w:r>
    </w:p>
    <w:p w:rsidR="00E23519" w:rsidRPr="008464D7" w:rsidRDefault="00E23519" w:rsidP="00E23519">
      <w:pPr>
        <w:autoSpaceDE w:val="0"/>
        <w:autoSpaceDN w:val="0"/>
        <w:adjustRightInd w:val="0"/>
        <w:spacing w:after="0" w:line="240" w:lineRule="auto"/>
        <w:jc w:val="both"/>
        <w:rPr>
          <w:color w:val="000000"/>
          <w:sz w:val="20"/>
        </w:rPr>
      </w:pPr>
    </w:p>
    <w:p w:rsidR="00E23519" w:rsidRPr="008464D7" w:rsidRDefault="00E23519" w:rsidP="00E23519">
      <w:pPr>
        <w:pStyle w:val="Prrafodelista"/>
        <w:numPr>
          <w:ilvl w:val="0"/>
          <w:numId w:val="23"/>
        </w:numPr>
        <w:autoSpaceDE w:val="0"/>
        <w:autoSpaceDN w:val="0"/>
        <w:adjustRightInd w:val="0"/>
        <w:spacing w:after="0" w:line="240" w:lineRule="auto"/>
        <w:jc w:val="both"/>
        <w:rPr>
          <w:rFonts w:ascii="Arial" w:hAnsi="Arial" w:cs="Arial"/>
          <w:sz w:val="24"/>
          <w:szCs w:val="24"/>
        </w:rPr>
      </w:pPr>
      <w:r w:rsidRPr="008464D7">
        <w:rPr>
          <w:rFonts w:ascii="Arial" w:hAnsi="Arial" w:cs="Arial"/>
          <w:sz w:val="24"/>
          <w:szCs w:val="24"/>
        </w:rPr>
        <w:t>Disciplina presupuestal como directriz del gasto que obliga a las dependencias y entidades del sector público estatal a ejercer los recursos en los montos, estructuras y plazos previamente fijados por la programación del presupuesto co</w:t>
      </w:r>
      <w:r>
        <w:rPr>
          <w:rFonts w:ascii="Arial" w:hAnsi="Arial" w:cs="Arial"/>
          <w:sz w:val="24"/>
          <w:szCs w:val="24"/>
        </w:rPr>
        <w:t>n pleno apego a la normatividad;</w:t>
      </w:r>
      <w:r w:rsidRPr="008464D7">
        <w:rPr>
          <w:rFonts w:ascii="Arial" w:hAnsi="Arial" w:cs="Arial"/>
          <w:sz w:val="24"/>
          <w:szCs w:val="24"/>
        </w:rPr>
        <w:t xml:space="preserve"> </w:t>
      </w:r>
    </w:p>
    <w:p w:rsidR="00E23519" w:rsidRPr="008464D7" w:rsidRDefault="00E23519" w:rsidP="00E23519">
      <w:pPr>
        <w:autoSpaceDE w:val="0"/>
        <w:autoSpaceDN w:val="0"/>
        <w:adjustRightInd w:val="0"/>
        <w:spacing w:after="0" w:line="240" w:lineRule="auto"/>
        <w:jc w:val="both"/>
        <w:rPr>
          <w:rFonts w:ascii="Arial" w:hAnsi="Arial" w:cs="Arial"/>
          <w:sz w:val="24"/>
          <w:szCs w:val="24"/>
        </w:rPr>
      </w:pPr>
    </w:p>
    <w:p w:rsidR="00E23519" w:rsidRPr="008464D7" w:rsidRDefault="00E23519" w:rsidP="00E23519">
      <w:pPr>
        <w:pStyle w:val="Prrafodelista"/>
        <w:numPr>
          <w:ilvl w:val="0"/>
          <w:numId w:val="23"/>
        </w:numPr>
        <w:autoSpaceDE w:val="0"/>
        <w:autoSpaceDN w:val="0"/>
        <w:adjustRightInd w:val="0"/>
        <w:spacing w:after="0" w:line="240" w:lineRule="auto"/>
        <w:jc w:val="both"/>
        <w:rPr>
          <w:rFonts w:ascii="Arial" w:hAnsi="Arial" w:cs="Arial"/>
          <w:sz w:val="24"/>
          <w:szCs w:val="24"/>
        </w:rPr>
      </w:pPr>
      <w:r w:rsidRPr="008464D7">
        <w:rPr>
          <w:rFonts w:ascii="Arial" w:hAnsi="Arial" w:cs="Arial"/>
          <w:sz w:val="24"/>
          <w:szCs w:val="24"/>
        </w:rPr>
        <w:t>Privilegio del gasto social mediante programas dirigidos a la prestación de bienes y servicios que sirvan para consolidar el desarrollo humano sustentable, particularmente de los grupos de población</w:t>
      </w:r>
      <w:r>
        <w:rPr>
          <w:rFonts w:ascii="Arial" w:hAnsi="Arial" w:cs="Arial"/>
          <w:sz w:val="24"/>
          <w:szCs w:val="24"/>
        </w:rPr>
        <w:t xml:space="preserve"> más desfavorecidos socialmente; y</w:t>
      </w:r>
      <w:r w:rsidRPr="008464D7">
        <w:rPr>
          <w:rFonts w:ascii="Arial" w:hAnsi="Arial" w:cs="Arial"/>
          <w:sz w:val="24"/>
          <w:szCs w:val="24"/>
        </w:rPr>
        <w:t xml:space="preserve"> </w:t>
      </w:r>
    </w:p>
    <w:p w:rsidR="00E23519" w:rsidRPr="008464D7" w:rsidRDefault="00E23519" w:rsidP="00E23519">
      <w:pPr>
        <w:autoSpaceDE w:val="0"/>
        <w:autoSpaceDN w:val="0"/>
        <w:adjustRightInd w:val="0"/>
        <w:spacing w:after="0" w:line="240" w:lineRule="auto"/>
        <w:jc w:val="both"/>
        <w:rPr>
          <w:rFonts w:ascii="Arial" w:hAnsi="Arial" w:cs="Arial"/>
          <w:color w:val="FF0000"/>
          <w:sz w:val="24"/>
          <w:szCs w:val="24"/>
        </w:rPr>
      </w:pPr>
    </w:p>
    <w:p w:rsidR="00E23519" w:rsidRPr="008464D7" w:rsidRDefault="00E23519" w:rsidP="00E23519">
      <w:pPr>
        <w:pStyle w:val="Prrafodelista"/>
        <w:numPr>
          <w:ilvl w:val="0"/>
          <w:numId w:val="23"/>
        </w:numPr>
        <w:rPr>
          <w:lang w:val="es-ES"/>
        </w:rPr>
      </w:pPr>
      <w:r w:rsidRPr="008464D7">
        <w:rPr>
          <w:rFonts w:ascii="Arial" w:hAnsi="Arial" w:cs="Arial"/>
          <w:sz w:val="24"/>
          <w:szCs w:val="24"/>
        </w:rPr>
        <w:t>Cero tolerancia en materia de corrupción.</w:t>
      </w:r>
    </w:p>
    <w:p w:rsidR="00E23519" w:rsidRPr="008464D7" w:rsidRDefault="00E23519" w:rsidP="00E23519">
      <w:pPr>
        <w:pStyle w:val="Default"/>
        <w:jc w:val="both"/>
        <w:rPr>
          <w:rFonts w:ascii="Arial" w:hAnsi="Arial" w:cs="Arial"/>
          <w:b/>
          <w:sz w:val="32"/>
          <w:szCs w:val="32"/>
        </w:rPr>
      </w:pPr>
      <w:r w:rsidRPr="008464D7">
        <w:rPr>
          <w:rFonts w:ascii="Arial" w:hAnsi="Arial" w:cs="Arial"/>
        </w:rPr>
        <w:t xml:space="preserve">En este tenor, el proyecto de presupuesto, se fundamenta en los siguientes </w:t>
      </w:r>
      <w:r w:rsidRPr="008464D7">
        <w:rPr>
          <w:rFonts w:ascii="Arial" w:hAnsi="Arial" w:cs="Arial"/>
          <w:b/>
        </w:rPr>
        <w:t xml:space="preserve">Ejes Estratégicos, Líneas de Política y Objetivos: </w:t>
      </w:r>
    </w:p>
    <w:p w:rsidR="00E23519" w:rsidRPr="008464D7" w:rsidRDefault="00E23519" w:rsidP="00E23519">
      <w:pPr>
        <w:autoSpaceDE w:val="0"/>
        <w:autoSpaceDN w:val="0"/>
        <w:adjustRightInd w:val="0"/>
        <w:spacing w:after="0" w:line="240" w:lineRule="auto"/>
        <w:jc w:val="both"/>
        <w:rPr>
          <w:rFonts w:ascii="Arial" w:hAnsi="Arial" w:cs="Arial"/>
          <w:strike/>
          <w:color w:val="FF0000"/>
          <w:sz w:val="24"/>
          <w:szCs w:val="24"/>
        </w:rPr>
      </w:pPr>
    </w:p>
    <w:p w:rsidR="00E23519" w:rsidRPr="008464D7" w:rsidRDefault="00E23519" w:rsidP="00E23519">
      <w:pPr>
        <w:autoSpaceDE w:val="0"/>
        <w:autoSpaceDN w:val="0"/>
        <w:adjustRightInd w:val="0"/>
        <w:spacing w:after="0" w:line="240" w:lineRule="auto"/>
        <w:jc w:val="both"/>
        <w:rPr>
          <w:rFonts w:ascii="Arial" w:hAnsi="Arial" w:cs="Arial"/>
          <w:sz w:val="24"/>
          <w:szCs w:val="24"/>
        </w:rPr>
      </w:pPr>
      <w:r w:rsidRPr="008464D7">
        <w:rPr>
          <w:rFonts w:ascii="Arial" w:hAnsi="Arial" w:cs="Arial"/>
          <w:sz w:val="24"/>
          <w:szCs w:val="24"/>
        </w:rPr>
        <w:t xml:space="preserve">En un contexto de limitada disponibilidad de recursos, el Gobierno del Estado enfrenta el reto de priorizar objetivos entre un gran conjunto de necesidades diversas, captadas a lo largo de la campaña político -electoral y en los diversos foros de consulta popular realizados para potenciar la participación de la sociedad civil en el diseño, implementación, seguimiento y evaluación de las políticas públicas,  cuya expresión quedo plasmada en el Plan Estatal de Desarrollo PED 2016-2021, </w:t>
      </w:r>
      <w:r w:rsidRPr="008464D7">
        <w:rPr>
          <w:rFonts w:ascii="Arial" w:hAnsi="Arial" w:cs="Arial"/>
          <w:sz w:val="24"/>
          <w:szCs w:val="24"/>
        </w:rPr>
        <w:lastRenderedPageBreak/>
        <w:t>documento rector y carta de navegación del rumbo que ha de tomar el desarrollo de la entidad en las próximas décadas.</w:t>
      </w:r>
    </w:p>
    <w:p w:rsidR="00E23519" w:rsidRPr="008464D7" w:rsidRDefault="00E23519" w:rsidP="00E23519">
      <w:pPr>
        <w:autoSpaceDE w:val="0"/>
        <w:autoSpaceDN w:val="0"/>
        <w:adjustRightInd w:val="0"/>
        <w:spacing w:after="0" w:line="240" w:lineRule="auto"/>
        <w:jc w:val="both"/>
        <w:rPr>
          <w:rFonts w:ascii="Arial" w:hAnsi="Arial" w:cs="Arial"/>
          <w:b/>
          <w:strike/>
          <w:color w:val="FF0000"/>
          <w:sz w:val="24"/>
          <w:szCs w:val="24"/>
        </w:rPr>
      </w:pPr>
    </w:p>
    <w:p w:rsidR="00E23519" w:rsidRPr="008464D7" w:rsidRDefault="00E23519" w:rsidP="00E23519">
      <w:pPr>
        <w:rPr>
          <w:rFonts w:ascii="Arial" w:hAnsi="Arial" w:cs="Arial"/>
          <w:sz w:val="24"/>
          <w:szCs w:val="24"/>
        </w:rPr>
      </w:pPr>
      <w:r w:rsidRPr="008464D7">
        <w:rPr>
          <w:rFonts w:ascii="Arial" w:hAnsi="Arial" w:cs="Arial"/>
          <w:sz w:val="24"/>
          <w:szCs w:val="24"/>
        </w:rPr>
        <w:t>El Proyecto de Presupuesto incorpora prioridades de desarrollo vinculadas con los siguientes Ejes Estratégicos, Líneas de Política y Objetivos:</w:t>
      </w:r>
    </w:p>
    <w:p w:rsidR="00E23519" w:rsidRDefault="00E23519" w:rsidP="00E23519"/>
    <w:tbl>
      <w:tblPr>
        <w:tblW w:w="9360" w:type="dxa"/>
        <w:tblInd w:w="55" w:type="dxa"/>
        <w:tblCellMar>
          <w:left w:w="70" w:type="dxa"/>
          <w:right w:w="70" w:type="dxa"/>
        </w:tblCellMar>
        <w:tblLook w:val="04A0" w:firstRow="1" w:lastRow="0" w:firstColumn="1" w:lastColumn="0" w:noHBand="0" w:noVBand="1"/>
      </w:tblPr>
      <w:tblGrid>
        <w:gridCol w:w="1200"/>
        <w:gridCol w:w="8160"/>
      </w:tblGrid>
      <w:tr w:rsidR="00E23519" w:rsidRPr="00F36181" w:rsidTr="008A5921">
        <w:trPr>
          <w:trHeight w:val="315"/>
        </w:trPr>
        <w:tc>
          <w:tcPr>
            <w:tcW w:w="9360" w:type="dxa"/>
            <w:gridSpan w:val="2"/>
            <w:tcBorders>
              <w:top w:val="single" w:sz="4" w:space="0" w:color="808080"/>
              <w:left w:val="single" w:sz="4" w:space="0" w:color="808080"/>
              <w:bottom w:val="single" w:sz="4" w:space="0" w:color="808080"/>
              <w:right w:val="single" w:sz="4" w:space="0" w:color="808080"/>
            </w:tcBorders>
            <w:shd w:val="clear" w:color="000000" w:fill="D0CECE"/>
            <w:noWrap/>
            <w:vAlign w:val="center"/>
            <w:hideMark/>
          </w:tcPr>
          <w:p w:rsidR="00E23519" w:rsidRPr="00F36181" w:rsidRDefault="00E23519" w:rsidP="008A5921">
            <w:pPr>
              <w:spacing w:after="0" w:line="240" w:lineRule="auto"/>
              <w:jc w:val="center"/>
              <w:rPr>
                <w:rFonts w:ascii="Arial" w:eastAsia="Times New Roman" w:hAnsi="Arial" w:cs="Arial"/>
                <w:b/>
                <w:bCs/>
                <w:sz w:val="24"/>
                <w:szCs w:val="24"/>
              </w:rPr>
            </w:pPr>
            <w:r w:rsidRPr="00F36181">
              <w:rPr>
                <w:rFonts w:ascii="Arial" w:eastAsia="Times New Roman" w:hAnsi="Arial" w:cs="Arial"/>
                <w:b/>
                <w:bCs/>
                <w:sz w:val="24"/>
                <w:szCs w:val="24"/>
              </w:rPr>
              <w:t>Cuadro 6.-  Ejes Estratégicos del PED 2016 -2021</w:t>
            </w:r>
          </w:p>
        </w:tc>
      </w:tr>
      <w:tr w:rsidR="00E23519" w:rsidRPr="00F36181" w:rsidTr="008A5921">
        <w:trPr>
          <w:trHeight w:val="315"/>
        </w:trPr>
        <w:tc>
          <w:tcPr>
            <w:tcW w:w="1200" w:type="dxa"/>
            <w:tcBorders>
              <w:top w:val="nil"/>
              <w:left w:val="single" w:sz="4" w:space="0" w:color="808080"/>
              <w:bottom w:val="single" w:sz="4" w:space="0" w:color="808080"/>
              <w:right w:val="single" w:sz="4" w:space="0" w:color="808080"/>
            </w:tcBorders>
            <w:shd w:val="clear" w:color="000000" w:fill="D0CECE"/>
            <w:noWrap/>
            <w:vAlign w:val="center"/>
            <w:hideMark/>
          </w:tcPr>
          <w:p w:rsidR="00E23519" w:rsidRPr="00F36181" w:rsidRDefault="00E23519" w:rsidP="008A5921">
            <w:pPr>
              <w:spacing w:after="0" w:line="240" w:lineRule="auto"/>
              <w:jc w:val="center"/>
              <w:rPr>
                <w:rFonts w:ascii="Arial" w:eastAsia="Times New Roman" w:hAnsi="Arial" w:cs="Arial"/>
                <w:b/>
                <w:bCs/>
                <w:sz w:val="24"/>
                <w:szCs w:val="24"/>
              </w:rPr>
            </w:pPr>
            <w:r w:rsidRPr="00F36181">
              <w:rPr>
                <w:rFonts w:ascii="Arial" w:eastAsia="Times New Roman" w:hAnsi="Arial" w:cs="Arial"/>
                <w:b/>
                <w:bCs/>
                <w:sz w:val="24"/>
                <w:szCs w:val="24"/>
              </w:rPr>
              <w:t>Clave</w:t>
            </w:r>
          </w:p>
        </w:tc>
        <w:tc>
          <w:tcPr>
            <w:tcW w:w="8160" w:type="dxa"/>
            <w:tcBorders>
              <w:top w:val="nil"/>
              <w:left w:val="nil"/>
              <w:bottom w:val="single" w:sz="4" w:space="0" w:color="808080"/>
              <w:right w:val="single" w:sz="4" w:space="0" w:color="808080"/>
            </w:tcBorders>
            <w:shd w:val="clear" w:color="000000" w:fill="D0CECE"/>
            <w:vAlign w:val="center"/>
            <w:hideMark/>
          </w:tcPr>
          <w:p w:rsidR="00E23519" w:rsidRPr="00F36181" w:rsidRDefault="00E23519" w:rsidP="008A5921">
            <w:pPr>
              <w:spacing w:after="0" w:line="240" w:lineRule="auto"/>
              <w:jc w:val="center"/>
              <w:rPr>
                <w:rFonts w:ascii="Arial" w:eastAsia="Times New Roman" w:hAnsi="Arial" w:cs="Arial"/>
                <w:b/>
                <w:bCs/>
                <w:sz w:val="24"/>
                <w:szCs w:val="24"/>
              </w:rPr>
            </w:pPr>
            <w:r w:rsidRPr="00F36181">
              <w:rPr>
                <w:rFonts w:ascii="Arial" w:eastAsia="Times New Roman" w:hAnsi="Arial" w:cs="Arial"/>
                <w:b/>
                <w:bCs/>
                <w:sz w:val="24"/>
                <w:szCs w:val="24"/>
              </w:rPr>
              <w:t>Descripción</w:t>
            </w:r>
          </w:p>
        </w:tc>
      </w:tr>
      <w:tr w:rsidR="00E23519" w:rsidRPr="00F36181" w:rsidTr="008A5921">
        <w:trPr>
          <w:trHeight w:val="465"/>
        </w:trPr>
        <w:tc>
          <w:tcPr>
            <w:tcW w:w="1200" w:type="dxa"/>
            <w:tcBorders>
              <w:top w:val="nil"/>
              <w:left w:val="nil"/>
              <w:bottom w:val="nil"/>
              <w:right w:val="nil"/>
            </w:tcBorders>
            <w:shd w:val="clear" w:color="000000" w:fill="FFFFFF"/>
            <w:vAlign w:val="center"/>
            <w:hideMark/>
          </w:tcPr>
          <w:p w:rsidR="00E23519" w:rsidRPr="00F36181" w:rsidRDefault="00E23519" w:rsidP="008A5921">
            <w:pPr>
              <w:spacing w:after="0" w:line="240" w:lineRule="auto"/>
              <w:jc w:val="center"/>
              <w:rPr>
                <w:rFonts w:ascii="Arial" w:eastAsia="Times New Roman" w:hAnsi="Arial" w:cs="Arial"/>
                <w:color w:val="000000"/>
                <w:sz w:val="24"/>
                <w:szCs w:val="24"/>
              </w:rPr>
            </w:pPr>
            <w:r w:rsidRPr="00F36181">
              <w:rPr>
                <w:rFonts w:ascii="Arial" w:eastAsia="Times New Roman" w:hAnsi="Arial" w:cs="Arial"/>
                <w:color w:val="000000"/>
                <w:sz w:val="24"/>
                <w:szCs w:val="24"/>
              </w:rPr>
              <w:t>1</w:t>
            </w:r>
          </w:p>
        </w:tc>
        <w:tc>
          <w:tcPr>
            <w:tcW w:w="8160" w:type="dxa"/>
            <w:tcBorders>
              <w:top w:val="nil"/>
              <w:left w:val="nil"/>
              <w:bottom w:val="nil"/>
              <w:right w:val="nil"/>
            </w:tcBorders>
            <w:shd w:val="clear" w:color="000000" w:fill="FFFFFF"/>
            <w:vAlign w:val="center"/>
            <w:hideMark/>
          </w:tcPr>
          <w:p w:rsidR="00E23519" w:rsidRPr="00F36181" w:rsidRDefault="00E23519" w:rsidP="008A5921">
            <w:pPr>
              <w:spacing w:after="0" w:line="240" w:lineRule="auto"/>
              <w:rPr>
                <w:rFonts w:ascii="Arial" w:eastAsia="Times New Roman" w:hAnsi="Arial" w:cs="Arial"/>
                <w:color w:val="000000"/>
                <w:sz w:val="24"/>
                <w:szCs w:val="24"/>
              </w:rPr>
            </w:pPr>
            <w:r w:rsidRPr="00F36181">
              <w:rPr>
                <w:rFonts w:ascii="Arial" w:eastAsia="Times New Roman" w:hAnsi="Arial" w:cs="Arial"/>
                <w:color w:val="000000"/>
                <w:sz w:val="24"/>
                <w:szCs w:val="24"/>
              </w:rPr>
              <w:t>Colima Competitivo</w:t>
            </w:r>
          </w:p>
        </w:tc>
      </w:tr>
      <w:tr w:rsidR="00E23519" w:rsidRPr="00F36181" w:rsidTr="008A5921">
        <w:trPr>
          <w:trHeight w:val="465"/>
        </w:trPr>
        <w:tc>
          <w:tcPr>
            <w:tcW w:w="1200" w:type="dxa"/>
            <w:tcBorders>
              <w:top w:val="nil"/>
              <w:left w:val="nil"/>
              <w:bottom w:val="nil"/>
              <w:right w:val="nil"/>
            </w:tcBorders>
            <w:shd w:val="clear" w:color="000000" w:fill="E7E6E6"/>
            <w:vAlign w:val="center"/>
            <w:hideMark/>
          </w:tcPr>
          <w:p w:rsidR="00E23519" w:rsidRPr="00F36181" w:rsidRDefault="00E23519" w:rsidP="008A5921">
            <w:pPr>
              <w:spacing w:after="0" w:line="240" w:lineRule="auto"/>
              <w:jc w:val="center"/>
              <w:rPr>
                <w:rFonts w:ascii="Arial" w:eastAsia="Times New Roman" w:hAnsi="Arial" w:cs="Arial"/>
                <w:color w:val="000000"/>
                <w:sz w:val="24"/>
                <w:szCs w:val="24"/>
              </w:rPr>
            </w:pPr>
            <w:r w:rsidRPr="00F36181">
              <w:rPr>
                <w:rFonts w:ascii="Arial" w:eastAsia="Times New Roman" w:hAnsi="Arial" w:cs="Arial"/>
                <w:color w:val="000000"/>
                <w:sz w:val="24"/>
                <w:szCs w:val="24"/>
              </w:rPr>
              <w:t>2</w:t>
            </w:r>
          </w:p>
        </w:tc>
        <w:tc>
          <w:tcPr>
            <w:tcW w:w="8160" w:type="dxa"/>
            <w:tcBorders>
              <w:top w:val="nil"/>
              <w:left w:val="nil"/>
              <w:bottom w:val="nil"/>
              <w:right w:val="nil"/>
            </w:tcBorders>
            <w:shd w:val="clear" w:color="000000" w:fill="E7E6E6"/>
            <w:vAlign w:val="center"/>
            <w:hideMark/>
          </w:tcPr>
          <w:p w:rsidR="00E23519" w:rsidRPr="00F36181" w:rsidRDefault="00E23519" w:rsidP="008A5921">
            <w:pPr>
              <w:spacing w:after="0" w:line="240" w:lineRule="auto"/>
              <w:rPr>
                <w:rFonts w:ascii="Arial" w:eastAsia="Times New Roman" w:hAnsi="Arial" w:cs="Arial"/>
                <w:color w:val="000000"/>
                <w:sz w:val="24"/>
                <w:szCs w:val="24"/>
              </w:rPr>
            </w:pPr>
            <w:r w:rsidRPr="00F36181">
              <w:rPr>
                <w:rFonts w:ascii="Arial" w:eastAsia="Times New Roman" w:hAnsi="Arial" w:cs="Arial"/>
                <w:color w:val="000000"/>
                <w:sz w:val="24"/>
                <w:szCs w:val="24"/>
              </w:rPr>
              <w:t>Colima con Mayor Calidad de Vida</w:t>
            </w:r>
          </w:p>
        </w:tc>
      </w:tr>
      <w:tr w:rsidR="00E23519" w:rsidRPr="00F36181" w:rsidTr="008A5921">
        <w:trPr>
          <w:trHeight w:val="465"/>
        </w:trPr>
        <w:tc>
          <w:tcPr>
            <w:tcW w:w="1200" w:type="dxa"/>
            <w:tcBorders>
              <w:top w:val="nil"/>
              <w:left w:val="nil"/>
              <w:bottom w:val="nil"/>
              <w:right w:val="nil"/>
            </w:tcBorders>
            <w:shd w:val="clear" w:color="000000" w:fill="FFFFFF"/>
            <w:vAlign w:val="center"/>
            <w:hideMark/>
          </w:tcPr>
          <w:p w:rsidR="00E23519" w:rsidRPr="00F36181" w:rsidRDefault="00E23519" w:rsidP="008A5921">
            <w:pPr>
              <w:spacing w:after="0" w:line="240" w:lineRule="auto"/>
              <w:jc w:val="center"/>
              <w:rPr>
                <w:rFonts w:ascii="Arial" w:eastAsia="Times New Roman" w:hAnsi="Arial" w:cs="Arial"/>
                <w:color w:val="000000"/>
                <w:sz w:val="24"/>
                <w:szCs w:val="24"/>
              </w:rPr>
            </w:pPr>
            <w:r w:rsidRPr="00F36181">
              <w:rPr>
                <w:rFonts w:ascii="Arial" w:eastAsia="Times New Roman" w:hAnsi="Arial" w:cs="Arial"/>
                <w:color w:val="000000"/>
                <w:sz w:val="24"/>
                <w:szCs w:val="24"/>
              </w:rPr>
              <w:t>3</w:t>
            </w:r>
          </w:p>
        </w:tc>
        <w:tc>
          <w:tcPr>
            <w:tcW w:w="8160" w:type="dxa"/>
            <w:tcBorders>
              <w:top w:val="nil"/>
              <w:left w:val="nil"/>
              <w:bottom w:val="nil"/>
              <w:right w:val="nil"/>
            </w:tcBorders>
            <w:shd w:val="clear" w:color="000000" w:fill="FFFFFF"/>
            <w:vAlign w:val="center"/>
            <w:hideMark/>
          </w:tcPr>
          <w:p w:rsidR="00E23519" w:rsidRPr="00F36181" w:rsidRDefault="00E23519" w:rsidP="008A5921">
            <w:pPr>
              <w:spacing w:after="0" w:line="240" w:lineRule="auto"/>
              <w:rPr>
                <w:rFonts w:ascii="Arial" w:eastAsia="Times New Roman" w:hAnsi="Arial" w:cs="Arial"/>
                <w:color w:val="000000"/>
                <w:sz w:val="24"/>
                <w:szCs w:val="24"/>
              </w:rPr>
            </w:pPr>
            <w:r w:rsidRPr="00F36181">
              <w:rPr>
                <w:rFonts w:ascii="Arial" w:eastAsia="Times New Roman" w:hAnsi="Arial" w:cs="Arial"/>
                <w:color w:val="000000"/>
                <w:sz w:val="24"/>
                <w:szCs w:val="24"/>
              </w:rPr>
              <w:t>Colima Seguro</w:t>
            </w:r>
          </w:p>
        </w:tc>
      </w:tr>
      <w:tr w:rsidR="00E23519" w:rsidRPr="00F36181" w:rsidTr="008A5921">
        <w:trPr>
          <w:trHeight w:val="465"/>
        </w:trPr>
        <w:tc>
          <w:tcPr>
            <w:tcW w:w="1200" w:type="dxa"/>
            <w:tcBorders>
              <w:top w:val="nil"/>
              <w:left w:val="nil"/>
              <w:bottom w:val="nil"/>
              <w:right w:val="nil"/>
            </w:tcBorders>
            <w:shd w:val="clear" w:color="000000" w:fill="E7E6E6"/>
            <w:vAlign w:val="center"/>
            <w:hideMark/>
          </w:tcPr>
          <w:p w:rsidR="00E23519" w:rsidRPr="00F36181" w:rsidRDefault="00E23519" w:rsidP="008A5921">
            <w:pPr>
              <w:spacing w:after="0" w:line="240" w:lineRule="auto"/>
              <w:jc w:val="center"/>
              <w:rPr>
                <w:rFonts w:ascii="Arial" w:eastAsia="Times New Roman" w:hAnsi="Arial" w:cs="Arial"/>
                <w:color w:val="000000"/>
                <w:sz w:val="24"/>
                <w:szCs w:val="24"/>
              </w:rPr>
            </w:pPr>
            <w:r w:rsidRPr="00F36181">
              <w:rPr>
                <w:rFonts w:ascii="Arial" w:eastAsia="Times New Roman" w:hAnsi="Arial" w:cs="Arial"/>
                <w:color w:val="000000"/>
                <w:sz w:val="24"/>
                <w:szCs w:val="24"/>
              </w:rPr>
              <w:t>4</w:t>
            </w:r>
          </w:p>
        </w:tc>
        <w:tc>
          <w:tcPr>
            <w:tcW w:w="8160" w:type="dxa"/>
            <w:tcBorders>
              <w:top w:val="nil"/>
              <w:left w:val="nil"/>
              <w:bottom w:val="nil"/>
              <w:right w:val="nil"/>
            </w:tcBorders>
            <w:shd w:val="clear" w:color="000000" w:fill="E7E6E6"/>
            <w:vAlign w:val="center"/>
            <w:hideMark/>
          </w:tcPr>
          <w:p w:rsidR="00E23519" w:rsidRPr="00F36181" w:rsidRDefault="00E23519" w:rsidP="008A5921">
            <w:pPr>
              <w:spacing w:after="0" w:line="240" w:lineRule="auto"/>
              <w:rPr>
                <w:rFonts w:ascii="Arial" w:eastAsia="Times New Roman" w:hAnsi="Arial" w:cs="Arial"/>
                <w:color w:val="000000"/>
                <w:sz w:val="24"/>
                <w:szCs w:val="24"/>
              </w:rPr>
            </w:pPr>
            <w:r w:rsidRPr="00F36181">
              <w:rPr>
                <w:rFonts w:ascii="Arial" w:eastAsia="Times New Roman" w:hAnsi="Arial" w:cs="Arial"/>
                <w:color w:val="000000"/>
                <w:sz w:val="24"/>
                <w:szCs w:val="24"/>
              </w:rPr>
              <w:t>Transversal 1.- Colima con un Gobierno Moderno, Efectivo y Transparente</w:t>
            </w:r>
          </w:p>
        </w:tc>
      </w:tr>
      <w:tr w:rsidR="00E23519" w:rsidRPr="00F36181" w:rsidTr="008A5921">
        <w:trPr>
          <w:trHeight w:val="465"/>
        </w:trPr>
        <w:tc>
          <w:tcPr>
            <w:tcW w:w="1200" w:type="dxa"/>
            <w:tcBorders>
              <w:top w:val="nil"/>
              <w:left w:val="nil"/>
              <w:bottom w:val="nil"/>
              <w:right w:val="nil"/>
            </w:tcBorders>
            <w:shd w:val="clear" w:color="000000" w:fill="FFFFFF"/>
            <w:vAlign w:val="center"/>
            <w:hideMark/>
          </w:tcPr>
          <w:p w:rsidR="00E23519" w:rsidRPr="00F36181" w:rsidRDefault="00E23519" w:rsidP="008A5921">
            <w:pPr>
              <w:spacing w:after="0" w:line="240" w:lineRule="auto"/>
              <w:jc w:val="center"/>
              <w:rPr>
                <w:rFonts w:ascii="Arial" w:eastAsia="Times New Roman" w:hAnsi="Arial" w:cs="Arial"/>
                <w:color w:val="000000"/>
                <w:sz w:val="24"/>
                <w:szCs w:val="24"/>
              </w:rPr>
            </w:pPr>
            <w:r w:rsidRPr="00F36181">
              <w:rPr>
                <w:rFonts w:ascii="Arial" w:eastAsia="Times New Roman" w:hAnsi="Arial" w:cs="Arial"/>
                <w:color w:val="000000"/>
                <w:sz w:val="24"/>
                <w:szCs w:val="24"/>
              </w:rPr>
              <w:t>5</w:t>
            </w:r>
          </w:p>
        </w:tc>
        <w:tc>
          <w:tcPr>
            <w:tcW w:w="8160" w:type="dxa"/>
            <w:tcBorders>
              <w:top w:val="nil"/>
              <w:left w:val="nil"/>
              <w:bottom w:val="nil"/>
              <w:right w:val="nil"/>
            </w:tcBorders>
            <w:shd w:val="clear" w:color="000000" w:fill="FFFFFF"/>
            <w:vAlign w:val="center"/>
            <w:hideMark/>
          </w:tcPr>
          <w:p w:rsidR="00E23519" w:rsidRPr="00F36181" w:rsidRDefault="00E23519" w:rsidP="008A5921">
            <w:pPr>
              <w:spacing w:after="0" w:line="240" w:lineRule="auto"/>
              <w:rPr>
                <w:rFonts w:ascii="Arial" w:eastAsia="Times New Roman" w:hAnsi="Arial" w:cs="Arial"/>
                <w:color w:val="000000"/>
                <w:sz w:val="24"/>
                <w:szCs w:val="24"/>
              </w:rPr>
            </w:pPr>
            <w:r w:rsidRPr="00F36181">
              <w:rPr>
                <w:rFonts w:ascii="Arial" w:eastAsia="Times New Roman" w:hAnsi="Arial" w:cs="Arial"/>
                <w:color w:val="000000"/>
                <w:sz w:val="24"/>
                <w:szCs w:val="24"/>
              </w:rPr>
              <w:t>Transversal 2.- Colima por la Igualdad</w:t>
            </w:r>
          </w:p>
        </w:tc>
      </w:tr>
      <w:tr w:rsidR="00E23519" w:rsidRPr="00F36181" w:rsidTr="008A5921">
        <w:trPr>
          <w:trHeight w:val="465"/>
        </w:trPr>
        <w:tc>
          <w:tcPr>
            <w:tcW w:w="1200" w:type="dxa"/>
            <w:tcBorders>
              <w:top w:val="nil"/>
              <w:left w:val="nil"/>
              <w:bottom w:val="nil"/>
              <w:right w:val="nil"/>
            </w:tcBorders>
            <w:shd w:val="clear" w:color="000000" w:fill="E7E6E6"/>
            <w:vAlign w:val="center"/>
            <w:hideMark/>
          </w:tcPr>
          <w:p w:rsidR="00E23519" w:rsidRPr="00F36181" w:rsidRDefault="00E23519" w:rsidP="008A5921">
            <w:pPr>
              <w:spacing w:after="0" w:line="240" w:lineRule="auto"/>
              <w:jc w:val="center"/>
              <w:rPr>
                <w:rFonts w:ascii="Arial" w:eastAsia="Times New Roman" w:hAnsi="Arial" w:cs="Arial"/>
                <w:color w:val="000000"/>
                <w:sz w:val="24"/>
                <w:szCs w:val="24"/>
              </w:rPr>
            </w:pPr>
            <w:r w:rsidRPr="00F36181">
              <w:rPr>
                <w:rFonts w:ascii="Arial" w:eastAsia="Times New Roman" w:hAnsi="Arial" w:cs="Arial"/>
                <w:color w:val="000000"/>
                <w:sz w:val="24"/>
                <w:szCs w:val="24"/>
              </w:rPr>
              <w:t>6</w:t>
            </w:r>
          </w:p>
        </w:tc>
        <w:tc>
          <w:tcPr>
            <w:tcW w:w="8160" w:type="dxa"/>
            <w:tcBorders>
              <w:top w:val="nil"/>
              <w:left w:val="nil"/>
              <w:bottom w:val="nil"/>
              <w:right w:val="nil"/>
            </w:tcBorders>
            <w:shd w:val="clear" w:color="000000" w:fill="E7E6E6"/>
            <w:vAlign w:val="center"/>
            <w:hideMark/>
          </w:tcPr>
          <w:p w:rsidR="00E23519" w:rsidRPr="00F36181" w:rsidRDefault="00E23519" w:rsidP="008A5921">
            <w:pPr>
              <w:spacing w:after="0" w:line="240" w:lineRule="auto"/>
              <w:rPr>
                <w:rFonts w:ascii="Arial" w:eastAsia="Times New Roman" w:hAnsi="Arial" w:cs="Arial"/>
                <w:color w:val="000000"/>
                <w:sz w:val="24"/>
                <w:szCs w:val="24"/>
              </w:rPr>
            </w:pPr>
            <w:r w:rsidRPr="00F36181">
              <w:rPr>
                <w:rFonts w:ascii="Arial" w:eastAsia="Times New Roman" w:hAnsi="Arial" w:cs="Arial"/>
                <w:color w:val="000000"/>
                <w:sz w:val="24"/>
                <w:szCs w:val="24"/>
              </w:rPr>
              <w:t>Transversal 3.- Colima Sustentable</w:t>
            </w:r>
          </w:p>
        </w:tc>
      </w:tr>
      <w:tr w:rsidR="00E23519" w:rsidRPr="00F36181" w:rsidTr="008A5921">
        <w:trPr>
          <w:trHeight w:val="300"/>
        </w:trPr>
        <w:tc>
          <w:tcPr>
            <w:tcW w:w="9360" w:type="dxa"/>
            <w:gridSpan w:val="2"/>
            <w:tcBorders>
              <w:top w:val="nil"/>
              <w:left w:val="nil"/>
              <w:bottom w:val="nil"/>
              <w:right w:val="nil"/>
            </w:tcBorders>
            <w:shd w:val="clear" w:color="auto" w:fill="auto"/>
            <w:noWrap/>
            <w:vAlign w:val="bottom"/>
            <w:hideMark/>
          </w:tcPr>
          <w:p w:rsidR="00E23519" w:rsidRPr="00F36181" w:rsidRDefault="00E23519" w:rsidP="008A5921">
            <w:pPr>
              <w:spacing w:after="0" w:line="240" w:lineRule="auto"/>
              <w:rPr>
                <w:rFonts w:ascii="Arial" w:eastAsia="Times New Roman" w:hAnsi="Arial" w:cs="Arial"/>
                <w:i/>
                <w:iCs/>
                <w:color w:val="000000"/>
                <w:sz w:val="18"/>
                <w:szCs w:val="18"/>
              </w:rPr>
            </w:pPr>
            <w:r w:rsidRPr="00F36181">
              <w:rPr>
                <w:rFonts w:ascii="Arial" w:eastAsia="Times New Roman" w:hAnsi="Arial" w:cs="Arial"/>
                <w:b/>
                <w:bCs/>
                <w:i/>
                <w:iCs/>
                <w:color w:val="000000"/>
                <w:sz w:val="18"/>
                <w:szCs w:val="18"/>
              </w:rPr>
              <w:t xml:space="preserve">Fuente: </w:t>
            </w:r>
            <w:r w:rsidRPr="00F36181">
              <w:rPr>
                <w:rFonts w:ascii="Arial" w:eastAsia="Times New Roman" w:hAnsi="Arial" w:cs="Arial"/>
                <w:i/>
                <w:iCs/>
                <w:color w:val="000000"/>
                <w:sz w:val="18"/>
                <w:szCs w:val="18"/>
              </w:rPr>
              <w:t>Plan Estatal de Desarrollo. Periódico Oficial El Estado de Colima, del 07 de septiembre 2016.</w:t>
            </w:r>
          </w:p>
        </w:tc>
      </w:tr>
    </w:tbl>
    <w:p w:rsidR="00E23519" w:rsidRPr="008464D7" w:rsidRDefault="00E23519" w:rsidP="00E23519"/>
    <w:p w:rsidR="00E23519" w:rsidRPr="008464D7" w:rsidRDefault="00E23519" w:rsidP="00E23519">
      <w:r w:rsidRPr="008464D7">
        <w:rPr>
          <w:noProof/>
        </w:rPr>
        <w:lastRenderedPageBreak/>
        <w:drawing>
          <wp:inline distT="0" distB="0" distL="0" distR="0" wp14:anchorId="4D33695E" wp14:editId="485E0ED8">
            <wp:extent cx="5783179" cy="6697345"/>
            <wp:effectExtent l="0" t="0" r="8255" b="825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03438" cy="6720806"/>
                    </a:xfrm>
                    <a:prstGeom prst="rect">
                      <a:avLst/>
                    </a:prstGeom>
                    <a:noFill/>
                    <a:ln>
                      <a:noFill/>
                    </a:ln>
                  </pic:spPr>
                </pic:pic>
              </a:graphicData>
            </a:graphic>
          </wp:inline>
        </w:drawing>
      </w:r>
    </w:p>
    <w:p w:rsidR="00E23519" w:rsidRPr="008464D7" w:rsidRDefault="00E23519" w:rsidP="00E23519">
      <w:r w:rsidRPr="008464D7">
        <w:rPr>
          <w:noProof/>
        </w:rPr>
        <w:lastRenderedPageBreak/>
        <w:drawing>
          <wp:inline distT="0" distB="0" distL="0" distR="0" wp14:anchorId="5B6C4A2F" wp14:editId="6466E57B">
            <wp:extent cx="5735053" cy="6720922"/>
            <wp:effectExtent l="0" t="0" r="0" b="381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6708" cy="6746300"/>
                    </a:xfrm>
                    <a:prstGeom prst="rect">
                      <a:avLst/>
                    </a:prstGeom>
                    <a:noFill/>
                    <a:ln>
                      <a:noFill/>
                    </a:ln>
                  </pic:spPr>
                </pic:pic>
              </a:graphicData>
            </a:graphic>
          </wp:inline>
        </w:drawing>
      </w:r>
    </w:p>
    <w:p w:rsidR="00E23519" w:rsidRPr="008464D7" w:rsidRDefault="00E23519" w:rsidP="00E23519">
      <w:r w:rsidRPr="008464D7">
        <w:rPr>
          <w:noProof/>
        </w:rPr>
        <w:lastRenderedPageBreak/>
        <w:drawing>
          <wp:inline distT="0" distB="0" distL="0" distR="0" wp14:anchorId="5A7E9BEA" wp14:editId="46303FFE">
            <wp:extent cx="5855369" cy="6704850"/>
            <wp:effectExtent l="0" t="0" r="0" b="127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71125" cy="6722891"/>
                    </a:xfrm>
                    <a:prstGeom prst="rect">
                      <a:avLst/>
                    </a:prstGeom>
                    <a:noFill/>
                    <a:ln>
                      <a:noFill/>
                    </a:ln>
                  </pic:spPr>
                </pic:pic>
              </a:graphicData>
            </a:graphic>
          </wp:inline>
        </w:drawing>
      </w:r>
    </w:p>
    <w:p w:rsidR="00E23519" w:rsidRPr="008464D7" w:rsidRDefault="00E23519" w:rsidP="00E23519">
      <w:r w:rsidRPr="008464D7">
        <w:rPr>
          <w:noProof/>
        </w:rPr>
        <w:lastRenderedPageBreak/>
        <w:drawing>
          <wp:inline distT="0" distB="0" distL="0" distR="0" wp14:anchorId="4413C0E6" wp14:editId="44DC184A">
            <wp:extent cx="5847347" cy="6639560"/>
            <wp:effectExtent l="0" t="0" r="1270" b="889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53132" cy="6646129"/>
                    </a:xfrm>
                    <a:prstGeom prst="rect">
                      <a:avLst/>
                    </a:prstGeom>
                    <a:noFill/>
                    <a:ln>
                      <a:noFill/>
                    </a:ln>
                  </pic:spPr>
                </pic:pic>
              </a:graphicData>
            </a:graphic>
          </wp:inline>
        </w:drawing>
      </w:r>
    </w:p>
    <w:p w:rsidR="00E23519" w:rsidRPr="008464D7" w:rsidRDefault="00E23519" w:rsidP="00E23519">
      <w:pPr>
        <w:autoSpaceDE w:val="0"/>
        <w:autoSpaceDN w:val="0"/>
        <w:adjustRightInd w:val="0"/>
        <w:spacing w:after="0" w:line="240" w:lineRule="auto"/>
        <w:jc w:val="both"/>
        <w:rPr>
          <w:rFonts w:ascii="Arial" w:hAnsi="Arial" w:cs="Arial"/>
          <w:sz w:val="24"/>
          <w:szCs w:val="24"/>
        </w:rPr>
      </w:pPr>
      <w:r w:rsidRPr="008464D7">
        <w:rPr>
          <w:rFonts w:ascii="Arial" w:hAnsi="Arial" w:cs="Arial"/>
          <w:sz w:val="24"/>
          <w:szCs w:val="24"/>
        </w:rPr>
        <w:t>A continuación, se presentan las Metas del Plan Estatal de Desarrollo 2016 – 2021, a las cuales se alineó la presupuestación anual con visión de mediano plazo para avanzar en el cumplimiento de los objetivos y metas antes referidos:</w:t>
      </w:r>
    </w:p>
    <w:tbl>
      <w:tblPr>
        <w:tblW w:w="9654" w:type="dxa"/>
        <w:tblInd w:w="55" w:type="dxa"/>
        <w:tblCellMar>
          <w:left w:w="70" w:type="dxa"/>
          <w:right w:w="70" w:type="dxa"/>
        </w:tblCellMar>
        <w:tblLook w:val="04A0" w:firstRow="1" w:lastRow="0" w:firstColumn="1" w:lastColumn="0" w:noHBand="0" w:noVBand="1"/>
      </w:tblPr>
      <w:tblGrid>
        <w:gridCol w:w="3160"/>
        <w:gridCol w:w="3460"/>
        <w:gridCol w:w="3034"/>
      </w:tblGrid>
      <w:tr w:rsidR="00E23519" w:rsidRPr="00F36181" w:rsidTr="008A5921">
        <w:trPr>
          <w:trHeight w:val="315"/>
        </w:trPr>
        <w:tc>
          <w:tcPr>
            <w:tcW w:w="9654" w:type="dxa"/>
            <w:gridSpan w:val="3"/>
            <w:tcBorders>
              <w:top w:val="single" w:sz="4" w:space="0" w:color="auto"/>
              <w:left w:val="single" w:sz="4" w:space="0" w:color="auto"/>
              <w:bottom w:val="single" w:sz="4" w:space="0" w:color="auto"/>
              <w:right w:val="single" w:sz="4" w:space="0" w:color="auto"/>
            </w:tcBorders>
            <w:shd w:val="clear" w:color="000000" w:fill="D0CECE"/>
            <w:vAlign w:val="bottom"/>
            <w:hideMark/>
          </w:tcPr>
          <w:p w:rsidR="00E23519" w:rsidRPr="005E54D6" w:rsidRDefault="00E23519" w:rsidP="008A5921">
            <w:pPr>
              <w:spacing w:after="0" w:line="240" w:lineRule="auto"/>
              <w:jc w:val="center"/>
              <w:rPr>
                <w:rFonts w:ascii="Arial" w:eastAsia="Times New Roman" w:hAnsi="Arial" w:cs="Arial"/>
                <w:b/>
                <w:bCs/>
                <w:color w:val="000000"/>
                <w:sz w:val="20"/>
                <w:szCs w:val="20"/>
              </w:rPr>
            </w:pPr>
            <w:r w:rsidRPr="005E54D6">
              <w:rPr>
                <w:rFonts w:ascii="Arial" w:eastAsia="Times New Roman" w:hAnsi="Arial" w:cs="Arial"/>
                <w:b/>
                <w:bCs/>
                <w:color w:val="000000"/>
                <w:sz w:val="20"/>
                <w:szCs w:val="20"/>
              </w:rPr>
              <w:lastRenderedPageBreak/>
              <w:t>Cuadro 9.  METAS 2021</w:t>
            </w:r>
          </w:p>
        </w:tc>
      </w:tr>
      <w:tr w:rsidR="00E23519" w:rsidRPr="00F36181" w:rsidTr="008A5921">
        <w:trPr>
          <w:trHeight w:val="647"/>
        </w:trPr>
        <w:tc>
          <w:tcPr>
            <w:tcW w:w="3160" w:type="dxa"/>
            <w:tcBorders>
              <w:top w:val="nil"/>
              <w:left w:val="single" w:sz="4" w:space="0" w:color="auto"/>
              <w:bottom w:val="single" w:sz="4" w:space="0" w:color="auto"/>
              <w:right w:val="single" w:sz="4" w:space="0" w:color="auto"/>
            </w:tcBorders>
            <w:shd w:val="clear" w:color="000000" w:fill="D0CECE"/>
            <w:vAlign w:val="bottom"/>
            <w:hideMark/>
          </w:tcPr>
          <w:p w:rsidR="00E23519" w:rsidRPr="005E54D6" w:rsidRDefault="00E23519" w:rsidP="008A5921">
            <w:pPr>
              <w:spacing w:after="0" w:line="240" w:lineRule="auto"/>
              <w:jc w:val="center"/>
              <w:rPr>
                <w:rFonts w:ascii="Arial" w:eastAsia="Times New Roman" w:hAnsi="Arial" w:cs="Arial"/>
                <w:b/>
                <w:bCs/>
                <w:color w:val="000000"/>
                <w:sz w:val="20"/>
                <w:szCs w:val="20"/>
              </w:rPr>
            </w:pPr>
            <w:r w:rsidRPr="005E54D6">
              <w:rPr>
                <w:rFonts w:ascii="Arial" w:eastAsia="Times New Roman" w:hAnsi="Arial" w:cs="Arial"/>
                <w:b/>
                <w:bCs/>
                <w:color w:val="000000"/>
                <w:sz w:val="20"/>
                <w:szCs w:val="20"/>
              </w:rPr>
              <w:t>EJE I                                            COLIMA                                  COMPETITIVO</w:t>
            </w:r>
          </w:p>
        </w:tc>
        <w:tc>
          <w:tcPr>
            <w:tcW w:w="3460" w:type="dxa"/>
            <w:tcBorders>
              <w:top w:val="nil"/>
              <w:left w:val="nil"/>
              <w:bottom w:val="single" w:sz="4" w:space="0" w:color="auto"/>
              <w:right w:val="single" w:sz="4" w:space="0" w:color="auto"/>
            </w:tcBorders>
            <w:shd w:val="clear" w:color="000000" w:fill="D0CECE"/>
            <w:vAlign w:val="bottom"/>
            <w:hideMark/>
          </w:tcPr>
          <w:p w:rsidR="00E23519" w:rsidRPr="005E54D6" w:rsidRDefault="00E23519" w:rsidP="008A5921">
            <w:pPr>
              <w:spacing w:after="0" w:line="240" w:lineRule="auto"/>
              <w:jc w:val="center"/>
              <w:rPr>
                <w:rFonts w:ascii="Arial" w:eastAsia="Times New Roman" w:hAnsi="Arial" w:cs="Arial"/>
                <w:b/>
                <w:bCs/>
                <w:color w:val="000000"/>
                <w:sz w:val="20"/>
                <w:szCs w:val="20"/>
              </w:rPr>
            </w:pPr>
            <w:r w:rsidRPr="005E54D6">
              <w:rPr>
                <w:rFonts w:ascii="Arial" w:eastAsia="Times New Roman" w:hAnsi="Arial" w:cs="Arial"/>
                <w:b/>
                <w:bCs/>
                <w:color w:val="000000"/>
                <w:sz w:val="20"/>
                <w:szCs w:val="20"/>
              </w:rPr>
              <w:t>EJE II                                                       COLIMA CON MAYOR CALIDAD DE VIDA</w:t>
            </w:r>
          </w:p>
        </w:tc>
        <w:tc>
          <w:tcPr>
            <w:tcW w:w="3034" w:type="dxa"/>
            <w:tcBorders>
              <w:top w:val="nil"/>
              <w:left w:val="nil"/>
              <w:bottom w:val="single" w:sz="4" w:space="0" w:color="auto"/>
              <w:right w:val="single" w:sz="4" w:space="0" w:color="auto"/>
            </w:tcBorders>
            <w:shd w:val="clear" w:color="000000" w:fill="D0CECE"/>
            <w:vAlign w:val="center"/>
            <w:hideMark/>
          </w:tcPr>
          <w:p w:rsidR="00E23519" w:rsidRPr="005E54D6" w:rsidRDefault="00E23519" w:rsidP="008A5921">
            <w:pPr>
              <w:spacing w:after="0" w:line="240" w:lineRule="auto"/>
              <w:jc w:val="center"/>
              <w:rPr>
                <w:rFonts w:ascii="Arial" w:eastAsia="Times New Roman" w:hAnsi="Arial" w:cs="Arial"/>
                <w:b/>
                <w:bCs/>
                <w:color w:val="000000"/>
                <w:sz w:val="20"/>
                <w:szCs w:val="20"/>
              </w:rPr>
            </w:pPr>
            <w:r w:rsidRPr="005E54D6">
              <w:rPr>
                <w:rFonts w:ascii="Arial" w:eastAsia="Times New Roman" w:hAnsi="Arial" w:cs="Arial"/>
                <w:b/>
                <w:bCs/>
                <w:color w:val="000000"/>
                <w:sz w:val="20"/>
                <w:szCs w:val="20"/>
              </w:rPr>
              <w:t>EJE III                                         COLIMA SEGURO</w:t>
            </w:r>
          </w:p>
        </w:tc>
      </w:tr>
      <w:tr w:rsidR="00E23519" w:rsidRPr="00F36181" w:rsidTr="008A5921">
        <w:trPr>
          <w:trHeight w:val="1058"/>
        </w:trPr>
        <w:tc>
          <w:tcPr>
            <w:tcW w:w="3160" w:type="dxa"/>
            <w:tcBorders>
              <w:top w:val="nil"/>
              <w:left w:val="single" w:sz="4" w:space="0" w:color="auto"/>
              <w:bottom w:val="single" w:sz="4" w:space="0" w:color="auto"/>
              <w:right w:val="single" w:sz="4" w:space="0" w:color="auto"/>
            </w:tcBorders>
            <w:shd w:val="clear" w:color="auto" w:fill="auto"/>
            <w:hideMark/>
          </w:tcPr>
          <w:p w:rsidR="00E23519" w:rsidRPr="005E54D6" w:rsidRDefault="00E23519" w:rsidP="008A5921">
            <w:pPr>
              <w:spacing w:after="0" w:line="240" w:lineRule="auto"/>
              <w:jc w:val="both"/>
              <w:rPr>
                <w:rFonts w:ascii="Arial" w:eastAsia="Times New Roman" w:hAnsi="Arial" w:cs="Arial"/>
                <w:color w:val="000000"/>
                <w:sz w:val="20"/>
                <w:szCs w:val="20"/>
              </w:rPr>
            </w:pPr>
            <w:r w:rsidRPr="005E54D6">
              <w:rPr>
                <w:rFonts w:ascii="Arial" w:eastAsia="Times New Roman" w:hAnsi="Arial" w:cs="Arial"/>
                <w:color w:val="000000"/>
                <w:sz w:val="20"/>
                <w:szCs w:val="20"/>
              </w:rPr>
              <w:t>1. Crecer, en términos reales, a una tasa promedio anual superior a 3.5 del PIB.</w:t>
            </w:r>
          </w:p>
        </w:tc>
        <w:tc>
          <w:tcPr>
            <w:tcW w:w="3460" w:type="dxa"/>
            <w:tcBorders>
              <w:top w:val="nil"/>
              <w:left w:val="nil"/>
              <w:bottom w:val="single" w:sz="4" w:space="0" w:color="auto"/>
              <w:right w:val="single" w:sz="4" w:space="0" w:color="auto"/>
            </w:tcBorders>
            <w:shd w:val="clear" w:color="auto" w:fill="auto"/>
            <w:hideMark/>
          </w:tcPr>
          <w:p w:rsidR="00E23519" w:rsidRPr="005E54D6" w:rsidRDefault="00E23519" w:rsidP="008A5921">
            <w:pPr>
              <w:spacing w:after="0" w:line="240" w:lineRule="auto"/>
              <w:jc w:val="both"/>
              <w:rPr>
                <w:rFonts w:ascii="Arial" w:eastAsia="Times New Roman" w:hAnsi="Arial" w:cs="Arial"/>
                <w:color w:val="000000"/>
                <w:sz w:val="20"/>
                <w:szCs w:val="20"/>
              </w:rPr>
            </w:pPr>
            <w:r w:rsidRPr="005E54D6">
              <w:rPr>
                <w:rFonts w:ascii="Arial" w:eastAsia="Times New Roman" w:hAnsi="Arial" w:cs="Arial"/>
                <w:color w:val="000000"/>
                <w:sz w:val="20"/>
                <w:szCs w:val="20"/>
              </w:rPr>
              <w:t>1. Eliminar la pobreza extrema en Colima.</w:t>
            </w:r>
          </w:p>
        </w:tc>
        <w:tc>
          <w:tcPr>
            <w:tcW w:w="3034" w:type="dxa"/>
            <w:tcBorders>
              <w:top w:val="nil"/>
              <w:left w:val="nil"/>
              <w:bottom w:val="single" w:sz="4" w:space="0" w:color="auto"/>
              <w:right w:val="single" w:sz="4" w:space="0" w:color="auto"/>
            </w:tcBorders>
            <w:shd w:val="clear" w:color="auto" w:fill="auto"/>
            <w:hideMark/>
          </w:tcPr>
          <w:p w:rsidR="00E23519" w:rsidRPr="005E54D6" w:rsidRDefault="00E23519" w:rsidP="008A5921">
            <w:pPr>
              <w:spacing w:after="0" w:line="240" w:lineRule="auto"/>
              <w:jc w:val="both"/>
              <w:rPr>
                <w:rFonts w:ascii="Arial" w:eastAsia="Times New Roman" w:hAnsi="Arial" w:cs="Arial"/>
                <w:color w:val="000000"/>
                <w:sz w:val="20"/>
                <w:szCs w:val="20"/>
              </w:rPr>
            </w:pPr>
            <w:r w:rsidRPr="005E54D6">
              <w:rPr>
                <w:rFonts w:ascii="Arial" w:eastAsia="Times New Roman" w:hAnsi="Arial" w:cs="Arial"/>
                <w:color w:val="000000"/>
                <w:sz w:val="20"/>
                <w:szCs w:val="20"/>
              </w:rPr>
              <w:t>1. Reducir en 10% anual la incidencia delictiva de los fueros federales y común.</w:t>
            </w:r>
          </w:p>
        </w:tc>
      </w:tr>
      <w:tr w:rsidR="00E23519" w:rsidRPr="00F36181" w:rsidTr="008A5921">
        <w:trPr>
          <w:trHeight w:val="1370"/>
        </w:trPr>
        <w:tc>
          <w:tcPr>
            <w:tcW w:w="3160" w:type="dxa"/>
            <w:tcBorders>
              <w:top w:val="nil"/>
              <w:left w:val="single" w:sz="4" w:space="0" w:color="auto"/>
              <w:bottom w:val="single" w:sz="4" w:space="0" w:color="auto"/>
              <w:right w:val="single" w:sz="4" w:space="0" w:color="auto"/>
            </w:tcBorders>
            <w:shd w:val="clear" w:color="000000" w:fill="E7E6E6"/>
            <w:hideMark/>
          </w:tcPr>
          <w:p w:rsidR="00E23519" w:rsidRPr="005E54D6" w:rsidRDefault="00E23519" w:rsidP="008A5921">
            <w:pPr>
              <w:spacing w:after="0" w:line="240" w:lineRule="auto"/>
              <w:jc w:val="both"/>
              <w:rPr>
                <w:rFonts w:ascii="Arial" w:eastAsia="Times New Roman" w:hAnsi="Arial" w:cs="Arial"/>
                <w:color w:val="000000"/>
                <w:sz w:val="20"/>
                <w:szCs w:val="20"/>
              </w:rPr>
            </w:pPr>
            <w:r w:rsidRPr="005E54D6">
              <w:rPr>
                <w:rFonts w:ascii="Arial" w:eastAsia="Times New Roman" w:hAnsi="Arial" w:cs="Arial"/>
                <w:color w:val="000000"/>
                <w:sz w:val="20"/>
                <w:szCs w:val="20"/>
              </w:rPr>
              <w:t>2. Posicionar a Colima entre los tres estados más competitivos de México y con mejor entorno para hacer negocios.</w:t>
            </w:r>
          </w:p>
        </w:tc>
        <w:tc>
          <w:tcPr>
            <w:tcW w:w="3460" w:type="dxa"/>
            <w:tcBorders>
              <w:top w:val="nil"/>
              <w:left w:val="nil"/>
              <w:bottom w:val="single" w:sz="4" w:space="0" w:color="auto"/>
              <w:right w:val="single" w:sz="4" w:space="0" w:color="auto"/>
            </w:tcBorders>
            <w:shd w:val="clear" w:color="000000" w:fill="E7E6E6"/>
            <w:hideMark/>
          </w:tcPr>
          <w:p w:rsidR="00E23519" w:rsidRPr="005E54D6" w:rsidRDefault="00E23519" w:rsidP="008A5921">
            <w:pPr>
              <w:spacing w:after="0" w:line="240" w:lineRule="auto"/>
              <w:jc w:val="both"/>
              <w:rPr>
                <w:rFonts w:ascii="Arial" w:eastAsia="Times New Roman" w:hAnsi="Arial" w:cs="Arial"/>
                <w:color w:val="000000"/>
                <w:sz w:val="20"/>
                <w:szCs w:val="20"/>
              </w:rPr>
            </w:pPr>
            <w:r w:rsidRPr="005E54D6">
              <w:rPr>
                <w:rFonts w:ascii="Arial" w:eastAsia="Times New Roman" w:hAnsi="Arial" w:cs="Arial"/>
                <w:color w:val="000000"/>
                <w:sz w:val="20"/>
                <w:szCs w:val="20"/>
              </w:rPr>
              <w:t>2. Reducir en 30% la carencia alimentaria y 25% la desnutrición infantil.</w:t>
            </w:r>
          </w:p>
        </w:tc>
        <w:tc>
          <w:tcPr>
            <w:tcW w:w="3034" w:type="dxa"/>
            <w:tcBorders>
              <w:top w:val="nil"/>
              <w:left w:val="nil"/>
              <w:bottom w:val="single" w:sz="4" w:space="0" w:color="auto"/>
              <w:right w:val="single" w:sz="4" w:space="0" w:color="auto"/>
            </w:tcBorders>
            <w:shd w:val="clear" w:color="000000" w:fill="E7E6E6"/>
            <w:hideMark/>
          </w:tcPr>
          <w:p w:rsidR="00E23519" w:rsidRPr="005E54D6" w:rsidRDefault="00E23519" w:rsidP="008A5921">
            <w:pPr>
              <w:spacing w:after="0" w:line="240" w:lineRule="auto"/>
              <w:jc w:val="both"/>
              <w:rPr>
                <w:rFonts w:ascii="Arial" w:eastAsia="Times New Roman" w:hAnsi="Arial" w:cs="Arial"/>
                <w:color w:val="000000"/>
                <w:sz w:val="20"/>
                <w:szCs w:val="20"/>
              </w:rPr>
            </w:pPr>
            <w:r w:rsidRPr="005E54D6">
              <w:rPr>
                <w:rFonts w:ascii="Arial" w:eastAsia="Times New Roman" w:hAnsi="Arial" w:cs="Arial"/>
                <w:color w:val="000000"/>
                <w:sz w:val="20"/>
                <w:szCs w:val="20"/>
              </w:rPr>
              <w:t>2. Reducir la incidencia de homicidios dolosos.</w:t>
            </w:r>
          </w:p>
        </w:tc>
      </w:tr>
      <w:tr w:rsidR="00E23519" w:rsidRPr="00F36181" w:rsidTr="008A5921">
        <w:trPr>
          <w:trHeight w:val="1253"/>
        </w:trPr>
        <w:tc>
          <w:tcPr>
            <w:tcW w:w="3160" w:type="dxa"/>
            <w:tcBorders>
              <w:top w:val="nil"/>
              <w:left w:val="single" w:sz="4" w:space="0" w:color="auto"/>
              <w:bottom w:val="single" w:sz="4" w:space="0" w:color="auto"/>
              <w:right w:val="single" w:sz="4" w:space="0" w:color="auto"/>
            </w:tcBorders>
            <w:shd w:val="clear" w:color="auto" w:fill="auto"/>
            <w:hideMark/>
          </w:tcPr>
          <w:p w:rsidR="00E23519" w:rsidRPr="005E54D6" w:rsidRDefault="00E23519" w:rsidP="008A5921">
            <w:pPr>
              <w:spacing w:after="0" w:line="240" w:lineRule="auto"/>
              <w:jc w:val="both"/>
              <w:rPr>
                <w:rFonts w:ascii="Arial" w:eastAsia="Times New Roman" w:hAnsi="Arial" w:cs="Arial"/>
                <w:color w:val="000000"/>
                <w:sz w:val="20"/>
                <w:szCs w:val="20"/>
              </w:rPr>
            </w:pPr>
            <w:r w:rsidRPr="005E54D6">
              <w:rPr>
                <w:rFonts w:ascii="Arial" w:eastAsia="Times New Roman" w:hAnsi="Arial" w:cs="Arial"/>
                <w:color w:val="000000"/>
                <w:sz w:val="20"/>
                <w:szCs w:val="20"/>
              </w:rPr>
              <w:t>3. Posicionar a Colima como el estado con mayor conectividad e infraestructura de TICs.</w:t>
            </w:r>
          </w:p>
        </w:tc>
        <w:tc>
          <w:tcPr>
            <w:tcW w:w="3460" w:type="dxa"/>
            <w:tcBorders>
              <w:top w:val="nil"/>
              <w:left w:val="nil"/>
              <w:bottom w:val="single" w:sz="4" w:space="0" w:color="auto"/>
              <w:right w:val="single" w:sz="4" w:space="0" w:color="auto"/>
            </w:tcBorders>
            <w:shd w:val="clear" w:color="auto" w:fill="auto"/>
            <w:hideMark/>
          </w:tcPr>
          <w:p w:rsidR="00E23519" w:rsidRPr="005E54D6" w:rsidRDefault="00E23519" w:rsidP="008A5921">
            <w:pPr>
              <w:spacing w:after="0" w:line="240" w:lineRule="auto"/>
              <w:jc w:val="both"/>
              <w:rPr>
                <w:rFonts w:ascii="Arial" w:eastAsia="Times New Roman" w:hAnsi="Arial" w:cs="Arial"/>
                <w:color w:val="000000"/>
                <w:sz w:val="20"/>
                <w:szCs w:val="20"/>
              </w:rPr>
            </w:pPr>
            <w:r w:rsidRPr="005E54D6">
              <w:rPr>
                <w:rFonts w:ascii="Arial" w:eastAsia="Times New Roman" w:hAnsi="Arial" w:cs="Arial"/>
                <w:color w:val="000000"/>
                <w:sz w:val="20"/>
                <w:szCs w:val="20"/>
              </w:rPr>
              <w:t>3. Mantener en 41% la prevalencia de obesidad y sobrepeso infantil (de 5 a 11 años)</w:t>
            </w:r>
          </w:p>
        </w:tc>
        <w:tc>
          <w:tcPr>
            <w:tcW w:w="3034" w:type="dxa"/>
            <w:tcBorders>
              <w:top w:val="nil"/>
              <w:left w:val="nil"/>
              <w:bottom w:val="single" w:sz="4" w:space="0" w:color="auto"/>
              <w:right w:val="single" w:sz="4" w:space="0" w:color="auto"/>
            </w:tcBorders>
            <w:shd w:val="clear" w:color="auto" w:fill="auto"/>
            <w:hideMark/>
          </w:tcPr>
          <w:p w:rsidR="00E23519" w:rsidRPr="005E54D6" w:rsidRDefault="00E23519" w:rsidP="008A5921">
            <w:pPr>
              <w:spacing w:after="0" w:line="240" w:lineRule="auto"/>
              <w:jc w:val="both"/>
              <w:rPr>
                <w:rFonts w:ascii="Arial" w:eastAsia="Times New Roman" w:hAnsi="Arial" w:cs="Arial"/>
                <w:color w:val="000000"/>
                <w:sz w:val="20"/>
                <w:szCs w:val="20"/>
              </w:rPr>
            </w:pPr>
            <w:r w:rsidRPr="005E54D6">
              <w:rPr>
                <w:rFonts w:ascii="Arial" w:eastAsia="Times New Roman" w:hAnsi="Arial" w:cs="Arial"/>
                <w:color w:val="000000"/>
                <w:sz w:val="20"/>
                <w:szCs w:val="20"/>
              </w:rPr>
              <w:t>3. Posicionar a Colima en los cinco primeros lugares del país por su sistema penitenciario.</w:t>
            </w:r>
          </w:p>
        </w:tc>
      </w:tr>
      <w:tr w:rsidR="00E23519" w:rsidRPr="00F36181" w:rsidTr="008A5921">
        <w:trPr>
          <w:trHeight w:val="1395"/>
        </w:trPr>
        <w:tc>
          <w:tcPr>
            <w:tcW w:w="3160" w:type="dxa"/>
            <w:tcBorders>
              <w:top w:val="nil"/>
              <w:left w:val="single" w:sz="4" w:space="0" w:color="auto"/>
              <w:bottom w:val="single" w:sz="4" w:space="0" w:color="auto"/>
              <w:right w:val="single" w:sz="4" w:space="0" w:color="auto"/>
            </w:tcBorders>
            <w:shd w:val="clear" w:color="000000" w:fill="E7E6E6"/>
            <w:hideMark/>
          </w:tcPr>
          <w:p w:rsidR="00E23519" w:rsidRPr="005E54D6" w:rsidRDefault="00E23519" w:rsidP="008A5921">
            <w:pPr>
              <w:spacing w:after="0" w:line="240" w:lineRule="auto"/>
              <w:jc w:val="both"/>
              <w:rPr>
                <w:rFonts w:ascii="Arial" w:eastAsia="Times New Roman" w:hAnsi="Arial" w:cs="Arial"/>
                <w:color w:val="000000"/>
                <w:sz w:val="20"/>
                <w:szCs w:val="20"/>
              </w:rPr>
            </w:pPr>
            <w:r w:rsidRPr="005E54D6">
              <w:rPr>
                <w:rFonts w:ascii="Arial" w:eastAsia="Times New Roman" w:hAnsi="Arial" w:cs="Arial"/>
                <w:color w:val="000000"/>
                <w:sz w:val="20"/>
                <w:szCs w:val="20"/>
              </w:rPr>
              <w:t>4. Obtener el primer lugar en exportaciones en tres productos agrícolas.</w:t>
            </w:r>
          </w:p>
        </w:tc>
        <w:tc>
          <w:tcPr>
            <w:tcW w:w="3460" w:type="dxa"/>
            <w:tcBorders>
              <w:top w:val="nil"/>
              <w:left w:val="nil"/>
              <w:bottom w:val="single" w:sz="4" w:space="0" w:color="auto"/>
              <w:right w:val="single" w:sz="4" w:space="0" w:color="auto"/>
            </w:tcBorders>
            <w:shd w:val="clear" w:color="000000" w:fill="E7E6E6"/>
            <w:hideMark/>
          </w:tcPr>
          <w:p w:rsidR="00E23519" w:rsidRPr="005E54D6" w:rsidRDefault="00E23519" w:rsidP="008A5921">
            <w:pPr>
              <w:spacing w:after="0" w:line="240" w:lineRule="auto"/>
              <w:jc w:val="both"/>
              <w:rPr>
                <w:rFonts w:ascii="Arial" w:eastAsia="Times New Roman" w:hAnsi="Arial" w:cs="Arial"/>
                <w:color w:val="000000"/>
                <w:sz w:val="20"/>
                <w:szCs w:val="20"/>
              </w:rPr>
            </w:pPr>
            <w:r w:rsidRPr="005E54D6">
              <w:rPr>
                <w:rFonts w:ascii="Arial" w:eastAsia="Times New Roman" w:hAnsi="Arial" w:cs="Arial"/>
                <w:color w:val="000000"/>
                <w:sz w:val="20"/>
                <w:szCs w:val="20"/>
              </w:rPr>
              <w:t>4. Mantener la tasa de fecundidad adolescente a 68.88 nacimientos por cada 1,000 mujeres entre 15 y 19 años de edad.</w:t>
            </w:r>
          </w:p>
        </w:tc>
        <w:tc>
          <w:tcPr>
            <w:tcW w:w="3034" w:type="dxa"/>
            <w:tcBorders>
              <w:top w:val="nil"/>
              <w:left w:val="nil"/>
              <w:bottom w:val="single" w:sz="4" w:space="0" w:color="auto"/>
              <w:right w:val="single" w:sz="4" w:space="0" w:color="auto"/>
            </w:tcBorders>
            <w:shd w:val="clear" w:color="000000" w:fill="E7E6E6"/>
            <w:hideMark/>
          </w:tcPr>
          <w:p w:rsidR="00E23519" w:rsidRPr="005E54D6" w:rsidRDefault="00E23519" w:rsidP="008A5921">
            <w:pPr>
              <w:spacing w:after="0" w:line="240" w:lineRule="auto"/>
              <w:jc w:val="both"/>
              <w:rPr>
                <w:rFonts w:ascii="Arial" w:eastAsia="Times New Roman" w:hAnsi="Arial" w:cs="Arial"/>
                <w:color w:val="000000"/>
                <w:sz w:val="20"/>
                <w:szCs w:val="20"/>
              </w:rPr>
            </w:pPr>
            <w:r w:rsidRPr="005E54D6">
              <w:rPr>
                <w:rFonts w:ascii="Arial" w:eastAsia="Times New Roman" w:hAnsi="Arial" w:cs="Arial"/>
                <w:color w:val="000000"/>
                <w:sz w:val="20"/>
                <w:szCs w:val="20"/>
              </w:rPr>
              <w:t>4. Posicionar a Colima como la entidad mejor preparada ante desastres naturales.</w:t>
            </w:r>
          </w:p>
        </w:tc>
      </w:tr>
      <w:tr w:rsidR="00E23519" w:rsidRPr="00F36181" w:rsidTr="008A5921">
        <w:trPr>
          <w:trHeight w:val="711"/>
        </w:trPr>
        <w:tc>
          <w:tcPr>
            <w:tcW w:w="3160" w:type="dxa"/>
            <w:tcBorders>
              <w:top w:val="nil"/>
              <w:left w:val="single" w:sz="4" w:space="0" w:color="auto"/>
              <w:bottom w:val="single" w:sz="4" w:space="0" w:color="auto"/>
              <w:right w:val="single" w:sz="4" w:space="0" w:color="auto"/>
            </w:tcBorders>
            <w:shd w:val="clear" w:color="auto" w:fill="auto"/>
            <w:hideMark/>
          </w:tcPr>
          <w:p w:rsidR="00E23519" w:rsidRPr="005E54D6" w:rsidRDefault="00E23519" w:rsidP="008A5921">
            <w:pPr>
              <w:spacing w:after="0" w:line="240" w:lineRule="auto"/>
              <w:jc w:val="both"/>
              <w:rPr>
                <w:rFonts w:ascii="Arial" w:eastAsia="Times New Roman" w:hAnsi="Arial" w:cs="Arial"/>
                <w:color w:val="000000"/>
                <w:sz w:val="20"/>
                <w:szCs w:val="20"/>
              </w:rPr>
            </w:pPr>
            <w:r w:rsidRPr="005E54D6">
              <w:rPr>
                <w:rFonts w:ascii="Arial" w:eastAsia="Times New Roman" w:hAnsi="Arial" w:cs="Arial"/>
                <w:color w:val="000000"/>
                <w:sz w:val="20"/>
                <w:szCs w:val="20"/>
              </w:rPr>
              <w:t>5. Duplicar el registro de patentes en el estado.</w:t>
            </w:r>
          </w:p>
        </w:tc>
        <w:tc>
          <w:tcPr>
            <w:tcW w:w="3460" w:type="dxa"/>
            <w:tcBorders>
              <w:top w:val="nil"/>
              <w:left w:val="nil"/>
              <w:bottom w:val="single" w:sz="4" w:space="0" w:color="auto"/>
              <w:right w:val="single" w:sz="4" w:space="0" w:color="auto"/>
            </w:tcBorders>
            <w:shd w:val="clear" w:color="auto" w:fill="auto"/>
            <w:hideMark/>
          </w:tcPr>
          <w:p w:rsidR="00E23519" w:rsidRPr="005E54D6" w:rsidRDefault="00E23519" w:rsidP="008A5921">
            <w:pPr>
              <w:spacing w:after="0" w:line="240" w:lineRule="auto"/>
              <w:jc w:val="both"/>
              <w:rPr>
                <w:rFonts w:ascii="Arial" w:eastAsia="Times New Roman" w:hAnsi="Arial" w:cs="Arial"/>
                <w:color w:val="000000"/>
                <w:sz w:val="20"/>
                <w:szCs w:val="20"/>
              </w:rPr>
            </w:pPr>
            <w:r w:rsidRPr="005E54D6">
              <w:rPr>
                <w:rFonts w:ascii="Arial" w:eastAsia="Times New Roman" w:hAnsi="Arial" w:cs="Arial"/>
                <w:color w:val="000000"/>
                <w:sz w:val="20"/>
                <w:szCs w:val="20"/>
              </w:rPr>
              <w:t>5. Aumentar la escolaridad promedio del estado.</w:t>
            </w:r>
          </w:p>
        </w:tc>
        <w:tc>
          <w:tcPr>
            <w:tcW w:w="3034" w:type="dxa"/>
            <w:tcBorders>
              <w:top w:val="nil"/>
              <w:left w:val="nil"/>
              <w:bottom w:val="single" w:sz="4" w:space="0" w:color="auto"/>
              <w:right w:val="single" w:sz="4" w:space="0" w:color="auto"/>
            </w:tcBorders>
            <w:shd w:val="clear" w:color="auto" w:fill="auto"/>
            <w:noWrap/>
            <w:hideMark/>
          </w:tcPr>
          <w:p w:rsidR="00E23519" w:rsidRPr="005E54D6" w:rsidRDefault="00E23519" w:rsidP="008A5921">
            <w:pPr>
              <w:spacing w:after="0" w:line="240" w:lineRule="auto"/>
              <w:jc w:val="both"/>
              <w:rPr>
                <w:rFonts w:ascii="Arial" w:eastAsia="Times New Roman" w:hAnsi="Arial" w:cs="Arial"/>
                <w:color w:val="000000"/>
                <w:sz w:val="20"/>
                <w:szCs w:val="20"/>
              </w:rPr>
            </w:pPr>
            <w:r w:rsidRPr="005E54D6">
              <w:rPr>
                <w:rFonts w:ascii="Arial" w:eastAsia="Times New Roman" w:hAnsi="Arial" w:cs="Arial"/>
                <w:color w:val="000000"/>
                <w:sz w:val="20"/>
                <w:szCs w:val="20"/>
              </w:rPr>
              <w:t> </w:t>
            </w:r>
          </w:p>
        </w:tc>
      </w:tr>
      <w:tr w:rsidR="00E23519" w:rsidRPr="00F36181" w:rsidTr="008A5921">
        <w:trPr>
          <w:trHeight w:val="1119"/>
        </w:trPr>
        <w:tc>
          <w:tcPr>
            <w:tcW w:w="3160" w:type="dxa"/>
            <w:tcBorders>
              <w:top w:val="nil"/>
              <w:left w:val="single" w:sz="4" w:space="0" w:color="auto"/>
              <w:bottom w:val="single" w:sz="4" w:space="0" w:color="auto"/>
              <w:right w:val="single" w:sz="4" w:space="0" w:color="auto"/>
            </w:tcBorders>
            <w:shd w:val="clear" w:color="000000" w:fill="E7E6E6"/>
            <w:vAlign w:val="bottom"/>
            <w:hideMark/>
          </w:tcPr>
          <w:p w:rsidR="00E23519" w:rsidRPr="005E54D6" w:rsidRDefault="00E23519" w:rsidP="008A5921">
            <w:pPr>
              <w:spacing w:after="0" w:line="240" w:lineRule="auto"/>
              <w:jc w:val="both"/>
              <w:rPr>
                <w:rFonts w:ascii="Arial" w:eastAsia="Times New Roman" w:hAnsi="Arial" w:cs="Arial"/>
                <w:color w:val="000000"/>
                <w:sz w:val="20"/>
                <w:szCs w:val="20"/>
              </w:rPr>
            </w:pPr>
            <w:r w:rsidRPr="005E54D6">
              <w:rPr>
                <w:rFonts w:ascii="Arial" w:eastAsia="Times New Roman" w:hAnsi="Arial" w:cs="Arial"/>
                <w:color w:val="000000"/>
                <w:sz w:val="20"/>
                <w:szCs w:val="20"/>
              </w:rPr>
              <w:t>6. Posicionar a Colima como el estado mas atractivo, por sus empleos y calidad de vida, para los jóvenes del país.</w:t>
            </w:r>
          </w:p>
        </w:tc>
        <w:tc>
          <w:tcPr>
            <w:tcW w:w="3460" w:type="dxa"/>
            <w:tcBorders>
              <w:top w:val="nil"/>
              <w:left w:val="nil"/>
              <w:bottom w:val="single" w:sz="4" w:space="0" w:color="auto"/>
              <w:right w:val="single" w:sz="4" w:space="0" w:color="auto"/>
            </w:tcBorders>
            <w:shd w:val="clear" w:color="000000" w:fill="E7E6E6"/>
            <w:vAlign w:val="bottom"/>
            <w:hideMark/>
          </w:tcPr>
          <w:p w:rsidR="00E23519" w:rsidRPr="005E54D6" w:rsidRDefault="00E23519" w:rsidP="008A5921">
            <w:pPr>
              <w:spacing w:after="0" w:line="240" w:lineRule="auto"/>
              <w:jc w:val="both"/>
              <w:rPr>
                <w:rFonts w:ascii="Arial" w:eastAsia="Times New Roman" w:hAnsi="Arial" w:cs="Arial"/>
                <w:color w:val="000000"/>
                <w:sz w:val="20"/>
                <w:szCs w:val="20"/>
              </w:rPr>
            </w:pPr>
            <w:r w:rsidRPr="005E54D6">
              <w:rPr>
                <w:rFonts w:ascii="Arial" w:eastAsia="Times New Roman" w:hAnsi="Arial" w:cs="Arial"/>
                <w:color w:val="000000"/>
                <w:sz w:val="20"/>
                <w:szCs w:val="20"/>
              </w:rPr>
              <w:t>6. Mejorar en 40% los resultados de las pruebas de aprovechamiento escolar en educación básica.</w:t>
            </w:r>
          </w:p>
        </w:tc>
        <w:tc>
          <w:tcPr>
            <w:tcW w:w="3034" w:type="dxa"/>
            <w:tcBorders>
              <w:top w:val="nil"/>
              <w:left w:val="nil"/>
              <w:bottom w:val="single" w:sz="4" w:space="0" w:color="auto"/>
              <w:right w:val="single" w:sz="4" w:space="0" w:color="auto"/>
            </w:tcBorders>
            <w:shd w:val="clear" w:color="000000" w:fill="E7E6E6"/>
            <w:noWrap/>
            <w:vAlign w:val="bottom"/>
            <w:hideMark/>
          </w:tcPr>
          <w:p w:rsidR="00E23519" w:rsidRPr="005E54D6" w:rsidRDefault="00E23519" w:rsidP="008A5921">
            <w:pPr>
              <w:spacing w:after="0" w:line="240" w:lineRule="auto"/>
              <w:jc w:val="both"/>
              <w:rPr>
                <w:rFonts w:ascii="Arial" w:eastAsia="Times New Roman" w:hAnsi="Arial" w:cs="Arial"/>
                <w:color w:val="000000"/>
                <w:sz w:val="20"/>
                <w:szCs w:val="20"/>
              </w:rPr>
            </w:pPr>
            <w:r w:rsidRPr="005E54D6">
              <w:rPr>
                <w:rFonts w:ascii="Arial" w:eastAsia="Times New Roman" w:hAnsi="Arial" w:cs="Arial"/>
                <w:color w:val="000000"/>
                <w:sz w:val="20"/>
                <w:szCs w:val="20"/>
              </w:rPr>
              <w:t> </w:t>
            </w:r>
          </w:p>
        </w:tc>
      </w:tr>
      <w:tr w:rsidR="00E23519" w:rsidRPr="00F36181" w:rsidTr="008A5921">
        <w:trPr>
          <w:trHeight w:val="851"/>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E23519" w:rsidRPr="005E54D6" w:rsidRDefault="00E23519" w:rsidP="008A5921">
            <w:pPr>
              <w:spacing w:after="0" w:line="240" w:lineRule="auto"/>
              <w:jc w:val="both"/>
              <w:rPr>
                <w:rFonts w:ascii="Arial" w:eastAsia="Times New Roman" w:hAnsi="Arial" w:cs="Arial"/>
                <w:color w:val="000000"/>
                <w:sz w:val="20"/>
                <w:szCs w:val="20"/>
              </w:rPr>
            </w:pPr>
            <w:r w:rsidRPr="005E54D6">
              <w:rPr>
                <w:rFonts w:ascii="Arial" w:eastAsia="Times New Roman" w:hAnsi="Arial" w:cs="Arial"/>
                <w:color w:val="000000"/>
                <w:sz w:val="20"/>
                <w:szCs w:val="20"/>
              </w:rPr>
              <w:t> </w:t>
            </w:r>
          </w:p>
        </w:tc>
        <w:tc>
          <w:tcPr>
            <w:tcW w:w="3460" w:type="dxa"/>
            <w:tcBorders>
              <w:top w:val="nil"/>
              <w:left w:val="nil"/>
              <w:bottom w:val="single" w:sz="4" w:space="0" w:color="auto"/>
              <w:right w:val="single" w:sz="4" w:space="0" w:color="auto"/>
            </w:tcBorders>
            <w:shd w:val="clear" w:color="auto" w:fill="auto"/>
            <w:vAlign w:val="center"/>
            <w:hideMark/>
          </w:tcPr>
          <w:p w:rsidR="00E23519" w:rsidRPr="005E54D6" w:rsidRDefault="00E23519" w:rsidP="008A5921">
            <w:pPr>
              <w:spacing w:after="0" w:line="240" w:lineRule="auto"/>
              <w:jc w:val="both"/>
              <w:rPr>
                <w:rFonts w:ascii="Arial" w:eastAsia="Times New Roman" w:hAnsi="Arial" w:cs="Arial"/>
                <w:color w:val="000000"/>
                <w:sz w:val="20"/>
                <w:szCs w:val="20"/>
              </w:rPr>
            </w:pPr>
            <w:r w:rsidRPr="005E54D6">
              <w:rPr>
                <w:rFonts w:ascii="Arial" w:eastAsia="Times New Roman" w:hAnsi="Arial" w:cs="Arial"/>
                <w:color w:val="000000"/>
                <w:sz w:val="20"/>
                <w:szCs w:val="20"/>
              </w:rPr>
              <w:t>7. Aumentar en 40% la eficiencia terminal en educación superior.</w:t>
            </w:r>
          </w:p>
        </w:tc>
        <w:tc>
          <w:tcPr>
            <w:tcW w:w="3034" w:type="dxa"/>
            <w:tcBorders>
              <w:top w:val="nil"/>
              <w:left w:val="nil"/>
              <w:bottom w:val="single" w:sz="4" w:space="0" w:color="auto"/>
              <w:right w:val="single" w:sz="4" w:space="0" w:color="auto"/>
            </w:tcBorders>
            <w:shd w:val="clear" w:color="auto" w:fill="auto"/>
            <w:noWrap/>
            <w:vAlign w:val="bottom"/>
            <w:hideMark/>
          </w:tcPr>
          <w:p w:rsidR="00E23519" w:rsidRPr="005E54D6" w:rsidRDefault="00E23519" w:rsidP="008A5921">
            <w:pPr>
              <w:spacing w:after="0" w:line="240" w:lineRule="auto"/>
              <w:jc w:val="both"/>
              <w:rPr>
                <w:rFonts w:ascii="Arial" w:eastAsia="Times New Roman" w:hAnsi="Arial" w:cs="Arial"/>
                <w:color w:val="000000"/>
                <w:sz w:val="20"/>
                <w:szCs w:val="20"/>
              </w:rPr>
            </w:pPr>
            <w:r w:rsidRPr="005E54D6">
              <w:rPr>
                <w:rFonts w:ascii="Arial" w:eastAsia="Times New Roman" w:hAnsi="Arial" w:cs="Arial"/>
                <w:color w:val="000000"/>
                <w:sz w:val="20"/>
                <w:szCs w:val="20"/>
              </w:rPr>
              <w:t> </w:t>
            </w:r>
          </w:p>
        </w:tc>
      </w:tr>
      <w:tr w:rsidR="00E23519" w:rsidRPr="00F36181" w:rsidTr="008A5921">
        <w:trPr>
          <w:trHeight w:val="1440"/>
        </w:trPr>
        <w:tc>
          <w:tcPr>
            <w:tcW w:w="3160" w:type="dxa"/>
            <w:tcBorders>
              <w:top w:val="nil"/>
              <w:left w:val="single" w:sz="4" w:space="0" w:color="auto"/>
              <w:bottom w:val="single" w:sz="4" w:space="0" w:color="auto"/>
              <w:right w:val="single" w:sz="4" w:space="0" w:color="auto"/>
            </w:tcBorders>
            <w:shd w:val="clear" w:color="000000" w:fill="E7E6E6"/>
            <w:noWrap/>
            <w:vAlign w:val="bottom"/>
            <w:hideMark/>
          </w:tcPr>
          <w:p w:rsidR="00E23519" w:rsidRPr="005E54D6" w:rsidRDefault="00E23519" w:rsidP="008A5921">
            <w:pPr>
              <w:spacing w:after="0" w:line="240" w:lineRule="auto"/>
              <w:jc w:val="both"/>
              <w:rPr>
                <w:rFonts w:ascii="Arial" w:eastAsia="Times New Roman" w:hAnsi="Arial" w:cs="Arial"/>
                <w:color w:val="000000"/>
                <w:sz w:val="20"/>
                <w:szCs w:val="20"/>
              </w:rPr>
            </w:pPr>
            <w:r w:rsidRPr="005E54D6">
              <w:rPr>
                <w:rFonts w:ascii="Arial" w:eastAsia="Times New Roman" w:hAnsi="Arial" w:cs="Arial"/>
                <w:color w:val="000000"/>
                <w:sz w:val="20"/>
                <w:szCs w:val="20"/>
              </w:rPr>
              <w:t> </w:t>
            </w:r>
          </w:p>
        </w:tc>
        <w:tc>
          <w:tcPr>
            <w:tcW w:w="3460" w:type="dxa"/>
            <w:tcBorders>
              <w:top w:val="nil"/>
              <w:left w:val="nil"/>
              <w:bottom w:val="single" w:sz="4" w:space="0" w:color="auto"/>
              <w:right w:val="single" w:sz="4" w:space="0" w:color="auto"/>
            </w:tcBorders>
            <w:shd w:val="clear" w:color="000000" w:fill="E7E6E6"/>
            <w:vAlign w:val="bottom"/>
            <w:hideMark/>
          </w:tcPr>
          <w:p w:rsidR="00E23519" w:rsidRPr="005E54D6" w:rsidRDefault="00E23519" w:rsidP="008A5921">
            <w:pPr>
              <w:spacing w:after="0" w:line="240" w:lineRule="auto"/>
              <w:jc w:val="both"/>
              <w:rPr>
                <w:rFonts w:ascii="Arial" w:eastAsia="Times New Roman" w:hAnsi="Arial" w:cs="Arial"/>
                <w:color w:val="000000"/>
                <w:sz w:val="20"/>
                <w:szCs w:val="20"/>
              </w:rPr>
            </w:pPr>
            <w:r w:rsidRPr="005E54D6">
              <w:rPr>
                <w:rFonts w:ascii="Arial" w:eastAsia="Times New Roman" w:hAnsi="Arial" w:cs="Arial"/>
                <w:color w:val="000000"/>
                <w:sz w:val="20"/>
                <w:szCs w:val="20"/>
              </w:rPr>
              <w:t>8. Mejorar en la satisfacción de los colimenses con los servicios públicos alcanzando una calificación superior a 70%en todos los servicios.</w:t>
            </w:r>
          </w:p>
        </w:tc>
        <w:tc>
          <w:tcPr>
            <w:tcW w:w="3034" w:type="dxa"/>
            <w:tcBorders>
              <w:top w:val="nil"/>
              <w:left w:val="nil"/>
              <w:bottom w:val="single" w:sz="4" w:space="0" w:color="auto"/>
              <w:right w:val="single" w:sz="4" w:space="0" w:color="auto"/>
            </w:tcBorders>
            <w:shd w:val="clear" w:color="000000" w:fill="E7E6E6"/>
            <w:noWrap/>
            <w:vAlign w:val="bottom"/>
            <w:hideMark/>
          </w:tcPr>
          <w:p w:rsidR="00E23519" w:rsidRPr="005E54D6" w:rsidRDefault="00E23519" w:rsidP="008A5921">
            <w:pPr>
              <w:spacing w:after="0" w:line="240" w:lineRule="auto"/>
              <w:jc w:val="both"/>
              <w:rPr>
                <w:rFonts w:ascii="Arial" w:eastAsia="Times New Roman" w:hAnsi="Arial" w:cs="Arial"/>
                <w:color w:val="000000"/>
                <w:sz w:val="20"/>
                <w:szCs w:val="20"/>
              </w:rPr>
            </w:pPr>
            <w:r w:rsidRPr="005E54D6">
              <w:rPr>
                <w:rFonts w:ascii="Arial" w:eastAsia="Times New Roman" w:hAnsi="Arial" w:cs="Arial"/>
                <w:color w:val="000000"/>
                <w:sz w:val="20"/>
                <w:szCs w:val="20"/>
              </w:rPr>
              <w:t> </w:t>
            </w:r>
          </w:p>
        </w:tc>
      </w:tr>
    </w:tbl>
    <w:p w:rsidR="00E23519" w:rsidRPr="008464D7" w:rsidRDefault="00E23519" w:rsidP="00E23519"/>
    <w:tbl>
      <w:tblPr>
        <w:tblW w:w="9513" w:type="dxa"/>
        <w:tblInd w:w="55" w:type="dxa"/>
        <w:tblCellMar>
          <w:left w:w="70" w:type="dxa"/>
          <w:right w:w="70" w:type="dxa"/>
        </w:tblCellMar>
        <w:tblLook w:val="04A0" w:firstRow="1" w:lastRow="0" w:firstColumn="1" w:lastColumn="0" w:noHBand="0" w:noVBand="1"/>
      </w:tblPr>
      <w:tblGrid>
        <w:gridCol w:w="3276"/>
        <w:gridCol w:w="3344"/>
        <w:gridCol w:w="2893"/>
      </w:tblGrid>
      <w:tr w:rsidR="00E23519" w:rsidRPr="00F36181" w:rsidTr="008A5921">
        <w:trPr>
          <w:trHeight w:val="841"/>
        </w:trPr>
        <w:tc>
          <w:tcPr>
            <w:tcW w:w="3276" w:type="dxa"/>
            <w:tcBorders>
              <w:top w:val="single" w:sz="4" w:space="0" w:color="auto"/>
              <w:left w:val="single" w:sz="4" w:space="0" w:color="auto"/>
              <w:bottom w:val="single" w:sz="4" w:space="0" w:color="auto"/>
              <w:right w:val="single" w:sz="4" w:space="0" w:color="auto"/>
            </w:tcBorders>
            <w:shd w:val="clear" w:color="000000" w:fill="AEAAAA"/>
            <w:vAlign w:val="center"/>
            <w:hideMark/>
          </w:tcPr>
          <w:p w:rsidR="00E23519" w:rsidRPr="005E54D6" w:rsidRDefault="00E23519" w:rsidP="008A5921">
            <w:pPr>
              <w:spacing w:after="0" w:line="240" w:lineRule="auto"/>
              <w:jc w:val="center"/>
              <w:rPr>
                <w:rFonts w:ascii="Arial" w:eastAsia="Times New Roman" w:hAnsi="Arial" w:cs="Arial"/>
                <w:b/>
                <w:bCs/>
                <w:color w:val="000000"/>
                <w:sz w:val="20"/>
                <w:szCs w:val="20"/>
              </w:rPr>
            </w:pPr>
            <w:r w:rsidRPr="005E54D6">
              <w:rPr>
                <w:rFonts w:ascii="Arial" w:eastAsia="Times New Roman" w:hAnsi="Arial" w:cs="Arial"/>
                <w:b/>
                <w:bCs/>
                <w:color w:val="000000"/>
                <w:sz w:val="20"/>
                <w:szCs w:val="20"/>
              </w:rPr>
              <w:lastRenderedPageBreak/>
              <w:t xml:space="preserve">TRANSVERSAL I             </w:t>
            </w:r>
          </w:p>
          <w:p w:rsidR="00E23519" w:rsidRPr="005E54D6" w:rsidRDefault="00E23519" w:rsidP="008A5921">
            <w:pPr>
              <w:spacing w:after="0" w:line="240" w:lineRule="auto"/>
              <w:jc w:val="center"/>
              <w:rPr>
                <w:rFonts w:ascii="Arial" w:eastAsia="Times New Roman" w:hAnsi="Arial" w:cs="Arial"/>
                <w:b/>
                <w:bCs/>
                <w:color w:val="000000"/>
                <w:sz w:val="20"/>
                <w:szCs w:val="20"/>
              </w:rPr>
            </w:pPr>
            <w:r w:rsidRPr="005E54D6">
              <w:rPr>
                <w:rFonts w:ascii="Arial" w:eastAsia="Times New Roman" w:hAnsi="Arial" w:cs="Arial"/>
                <w:b/>
                <w:bCs/>
                <w:color w:val="000000"/>
                <w:sz w:val="20"/>
                <w:szCs w:val="20"/>
              </w:rPr>
              <w:t xml:space="preserve">    COLIMA CON UN GOBIERNO MODERNO, EFECTIVO Y TRANSPARENTE</w:t>
            </w:r>
          </w:p>
        </w:tc>
        <w:tc>
          <w:tcPr>
            <w:tcW w:w="3344" w:type="dxa"/>
            <w:tcBorders>
              <w:top w:val="single" w:sz="4" w:space="0" w:color="auto"/>
              <w:left w:val="nil"/>
              <w:bottom w:val="single" w:sz="4" w:space="0" w:color="auto"/>
              <w:right w:val="single" w:sz="4" w:space="0" w:color="auto"/>
            </w:tcBorders>
            <w:shd w:val="clear" w:color="000000" w:fill="AEAAAA"/>
            <w:vAlign w:val="center"/>
            <w:hideMark/>
          </w:tcPr>
          <w:p w:rsidR="00E23519" w:rsidRPr="005E54D6" w:rsidRDefault="00E23519" w:rsidP="008A5921">
            <w:pPr>
              <w:spacing w:after="0" w:line="240" w:lineRule="auto"/>
              <w:jc w:val="center"/>
              <w:rPr>
                <w:rFonts w:ascii="Arial" w:eastAsia="Times New Roman" w:hAnsi="Arial" w:cs="Arial"/>
                <w:b/>
                <w:bCs/>
                <w:color w:val="000000"/>
                <w:sz w:val="20"/>
                <w:szCs w:val="20"/>
              </w:rPr>
            </w:pPr>
            <w:r w:rsidRPr="005E54D6">
              <w:rPr>
                <w:rFonts w:ascii="Arial" w:eastAsia="Times New Roman" w:hAnsi="Arial" w:cs="Arial"/>
                <w:b/>
                <w:bCs/>
                <w:color w:val="000000"/>
                <w:sz w:val="20"/>
                <w:szCs w:val="20"/>
              </w:rPr>
              <w:t>TRANSVERSAL II               COLIMA  POR LA IGUALDAD</w:t>
            </w:r>
          </w:p>
        </w:tc>
        <w:tc>
          <w:tcPr>
            <w:tcW w:w="2893" w:type="dxa"/>
            <w:tcBorders>
              <w:top w:val="single" w:sz="4" w:space="0" w:color="auto"/>
              <w:left w:val="nil"/>
              <w:bottom w:val="single" w:sz="4" w:space="0" w:color="auto"/>
              <w:right w:val="single" w:sz="4" w:space="0" w:color="auto"/>
            </w:tcBorders>
            <w:shd w:val="clear" w:color="000000" w:fill="AEAAAA"/>
            <w:vAlign w:val="center"/>
            <w:hideMark/>
          </w:tcPr>
          <w:p w:rsidR="00E23519" w:rsidRPr="005E54D6" w:rsidRDefault="00E23519" w:rsidP="008A5921">
            <w:pPr>
              <w:spacing w:after="0" w:line="240" w:lineRule="auto"/>
              <w:jc w:val="center"/>
              <w:rPr>
                <w:rFonts w:ascii="Arial" w:eastAsia="Times New Roman" w:hAnsi="Arial" w:cs="Arial"/>
                <w:b/>
                <w:bCs/>
                <w:color w:val="000000"/>
                <w:sz w:val="20"/>
                <w:szCs w:val="20"/>
              </w:rPr>
            </w:pPr>
            <w:r w:rsidRPr="005E54D6">
              <w:rPr>
                <w:rFonts w:ascii="Arial" w:eastAsia="Times New Roman" w:hAnsi="Arial" w:cs="Arial"/>
                <w:b/>
                <w:bCs/>
                <w:color w:val="000000"/>
                <w:sz w:val="20"/>
                <w:szCs w:val="20"/>
              </w:rPr>
              <w:t>TRANSVERSAL III                 COLIMA                SUSTENTABLE</w:t>
            </w:r>
          </w:p>
        </w:tc>
      </w:tr>
      <w:tr w:rsidR="00E23519" w:rsidRPr="00F36181" w:rsidTr="008A5921">
        <w:trPr>
          <w:trHeight w:val="1406"/>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E23519" w:rsidRPr="005E54D6" w:rsidRDefault="00E23519" w:rsidP="008A5921">
            <w:pPr>
              <w:spacing w:after="0" w:line="240" w:lineRule="auto"/>
              <w:jc w:val="both"/>
              <w:rPr>
                <w:rFonts w:ascii="Arial" w:eastAsia="Times New Roman" w:hAnsi="Arial" w:cs="Arial"/>
                <w:color w:val="000000"/>
                <w:sz w:val="20"/>
                <w:szCs w:val="20"/>
              </w:rPr>
            </w:pPr>
            <w:r w:rsidRPr="005E54D6">
              <w:rPr>
                <w:rFonts w:ascii="Arial" w:eastAsia="Times New Roman" w:hAnsi="Arial" w:cs="Arial"/>
                <w:color w:val="000000"/>
                <w:sz w:val="20"/>
                <w:szCs w:val="20"/>
              </w:rPr>
              <w:t>1. Aumentar 10% la recaudación anual de los ingresos propios de la hacienda pública estatal y reducir la evasión fiscal en 5% anual.</w:t>
            </w:r>
          </w:p>
        </w:tc>
        <w:tc>
          <w:tcPr>
            <w:tcW w:w="3344" w:type="dxa"/>
            <w:tcBorders>
              <w:top w:val="nil"/>
              <w:left w:val="nil"/>
              <w:bottom w:val="single" w:sz="4" w:space="0" w:color="auto"/>
              <w:right w:val="single" w:sz="4" w:space="0" w:color="auto"/>
            </w:tcBorders>
            <w:shd w:val="clear" w:color="auto" w:fill="auto"/>
            <w:vAlign w:val="center"/>
            <w:hideMark/>
          </w:tcPr>
          <w:p w:rsidR="00E23519" w:rsidRPr="005E54D6" w:rsidRDefault="00E23519" w:rsidP="008A5921">
            <w:pPr>
              <w:spacing w:after="0" w:line="240" w:lineRule="auto"/>
              <w:jc w:val="both"/>
              <w:rPr>
                <w:rFonts w:ascii="Arial" w:eastAsia="Times New Roman" w:hAnsi="Arial" w:cs="Arial"/>
                <w:color w:val="000000"/>
                <w:sz w:val="20"/>
                <w:szCs w:val="20"/>
              </w:rPr>
            </w:pPr>
            <w:r w:rsidRPr="005E54D6">
              <w:rPr>
                <w:rFonts w:ascii="Arial" w:eastAsia="Times New Roman" w:hAnsi="Arial" w:cs="Arial"/>
                <w:color w:val="000000"/>
                <w:sz w:val="20"/>
                <w:szCs w:val="20"/>
              </w:rPr>
              <w:t>1. Reducir la brecha salarial entre mujeres y hombres así como para las personas con discapacidad.</w:t>
            </w:r>
          </w:p>
        </w:tc>
        <w:tc>
          <w:tcPr>
            <w:tcW w:w="2893" w:type="dxa"/>
            <w:tcBorders>
              <w:top w:val="nil"/>
              <w:left w:val="nil"/>
              <w:bottom w:val="single" w:sz="4" w:space="0" w:color="auto"/>
              <w:right w:val="single" w:sz="4" w:space="0" w:color="auto"/>
            </w:tcBorders>
            <w:shd w:val="clear" w:color="auto" w:fill="auto"/>
            <w:vAlign w:val="center"/>
            <w:hideMark/>
          </w:tcPr>
          <w:p w:rsidR="00E23519" w:rsidRPr="005E54D6" w:rsidRDefault="00E23519" w:rsidP="008A5921">
            <w:pPr>
              <w:spacing w:after="0" w:line="240" w:lineRule="auto"/>
              <w:jc w:val="both"/>
              <w:rPr>
                <w:rFonts w:ascii="Arial" w:eastAsia="Times New Roman" w:hAnsi="Arial" w:cs="Arial"/>
                <w:color w:val="000000"/>
                <w:sz w:val="20"/>
                <w:szCs w:val="20"/>
              </w:rPr>
            </w:pPr>
            <w:r w:rsidRPr="005E54D6">
              <w:rPr>
                <w:rFonts w:ascii="Arial" w:eastAsia="Times New Roman" w:hAnsi="Arial" w:cs="Arial"/>
                <w:color w:val="000000"/>
                <w:sz w:val="20"/>
                <w:szCs w:val="20"/>
              </w:rPr>
              <w:t>1. Disminuir las emisiones de gases de efecto invernadero.</w:t>
            </w:r>
          </w:p>
        </w:tc>
      </w:tr>
      <w:tr w:rsidR="00E23519" w:rsidRPr="00F36181" w:rsidTr="008A5921">
        <w:trPr>
          <w:trHeight w:val="986"/>
        </w:trPr>
        <w:tc>
          <w:tcPr>
            <w:tcW w:w="3276" w:type="dxa"/>
            <w:tcBorders>
              <w:top w:val="nil"/>
              <w:left w:val="single" w:sz="4" w:space="0" w:color="auto"/>
              <w:bottom w:val="single" w:sz="4" w:space="0" w:color="auto"/>
              <w:right w:val="single" w:sz="4" w:space="0" w:color="auto"/>
            </w:tcBorders>
            <w:shd w:val="clear" w:color="000000" w:fill="E7E6E6"/>
            <w:vAlign w:val="center"/>
            <w:hideMark/>
          </w:tcPr>
          <w:p w:rsidR="00E23519" w:rsidRPr="005E54D6" w:rsidRDefault="00E23519" w:rsidP="008A5921">
            <w:pPr>
              <w:spacing w:after="0" w:line="240" w:lineRule="auto"/>
              <w:jc w:val="both"/>
              <w:rPr>
                <w:rFonts w:ascii="Arial" w:eastAsia="Times New Roman" w:hAnsi="Arial" w:cs="Arial"/>
                <w:color w:val="000000"/>
                <w:sz w:val="20"/>
                <w:szCs w:val="20"/>
              </w:rPr>
            </w:pPr>
            <w:r w:rsidRPr="005E54D6">
              <w:rPr>
                <w:rFonts w:ascii="Arial" w:eastAsia="Times New Roman" w:hAnsi="Arial" w:cs="Arial"/>
                <w:color w:val="000000"/>
                <w:sz w:val="20"/>
                <w:szCs w:val="20"/>
              </w:rPr>
              <w:t>2. Posicionar a Colima como uno de los cinco estados con menor percepción de corrupción en el país.</w:t>
            </w:r>
          </w:p>
        </w:tc>
        <w:tc>
          <w:tcPr>
            <w:tcW w:w="3344" w:type="dxa"/>
            <w:tcBorders>
              <w:top w:val="nil"/>
              <w:left w:val="nil"/>
              <w:bottom w:val="single" w:sz="4" w:space="0" w:color="auto"/>
              <w:right w:val="single" w:sz="4" w:space="0" w:color="auto"/>
            </w:tcBorders>
            <w:shd w:val="clear" w:color="000000" w:fill="E7E6E6"/>
            <w:vAlign w:val="center"/>
            <w:hideMark/>
          </w:tcPr>
          <w:p w:rsidR="00E23519" w:rsidRPr="005E54D6" w:rsidRDefault="00E23519" w:rsidP="008A5921">
            <w:pPr>
              <w:spacing w:after="0" w:line="240" w:lineRule="auto"/>
              <w:jc w:val="both"/>
              <w:rPr>
                <w:rFonts w:ascii="Arial" w:eastAsia="Times New Roman" w:hAnsi="Arial" w:cs="Arial"/>
                <w:color w:val="000000"/>
                <w:sz w:val="20"/>
                <w:szCs w:val="20"/>
              </w:rPr>
            </w:pPr>
            <w:r w:rsidRPr="005E54D6">
              <w:rPr>
                <w:rFonts w:ascii="Arial" w:eastAsia="Times New Roman" w:hAnsi="Arial" w:cs="Arial"/>
                <w:color w:val="000000"/>
                <w:sz w:val="20"/>
                <w:szCs w:val="20"/>
              </w:rPr>
              <w:t>2. Aumentar en 10% anual la eficiencia terminal en educación superior para mujeres y personas con discapacidad</w:t>
            </w:r>
          </w:p>
        </w:tc>
        <w:tc>
          <w:tcPr>
            <w:tcW w:w="2893" w:type="dxa"/>
            <w:tcBorders>
              <w:top w:val="nil"/>
              <w:left w:val="nil"/>
              <w:bottom w:val="single" w:sz="4" w:space="0" w:color="auto"/>
              <w:right w:val="single" w:sz="4" w:space="0" w:color="auto"/>
            </w:tcBorders>
            <w:shd w:val="clear" w:color="000000" w:fill="E7E6E6"/>
            <w:vAlign w:val="center"/>
            <w:hideMark/>
          </w:tcPr>
          <w:p w:rsidR="00E23519" w:rsidRPr="005E54D6" w:rsidRDefault="00E23519" w:rsidP="008A5921">
            <w:pPr>
              <w:spacing w:after="0" w:line="240" w:lineRule="auto"/>
              <w:jc w:val="both"/>
              <w:rPr>
                <w:rFonts w:ascii="Arial" w:eastAsia="Times New Roman" w:hAnsi="Arial" w:cs="Arial"/>
                <w:color w:val="000000"/>
                <w:sz w:val="20"/>
                <w:szCs w:val="20"/>
              </w:rPr>
            </w:pPr>
            <w:r w:rsidRPr="005E54D6">
              <w:rPr>
                <w:rFonts w:ascii="Arial" w:eastAsia="Times New Roman" w:hAnsi="Arial" w:cs="Arial"/>
                <w:color w:val="000000"/>
                <w:sz w:val="20"/>
                <w:szCs w:val="20"/>
              </w:rPr>
              <w:t>2. Asegurar la protección de la superficie de las áreas naturales protegidas.</w:t>
            </w:r>
          </w:p>
        </w:tc>
      </w:tr>
      <w:tr w:rsidR="00E23519" w:rsidRPr="00F36181" w:rsidTr="008A5921">
        <w:trPr>
          <w:trHeight w:val="1306"/>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E23519" w:rsidRPr="005E54D6" w:rsidRDefault="00E23519" w:rsidP="008A5921">
            <w:pPr>
              <w:spacing w:after="0" w:line="240" w:lineRule="auto"/>
              <w:jc w:val="both"/>
              <w:rPr>
                <w:rFonts w:ascii="Arial" w:eastAsia="Times New Roman" w:hAnsi="Arial" w:cs="Arial"/>
                <w:color w:val="000000"/>
                <w:sz w:val="20"/>
                <w:szCs w:val="20"/>
              </w:rPr>
            </w:pPr>
            <w:r w:rsidRPr="005E54D6">
              <w:rPr>
                <w:rFonts w:ascii="Arial" w:eastAsia="Times New Roman" w:hAnsi="Arial" w:cs="Arial"/>
                <w:color w:val="000000"/>
                <w:sz w:val="20"/>
                <w:szCs w:val="20"/>
              </w:rPr>
              <w:t>3. Posicionar a Colima entre los tres primeros lugares del país en transparencia gubernamental.</w:t>
            </w:r>
          </w:p>
        </w:tc>
        <w:tc>
          <w:tcPr>
            <w:tcW w:w="3344" w:type="dxa"/>
            <w:tcBorders>
              <w:top w:val="nil"/>
              <w:left w:val="nil"/>
              <w:bottom w:val="single" w:sz="4" w:space="0" w:color="auto"/>
              <w:right w:val="single" w:sz="4" w:space="0" w:color="auto"/>
            </w:tcBorders>
            <w:shd w:val="clear" w:color="auto" w:fill="auto"/>
            <w:vAlign w:val="center"/>
            <w:hideMark/>
          </w:tcPr>
          <w:p w:rsidR="00E23519" w:rsidRPr="005E54D6" w:rsidRDefault="00E23519" w:rsidP="008A5921">
            <w:pPr>
              <w:spacing w:after="0" w:line="240" w:lineRule="auto"/>
              <w:jc w:val="both"/>
              <w:rPr>
                <w:rFonts w:ascii="Arial" w:eastAsia="Times New Roman" w:hAnsi="Arial" w:cs="Arial"/>
                <w:color w:val="000000"/>
                <w:sz w:val="20"/>
                <w:szCs w:val="20"/>
              </w:rPr>
            </w:pPr>
            <w:r w:rsidRPr="005E54D6">
              <w:rPr>
                <w:rFonts w:ascii="Arial" w:eastAsia="Times New Roman" w:hAnsi="Arial" w:cs="Arial"/>
                <w:color w:val="000000"/>
                <w:sz w:val="20"/>
                <w:szCs w:val="20"/>
              </w:rPr>
              <w:t>3. Aumentar la presencia de mujeres y personas con discapacidad en los puestos de la administración pública estatal en el periodo 2016-2021.</w:t>
            </w:r>
          </w:p>
        </w:tc>
        <w:tc>
          <w:tcPr>
            <w:tcW w:w="2893" w:type="dxa"/>
            <w:tcBorders>
              <w:top w:val="nil"/>
              <w:left w:val="nil"/>
              <w:bottom w:val="single" w:sz="4" w:space="0" w:color="auto"/>
              <w:right w:val="single" w:sz="4" w:space="0" w:color="auto"/>
            </w:tcBorders>
            <w:shd w:val="clear" w:color="auto" w:fill="auto"/>
            <w:vAlign w:val="center"/>
            <w:hideMark/>
          </w:tcPr>
          <w:p w:rsidR="00E23519" w:rsidRPr="005E54D6" w:rsidRDefault="00E23519" w:rsidP="008A5921">
            <w:pPr>
              <w:spacing w:after="0" w:line="240" w:lineRule="auto"/>
              <w:jc w:val="both"/>
              <w:rPr>
                <w:rFonts w:ascii="Arial" w:eastAsia="Times New Roman" w:hAnsi="Arial" w:cs="Arial"/>
                <w:color w:val="000000"/>
                <w:sz w:val="20"/>
                <w:szCs w:val="20"/>
              </w:rPr>
            </w:pPr>
            <w:r w:rsidRPr="005E54D6">
              <w:rPr>
                <w:rFonts w:ascii="Arial" w:eastAsia="Times New Roman" w:hAnsi="Arial" w:cs="Arial"/>
                <w:color w:val="000000"/>
                <w:sz w:val="20"/>
                <w:szCs w:val="20"/>
              </w:rPr>
              <w:t>3. Aumentar 30% el tratamiento de aguas residuales.</w:t>
            </w:r>
          </w:p>
        </w:tc>
      </w:tr>
      <w:tr w:rsidR="00E23519" w:rsidRPr="00F36181" w:rsidTr="008A5921">
        <w:trPr>
          <w:trHeight w:val="1260"/>
        </w:trPr>
        <w:tc>
          <w:tcPr>
            <w:tcW w:w="3276" w:type="dxa"/>
            <w:tcBorders>
              <w:top w:val="nil"/>
              <w:left w:val="single" w:sz="4" w:space="0" w:color="auto"/>
              <w:bottom w:val="single" w:sz="4" w:space="0" w:color="auto"/>
              <w:right w:val="single" w:sz="4" w:space="0" w:color="auto"/>
            </w:tcBorders>
            <w:shd w:val="clear" w:color="000000" w:fill="E7E6E6"/>
            <w:vAlign w:val="center"/>
            <w:hideMark/>
          </w:tcPr>
          <w:p w:rsidR="00E23519" w:rsidRPr="005E54D6" w:rsidRDefault="00E23519" w:rsidP="008A5921">
            <w:pPr>
              <w:spacing w:after="0" w:line="240" w:lineRule="auto"/>
              <w:jc w:val="both"/>
              <w:rPr>
                <w:rFonts w:ascii="Arial" w:eastAsia="Times New Roman" w:hAnsi="Arial" w:cs="Arial"/>
                <w:color w:val="000000"/>
                <w:sz w:val="20"/>
                <w:szCs w:val="20"/>
              </w:rPr>
            </w:pPr>
            <w:r w:rsidRPr="005E54D6">
              <w:rPr>
                <w:rFonts w:ascii="Arial" w:eastAsia="Times New Roman" w:hAnsi="Arial" w:cs="Arial"/>
                <w:color w:val="000000"/>
                <w:sz w:val="20"/>
                <w:szCs w:val="20"/>
              </w:rPr>
              <w:t>4. Posicionar a Colima entre los tres primeros lugares del país por su avance en el Presupuesto basado en resultados</w:t>
            </w:r>
          </w:p>
        </w:tc>
        <w:tc>
          <w:tcPr>
            <w:tcW w:w="3344" w:type="dxa"/>
            <w:tcBorders>
              <w:top w:val="nil"/>
              <w:left w:val="nil"/>
              <w:bottom w:val="single" w:sz="4" w:space="0" w:color="auto"/>
              <w:right w:val="single" w:sz="4" w:space="0" w:color="auto"/>
            </w:tcBorders>
            <w:shd w:val="clear" w:color="000000" w:fill="E7E6E6"/>
            <w:vAlign w:val="center"/>
            <w:hideMark/>
          </w:tcPr>
          <w:p w:rsidR="00E23519" w:rsidRPr="005E54D6" w:rsidRDefault="00E23519" w:rsidP="008A5921">
            <w:pPr>
              <w:spacing w:after="0" w:line="240" w:lineRule="auto"/>
              <w:jc w:val="both"/>
              <w:rPr>
                <w:rFonts w:ascii="Arial" w:eastAsia="Times New Roman" w:hAnsi="Arial" w:cs="Arial"/>
                <w:color w:val="000000"/>
                <w:sz w:val="20"/>
                <w:szCs w:val="20"/>
              </w:rPr>
            </w:pPr>
            <w:r w:rsidRPr="005E54D6">
              <w:rPr>
                <w:rFonts w:ascii="Arial" w:eastAsia="Times New Roman" w:hAnsi="Arial" w:cs="Arial"/>
                <w:color w:val="000000"/>
                <w:sz w:val="20"/>
                <w:szCs w:val="20"/>
              </w:rPr>
              <w:t>4. Reducir de forma constante, año con año, todos los indicadores de violencia de género en Colima.</w:t>
            </w:r>
          </w:p>
        </w:tc>
        <w:tc>
          <w:tcPr>
            <w:tcW w:w="2893" w:type="dxa"/>
            <w:tcBorders>
              <w:top w:val="nil"/>
              <w:left w:val="nil"/>
              <w:bottom w:val="single" w:sz="4" w:space="0" w:color="auto"/>
              <w:right w:val="single" w:sz="4" w:space="0" w:color="auto"/>
            </w:tcBorders>
            <w:shd w:val="clear" w:color="000000" w:fill="E7E6E6"/>
            <w:vAlign w:val="center"/>
            <w:hideMark/>
          </w:tcPr>
          <w:p w:rsidR="00E23519" w:rsidRPr="005E54D6" w:rsidRDefault="00E23519" w:rsidP="008A5921">
            <w:pPr>
              <w:spacing w:after="0" w:line="240" w:lineRule="auto"/>
              <w:jc w:val="both"/>
              <w:rPr>
                <w:rFonts w:ascii="Arial" w:eastAsia="Times New Roman" w:hAnsi="Arial" w:cs="Arial"/>
                <w:color w:val="000000"/>
                <w:sz w:val="20"/>
                <w:szCs w:val="20"/>
              </w:rPr>
            </w:pPr>
            <w:r w:rsidRPr="005E54D6">
              <w:rPr>
                <w:rFonts w:ascii="Arial" w:eastAsia="Times New Roman" w:hAnsi="Arial" w:cs="Arial"/>
                <w:color w:val="000000"/>
                <w:sz w:val="20"/>
                <w:szCs w:val="20"/>
              </w:rPr>
              <w:t>4. Asegurar el manejo adecuado y alcanzar el 80% de los residuos del estado.</w:t>
            </w:r>
          </w:p>
        </w:tc>
      </w:tr>
      <w:tr w:rsidR="00E23519" w:rsidRPr="00F36181" w:rsidTr="008A5921">
        <w:trPr>
          <w:trHeight w:val="899"/>
        </w:trPr>
        <w:tc>
          <w:tcPr>
            <w:tcW w:w="3276" w:type="dxa"/>
            <w:tcBorders>
              <w:top w:val="nil"/>
              <w:left w:val="single" w:sz="4" w:space="0" w:color="auto"/>
              <w:bottom w:val="single" w:sz="4" w:space="0" w:color="auto"/>
              <w:right w:val="single" w:sz="4" w:space="0" w:color="auto"/>
            </w:tcBorders>
            <w:shd w:val="clear" w:color="auto" w:fill="auto"/>
            <w:vAlign w:val="center"/>
            <w:hideMark/>
          </w:tcPr>
          <w:p w:rsidR="00E23519" w:rsidRPr="005E54D6" w:rsidRDefault="00E23519" w:rsidP="008A5921">
            <w:pPr>
              <w:spacing w:after="0" w:line="240" w:lineRule="auto"/>
              <w:jc w:val="both"/>
              <w:rPr>
                <w:rFonts w:ascii="Arial" w:eastAsia="Times New Roman" w:hAnsi="Arial" w:cs="Arial"/>
                <w:color w:val="000000"/>
                <w:sz w:val="20"/>
                <w:szCs w:val="20"/>
              </w:rPr>
            </w:pPr>
            <w:r w:rsidRPr="005E54D6">
              <w:rPr>
                <w:rFonts w:ascii="Arial" w:eastAsia="Times New Roman" w:hAnsi="Arial" w:cs="Arial"/>
                <w:color w:val="000000"/>
                <w:sz w:val="20"/>
                <w:szCs w:val="20"/>
              </w:rPr>
              <w:t>5. Consolidar un modelo de financiamiento sostenible para el desarrollo.</w:t>
            </w:r>
          </w:p>
        </w:tc>
        <w:tc>
          <w:tcPr>
            <w:tcW w:w="3344" w:type="dxa"/>
            <w:tcBorders>
              <w:top w:val="nil"/>
              <w:left w:val="nil"/>
              <w:bottom w:val="single" w:sz="4" w:space="0" w:color="auto"/>
              <w:right w:val="single" w:sz="4" w:space="0" w:color="auto"/>
            </w:tcBorders>
            <w:shd w:val="clear" w:color="auto" w:fill="auto"/>
            <w:vAlign w:val="center"/>
            <w:hideMark/>
          </w:tcPr>
          <w:p w:rsidR="00E23519" w:rsidRPr="005E54D6" w:rsidRDefault="00E23519" w:rsidP="008A5921">
            <w:pPr>
              <w:spacing w:after="0" w:line="240" w:lineRule="auto"/>
              <w:jc w:val="both"/>
              <w:rPr>
                <w:rFonts w:ascii="Arial" w:eastAsia="Times New Roman" w:hAnsi="Arial" w:cs="Arial"/>
                <w:color w:val="000000"/>
                <w:sz w:val="20"/>
                <w:szCs w:val="20"/>
              </w:rPr>
            </w:pPr>
            <w:r w:rsidRPr="005E54D6">
              <w:rPr>
                <w:rFonts w:ascii="Arial" w:eastAsia="Times New Roman" w:hAnsi="Arial" w:cs="Arial"/>
                <w:color w:val="000000"/>
                <w:sz w:val="20"/>
                <w:szCs w:val="20"/>
              </w:rPr>
              <w:t>5. Crear Unidades de Género en todas las dependencias de la administración pública estatal.</w:t>
            </w:r>
          </w:p>
        </w:tc>
        <w:tc>
          <w:tcPr>
            <w:tcW w:w="2893" w:type="dxa"/>
            <w:tcBorders>
              <w:top w:val="nil"/>
              <w:left w:val="nil"/>
              <w:bottom w:val="single" w:sz="4" w:space="0" w:color="auto"/>
              <w:right w:val="single" w:sz="4" w:space="0" w:color="auto"/>
            </w:tcBorders>
            <w:shd w:val="clear" w:color="auto" w:fill="auto"/>
            <w:vAlign w:val="center"/>
            <w:hideMark/>
          </w:tcPr>
          <w:p w:rsidR="00E23519" w:rsidRPr="005E54D6" w:rsidRDefault="00E23519" w:rsidP="008A5921">
            <w:pPr>
              <w:spacing w:after="0" w:line="240" w:lineRule="auto"/>
              <w:jc w:val="both"/>
              <w:rPr>
                <w:rFonts w:ascii="Arial" w:eastAsia="Times New Roman" w:hAnsi="Arial" w:cs="Arial"/>
                <w:color w:val="000000"/>
                <w:sz w:val="20"/>
                <w:szCs w:val="20"/>
              </w:rPr>
            </w:pPr>
            <w:r w:rsidRPr="005E54D6">
              <w:rPr>
                <w:rFonts w:ascii="Arial" w:eastAsia="Times New Roman" w:hAnsi="Arial" w:cs="Arial"/>
                <w:color w:val="000000"/>
                <w:sz w:val="20"/>
                <w:szCs w:val="20"/>
              </w:rPr>
              <w:t>5. Ubicar a Colima entre los primeros cinco lugares del país por su modelo de movilidad.</w:t>
            </w:r>
          </w:p>
        </w:tc>
      </w:tr>
      <w:tr w:rsidR="00E23519" w:rsidRPr="00F36181" w:rsidTr="008A5921">
        <w:trPr>
          <w:trHeight w:val="871"/>
        </w:trPr>
        <w:tc>
          <w:tcPr>
            <w:tcW w:w="3276" w:type="dxa"/>
            <w:tcBorders>
              <w:top w:val="nil"/>
              <w:left w:val="single" w:sz="4" w:space="0" w:color="auto"/>
              <w:bottom w:val="single" w:sz="4" w:space="0" w:color="auto"/>
              <w:right w:val="single" w:sz="4" w:space="0" w:color="auto"/>
            </w:tcBorders>
            <w:shd w:val="clear" w:color="000000" w:fill="E7E6E6"/>
            <w:vAlign w:val="center"/>
            <w:hideMark/>
          </w:tcPr>
          <w:p w:rsidR="00E23519" w:rsidRPr="005E54D6" w:rsidRDefault="00E23519" w:rsidP="008A5921">
            <w:pPr>
              <w:spacing w:after="0" w:line="240" w:lineRule="auto"/>
              <w:jc w:val="both"/>
              <w:rPr>
                <w:rFonts w:ascii="Arial" w:eastAsia="Times New Roman" w:hAnsi="Arial" w:cs="Arial"/>
                <w:color w:val="000000"/>
                <w:sz w:val="20"/>
                <w:szCs w:val="20"/>
              </w:rPr>
            </w:pPr>
            <w:r w:rsidRPr="005E54D6">
              <w:rPr>
                <w:rFonts w:ascii="Arial" w:eastAsia="Times New Roman" w:hAnsi="Arial" w:cs="Arial"/>
                <w:color w:val="000000"/>
                <w:sz w:val="20"/>
                <w:szCs w:val="20"/>
              </w:rPr>
              <w:t>6. Posicionar a Colima como el estado de vanguardia en el país en materia de agenda digital</w:t>
            </w:r>
          </w:p>
        </w:tc>
        <w:tc>
          <w:tcPr>
            <w:tcW w:w="3344" w:type="dxa"/>
            <w:tcBorders>
              <w:top w:val="nil"/>
              <w:left w:val="nil"/>
              <w:bottom w:val="single" w:sz="4" w:space="0" w:color="auto"/>
              <w:right w:val="single" w:sz="4" w:space="0" w:color="auto"/>
            </w:tcBorders>
            <w:shd w:val="clear" w:color="000000" w:fill="E7E6E6"/>
            <w:noWrap/>
            <w:vAlign w:val="center"/>
            <w:hideMark/>
          </w:tcPr>
          <w:p w:rsidR="00E23519" w:rsidRPr="005E54D6" w:rsidRDefault="00E23519" w:rsidP="008A5921">
            <w:pPr>
              <w:spacing w:after="0" w:line="240" w:lineRule="auto"/>
              <w:jc w:val="both"/>
              <w:rPr>
                <w:rFonts w:ascii="Arial" w:eastAsia="Times New Roman" w:hAnsi="Arial" w:cs="Arial"/>
                <w:color w:val="000000"/>
                <w:sz w:val="20"/>
                <w:szCs w:val="20"/>
              </w:rPr>
            </w:pPr>
            <w:r w:rsidRPr="005E54D6">
              <w:rPr>
                <w:rFonts w:ascii="Arial" w:eastAsia="Times New Roman" w:hAnsi="Arial" w:cs="Arial"/>
                <w:color w:val="000000"/>
                <w:sz w:val="20"/>
                <w:szCs w:val="20"/>
              </w:rPr>
              <w:t> </w:t>
            </w:r>
          </w:p>
        </w:tc>
        <w:tc>
          <w:tcPr>
            <w:tcW w:w="2893" w:type="dxa"/>
            <w:tcBorders>
              <w:top w:val="nil"/>
              <w:left w:val="nil"/>
              <w:bottom w:val="single" w:sz="4" w:space="0" w:color="auto"/>
              <w:right w:val="single" w:sz="4" w:space="0" w:color="auto"/>
            </w:tcBorders>
            <w:shd w:val="clear" w:color="000000" w:fill="E7E6E6"/>
            <w:noWrap/>
            <w:vAlign w:val="center"/>
            <w:hideMark/>
          </w:tcPr>
          <w:p w:rsidR="00E23519" w:rsidRPr="005E54D6" w:rsidRDefault="00E23519" w:rsidP="008A5921">
            <w:pPr>
              <w:spacing w:after="0" w:line="240" w:lineRule="auto"/>
              <w:jc w:val="both"/>
              <w:rPr>
                <w:rFonts w:ascii="Arial" w:eastAsia="Times New Roman" w:hAnsi="Arial" w:cs="Arial"/>
                <w:color w:val="000000"/>
                <w:sz w:val="20"/>
                <w:szCs w:val="20"/>
              </w:rPr>
            </w:pPr>
            <w:r w:rsidRPr="005E54D6">
              <w:rPr>
                <w:rFonts w:ascii="Arial" w:eastAsia="Times New Roman" w:hAnsi="Arial" w:cs="Arial"/>
                <w:color w:val="000000"/>
                <w:sz w:val="20"/>
                <w:szCs w:val="20"/>
              </w:rPr>
              <w:t> </w:t>
            </w:r>
          </w:p>
        </w:tc>
      </w:tr>
    </w:tbl>
    <w:p w:rsidR="00E23519" w:rsidRDefault="00E23519" w:rsidP="00E23519">
      <w:pPr>
        <w:autoSpaceDE w:val="0"/>
        <w:autoSpaceDN w:val="0"/>
        <w:adjustRightInd w:val="0"/>
        <w:spacing w:after="0" w:line="240" w:lineRule="auto"/>
        <w:jc w:val="both"/>
        <w:rPr>
          <w:rFonts w:ascii="Arial" w:hAnsi="Arial" w:cs="Arial"/>
          <w:sz w:val="24"/>
          <w:szCs w:val="24"/>
        </w:rPr>
      </w:pPr>
    </w:p>
    <w:p w:rsidR="00E23519" w:rsidRPr="008464D7" w:rsidRDefault="00E23519" w:rsidP="00E23519">
      <w:pPr>
        <w:autoSpaceDE w:val="0"/>
        <w:autoSpaceDN w:val="0"/>
        <w:adjustRightInd w:val="0"/>
        <w:spacing w:after="0" w:line="240" w:lineRule="auto"/>
        <w:jc w:val="both"/>
        <w:rPr>
          <w:rFonts w:ascii="Arial" w:hAnsi="Arial" w:cs="Arial"/>
          <w:b/>
          <w:sz w:val="24"/>
          <w:szCs w:val="24"/>
        </w:rPr>
      </w:pPr>
      <w:r w:rsidRPr="008464D7">
        <w:rPr>
          <w:rFonts w:ascii="Arial" w:hAnsi="Arial" w:cs="Arial"/>
          <w:sz w:val="24"/>
          <w:szCs w:val="24"/>
        </w:rPr>
        <w:t>Tomando en consideración los postulados del PED como instrumento que se constituye como la carta de navegación de la presente administración, se definieron las siguientes prioridades estatales y se perfiló la presupuestación 2017, a través de los siguientes Ejes Generales y Transversales.</w:t>
      </w:r>
    </w:p>
    <w:p w:rsidR="00E23519" w:rsidRPr="008464D7" w:rsidRDefault="00E23519" w:rsidP="00E23519">
      <w:pPr>
        <w:autoSpaceDE w:val="0"/>
        <w:autoSpaceDN w:val="0"/>
        <w:adjustRightInd w:val="0"/>
        <w:spacing w:after="0" w:line="240" w:lineRule="auto"/>
        <w:jc w:val="both"/>
        <w:rPr>
          <w:rFonts w:ascii="Arial" w:hAnsi="Arial" w:cs="Arial"/>
          <w:b/>
          <w:sz w:val="24"/>
          <w:szCs w:val="24"/>
        </w:rPr>
      </w:pPr>
    </w:p>
    <w:p w:rsidR="00E23519" w:rsidRPr="008464D7" w:rsidRDefault="00E23519" w:rsidP="00E23519">
      <w:pPr>
        <w:autoSpaceDE w:val="0"/>
        <w:autoSpaceDN w:val="0"/>
        <w:adjustRightInd w:val="0"/>
        <w:spacing w:after="0" w:line="240" w:lineRule="auto"/>
        <w:jc w:val="both"/>
        <w:rPr>
          <w:rFonts w:ascii="Arial" w:hAnsi="Arial" w:cs="Arial"/>
          <w:b/>
          <w:sz w:val="24"/>
          <w:szCs w:val="24"/>
        </w:rPr>
      </w:pPr>
    </w:p>
    <w:p w:rsidR="00E23519" w:rsidRPr="008464D7" w:rsidRDefault="00E23519" w:rsidP="00E23519">
      <w:pPr>
        <w:autoSpaceDE w:val="0"/>
        <w:autoSpaceDN w:val="0"/>
        <w:adjustRightInd w:val="0"/>
        <w:spacing w:after="0" w:line="240" w:lineRule="auto"/>
        <w:jc w:val="both"/>
        <w:rPr>
          <w:rFonts w:ascii="Arial" w:hAnsi="Arial" w:cs="Arial"/>
          <w:sz w:val="24"/>
          <w:szCs w:val="24"/>
        </w:rPr>
      </w:pPr>
      <w:r w:rsidRPr="008464D7">
        <w:rPr>
          <w:rFonts w:ascii="Arial" w:hAnsi="Arial" w:cs="Arial"/>
          <w:b/>
          <w:sz w:val="24"/>
          <w:szCs w:val="24"/>
        </w:rPr>
        <w:t>2.1.1. Ejes Generales y Transversales en Materia de Presupuestación:</w:t>
      </w:r>
    </w:p>
    <w:p w:rsidR="00E23519" w:rsidRPr="008464D7" w:rsidRDefault="00E23519" w:rsidP="00E23519">
      <w:pPr>
        <w:autoSpaceDE w:val="0"/>
        <w:autoSpaceDN w:val="0"/>
        <w:adjustRightInd w:val="0"/>
        <w:spacing w:after="0" w:line="240" w:lineRule="auto"/>
        <w:jc w:val="both"/>
        <w:rPr>
          <w:rFonts w:ascii="Arial" w:hAnsi="Arial" w:cs="Arial"/>
          <w:b/>
          <w:strike/>
          <w:color w:val="FF0000"/>
          <w:sz w:val="24"/>
          <w:szCs w:val="24"/>
        </w:rPr>
      </w:pPr>
    </w:p>
    <w:p w:rsidR="00E23519" w:rsidRPr="008464D7" w:rsidRDefault="00E23519" w:rsidP="00E23519">
      <w:pPr>
        <w:autoSpaceDE w:val="0"/>
        <w:autoSpaceDN w:val="0"/>
        <w:adjustRightInd w:val="0"/>
        <w:spacing w:after="0" w:line="240" w:lineRule="auto"/>
        <w:jc w:val="both"/>
        <w:rPr>
          <w:rFonts w:ascii="Arial" w:hAnsi="Arial" w:cs="Arial"/>
          <w:sz w:val="24"/>
          <w:szCs w:val="24"/>
        </w:rPr>
      </w:pPr>
      <w:r w:rsidRPr="008464D7">
        <w:rPr>
          <w:rFonts w:ascii="Arial" w:hAnsi="Arial" w:cs="Arial"/>
          <w:sz w:val="24"/>
          <w:szCs w:val="24"/>
        </w:rPr>
        <w:t>Ante el entorno económico externo complejo y volátil y el comportamiento de las finanzas públicas internacionales y naci</w:t>
      </w:r>
      <w:r>
        <w:rPr>
          <w:rFonts w:ascii="Arial" w:hAnsi="Arial" w:cs="Arial"/>
          <w:sz w:val="24"/>
          <w:szCs w:val="24"/>
        </w:rPr>
        <w:t>onales, el G</w:t>
      </w:r>
      <w:r w:rsidRPr="008464D7">
        <w:rPr>
          <w:rFonts w:ascii="Arial" w:hAnsi="Arial" w:cs="Arial"/>
          <w:sz w:val="24"/>
          <w:szCs w:val="24"/>
        </w:rPr>
        <w:t>obierno del Estado de Colima, se compromete a seguir impulsando la calidad y eficiencia en el ejercicio de los recursos públicos.</w:t>
      </w:r>
    </w:p>
    <w:p w:rsidR="00E23519" w:rsidRPr="008464D7" w:rsidRDefault="00E23519" w:rsidP="00E23519">
      <w:pPr>
        <w:autoSpaceDE w:val="0"/>
        <w:autoSpaceDN w:val="0"/>
        <w:adjustRightInd w:val="0"/>
        <w:spacing w:after="0" w:line="240" w:lineRule="auto"/>
        <w:jc w:val="both"/>
        <w:rPr>
          <w:rFonts w:ascii="Arial" w:hAnsi="Arial" w:cs="Arial"/>
          <w:sz w:val="24"/>
          <w:szCs w:val="24"/>
        </w:rPr>
      </w:pPr>
    </w:p>
    <w:p w:rsidR="00E23519" w:rsidRPr="008464D7" w:rsidRDefault="00E23519" w:rsidP="00E23519">
      <w:pPr>
        <w:autoSpaceDE w:val="0"/>
        <w:autoSpaceDN w:val="0"/>
        <w:adjustRightInd w:val="0"/>
        <w:spacing w:line="240" w:lineRule="auto"/>
        <w:jc w:val="both"/>
        <w:rPr>
          <w:rFonts w:ascii="Arial" w:hAnsi="Arial" w:cs="Arial"/>
          <w:sz w:val="24"/>
          <w:szCs w:val="24"/>
        </w:rPr>
      </w:pPr>
      <w:r w:rsidRPr="008464D7">
        <w:rPr>
          <w:rFonts w:ascii="Arial" w:hAnsi="Arial" w:cs="Arial"/>
          <w:sz w:val="24"/>
          <w:szCs w:val="24"/>
        </w:rPr>
        <w:t>En esa tesitura, la propuesta de presupuesto que se somete a consideración de esa Soberanía, considera un enfoque Base Cero y el fortalecimiento del Presupuesto basado en Resultados PbR, así como el Sistema de Evaluación del Desempeño SED, a partir de los siguientes:</w:t>
      </w:r>
    </w:p>
    <w:p w:rsidR="00E23519" w:rsidRPr="008464D7" w:rsidRDefault="00E23519" w:rsidP="00E23519">
      <w:pPr>
        <w:jc w:val="center"/>
      </w:pPr>
      <w:r w:rsidRPr="008464D7">
        <w:rPr>
          <w:noProof/>
        </w:rPr>
        <w:drawing>
          <wp:inline distT="0" distB="0" distL="0" distR="0" wp14:anchorId="4A9C9577" wp14:editId="741ED41D">
            <wp:extent cx="5400675" cy="2836220"/>
            <wp:effectExtent l="0" t="0" r="0" b="254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53411" cy="2863915"/>
                    </a:xfrm>
                    <a:prstGeom prst="rect">
                      <a:avLst/>
                    </a:prstGeom>
                    <a:noFill/>
                    <a:ln>
                      <a:noFill/>
                    </a:ln>
                  </pic:spPr>
                </pic:pic>
              </a:graphicData>
            </a:graphic>
          </wp:inline>
        </w:drawing>
      </w:r>
    </w:p>
    <w:p w:rsidR="00E23519" w:rsidRPr="008464D7" w:rsidRDefault="00E23519" w:rsidP="00E23519">
      <w:pPr>
        <w:autoSpaceDE w:val="0"/>
        <w:autoSpaceDN w:val="0"/>
        <w:adjustRightInd w:val="0"/>
        <w:spacing w:line="240" w:lineRule="auto"/>
        <w:jc w:val="both"/>
        <w:rPr>
          <w:rFonts w:ascii="Arial" w:hAnsi="Arial" w:cs="Arial"/>
          <w:b/>
          <w:sz w:val="24"/>
          <w:szCs w:val="24"/>
        </w:rPr>
      </w:pPr>
      <w:r w:rsidRPr="008464D7">
        <w:rPr>
          <w:rFonts w:ascii="Arial" w:hAnsi="Arial" w:cs="Arial"/>
          <w:b/>
          <w:sz w:val="24"/>
          <w:szCs w:val="24"/>
          <w:u w:val="single"/>
        </w:rPr>
        <w:t>EJE 1.</w:t>
      </w:r>
      <w:r w:rsidRPr="008464D7">
        <w:rPr>
          <w:rFonts w:ascii="Arial" w:hAnsi="Arial" w:cs="Arial"/>
          <w:b/>
          <w:sz w:val="24"/>
          <w:szCs w:val="24"/>
        </w:rPr>
        <w:t xml:space="preserve"> </w:t>
      </w:r>
      <w:r w:rsidRPr="008464D7">
        <w:rPr>
          <w:rFonts w:ascii="Arial" w:hAnsi="Arial" w:cs="Arial"/>
          <w:b/>
          <w:i/>
          <w:sz w:val="24"/>
          <w:szCs w:val="24"/>
        </w:rPr>
        <w:t>Generación de la nueva Estructura Programática 2017 que agrupa los Programas Presupuestarios y Proyectos de Inversión e Infraestructura alineados al Plan Estatal de Desarrollo 2016-2021.</w:t>
      </w:r>
    </w:p>
    <w:p w:rsidR="00E23519" w:rsidRPr="008464D7" w:rsidRDefault="00E23519" w:rsidP="00E23519">
      <w:pPr>
        <w:autoSpaceDE w:val="0"/>
        <w:autoSpaceDN w:val="0"/>
        <w:adjustRightInd w:val="0"/>
        <w:spacing w:line="240" w:lineRule="auto"/>
        <w:jc w:val="both"/>
        <w:rPr>
          <w:rFonts w:ascii="Arial" w:hAnsi="Arial" w:cs="Arial"/>
          <w:sz w:val="24"/>
          <w:szCs w:val="24"/>
        </w:rPr>
      </w:pPr>
      <w:r w:rsidRPr="008464D7">
        <w:rPr>
          <w:rFonts w:ascii="Arial" w:hAnsi="Arial" w:cs="Arial"/>
          <w:sz w:val="24"/>
          <w:szCs w:val="24"/>
        </w:rPr>
        <w:t>Para efectuar dichas acciones se realizó un análisis minucioso de los objetivos, estrategias, líneas de acción y metas del PED, de sus prioridades de corto, mediano y largo plazo y apoyados en el SED, se revisaron complementariedades, similitudes y duplicidades de programas y proyectos para realizar fusiones y en su caso eliminaciones que se ven reflejadas en la nueva estructura programática 2017.</w:t>
      </w:r>
    </w:p>
    <w:p w:rsidR="00E23519" w:rsidRPr="008464D7" w:rsidRDefault="00E23519" w:rsidP="00E23519">
      <w:pPr>
        <w:autoSpaceDE w:val="0"/>
        <w:autoSpaceDN w:val="0"/>
        <w:adjustRightInd w:val="0"/>
        <w:spacing w:line="240" w:lineRule="auto"/>
        <w:jc w:val="both"/>
        <w:rPr>
          <w:rFonts w:ascii="Arial" w:hAnsi="Arial" w:cs="Arial"/>
          <w:sz w:val="24"/>
          <w:szCs w:val="24"/>
        </w:rPr>
      </w:pPr>
      <w:r w:rsidRPr="008464D7">
        <w:rPr>
          <w:rFonts w:ascii="Arial" w:hAnsi="Arial" w:cs="Arial"/>
          <w:sz w:val="24"/>
          <w:szCs w:val="24"/>
        </w:rPr>
        <w:t>Con ello, se focalizan las políticas públicas y se reorientan los objetivos para generar acciones que generen valor público en favor de la población.</w:t>
      </w:r>
    </w:p>
    <w:p w:rsidR="00E23519" w:rsidRPr="008464D7" w:rsidRDefault="00E23519" w:rsidP="00E23519">
      <w:pPr>
        <w:autoSpaceDE w:val="0"/>
        <w:autoSpaceDN w:val="0"/>
        <w:adjustRightInd w:val="0"/>
        <w:spacing w:line="240" w:lineRule="auto"/>
        <w:jc w:val="both"/>
        <w:rPr>
          <w:rFonts w:ascii="Arial" w:hAnsi="Arial" w:cs="Arial"/>
          <w:sz w:val="24"/>
          <w:szCs w:val="24"/>
        </w:rPr>
      </w:pPr>
      <w:r w:rsidRPr="008464D7">
        <w:rPr>
          <w:rFonts w:ascii="Arial" w:hAnsi="Arial" w:cs="Arial"/>
          <w:sz w:val="24"/>
          <w:szCs w:val="24"/>
        </w:rPr>
        <w:t>Para el efecto se hizo necesario, además, reestructurar las Matrices de Indicadores para Resultados, para alinear los indicadores y los resultados con base en la carta de navegación que constituye el PED.</w:t>
      </w:r>
    </w:p>
    <w:p w:rsidR="00E23519" w:rsidRPr="008464D7" w:rsidRDefault="00E23519" w:rsidP="00E23519">
      <w:pPr>
        <w:autoSpaceDE w:val="0"/>
        <w:autoSpaceDN w:val="0"/>
        <w:adjustRightInd w:val="0"/>
        <w:spacing w:line="240" w:lineRule="auto"/>
        <w:jc w:val="both"/>
        <w:rPr>
          <w:rFonts w:ascii="Arial" w:hAnsi="Arial" w:cs="Arial"/>
          <w:sz w:val="24"/>
          <w:szCs w:val="24"/>
        </w:rPr>
      </w:pPr>
      <w:r w:rsidRPr="008464D7">
        <w:rPr>
          <w:rFonts w:ascii="Arial" w:hAnsi="Arial" w:cs="Arial"/>
          <w:sz w:val="24"/>
          <w:szCs w:val="24"/>
        </w:rPr>
        <w:t xml:space="preserve">Asimismo, en la configuración de la nueva estructura programática, se tomó en consideración la nueva estructura orgánica establecida en la nueva </w:t>
      </w:r>
      <w:r w:rsidRPr="008464D7">
        <w:rPr>
          <w:rFonts w:ascii="Arial" w:hAnsi="Arial" w:cs="Arial"/>
          <w:bCs/>
          <w:sz w:val="24"/>
          <w:szCs w:val="24"/>
        </w:rPr>
        <w:t xml:space="preserve">Ley Orgánica </w:t>
      </w:r>
      <w:r w:rsidRPr="008464D7">
        <w:rPr>
          <w:rFonts w:ascii="Arial" w:hAnsi="Arial" w:cs="Arial"/>
          <w:bCs/>
          <w:sz w:val="24"/>
          <w:szCs w:val="24"/>
        </w:rPr>
        <w:lastRenderedPageBreak/>
        <w:t>de la Administración Pública del Estado de Colima que entró</w:t>
      </w:r>
      <w:r w:rsidRPr="008464D7">
        <w:rPr>
          <w:rFonts w:ascii="Arial" w:hAnsi="Arial" w:cs="Arial"/>
          <w:b/>
          <w:bCs/>
          <w:sz w:val="24"/>
          <w:szCs w:val="24"/>
        </w:rPr>
        <w:t xml:space="preserve"> </w:t>
      </w:r>
      <w:r w:rsidRPr="008464D7">
        <w:rPr>
          <w:rFonts w:ascii="Arial" w:hAnsi="Arial" w:cs="Arial"/>
          <w:sz w:val="24"/>
          <w:szCs w:val="24"/>
        </w:rPr>
        <w:t>en vigor el día 1º de noviembre del año 2015.</w:t>
      </w:r>
    </w:p>
    <w:p w:rsidR="00E23519" w:rsidRPr="008464D7" w:rsidRDefault="00E23519" w:rsidP="00E23519">
      <w:pPr>
        <w:autoSpaceDE w:val="0"/>
        <w:autoSpaceDN w:val="0"/>
        <w:adjustRightInd w:val="0"/>
        <w:spacing w:line="240" w:lineRule="auto"/>
        <w:jc w:val="both"/>
        <w:rPr>
          <w:rFonts w:ascii="Arial" w:hAnsi="Arial" w:cs="Arial"/>
          <w:sz w:val="24"/>
          <w:szCs w:val="24"/>
        </w:rPr>
      </w:pPr>
      <w:r w:rsidRPr="008464D7">
        <w:rPr>
          <w:rFonts w:ascii="Arial" w:hAnsi="Arial" w:cs="Arial"/>
          <w:sz w:val="24"/>
          <w:szCs w:val="24"/>
        </w:rPr>
        <w:t xml:space="preserve">Se mejoró y se adecuó la Clave Presupuestaria que operará en 2017, para fortalecer la vinculación con el PED, eficientar la gestión financiera e identificar de mejor manera los programas presupuestarios y los proyectos, para efectos de un monitoreo </w:t>
      </w:r>
      <w:r>
        <w:rPr>
          <w:rFonts w:ascii="Arial" w:hAnsi="Arial" w:cs="Arial"/>
          <w:sz w:val="24"/>
          <w:szCs w:val="24"/>
        </w:rPr>
        <w:t xml:space="preserve">eficaz </w:t>
      </w:r>
      <w:r w:rsidRPr="008464D7">
        <w:rPr>
          <w:rFonts w:ascii="Arial" w:hAnsi="Arial" w:cs="Arial"/>
          <w:sz w:val="24"/>
          <w:szCs w:val="24"/>
        </w:rPr>
        <w:t>y seguimiento en su ejecución, especialmente de los proyectos de inversión que generan mayor  valor público en beneficio directo de la población, lo cual contribuirá no solo a fortalecer la evaluación y el impacto de los  resultados, sino en la rendición de cuentas a la sociedad.</w:t>
      </w:r>
    </w:p>
    <w:p w:rsidR="00E23519" w:rsidRPr="008464D7" w:rsidRDefault="00E23519" w:rsidP="00E23519">
      <w:pPr>
        <w:spacing w:line="240" w:lineRule="auto"/>
        <w:jc w:val="center"/>
        <w:rPr>
          <w:rFonts w:ascii="Arial" w:hAnsi="Arial" w:cs="Arial"/>
          <w:b/>
          <w:sz w:val="28"/>
          <w:szCs w:val="28"/>
        </w:rPr>
      </w:pPr>
    </w:p>
    <w:p w:rsidR="00E23519" w:rsidRPr="008464D7" w:rsidRDefault="00E23519" w:rsidP="00E23519">
      <w:pPr>
        <w:spacing w:line="240" w:lineRule="auto"/>
        <w:jc w:val="center"/>
        <w:rPr>
          <w:rFonts w:ascii="Arial" w:hAnsi="Arial" w:cs="Arial"/>
          <w:b/>
          <w:sz w:val="28"/>
          <w:szCs w:val="28"/>
        </w:rPr>
      </w:pPr>
      <w:r w:rsidRPr="008464D7">
        <w:rPr>
          <w:rFonts w:ascii="Arial" w:hAnsi="Arial" w:cs="Arial"/>
          <w:b/>
          <w:sz w:val="28"/>
          <w:szCs w:val="28"/>
        </w:rPr>
        <w:t>Cuadro 11. Estructura de la Clave Presupuestaria 2017</w:t>
      </w:r>
    </w:p>
    <w:p w:rsidR="00E23519" w:rsidRPr="008464D7" w:rsidRDefault="00E23519" w:rsidP="00E23519">
      <w:pPr>
        <w:spacing w:line="240" w:lineRule="auto"/>
        <w:jc w:val="both"/>
      </w:pPr>
      <w:r w:rsidRPr="008464D7">
        <w:rPr>
          <w:noProof/>
        </w:rPr>
        <w:drawing>
          <wp:inline distT="0" distB="0" distL="0" distR="0" wp14:anchorId="5DBC4D3A" wp14:editId="1BEB8B1B">
            <wp:extent cx="5452110" cy="2185034"/>
            <wp:effectExtent l="171450" t="171450" r="377190" b="368300"/>
            <wp:docPr id="18" name="Imagen 2">
              <a:extLst xmlns:a="http://schemas.openxmlformats.org/drawingml/2006/main">
                <a:ext uri="{FF2B5EF4-FFF2-40B4-BE49-F238E27FC236}">
                  <a16:creationId xmlns:ve="http://schemas.openxmlformats.org/markup-compatibility/2006"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300-000003000000}"/>
                </a:ext>
              </a:extLst>
            </wp:docPr>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ve="http://schemas.openxmlformats.org/markup-compatibility/2006"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300-000003000000}"/>
                        </a:ext>
                      </a:extLst>
                    </pic:cNvPr>
                    <pic:cNvPicPr/>
                  </pic:nvPicPr>
                  <pic:blipFill rotWithShape="1">
                    <a:blip r:embed="rId24" cstate="print">
                      <a:extLst>
                        <a:ext uri="{28A0092B-C50C-407E-A947-70E740481C1C}">
                          <a14:useLocalDpi xmlns:a14="http://schemas.microsoft.com/office/drawing/2010/main" val="0"/>
                        </a:ext>
                      </a:extLst>
                    </a:blip>
                    <a:srcRect r="32574" b="9084"/>
                    <a:stretch/>
                  </pic:blipFill>
                  <pic:spPr bwMode="auto">
                    <a:xfrm>
                      <a:off x="0" y="0"/>
                      <a:ext cx="5452110" cy="2185034"/>
                    </a:xfrm>
                    <a:prstGeom prst="rect">
                      <a:avLst/>
                    </a:prstGeom>
                    <a:ln>
                      <a:solidFill>
                        <a:schemeClr val="tx1"/>
                      </a:solid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p>
    <w:p w:rsidR="00E23519" w:rsidRPr="008464D7" w:rsidRDefault="00E23519" w:rsidP="00E23519">
      <w:pPr>
        <w:autoSpaceDE w:val="0"/>
        <w:autoSpaceDN w:val="0"/>
        <w:adjustRightInd w:val="0"/>
        <w:spacing w:line="240" w:lineRule="auto"/>
        <w:ind w:right="-169"/>
        <w:jc w:val="both"/>
        <w:rPr>
          <w:rFonts w:ascii="Arial" w:hAnsi="Arial" w:cs="Arial"/>
          <w:b/>
          <w:sz w:val="24"/>
          <w:szCs w:val="24"/>
        </w:rPr>
      </w:pPr>
      <w:r w:rsidRPr="008464D7">
        <w:rPr>
          <w:rFonts w:ascii="Arial" w:hAnsi="Arial" w:cs="Arial"/>
          <w:b/>
          <w:sz w:val="24"/>
          <w:szCs w:val="24"/>
          <w:u w:val="single"/>
        </w:rPr>
        <w:t>Eje 2.</w:t>
      </w:r>
      <w:r w:rsidRPr="008464D7">
        <w:rPr>
          <w:rFonts w:ascii="Arial" w:hAnsi="Arial" w:cs="Arial"/>
          <w:b/>
          <w:sz w:val="24"/>
          <w:szCs w:val="24"/>
        </w:rPr>
        <w:t xml:space="preserve"> </w:t>
      </w:r>
      <w:r w:rsidRPr="008464D7">
        <w:rPr>
          <w:rFonts w:ascii="Arial" w:hAnsi="Arial" w:cs="Arial"/>
          <w:b/>
          <w:i/>
          <w:sz w:val="24"/>
          <w:szCs w:val="24"/>
        </w:rPr>
        <w:t>Análisis del Capítulo 10000 Servicios Personales y estructuras orgánicas para una mejor planificación, reorientación, contención y reducción del gasto en la materia, a partir de diversas estrategias:</w:t>
      </w:r>
    </w:p>
    <w:p w:rsidR="00E23519" w:rsidRPr="008464D7" w:rsidRDefault="00E23519" w:rsidP="00E23519">
      <w:pPr>
        <w:autoSpaceDE w:val="0"/>
        <w:autoSpaceDN w:val="0"/>
        <w:adjustRightInd w:val="0"/>
        <w:spacing w:line="240" w:lineRule="auto"/>
        <w:ind w:right="-310"/>
        <w:jc w:val="both"/>
        <w:rPr>
          <w:rFonts w:ascii="Arial" w:hAnsi="Arial" w:cs="Arial"/>
          <w:sz w:val="24"/>
          <w:szCs w:val="24"/>
        </w:rPr>
      </w:pPr>
      <w:r w:rsidRPr="008464D7">
        <w:rPr>
          <w:rFonts w:ascii="Arial" w:hAnsi="Arial" w:cs="Arial"/>
          <w:sz w:val="24"/>
          <w:szCs w:val="24"/>
        </w:rPr>
        <w:t>En este rubro, se realizó una reorganización  de áreas y redefinición de funciones, con el fin de contar con una estructura organizacional más eficiente.</w:t>
      </w:r>
    </w:p>
    <w:p w:rsidR="00E23519" w:rsidRPr="008464D7" w:rsidRDefault="00E23519" w:rsidP="00E23519">
      <w:pPr>
        <w:autoSpaceDE w:val="0"/>
        <w:autoSpaceDN w:val="0"/>
        <w:adjustRightInd w:val="0"/>
        <w:spacing w:line="240" w:lineRule="auto"/>
        <w:ind w:right="-310"/>
        <w:jc w:val="both"/>
        <w:rPr>
          <w:rFonts w:ascii="Arial" w:hAnsi="Arial" w:cs="Arial"/>
          <w:sz w:val="24"/>
          <w:szCs w:val="24"/>
        </w:rPr>
      </w:pPr>
      <w:r w:rsidRPr="008464D7">
        <w:rPr>
          <w:rFonts w:ascii="Arial" w:hAnsi="Arial" w:cs="Arial"/>
          <w:sz w:val="24"/>
          <w:szCs w:val="24"/>
        </w:rPr>
        <w:t xml:space="preserve">Adelgazamiento del Capítulo 10000 Servicios Personales, atendiendo los postulados de las políticas públicas transversales relativas a: 1.- Colima con un Gobierno Moderno, Efectivo y Transparente.  2.- Colima por la Igualdad 3.- Colima Sustentable </w:t>
      </w:r>
      <w:r w:rsidRPr="008464D7">
        <w:rPr>
          <w:rFonts w:ascii="Arial" w:eastAsia="Times New Roman" w:hAnsi="Arial" w:cs="Arial"/>
          <w:bCs/>
          <w:sz w:val="24"/>
          <w:szCs w:val="24"/>
        </w:rPr>
        <w:t xml:space="preserve">insertas en el PED, así como postulados derivados de la </w:t>
      </w:r>
      <w:r w:rsidRPr="008464D7">
        <w:rPr>
          <w:rFonts w:ascii="Arial" w:hAnsi="Arial" w:cs="Arial"/>
          <w:sz w:val="24"/>
          <w:szCs w:val="24"/>
        </w:rPr>
        <w:t>Ley de Disciplina Financiera de las Entidades Federativas y los Municipios, observándose lo siguiente:</w:t>
      </w:r>
    </w:p>
    <w:p w:rsidR="00E23519" w:rsidRPr="008464D7" w:rsidRDefault="00E23519" w:rsidP="00E23519">
      <w:pPr>
        <w:spacing w:line="240" w:lineRule="auto"/>
        <w:jc w:val="both"/>
        <w:rPr>
          <w:rFonts w:ascii="Arial" w:hAnsi="Arial" w:cs="Arial"/>
          <w:color w:val="2F2F2F"/>
          <w:sz w:val="24"/>
          <w:szCs w:val="24"/>
        </w:rPr>
      </w:pPr>
      <w:r w:rsidRPr="008464D7">
        <w:rPr>
          <w:rFonts w:ascii="Arial" w:hAnsi="Arial" w:cs="Arial"/>
          <w:color w:val="2F2F2F"/>
          <w:sz w:val="24"/>
          <w:szCs w:val="24"/>
        </w:rPr>
        <w:lastRenderedPageBreak/>
        <w:t>Al presupuestar el Capítulo de Servicios Personales en este primer ejercicio presupuestal del sexenio, se establecen las bases para acotar el notorio incremento que en el pasado significó este capítulo de gasto en la estructura general del presupuesto, ello con el propósito de que en futuros ejercicios se posibilite equilibrar su tasa de crecimiento a los niveles previstos en la Ley de Disciplina Financiera para Entidades Federativas y los Municipios, la cual prevé que para el 2018:</w:t>
      </w:r>
    </w:p>
    <w:p w:rsidR="00E23519" w:rsidRPr="008464D7" w:rsidRDefault="00E23519" w:rsidP="00E23519">
      <w:pPr>
        <w:autoSpaceDE w:val="0"/>
        <w:autoSpaceDN w:val="0"/>
        <w:adjustRightInd w:val="0"/>
        <w:spacing w:after="0" w:line="240" w:lineRule="auto"/>
        <w:jc w:val="both"/>
        <w:rPr>
          <w:rFonts w:ascii="Arial" w:hAnsi="Arial" w:cs="Arial"/>
          <w:i/>
          <w:sz w:val="24"/>
          <w:szCs w:val="24"/>
        </w:rPr>
      </w:pPr>
      <w:r w:rsidRPr="008464D7">
        <w:rPr>
          <w:rFonts w:ascii="Arial" w:hAnsi="Arial" w:cs="Arial"/>
          <w:i/>
          <w:sz w:val="24"/>
          <w:szCs w:val="24"/>
        </w:rPr>
        <w:t>“La asignación global de recursos para servicios personales, tendrá como límite, el producto que resulte de aplicar al monto aprobado en el Presupuesto de Egresos del ejercicio inmediato anterior, una tasa de crecimiento equivalente al valor que resulte menor entre:</w:t>
      </w:r>
    </w:p>
    <w:p w:rsidR="00E23519" w:rsidRPr="008464D7" w:rsidRDefault="00E23519" w:rsidP="00E23519">
      <w:pPr>
        <w:autoSpaceDE w:val="0"/>
        <w:autoSpaceDN w:val="0"/>
        <w:adjustRightInd w:val="0"/>
        <w:spacing w:after="0" w:line="240" w:lineRule="auto"/>
        <w:jc w:val="both"/>
        <w:rPr>
          <w:rFonts w:ascii="Arial" w:hAnsi="Arial" w:cs="Arial"/>
          <w:i/>
          <w:sz w:val="24"/>
          <w:szCs w:val="24"/>
        </w:rPr>
      </w:pPr>
    </w:p>
    <w:p w:rsidR="00E23519" w:rsidRPr="008464D7" w:rsidRDefault="00E23519" w:rsidP="00E23519">
      <w:pPr>
        <w:autoSpaceDE w:val="0"/>
        <w:autoSpaceDN w:val="0"/>
        <w:adjustRightInd w:val="0"/>
        <w:spacing w:after="0" w:line="240" w:lineRule="auto"/>
        <w:jc w:val="both"/>
        <w:rPr>
          <w:rFonts w:ascii="Arial" w:hAnsi="Arial" w:cs="Arial"/>
          <w:i/>
          <w:sz w:val="24"/>
          <w:szCs w:val="24"/>
        </w:rPr>
      </w:pPr>
      <w:r w:rsidRPr="008464D7">
        <w:rPr>
          <w:rFonts w:ascii="Arial" w:hAnsi="Arial" w:cs="Arial"/>
          <w:i/>
          <w:sz w:val="24"/>
          <w:szCs w:val="24"/>
        </w:rPr>
        <w:t>a) El 3 por ciento de crecimiento real, y</w:t>
      </w:r>
    </w:p>
    <w:p w:rsidR="00E23519" w:rsidRPr="008464D7" w:rsidRDefault="00E23519" w:rsidP="00E23519">
      <w:pPr>
        <w:autoSpaceDE w:val="0"/>
        <w:autoSpaceDN w:val="0"/>
        <w:adjustRightInd w:val="0"/>
        <w:spacing w:after="0" w:line="240" w:lineRule="auto"/>
        <w:jc w:val="both"/>
        <w:rPr>
          <w:rFonts w:ascii="Arial" w:hAnsi="Arial" w:cs="Arial"/>
          <w:i/>
          <w:sz w:val="24"/>
          <w:szCs w:val="24"/>
        </w:rPr>
      </w:pPr>
      <w:r w:rsidRPr="008464D7">
        <w:rPr>
          <w:rFonts w:ascii="Arial" w:hAnsi="Arial" w:cs="Arial"/>
          <w:i/>
          <w:sz w:val="24"/>
          <w:szCs w:val="24"/>
        </w:rPr>
        <w:t>b) El crecimiento real del Producto Interno Bruto señalado en los Criterios Generales de Política Económica para el ejercicio que se está presupuestando. En caso de que el Producto Interno Bruto presente una variación real negativa para el ejercicio que se está presupuestando, se deberá considerar un crecimiento real igual a cero.”</w:t>
      </w:r>
    </w:p>
    <w:p w:rsidR="00E23519" w:rsidRPr="008464D7" w:rsidRDefault="00E23519" w:rsidP="00E23519">
      <w:pPr>
        <w:autoSpaceDE w:val="0"/>
        <w:autoSpaceDN w:val="0"/>
        <w:adjustRightInd w:val="0"/>
        <w:spacing w:after="0" w:line="240" w:lineRule="auto"/>
        <w:jc w:val="both"/>
        <w:rPr>
          <w:rFonts w:ascii="Arial" w:hAnsi="Arial" w:cs="Arial"/>
          <w:sz w:val="24"/>
          <w:szCs w:val="24"/>
        </w:rPr>
      </w:pPr>
    </w:p>
    <w:p w:rsidR="00E23519" w:rsidRPr="008464D7" w:rsidRDefault="00E23519" w:rsidP="00E23519">
      <w:pPr>
        <w:autoSpaceDE w:val="0"/>
        <w:autoSpaceDN w:val="0"/>
        <w:adjustRightInd w:val="0"/>
        <w:spacing w:line="240" w:lineRule="auto"/>
        <w:jc w:val="both"/>
        <w:rPr>
          <w:rFonts w:ascii="Arial" w:hAnsi="Arial" w:cs="Arial"/>
          <w:sz w:val="24"/>
          <w:szCs w:val="24"/>
        </w:rPr>
      </w:pPr>
      <w:r w:rsidRPr="008464D7">
        <w:rPr>
          <w:rFonts w:ascii="Arial" w:hAnsi="Arial" w:cs="Arial"/>
          <w:sz w:val="24"/>
          <w:szCs w:val="24"/>
        </w:rPr>
        <w:t>Es pertinente precisar que la ley precitada exceptúa de tales postulados, el monto erogado por sentencias laborales definitivas emitidas por la autoridad competente.</w:t>
      </w:r>
    </w:p>
    <w:p w:rsidR="00E23519" w:rsidRPr="008464D7" w:rsidRDefault="00E23519" w:rsidP="00E23519">
      <w:pPr>
        <w:autoSpaceDE w:val="0"/>
        <w:autoSpaceDN w:val="0"/>
        <w:adjustRightInd w:val="0"/>
        <w:spacing w:after="0" w:line="240" w:lineRule="auto"/>
        <w:jc w:val="both"/>
        <w:rPr>
          <w:rFonts w:ascii="Arial" w:hAnsi="Arial" w:cs="Arial"/>
          <w:sz w:val="24"/>
          <w:szCs w:val="24"/>
        </w:rPr>
      </w:pPr>
      <w:r w:rsidRPr="008464D7">
        <w:rPr>
          <w:rFonts w:ascii="Arial" w:hAnsi="Arial" w:cs="Arial"/>
          <w:sz w:val="24"/>
          <w:szCs w:val="24"/>
        </w:rPr>
        <w:t>Por primera vez en el proyecto de Presupuesto de Egresos, se incluye una sección específica con las erogaciones correspondientes al gasto en servicios personales, la cual comprende:</w:t>
      </w:r>
    </w:p>
    <w:p w:rsidR="00E23519" w:rsidRPr="008464D7" w:rsidRDefault="00E23519" w:rsidP="00E23519">
      <w:pPr>
        <w:autoSpaceDE w:val="0"/>
        <w:autoSpaceDN w:val="0"/>
        <w:adjustRightInd w:val="0"/>
        <w:spacing w:after="0" w:line="240" w:lineRule="auto"/>
        <w:jc w:val="both"/>
        <w:rPr>
          <w:rFonts w:ascii="Arial" w:hAnsi="Arial" w:cs="Arial"/>
          <w:sz w:val="24"/>
          <w:szCs w:val="24"/>
        </w:rPr>
      </w:pPr>
    </w:p>
    <w:p w:rsidR="00E23519" w:rsidRPr="008464D7" w:rsidRDefault="00E23519" w:rsidP="00E23519">
      <w:pPr>
        <w:autoSpaceDE w:val="0"/>
        <w:autoSpaceDN w:val="0"/>
        <w:adjustRightInd w:val="0"/>
        <w:spacing w:after="0" w:line="240" w:lineRule="auto"/>
        <w:jc w:val="both"/>
        <w:rPr>
          <w:rFonts w:ascii="Arial" w:hAnsi="Arial" w:cs="Arial"/>
          <w:sz w:val="24"/>
          <w:szCs w:val="24"/>
        </w:rPr>
      </w:pPr>
      <w:r w:rsidRPr="008464D7">
        <w:rPr>
          <w:rFonts w:ascii="Arial" w:hAnsi="Arial" w:cs="Arial"/>
          <w:sz w:val="24"/>
          <w:szCs w:val="24"/>
        </w:rPr>
        <w:t>a) Las remuneraciones de los servidores públicos, desglosando las percepciones ordinarias y extraordinarias, e incluyendo las erogaciones por concepto de obligaciones de carácter fiscal y de seguridad social inherentes a dichas remuneraciones, y</w:t>
      </w:r>
    </w:p>
    <w:p w:rsidR="00E23519" w:rsidRPr="008464D7" w:rsidRDefault="00E23519" w:rsidP="00E23519">
      <w:pPr>
        <w:autoSpaceDE w:val="0"/>
        <w:autoSpaceDN w:val="0"/>
        <w:adjustRightInd w:val="0"/>
        <w:spacing w:after="0" w:line="240" w:lineRule="auto"/>
        <w:jc w:val="both"/>
        <w:rPr>
          <w:rFonts w:ascii="Arial" w:hAnsi="Arial" w:cs="Arial"/>
          <w:sz w:val="24"/>
          <w:szCs w:val="24"/>
        </w:rPr>
      </w:pPr>
      <w:r w:rsidRPr="008464D7">
        <w:rPr>
          <w:rFonts w:ascii="Arial" w:hAnsi="Arial" w:cs="Arial"/>
          <w:sz w:val="24"/>
          <w:szCs w:val="24"/>
        </w:rPr>
        <w:t>b) Las previsiones salariales y económicas para cubrir los incrementos salariales, la creación de plazas y otras medidas económicas de índole laboral.</w:t>
      </w:r>
    </w:p>
    <w:p w:rsidR="00E23519" w:rsidRPr="008464D7" w:rsidRDefault="00E23519" w:rsidP="00E23519">
      <w:pPr>
        <w:autoSpaceDE w:val="0"/>
        <w:autoSpaceDN w:val="0"/>
        <w:adjustRightInd w:val="0"/>
        <w:spacing w:after="0" w:line="240" w:lineRule="auto"/>
        <w:jc w:val="both"/>
        <w:rPr>
          <w:rFonts w:ascii="Arial" w:hAnsi="Arial" w:cs="Arial"/>
          <w:sz w:val="24"/>
          <w:szCs w:val="24"/>
        </w:rPr>
      </w:pPr>
    </w:p>
    <w:p w:rsidR="00E23519" w:rsidRPr="008464D7" w:rsidRDefault="00E23519" w:rsidP="00E23519">
      <w:pPr>
        <w:autoSpaceDE w:val="0"/>
        <w:autoSpaceDN w:val="0"/>
        <w:adjustRightInd w:val="0"/>
        <w:spacing w:after="0" w:line="240" w:lineRule="auto"/>
        <w:jc w:val="both"/>
        <w:rPr>
          <w:rFonts w:ascii="Arial" w:hAnsi="Arial" w:cs="Arial"/>
          <w:sz w:val="24"/>
          <w:szCs w:val="24"/>
        </w:rPr>
      </w:pPr>
      <w:r w:rsidRPr="008464D7">
        <w:rPr>
          <w:rFonts w:ascii="Arial" w:hAnsi="Arial" w:cs="Arial"/>
          <w:sz w:val="24"/>
          <w:szCs w:val="24"/>
        </w:rPr>
        <w:t>En congruencia con la política de austeridad que impulsa la presente administración, se formuló y se puso en vigor el Plan de Austeridad (Reglas</w:t>
      </w:r>
      <w:r w:rsidRPr="008464D7">
        <w:rPr>
          <w:rFonts w:ascii="Arial" w:hAnsi="Arial" w:cs="Arial"/>
          <w:bCs/>
          <w:sz w:val="24"/>
          <w:szCs w:val="24"/>
        </w:rPr>
        <w:t xml:space="preserve"> de Austeridad, Racionalidad y Disciplina del Gasto Público Estatal)</w:t>
      </w:r>
      <w:r w:rsidRPr="008464D7">
        <w:rPr>
          <w:rFonts w:ascii="Arial" w:hAnsi="Arial" w:cs="Arial"/>
          <w:b/>
          <w:bCs/>
          <w:sz w:val="24"/>
          <w:szCs w:val="24"/>
        </w:rPr>
        <w:t xml:space="preserve"> </w:t>
      </w:r>
      <w:r w:rsidRPr="008464D7">
        <w:rPr>
          <w:rFonts w:ascii="Arial" w:hAnsi="Arial" w:cs="Arial"/>
          <w:sz w:val="24"/>
          <w:szCs w:val="24"/>
        </w:rPr>
        <w:t>el cual será fortalecido para el ejercicio fiscal 2017, se aplicarán las siguientes acciones:</w:t>
      </w:r>
    </w:p>
    <w:p w:rsidR="00E23519" w:rsidRPr="008464D7" w:rsidRDefault="00E23519" w:rsidP="00E23519">
      <w:pPr>
        <w:autoSpaceDE w:val="0"/>
        <w:autoSpaceDN w:val="0"/>
        <w:adjustRightInd w:val="0"/>
        <w:spacing w:after="0" w:line="240" w:lineRule="auto"/>
        <w:jc w:val="both"/>
        <w:rPr>
          <w:rFonts w:ascii="Arial" w:hAnsi="Arial" w:cs="Arial"/>
          <w:color w:val="000000" w:themeColor="text1"/>
          <w:sz w:val="24"/>
          <w:szCs w:val="24"/>
          <w:shd w:val="clear" w:color="auto" w:fill="FEFEFE"/>
        </w:rPr>
      </w:pPr>
      <w:r w:rsidRPr="008464D7">
        <w:rPr>
          <w:rFonts w:ascii="Arial" w:hAnsi="Arial" w:cs="Arial"/>
          <w:color w:val="000000" w:themeColor="text1"/>
          <w:sz w:val="24"/>
          <w:szCs w:val="24"/>
          <w:shd w:val="clear" w:color="auto" w:fill="FEFEFE"/>
        </w:rPr>
        <w:t>Cancelación del pago de honorarios asimilables a salarios para todas las actividades que sean consideradas regulares.</w:t>
      </w:r>
    </w:p>
    <w:p w:rsidR="00E23519" w:rsidRPr="008464D7" w:rsidRDefault="00E23519" w:rsidP="00E23519">
      <w:pPr>
        <w:pStyle w:val="CuerpoB"/>
        <w:jc w:val="both"/>
        <w:rPr>
          <w:rFonts w:ascii="Arial" w:eastAsia="Arial" w:hAnsi="Arial" w:cs="Arial"/>
          <w:shd w:val="clear" w:color="auto" w:fill="FEFEFE"/>
        </w:rPr>
      </w:pPr>
    </w:p>
    <w:p w:rsidR="00E23519" w:rsidRPr="008464D7" w:rsidRDefault="00E23519" w:rsidP="00E23519">
      <w:pPr>
        <w:spacing w:line="240" w:lineRule="auto"/>
        <w:jc w:val="both"/>
        <w:rPr>
          <w:rFonts w:ascii="Arial" w:hAnsi="Arial" w:cs="Arial"/>
          <w:sz w:val="24"/>
          <w:szCs w:val="24"/>
        </w:rPr>
      </w:pPr>
      <w:r w:rsidRPr="008464D7">
        <w:rPr>
          <w:rFonts w:ascii="Arial" w:hAnsi="Arial" w:cs="Arial"/>
          <w:sz w:val="24"/>
          <w:szCs w:val="24"/>
        </w:rPr>
        <w:t>Se elimina la figura de personal comisionado.</w:t>
      </w:r>
    </w:p>
    <w:p w:rsidR="00E23519" w:rsidRPr="008464D7" w:rsidRDefault="00E23519" w:rsidP="00E23519">
      <w:pPr>
        <w:spacing w:line="240" w:lineRule="auto"/>
        <w:jc w:val="both"/>
        <w:rPr>
          <w:rFonts w:ascii="Arial" w:hAnsi="Arial" w:cs="Arial"/>
          <w:sz w:val="24"/>
          <w:szCs w:val="24"/>
        </w:rPr>
      </w:pPr>
      <w:r w:rsidRPr="008464D7">
        <w:rPr>
          <w:rFonts w:ascii="Arial" w:hAnsi="Arial" w:cs="Arial"/>
          <w:sz w:val="24"/>
          <w:szCs w:val="24"/>
        </w:rPr>
        <w:lastRenderedPageBreak/>
        <w:t>Las Dependencias y Entidades realizaron, un análisis del marco jurídico administrativo que regula sus estructuras organizacionales, con el propósito de identificar y evitar duplicidades de funciones, así como para incrementar la eficiencia en el desempeño de sus funciones, mediante una reingeniería del personal de confianza y supernumerario.</w:t>
      </w:r>
    </w:p>
    <w:p w:rsidR="00E23519" w:rsidRPr="008464D7" w:rsidRDefault="00E23519" w:rsidP="00E23519">
      <w:pPr>
        <w:pStyle w:val="CuerpoA"/>
        <w:widowControl w:val="0"/>
        <w:spacing w:after="120" w:line="240" w:lineRule="auto"/>
        <w:ind w:left="7"/>
        <w:jc w:val="both"/>
        <w:rPr>
          <w:rFonts w:ascii="Arial" w:eastAsia="Arial" w:hAnsi="Arial" w:cs="Arial"/>
          <w:sz w:val="24"/>
          <w:szCs w:val="24"/>
        </w:rPr>
      </w:pPr>
      <w:r w:rsidRPr="008464D7">
        <w:rPr>
          <w:rFonts w:ascii="Arial" w:hAnsi="Arial" w:cs="Arial"/>
          <w:sz w:val="24"/>
          <w:szCs w:val="24"/>
          <w:lang w:val="it-IT"/>
        </w:rPr>
        <w:t>Se</w:t>
      </w:r>
      <w:r w:rsidRPr="008464D7">
        <w:rPr>
          <w:rFonts w:ascii="Arial" w:hAnsi="Arial" w:cs="Arial"/>
          <w:color w:val="auto"/>
          <w:sz w:val="24"/>
          <w:szCs w:val="24"/>
          <w:lang w:val="it-IT"/>
        </w:rPr>
        <w:t xml:space="preserve"> continuarán </w:t>
      </w:r>
      <w:r w:rsidRPr="008464D7">
        <w:rPr>
          <w:rFonts w:ascii="Arial" w:hAnsi="Arial" w:cs="Arial"/>
          <w:sz w:val="24"/>
          <w:szCs w:val="24"/>
          <w:lang w:val="it-IT"/>
        </w:rPr>
        <w:t>aplicando</w:t>
      </w:r>
      <w:r w:rsidRPr="008464D7">
        <w:rPr>
          <w:rFonts w:ascii="Arial" w:hAnsi="Arial" w:cs="Arial"/>
          <w:sz w:val="24"/>
          <w:szCs w:val="24"/>
        </w:rPr>
        <w:t xml:space="preserve"> estudios de análisis ocupacional con la finalidad de determinar la suficiencia o exceso de personal en las Dependencias y Entidades, con la finalidad de tomar las medidas correctivas necesarias.</w:t>
      </w:r>
    </w:p>
    <w:p w:rsidR="00E23519" w:rsidRPr="008464D7" w:rsidRDefault="00E23519" w:rsidP="00E23519">
      <w:pPr>
        <w:spacing w:line="240" w:lineRule="auto"/>
        <w:jc w:val="both"/>
        <w:rPr>
          <w:rFonts w:ascii="Arial" w:hAnsi="Arial" w:cs="Arial"/>
          <w:color w:val="000000" w:themeColor="text1"/>
          <w:sz w:val="24"/>
          <w:szCs w:val="24"/>
        </w:rPr>
      </w:pPr>
      <w:r w:rsidRPr="008464D7">
        <w:rPr>
          <w:rFonts w:ascii="Arial" w:hAnsi="Arial" w:cs="Arial"/>
          <w:color w:val="000000" w:themeColor="text1"/>
          <w:sz w:val="24"/>
          <w:szCs w:val="24"/>
        </w:rPr>
        <w:t>Asimismo, se continuará trabajando en estudios de percepciones salariales para proponer un tabulador que estandarice los sueldos de los mandos medios y superiores.</w:t>
      </w:r>
    </w:p>
    <w:p w:rsidR="00E23519" w:rsidRPr="008464D7" w:rsidRDefault="00E23519" w:rsidP="00E23519">
      <w:pPr>
        <w:autoSpaceDE w:val="0"/>
        <w:autoSpaceDN w:val="0"/>
        <w:adjustRightInd w:val="0"/>
        <w:spacing w:after="0" w:line="240" w:lineRule="auto"/>
        <w:jc w:val="both"/>
        <w:rPr>
          <w:rFonts w:ascii="Arial" w:hAnsi="Arial" w:cs="Arial"/>
          <w:b/>
          <w:i/>
          <w:sz w:val="24"/>
          <w:szCs w:val="24"/>
        </w:rPr>
      </w:pPr>
      <w:r w:rsidRPr="008464D7">
        <w:rPr>
          <w:rFonts w:ascii="Arial" w:hAnsi="Arial" w:cs="Arial"/>
          <w:b/>
          <w:sz w:val="24"/>
          <w:szCs w:val="24"/>
          <w:u w:val="single"/>
        </w:rPr>
        <w:t>Eje 3</w:t>
      </w:r>
      <w:r w:rsidRPr="008464D7">
        <w:rPr>
          <w:rFonts w:ascii="Arial" w:hAnsi="Arial" w:cs="Arial"/>
          <w:b/>
          <w:sz w:val="24"/>
          <w:szCs w:val="24"/>
        </w:rPr>
        <w:t xml:space="preserve">. </w:t>
      </w:r>
      <w:r w:rsidRPr="008464D7">
        <w:rPr>
          <w:rFonts w:ascii="Arial" w:hAnsi="Arial" w:cs="Arial"/>
          <w:b/>
          <w:i/>
          <w:sz w:val="24"/>
          <w:szCs w:val="24"/>
        </w:rPr>
        <w:t>Análisis integral de los gastos de operación de las Dependencias y Entidades, en el contexto del Plan de Austeridad y Eficiencia en el Gasto.</w:t>
      </w:r>
    </w:p>
    <w:p w:rsidR="00E23519" w:rsidRPr="008464D7" w:rsidRDefault="00E23519" w:rsidP="00E23519">
      <w:pPr>
        <w:autoSpaceDE w:val="0"/>
        <w:autoSpaceDN w:val="0"/>
        <w:adjustRightInd w:val="0"/>
        <w:spacing w:after="0" w:line="240" w:lineRule="auto"/>
        <w:jc w:val="both"/>
        <w:rPr>
          <w:rFonts w:ascii="Arial" w:hAnsi="Arial" w:cs="Arial"/>
          <w:i/>
          <w:sz w:val="24"/>
          <w:szCs w:val="24"/>
        </w:rPr>
      </w:pPr>
    </w:p>
    <w:p w:rsidR="00E23519" w:rsidRPr="008464D7" w:rsidRDefault="00E23519" w:rsidP="00E23519">
      <w:pPr>
        <w:autoSpaceDE w:val="0"/>
        <w:autoSpaceDN w:val="0"/>
        <w:adjustRightInd w:val="0"/>
        <w:spacing w:after="0" w:line="240" w:lineRule="auto"/>
        <w:jc w:val="both"/>
        <w:rPr>
          <w:rFonts w:ascii="Arial" w:hAnsi="Arial" w:cs="Arial"/>
          <w:sz w:val="24"/>
          <w:szCs w:val="24"/>
        </w:rPr>
      </w:pPr>
      <w:r w:rsidRPr="008464D7">
        <w:rPr>
          <w:rFonts w:ascii="Arial" w:hAnsi="Arial" w:cs="Arial"/>
          <w:sz w:val="24"/>
          <w:szCs w:val="24"/>
        </w:rPr>
        <w:t>Se efectuó un minucioso análisis del gasto de operación de las distintas Dependencias y Entidades, con el propósito de optimizar los recursos destinados a este rubro, para disponer de una línea base que permita demostrar de manera objetiva, consistente y sostenida su reducción, con un horizonte de corto y mediano plazo, sin afectar los niveles de operación de los programas y proyectos prioritarios a cargo de las diferentes instancias.</w:t>
      </w:r>
    </w:p>
    <w:p w:rsidR="00E23519" w:rsidRPr="008464D7" w:rsidRDefault="00E23519" w:rsidP="00E23519">
      <w:pPr>
        <w:autoSpaceDE w:val="0"/>
        <w:autoSpaceDN w:val="0"/>
        <w:adjustRightInd w:val="0"/>
        <w:spacing w:after="0" w:line="240" w:lineRule="auto"/>
        <w:jc w:val="both"/>
        <w:rPr>
          <w:rFonts w:ascii="Arial" w:hAnsi="Arial" w:cs="Arial"/>
          <w:sz w:val="24"/>
          <w:szCs w:val="24"/>
        </w:rPr>
      </w:pPr>
    </w:p>
    <w:p w:rsidR="00E23519" w:rsidRPr="008464D7" w:rsidRDefault="00E23519" w:rsidP="00E23519">
      <w:pPr>
        <w:autoSpaceDE w:val="0"/>
        <w:autoSpaceDN w:val="0"/>
        <w:adjustRightInd w:val="0"/>
        <w:spacing w:after="0" w:line="240" w:lineRule="auto"/>
        <w:jc w:val="both"/>
        <w:rPr>
          <w:rFonts w:ascii="Arial" w:hAnsi="Arial" w:cs="Arial"/>
          <w:sz w:val="24"/>
          <w:szCs w:val="24"/>
        </w:rPr>
      </w:pPr>
      <w:r w:rsidRPr="008464D7">
        <w:rPr>
          <w:rFonts w:ascii="Arial" w:hAnsi="Arial" w:cs="Arial"/>
          <w:sz w:val="24"/>
          <w:szCs w:val="24"/>
        </w:rPr>
        <w:t xml:space="preserve">Los conceptos sujetos a dicho análisis corresponden a los gastos alineados a las partidas específicas de los capítulos 20000 y 30000, correspondientes a Materiales y Suministros y Servicios Generales, respectivamente. </w:t>
      </w:r>
    </w:p>
    <w:p w:rsidR="00E23519" w:rsidRPr="008464D7" w:rsidRDefault="00E23519" w:rsidP="00E23519">
      <w:pPr>
        <w:autoSpaceDE w:val="0"/>
        <w:autoSpaceDN w:val="0"/>
        <w:adjustRightInd w:val="0"/>
        <w:spacing w:after="0" w:line="240" w:lineRule="auto"/>
        <w:jc w:val="both"/>
        <w:rPr>
          <w:rFonts w:ascii="Arial" w:hAnsi="Arial" w:cs="Arial"/>
          <w:sz w:val="24"/>
          <w:szCs w:val="24"/>
        </w:rPr>
      </w:pPr>
    </w:p>
    <w:p w:rsidR="00E23519" w:rsidRPr="008464D7" w:rsidRDefault="00E23519" w:rsidP="00E23519">
      <w:pPr>
        <w:autoSpaceDE w:val="0"/>
        <w:autoSpaceDN w:val="0"/>
        <w:adjustRightInd w:val="0"/>
        <w:spacing w:after="0" w:line="240" w:lineRule="auto"/>
        <w:jc w:val="both"/>
        <w:rPr>
          <w:rFonts w:ascii="Arial" w:hAnsi="Arial" w:cs="Arial"/>
          <w:sz w:val="24"/>
          <w:szCs w:val="24"/>
        </w:rPr>
      </w:pPr>
      <w:r w:rsidRPr="008464D7">
        <w:rPr>
          <w:rFonts w:ascii="Arial" w:hAnsi="Arial" w:cs="Arial"/>
          <w:sz w:val="24"/>
          <w:szCs w:val="24"/>
        </w:rPr>
        <w:t>Asimismo, se procedió a realizar el análisis del gasto corriente de las Entidades Paraestatales desconcentradas y descentralizadas cuya asignación presupuestaria se presenta en el Proyecto de Presupuesto, a nivel agregado en partidas específicas, en el capítulo 40000 correspondiente a Transferencias, Asignaciones Subsidios y Otras Ayudas.</w:t>
      </w:r>
    </w:p>
    <w:p w:rsidR="00E23519" w:rsidRPr="008464D7" w:rsidRDefault="00E23519" w:rsidP="00E23519">
      <w:pPr>
        <w:autoSpaceDE w:val="0"/>
        <w:autoSpaceDN w:val="0"/>
        <w:adjustRightInd w:val="0"/>
        <w:spacing w:after="0" w:line="240" w:lineRule="auto"/>
        <w:jc w:val="both"/>
        <w:rPr>
          <w:rFonts w:ascii="Arial" w:hAnsi="Arial" w:cs="Arial"/>
          <w:sz w:val="24"/>
          <w:szCs w:val="24"/>
        </w:rPr>
      </w:pPr>
    </w:p>
    <w:p w:rsidR="00E23519" w:rsidRPr="008464D7" w:rsidRDefault="00E23519" w:rsidP="00E23519">
      <w:pPr>
        <w:autoSpaceDE w:val="0"/>
        <w:autoSpaceDN w:val="0"/>
        <w:adjustRightInd w:val="0"/>
        <w:spacing w:after="0" w:line="240" w:lineRule="auto"/>
        <w:jc w:val="both"/>
        <w:rPr>
          <w:rFonts w:ascii="Arial" w:hAnsi="Arial" w:cs="Arial"/>
          <w:sz w:val="24"/>
          <w:szCs w:val="24"/>
        </w:rPr>
      </w:pPr>
      <w:r w:rsidRPr="008464D7">
        <w:rPr>
          <w:rFonts w:ascii="Arial" w:hAnsi="Arial" w:cs="Arial"/>
          <w:sz w:val="24"/>
          <w:szCs w:val="24"/>
        </w:rPr>
        <w:t>En congruencia con la  política de austeridad que impulsa la presente administración, se formuló y se puso en vigor el Plan de Austeridad (Reglas</w:t>
      </w:r>
      <w:r w:rsidRPr="008464D7">
        <w:rPr>
          <w:rFonts w:ascii="Arial" w:hAnsi="Arial" w:cs="Arial"/>
          <w:bCs/>
          <w:sz w:val="24"/>
          <w:szCs w:val="24"/>
        </w:rPr>
        <w:t xml:space="preserve"> de Austeridad, Racionalidad y Disciplina del Gasto Público Estatal)</w:t>
      </w:r>
      <w:r w:rsidRPr="008464D7">
        <w:rPr>
          <w:rFonts w:ascii="Arial" w:hAnsi="Arial" w:cs="Arial"/>
          <w:b/>
          <w:bCs/>
          <w:sz w:val="24"/>
          <w:szCs w:val="24"/>
        </w:rPr>
        <w:t xml:space="preserve"> </w:t>
      </w:r>
      <w:r w:rsidRPr="008464D7">
        <w:rPr>
          <w:rFonts w:ascii="Arial" w:hAnsi="Arial" w:cs="Arial"/>
          <w:sz w:val="24"/>
          <w:szCs w:val="24"/>
        </w:rPr>
        <w:t>el cual será fortalecido para el ejercicio fiscal 2017, cuyo objeto es el de implementar el uso eficiente, transparente y eficaz de los recursos públicos, y las acciones de disciplina presupuestaria en el ejercicio del gasto público, siendo de observancia obligatoria para los servidores públicos de las Dependencias y  Entidades del Poder Ejecutivo del Estado de Colima.</w:t>
      </w:r>
    </w:p>
    <w:p w:rsidR="00E23519" w:rsidRPr="008464D7" w:rsidRDefault="00E23519" w:rsidP="00E23519">
      <w:pPr>
        <w:autoSpaceDE w:val="0"/>
        <w:autoSpaceDN w:val="0"/>
        <w:adjustRightInd w:val="0"/>
        <w:spacing w:after="0" w:line="240" w:lineRule="auto"/>
        <w:jc w:val="both"/>
        <w:rPr>
          <w:rFonts w:ascii="Arial" w:hAnsi="Arial" w:cs="Arial"/>
          <w:sz w:val="24"/>
          <w:szCs w:val="24"/>
        </w:rPr>
      </w:pPr>
    </w:p>
    <w:p w:rsidR="00E23519" w:rsidRPr="008464D7" w:rsidRDefault="00E23519" w:rsidP="00E23519">
      <w:pPr>
        <w:spacing w:line="240" w:lineRule="auto"/>
        <w:jc w:val="both"/>
        <w:rPr>
          <w:rFonts w:ascii="Arial" w:hAnsi="Arial" w:cs="Arial"/>
          <w:sz w:val="24"/>
          <w:szCs w:val="24"/>
        </w:rPr>
      </w:pPr>
      <w:r w:rsidRPr="008464D7">
        <w:rPr>
          <w:rFonts w:ascii="Arial" w:hAnsi="Arial" w:cs="Arial"/>
          <w:sz w:val="24"/>
          <w:szCs w:val="24"/>
        </w:rPr>
        <w:lastRenderedPageBreak/>
        <w:t>Las Dependencias y Entidades, tendrán como eje rector del gasto público, la austeridad, racionalidad y disciplina en el ejercicio del mismo, por lo que establecerán compromisos específicos de metas de ahorro y economías presupuestarios en los diversos rubros de gasto, para lograr como gobierno un decremento del gasto corriente del 15% real para el ejercicio fiscal 2018 con respecto al año 2015, reorientando los ahorros y economías al gasto social y a las actividades sustantivas de la administración.</w:t>
      </w:r>
    </w:p>
    <w:p w:rsidR="00E23519" w:rsidRPr="008464D7" w:rsidRDefault="00E23519" w:rsidP="00E23519">
      <w:pPr>
        <w:spacing w:line="240" w:lineRule="auto"/>
        <w:jc w:val="both"/>
        <w:rPr>
          <w:rFonts w:ascii="Arial" w:hAnsi="Arial" w:cs="Arial"/>
          <w:sz w:val="24"/>
          <w:szCs w:val="24"/>
        </w:rPr>
      </w:pPr>
      <w:r w:rsidRPr="008464D7">
        <w:rPr>
          <w:rFonts w:ascii="Arial" w:hAnsi="Arial" w:cs="Arial"/>
          <w:sz w:val="24"/>
          <w:szCs w:val="24"/>
        </w:rPr>
        <w:t>Se regularán los procesos de compra de bienes, arrendamientos y servicios, cuyo espíritu será centralizar la totalidad de compras de las Dependencias y Entidades del Ejecutivo Estatal, como una herramienta que permita garantizar la absoluta transparencia de los procesos de contratación así como la administración de los recursos económicos de los que dispone el Poder Ejecutivo, con eficiencia, eficacia, economía, transparencia y honradez, para satisfacer los objetivos a los que están destinados.</w:t>
      </w:r>
    </w:p>
    <w:p w:rsidR="00E23519" w:rsidRPr="008464D7" w:rsidRDefault="00E23519" w:rsidP="00E23519">
      <w:pPr>
        <w:spacing w:line="240" w:lineRule="auto"/>
        <w:jc w:val="both"/>
        <w:rPr>
          <w:rFonts w:ascii="Arial" w:hAnsi="Arial" w:cs="Arial"/>
          <w:sz w:val="24"/>
          <w:szCs w:val="24"/>
        </w:rPr>
      </w:pPr>
      <w:r w:rsidRPr="008464D7">
        <w:rPr>
          <w:rFonts w:ascii="Arial" w:hAnsi="Arial" w:cs="Arial"/>
          <w:sz w:val="24"/>
          <w:szCs w:val="24"/>
        </w:rPr>
        <w:t>Se reducen al mínimo indispensable el número de vehículos con que cuentan las Dependencias y Entidades, quedando prohibida la adquisición de vehículos de lujo o gama alta, y su asignación para uso personal y exclusivo de un funcionario público, exceptuando a aquellos destinados al servicio de seguridad pública.</w:t>
      </w:r>
    </w:p>
    <w:p w:rsidR="00E23519" w:rsidRPr="008464D7" w:rsidRDefault="00E23519" w:rsidP="00E23519">
      <w:pPr>
        <w:spacing w:line="240" w:lineRule="auto"/>
        <w:jc w:val="both"/>
        <w:rPr>
          <w:rFonts w:ascii="Arial" w:hAnsi="Arial" w:cs="Arial"/>
          <w:sz w:val="24"/>
          <w:szCs w:val="24"/>
        </w:rPr>
      </w:pPr>
      <w:r w:rsidRPr="008464D7">
        <w:rPr>
          <w:rFonts w:ascii="Arial" w:hAnsi="Arial" w:cs="Arial"/>
          <w:sz w:val="24"/>
          <w:szCs w:val="24"/>
        </w:rPr>
        <w:t>Se restringe el gasto en arrendamiento de inmuebles (renta de oficinas) se implementará una estrategia de centralización de oficinas para disminuir gasto en rentas.</w:t>
      </w:r>
    </w:p>
    <w:p w:rsidR="00E23519" w:rsidRPr="008464D7" w:rsidRDefault="00E23519" w:rsidP="00E23519">
      <w:pPr>
        <w:spacing w:line="240" w:lineRule="auto"/>
        <w:jc w:val="both"/>
        <w:rPr>
          <w:rFonts w:ascii="Arial" w:hAnsi="Arial" w:cs="Arial"/>
          <w:sz w:val="24"/>
          <w:szCs w:val="24"/>
        </w:rPr>
      </w:pPr>
      <w:r w:rsidRPr="008464D7">
        <w:rPr>
          <w:rFonts w:ascii="Arial" w:hAnsi="Arial" w:cs="Arial"/>
          <w:sz w:val="24"/>
          <w:szCs w:val="24"/>
        </w:rPr>
        <w:t xml:space="preserve">En materia de comunicación social debe racionalizarse al máximo el gasto con una adecuada coordinación y programación del mismo, con la participación que corresponda en las materias de seguridad, procuración de justicia, salud, educación y demás que sean necesarias para mantener a la población informada de eventos extraordinarios como desastres naturales o programas emergentes de atención a la población, así como aquellas excepciones que se consideren necesarias o estratégicas. </w:t>
      </w:r>
    </w:p>
    <w:p w:rsidR="00E23519" w:rsidRPr="008464D7" w:rsidRDefault="00E23519" w:rsidP="00E23519">
      <w:pPr>
        <w:spacing w:line="240" w:lineRule="auto"/>
        <w:jc w:val="both"/>
        <w:rPr>
          <w:rFonts w:ascii="Arial" w:hAnsi="Arial" w:cs="Arial"/>
          <w:sz w:val="24"/>
          <w:szCs w:val="24"/>
        </w:rPr>
      </w:pPr>
      <w:r w:rsidRPr="008464D7">
        <w:rPr>
          <w:rFonts w:ascii="Arial" w:hAnsi="Arial" w:cs="Arial"/>
          <w:sz w:val="24"/>
          <w:szCs w:val="24"/>
        </w:rPr>
        <w:t>Asimismo, mediante la política de austeridad se busca hacer más eficiente la organización interna, mediante el uso de las tecnologías de la información y comunicación para mejorar la capacidad de entrega y la calidad de los servicios públicos, generar ahorros en el mediano y largo plazo.</w:t>
      </w:r>
    </w:p>
    <w:p w:rsidR="00E23519" w:rsidRPr="008464D7" w:rsidRDefault="00E23519" w:rsidP="00E23519">
      <w:pPr>
        <w:spacing w:line="240" w:lineRule="auto"/>
        <w:jc w:val="both"/>
        <w:rPr>
          <w:rFonts w:ascii="Arial" w:hAnsi="Arial" w:cs="Arial"/>
          <w:sz w:val="24"/>
          <w:szCs w:val="24"/>
        </w:rPr>
      </w:pPr>
      <w:r w:rsidRPr="008464D7">
        <w:rPr>
          <w:rFonts w:ascii="Arial" w:hAnsi="Arial" w:cs="Arial"/>
          <w:sz w:val="24"/>
          <w:szCs w:val="24"/>
        </w:rPr>
        <w:t>Se reducirá por lo menos en un 50% el servicio de telefonía celular y telefonía fija.</w:t>
      </w:r>
    </w:p>
    <w:p w:rsidR="00E23519" w:rsidRPr="008464D7" w:rsidRDefault="00E23519" w:rsidP="00E23519">
      <w:pPr>
        <w:spacing w:line="240" w:lineRule="auto"/>
        <w:jc w:val="both"/>
        <w:rPr>
          <w:rFonts w:ascii="Arial" w:hAnsi="Arial" w:cs="Arial"/>
          <w:sz w:val="24"/>
          <w:szCs w:val="24"/>
        </w:rPr>
      </w:pPr>
      <w:r w:rsidRPr="008464D7">
        <w:rPr>
          <w:rFonts w:ascii="Arial" w:hAnsi="Arial" w:cs="Arial"/>
          <w:sz w:val="24"/>
          <w:szCs w:val="24"/>
        </w:rPr>
        <w:t>El propósito es el de contener y disminuir el gasto corriente en los siguientes aspectos generales:</w:t>
      </w:r>
    </w:p>
    <w:p w:rsidR="00E23519" w:rsidRDefault="00E23519" w:rsidP="00E23519">
      <w:pPr>
        <w:spacing w:line="240" w:lineRule="auto"/>
        <w:jc w:val="both"/>
        <w:rPr>
          <w:rFonts w:ascii="Arial" w:hAnsi="Arial" w:cs="Arial"/>
          <w:sz w:val="24"/>
          <w:szCs w:val="24"/>
        </w:rPr>
      </w:pPr>
    </w:p>
    <w:p w:rsidR="00E23519" w:rsidRPr="008464D7" w:rsidRDefault="00E23519" w:rsidP="00E23519">
      <w:pPr>
        <w:spacing w:line="240" w:lineRule="auto"/>
        <w:jc w:val="both"/>
        <w:rPr>
          <w:rFonts w:ascii="Arial" w:hAnsi="Arial" w:cs="Arial"/>
          <w:sz w:val="24"/>
          <w:szCs w:val="24"/>
        </w:rPr>
      </w:pPr>
    </w:p>
    <w:p w:rsidR="00E23519" w:rsidRPr="008464D7" w:rsidRDefault="00E23519" w:rsidP="00E23519">
      <w:pPr>
        <w:spacing w:line="240" w:lineRule="auto"/>
        <w:jc w:val="center"/>
        <w:rPr>
          <w:rFonts w:ascii="Arial" w:hAnsi="Arial" w:cs="Arial"/>
          <w:b/>
          <w:sz w:val="28"/>
          <w:szCs w:val="28"/>
        </w:rPr>
      </w:pPr>
      <w:r w:rsidRPr="008464D7">
        <w:rPr>
          <w:rFonts w:ascii="Arial" w:hAnsi="Arial" w:cs="Arial"/>
          <w:b/>
          <w:sz w:val="28"/>
          <w:szCs w:val="28"/>
        </w:rPr>
        <w:t>Cuadro 12. Plan de Austeridad y Eficiencia en el Gasto</w:t>
      </w:r>
    </w:p>
    <w:p w:rsidR="00E23519" w:rsidRPr="008464D7" w:rsidRDefault="00E23519" w:rsidP="00E23519">
      <w:pPr>
        <w:spacing w:line="240" w:lineRule="auto"/>
        <w:jc w:val="both"/>
      </w:pPr>
      <w:r w:rsidRPr="008464D7">
        <w:rPr>
          <w:noProof/>
        </w:rPr>
        <w:drawing>
          <wp:inline distT="0" distB="0" distL="0" distR="0" wp14:anchorId="364446E7" wp14:editId="7460D951">
            <wp:extent cx="5494020" cy="4462145"/>
            <wp:effectExtent l="0" t="0" r="0" b="0"/>
            <wp:docPr id="19" name="Imagen 1" descr="C:\Users\roberto1\Downloads\PLAN AUSTERIDAD 2016.jpg">
              <a:extLst xmlns:a="http://schemas.openxmlformats.org/drawingml/2006/main">
                <a:ext uri="{FF2B5EF4-FFF2-40B4-BE49-F238E27FC236}">
                  <a16:creationId xmlns:ve="http://schemas.openxmlformats.org/markup-compatibility/2006"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400-000002000000}"/>
                </a:ext>
              </a:extLst>
            </wp:docPr>
            <wp:cNvGraphicFramePr/>
            <a:graphic xmlns:a="http://schemas.openxmlformats.org/drawingml/2006/main">
              <a:graphicData uri="http://schemas.openxmlformats.org/drawingml/2006/picture">
                <pic:pic xmlns:pic="http://schemas.openxmlformats.org/drawingml/2006/picture">
                  <pic:nvPicPr>
                    <pic:cNvPr id="2" name="Imagen 1" descr="C:\Users\roberto1\Downloads\PLAN AUSTERIDAD 2016.jpg">
                      <a:extLst>
                        <a:ext uri="{FF2B5EF4-FFF2-40B4-BE49-F238E27FC236}">
                          <a16:creationId xmlns:ve="http://schemas.openxmlformats.org/markup-compatibility/2006"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400-000002000000}"/>
                        </a:ext>
                      </a:extLst>
                    </pic:cNvPr>
                    <pic:cNvPicPr/>
                  </pic:nvPicPr>
                  <pic:blipFill>
                    <a:blip r:embed="rId25" cstate="print"/>
                    <a:srcRect/>
                    <a:stretch>
                      <a:fillRect/>
                    </a:stretch>
                  </pic:blipFill>
                  <pic:spPr bwMode="auto">
                    <a:xfrm>
                      <a:off x="0" y="0"/>
                      <a:ext cx="5494020" cy="4462145"/>
                    </a:xfrm>
                    <a:prstGeom prst="rect">
                      <a:avLst/>
                    </a:prstGeom>
                    <a:noFill/>
                    <a:ln w="9525">
                      <a:noFill/>
                      <a:miter lim="800000"/>
                      <a:headEnd/>
                      <a:tailEnd/>
                    </a:ln>
                  </pic:spPr>
                </pic:pic>
              </a:graphicData>
            </a:graphic>
          </wp:inline>
        </w:drawing>
      </w:r>
    </w:p>
    <w:p w:rsidR="00E23519" w:rsidRPr="008464D7" w:rsidRDefault="00E23519" w:rsidP="00E23519">
      <w:pPr>
        <w:tabs>
          <w:tab w:val="left" w:pos="2977"/>
        </w:tabs>
        <w:autoSpaceDE w:val="0"/>
        <w:autoSpaceDN w:val="0"/>
        <w:adjustRightInd w:val="0"/>
        <w:spacing w:after="0" w:line="240" w:lineRule="auto"/>
        <w:jc w:val="both"/>
        <w:rPr>
          <w:rFonts w:ascii="Arial" w:hAnsi="Arial" w:cs="Arial"/>
          <w:b/>
          <w:sz w:val="24"/>
          <w:szCs w:val="24"/>
        </w:rPr>
      </w:pPr>
    </w:p>
    <w:p w:rsidR="00E23519" w:rsidRPr="008464D7" w:rsidRDefault="00E23519" w:rsidP="00E23519">
      <w:pPr>
        <w:tabs>
          <w:tab w:val="left" w:pos="2977"/>
        </w:tabs>
        <w:autoSpaceDE w:val="0"/>
        <w:autoSpaceDN w:val="0"/>
        <w:adjustRightInd w:val="0"/>
        <w:spacing w:after="0" w:line="240" w:lineRule="auto"/>
        <w:jc w:val="both"/>
        <w:rPr>
          <w:rFonts w:ascii="Arial" w:hAnsi="Arial" w:cs="Arial"/>
          <w:b/>
          <w:sz w:val="24"/>
          <w:szCs w:val="24"/>
        </w:rPr>
      </w:pPr>
      <w:r w:rsidRPr="008464D7">
        <w:rPr>
          <w:rFonts w:ascii="Arial" w:hAnsi="Arial" w:cs="Arial"/>
          <w:b/>
          <w:sz w:val="24"/>
          <w:szCs w:val="24"/>
        </w:rPr>
        <w:t>Gastos de Operación</w:t>
      </w:r>
    </w:p>
    <w:p w:rsidR="00E23519" w:rsidRPr="008464D7" w:rsidRDefault="00E23519" w:rsidP="00E23519">
      <w:pPr>
        <w:tabs>
          <w:tab w:val="left" w:pos="2977"/>
        </w:tabs>
        <w:autoSpaceDE w:val="0"/>
        <w:autoSpaceDN w:val="0"/>
        <w:adjustRightInd w:val="0"/>
        <w:spacing w:after="0" w:line="240" w:lineRule="auto"/>
        <w:jc w:val="both"/>
        <w:rPr>
          <w:rFonts w:ascii="Arial" w:hAnsi="Arial" w:cs="Arial"/>
          <w:b/>
          <w:sz w:val="24"/>
          <w:szCs w:val="24"/>
        </w:rPr>
      </w:pPr>
    </w:p>
    <w:p w:rsidR="00E23519" w:rsidRPr="008464D7" w:rsidRDefault="00E23519" w:rsidP="00E23519">
      <w:pPr>
        <w:autoSpaceDE w:val="0"/>
        <w:autoSpaceDN w:val="0"/>
        <w:adjustRightInd w:val="0"/>
        <w:spacing w:after="0" w:line="240" w:lineRule="auto"/>
        <w:jc w:val="both"/>
        <w:rPr>
          <w:rFonts w:ascii="Arial" w:hAnsi="Arial" w:cs="Arial"/>
          <w:sz w:val="24"/>
          <w:szCs w:val="24"/>
        </w:rPr>
      </w:pPr>
      <w:r w:rsidRPr="008464D7">
        <w:rPr>
          <w:rFonts w:ascii="Arial" w:hAnsi="Arial" w:cs="Arial"/>
          <w:sz w:val="24"/>
          <w:szCs w:val="24"/>
        </w:rPr>
        <w:t xml:space="preserve">El gasto público constituye un instrumento determinante para la política económica. En la definición de las directrices en materia presupuestaria, compatibles con los objetivos de desarrollo económico y social, resultan fundamentales la determinación del nivel óptimo de gasto, así como su adecuada asignación. En lo que se refiere a su nivel, una política de gasto acertadamente definida se basa en la disponibilidad de recursos y en su contribución al logro de la meta de balance financiero. </w:t>
      </w:r>
    </w:p>
    <w:p w:rsidR="00E23519" w:rsidRPr="008464D7" w:rsidRDefault="00E23519" w:rsidP="00E23519">
      <w:pPr>
        <w:autoSpaceDE w:val="0"/>
        <w:autoSpaceDN w:val="0"/>
        <w:adjustRightInd w:val="0"/>
        <w:spacing w:after="0" w:line="240" w:lineRule="auto"/>
        <w:jc w:val="both"/>
        <w:rPr>
          <w:rFonts w:ascii="Arial" w:hAnsi="Arial" w:cs="Arial"/>
          <w:sz w:val="24"/>
          <w:szCs w:val="24"/>
        </w:rPr>
      </w:pPr>
    </w:p>
    <w:p w:rsidR="00E23519" w:rsidRPr="008464D7" w:rsidRDefault="00E23519" w:rsidP="00E23519">
      <w:pPr>
        <w:autoSpaceDE w:val="0"/>
        <w:autoSpaceDN w:val="0"/>
        <w:adjustRightInd w:val="0"/>
        <w:spacing w:after="0" w:line="240" w:lineRule="auto"/>
        <w:jc w:val="both"/>
        <w:rPr>
          <w:rFonts w:ascii="Arial" w:hAnsi="Arial" w:cs="Arial"/>
          <w:sz w:val="24"/>
          <w:szCs w:val="24"/>
        </w:rPr>
      </w:pPr>
      <w:r w:rsidRPr="008464D7">
        <w:rPr>
          <w:rFonts w:ascii="Arial" w:hAnsi="Arial" w:cs="Arial"/>
          <w:sz w:val="24"/>
          <w:szCs w:val="24"/>
        </w:rPr>
        <w:t xml:space="preserve">Por lo que respecta a la orientación de las erogaciones, adquiere relevancia el impulso de los programas que fomentan el crecimiento económico y garantizan el </w:t>
      </w:r>
      <w:r w:rsidRPr="008464D7">
        <w:rPr>
          <w:rFonts w:ascii="Arial" w:hAnsi="Arial" w:cs="Arial"/>
          <w:sz w:val="24"/>
          <w:szCs w:val="24"/>
        </w:rPr>
        <w:lastRenderedPageBreak/>
        <w:t xml:space="preserve">acceso de la población a los bienes y servicios que genera el sector público, particularmente aquellos que se asocian con las necesidades de los grupos de población más vulnerables, o bien los que se relacionan con las acciones de gobierno altamente sensibles y prioritarias como la seguridad pública, la salud y la educación. </w:t>
      </w:r>
    </w:p>
    <w:p w:rsidR="00E23519" w:rsidRPr="008464D7" w:rsidRDefault="00E23519" w:rsidP="00E23519">
      <w:pPr>
        <w:autoSpaceDE w:val="0"/>
        <w:autoSpaceDN w:val="0"/>
        <w:adjustRightInd w:val="0"/>
        <w:spacing w:after="0" w:line="240" w:lineRule="auto"/>
        <w:jc w:val="both"/>
        <w:rPr>
          <w:rFonts w:ascii="Arial" w:hAnsi="Arial" w:cs="Arial"/>
          <w:sz w:val="24"/>
          <w:szCs w:val="24"/>
        </w:rPr>
      </w:pPr>
    </w:p>
    <w:p w:rsidR="00E23519" w:rsidRPr="008464D7" w:rsidRDefault="00E23519" w:rsidP="00E23519">
      <w:pPr>
        <w:autoSpaceDE w:val="0"/>
        <w:autoSpaceDN w:val="0"/>
        <w:adjustRightInd w:val="0"/>
        <w:spacing w:after="0" w:line="240" w:lineRule="auto"/>
        <w:jc w:val="both"/>
        <w:rPr>
          <w:rFonts w:ascii="Arial" w:hAnsi="Arial" w:cs="Arial"/>
          <w:sz w:val="24"/>
          <w:szCs w:val="24"/>
        </w:rPr>
      </w:pPr>
      <w:r w:rsidRPr="008464D7">
        <w:rPr>
          <w:rFonts w:ascii="Arial" w:hAnsi="Arial" w:cs="Arial"/>
          <w:sz w:val="24"/>
          <w:szCs w:val="24"/>
        </w:rPr>
        <w:t>El manejo de una política de gasto orientada a resultados busca elevar la eficiencia en la ejecución de los recursos, con independencia de su naturaleza económica. Por lo regular, la sociedad mantiene una expectativa elevada de un gasto público intensivo en la creación o incremento de activos (inversión en infraestructura, por ejemplo), en lugar de un gasto concentrado en destinos de naturaleza corriente, principalmente en lo que respecta a gastos de operación.</w:t>
      </w:r>
    </w:p>
    <w:p w:rsidR="00E23519" w:rsidRPr="008464D7" w:rsidRDefault="00E23519" w:rsidP="00E23519">
      <w:pPr>
        <w:autoSpaceDE w:val="0"/>
        <w:autoSpaceDN w:val="0"/>
        <w:adjustRightInd w:val="0"/>
        <w:spacing w:after="0" w:line="240" w:lineRule="auto"/>
        <w:jc w:val="both"/>
        <w:rPr>
          <w:rFonts w:ascii="Arial" w:hAnsi="Arial" w:cs="Arial"/>
          <w:sz w:val="24"/>
          <w:szCs w:val="24"/>
        </w:rPr>
      </w:pPr>
    </w:p>
    <w:p w:rsidR="00E23519" w:rsidRPr="008464D7" w:rsidRDefault="00E23519" w:rsidP="00E23519">
      <w:pPr>
        <w:autoSpaceDE w:val="0"/>
        <w:autoSpaceDN w:val="0"/>
        <w:adjustRightInd w:val="0"/>
        <w:spacing w:after="0" w:line="240" w:lineRule="auto"/>
        <w:jc w:val="both"/>
        <w:rPr>
          <w:rFonts w:ascii="Arial" w:hAnsi="Arial" w:cs="Arial"/>
          <w:sz w:val="24"/>
          <w:szCs w:val="24"/>
        </w:rPr>
      </w:pPr>
      <w:r w:rsidRPr="008464D7">
        <w:rPr>
          <w:rFonts w:ascii="Arial" w:hAnsi="Arial" w:cs="Arial"/>
          <w:sz w:val="24"/>
          <w:szCs w:val="24"/>
        </w:rPr>
        <w:t>En este sentido, si bien es deseable fomentar la existencia de coeficientes altos de participación del gasto de capital dentro del total programable, es indispensable establecer que el gasto de operación de las instituciones permite el desempeño gubernamental, lo cual incluye la entrega de bienes y servicios que la población demanda. Lo anterior sin olvidar que dichos recursos deben ser ejercidos bajo los criterios de legalidad, honestidad, eficiencia, eficacia, economía, racionalidad, austeridad, transparencia, control y rendición de cuentas.</w:t>
      </w:r>
    </w:p>
    <w:p w:rsidR="00E23519" w:rsidRPr="008464D7" w:rsidRDefault="00E23519" w:rsidP="00E23519">
      <w:pPr>
        <w:autoSpaceDE w:val="0"/>
        <w:autoSpaceDN w:val="0"/>
        <w:adjustRightInd w:val="0"/>
        <w:spacing w:after="0" w:line="240" w:lineRule="auto"/>
        <w:jc w:val="both"/>
        <w:rPr>
          <w:rFonts w:ascii="Arial" w:hAnsi="Arial" w:cs="Arial"/>
          <w:sz w:val="24"/>
          <w:szCs w:val="24"/>
        </w:rPr>
      </w:pPr>
    </w:p>
    <w:p w:rsidR="00E23519" w:rsidRPr="008464D7" w:rsidRDefault="00E23519" w:rsidP="00E23519">
      <w:pPr>
        <w:autoSpaceDE w:val="0"/>
        <w:autoSpaceDN w:val="0"/>
        <w:adjustRightInd w:val="0"/>
        <w:spacing w:after="0" w:line="240" w:lineRule="auto"/>
        <w:jc w:val="both"/>
        <w:rPr>
          <w:rFonts w:ascii="Arial" w:hAnsi="Arial" w:cs="Arial"/>
          <w:sz w:val="24"/>
          <w:szCs w:val="24"/>
        </w:rPr>
      </w:pPr>
      <w:r w:rsidRPr="008464D7">
        <w:rPr>
          <w:rFonts w:ascii="Arial" w:hAnsi="Arial" w:cs="Arial"/>
          <w:sz w:val="24"/>
          <w:szCs w:val="24"/>
        </w:rPr>
        <w:t xml:space="preserve">El gasto de operación incluye, entre otros, los recursos destinados a la adquisición de los materiales y suministros que significan insumos para la generación de procesos, tales como pago de electricidad de hospitales, vestuario de fuerzas de seguridad, uniformes para enfermeras y doctores, material de laboratorio y gastos para la entrega de subsidios. </w:t>
      </w:r>
    </w:p>
    <w:p w:rsidR="00E23519" w:rsidRPr="008464D7" w:rsidRDefault="00E23519" w:rsidP="00E23519">
      <w:pPr>
        <w:autoSpaceDE w:val="0"/>
        <w:autoSpaceDN w:val="0"/>
        <w:adjustRightInd w:val="0"/>
        <w:spacing w:after="0" w:line="240" w:lineRule="auto"/>
        <w:jc w:val="both"/>
        <w:rPr>
          <w:rFonts w:ascii="Arial" w:hAnsi="Arial" w:cs="Arial"/>
          <w:sz w:val="24"/>
          <w:szCs w:val="24"/>
        </w:rPr>
      </w:pPr>
    </w:p>
    <w:p w:rsidR="00E23519" w:rsidRPr="008464D7" w:rsidRDefault="00E23519" w:rsidP="00E23519">
      <w:pPr>
        <w:autoSpaceDE w:val="0"/>
        <w:autoSpaceDN w:val="0"/>
        <w:adjustRightInd w:val="0"/>
        <w:spacing w:after="0" w:line="240" w:lineRule="auto"/>
        <w:jc w:val="both"/>
        <w:rPr>
          <w:rFonts w:ascii="Arial" w:hAnsi="Arial" w:cs="Arial"/>
          <w:sz w:val="24"/>
          <w:szCs w:val="24"/>
          <w:lang w:val="es-ES"/>
        </w:rPr>
      </w:pPr>
      <w:r w:rsidRPr="008464D7">
        <w:rPr>
          <w:rFonts w:ascii="Arial" w:hAnsi="Arial" w:cs="Arial"/>
          <w:sz w:val="24"/>
          <w:szCs w:val="24"/>
        </w:rPr>
        <w:t>Asimismo, dicho gasto de operación integra recursos para el pago del consumo eléctrico y de telefonía; arrendamiento de edificios; mantenimiento; servicios de telecomunicación, de traslado y viáticos; congresos y convenciones; servicios de consultoría y asesoría, entre otros</w:t>
      </w:r>
    </w:p>
    <w:p w:rsidR="00E23519" w:rsidRPr="008464D7" w:rsidRDefault="00E23519" w:rsidP="00E23519">
      <w:pPr>
        <w:pStyle w:val="Texto"/>
        <w:spacing w:after="0" w:line="240" w:lineRule="auto"/>
        <w:ind w:firstLine="0"/>
        <w:rPr>
          <w:rFonts w:eastAsiaTheme="minorHAnsi"/>
          <w:sz w:val="24"/>
          <w:szCs w:val="24"/>
          <w:lang w:eastAsia="en-US"/>
        </w:rPr>
      </w:pPr>
    </w:p>
    <w:p w:rsidR="00E23519" w:rsidRPr="008464D7" w:rsidRDefault="00E23519" w:rsidP="00E23519">
      <w:pPr>
        <w:pStyle w:val="Texto"/>
        <w:spacing w:after="0" w:line="240" w:lineRule="auto"/>
        <w:ind w:firstLine="0"/>
        <w:rPr>
          <w:sz w:val="24"/>
          <w:szCs w:val="24"/>
        </w:rPr>
      </w:pPr>
      <w:r w:rsidRPr="008464D7">
        <w:rPr>
          <w:sz w:val="24"/>
          <w:szCs w:val="24"/>
        </w:rPr>
        <w:t xml:space="preserve">El gasto de operación se concentra en áreas que atienden temas altamente sensibles para la población, como la seguridad, o que apoyan la entrega de bienes y servicios como la educación y la salud. </w:t>
      </w:r>
    </w:p>
    <w:p w:rsidR="00E23519" w:rsidRPr="008464D7" w:rsidRDefault="00E23519" w:rsidP="00E23519">
      <w:pPr>
        <w:pStyle w:val="Texto"/>
        <w:spacing w:after="0" w:line="240" w:lineRule="auto"/>
        <w:ind w:firstLine="0"/>
        <w:rPr>
          <w:sz w:val="24"/>
          <w:szCs w:val="24"/>
        </w:rPr>
      </w:pPr>
    </w:p>
    <w:p w:rsidR="00E23519" w:rsidRPr="008464D7" w:rsidRDefault="00E23519" w:rsidP="00E23519">
      <w:pPr>
        <w:pStyle w:val="Texto"/>
        <w:spacing w:after="0" w:line="240" w:lineRule="auto"/>
        <w:ind w:firstLine="0"/>
        <w:rPr>
          <w:sz w:val="24"/>
          <w:szCs w:val="24"/>
        </w:rPr>
      </w:pPr>
      <w:r w:rsidRPr="008464D7">
        <w:rPr>
          <w:sz w:val="24"/>
          <w:szCs w:val="24"/>
        </w:rPr>
        <w:t>Es por ello que, sin menoscabo de lo dispuesto en las leyes y considerando la necesidad creciente de generar activos, resulta importante establecer que el gasto de operación cumple con un propósito que obedece al marco institucional aplicable.</w:t>
      </w:r>
    </w:p>
    <w:p w:rsidR="00E23519" w:rsidRPr="008464D7" w:rsidRDefault="00E23519" w:rsidP="00E23519">
      <w:pPr>
        <w:pStyle w:val="Texto"/>
        <w:spacing w:after="0" w:line="240" w:lineRule="auto"/>
        <w:rPr>
          <w:sz w:val="24"/>
          <w:szCs w:val="24"/>
        </w:rPr>
      </w:pPr>
    </w:p>
    <w:p w:rsidR="00E23519" w:rsidRPr="008464D7" w:rsidRDefault="00E23519" w:rsidP="00E23519">
      <w:pPr>
        <w:pStyle w:val="Texto"/>
        <w:spacing w:after="0" w:line="240" w:lineRule="auto"/>
        <w:ind w:firstLine="0"/>
        <w:rPr>
          <w:sz w:val="24"/>
          <w:szCs w:val="24"/>
        </w:rPr>
      </w:pPr>
      <w:r w:rsidRPr="008464D7">
        <w:rPr>
          <w:sz w:val="24"/>
          <w:szCs w:val="24"/>
        </w:rPr>
        <w:lastRenderedPageBreak/>
        <w:t xml:space="preserve">No obstante, el Gobierno del Estado, consciente de las prioridades en materia de provisión de bienes y servicios públicos, así como de generación de ahorros, busca establecer y ejecutar una política de gasto que racionalice el gasto de operación, en favor de la reasignación de los recursos presupuestarios disponibles hacia programas sustantivos, sin afectar el cumplimiento de las metas institucionales establecidas y especialmente los programas sociales, especialmente los enfocados a la atención de los grupos vulnerables </w:t>
      </w:r>
    </w:p>
    <w:p w:rsidR="00E23519" w:rsidRPr="008464D7" w:rsidRDefault="00E23519" w:rsidP="00E23519">
      <w:pPr>
        <w:pStyle w:val="Texto"/>
        <w:spacing w:after="0" w:line="240" w:lineRule="auto"/>
        <w:ind w:firstLine="0"/>
        <w:rPr>
          <w:rFonts w:asciiTheme="minorHAnsi" w:eastAsiaTheme="minorHAnsi" w:hAnsiTheme="minorHAnsi" w:cstheme="minorBidi"/>
          <w:sz w:val="22"/>
          <w:szCs w:val="22"/>
          <w:lang w:eastAsia="en-US"/>
        </w:rPr>
      </w:pPr>
    </w:p>
    <w:p w:rsidR="00E23519" w:rsidRPr="008464D7" w:rsidRDefault="00E23519" w:rsidP="00E23519">
      <w:pPr>
        <w:pStyle w:val="Texto"/>
        <w:spacing w:after="0" w:line="240" w:lineRule="auto"/>
        <w:ind w:firstLine="0"/>
        <w:rPr>
          <w:sz w:val="24"/>
          <w:szCs w:val="24"/>
        </w:rPr>
      </w:pPr>
      <w:r w:rsidRPr="008464D7">
        <w:rPr>
          <w:sz w:val="24"/>
          <w:szCs w:val="24"/>
        </w:rPr>
        <w:t>En este contexto, la Ley de Presupuesto y Gasto Público del Estado de Colima, incluye disposiciones para fomentar la presupuestación por resultados, así como para la observancia de medidas de ahorro y disciplina presupuestaria. La presente Administración Estatal ha impulsado una reforma integral, armónica y congruente a</w:t>
      </w:r>
      <w:r w:rsidR="005E54D6">
        <w:rPr>
          <w:sz w:val="24"/>
          <w:szCs w:val="24"/>
        </w:rPr>
        <w:t xml:space="preserve"> ese ordenamiento que fortalece</w:t>
      </w:r>
      <w:r w:rsidRPr="008464D7">
        <w:rPr>
          <w:sz w:val="24"/>
          <w:szCs w:val="24"/>
        </w:rPr>
        <w:t xml:space="preserve"> el alcance de las medidas dirigidas a este propósito. En este sentido y con el fin de armonizar la legislación de la materia, con la Ley de Disciplina Financiera de las Entidades Federativas y los Municipios, se ha turnado al H. Congreso del Estado una </w:t>
      </w:r>
      <w:r w:rsidRPr="008464D7">
        <w:rPr>
          <w:b/>
          <w:sz w:val="24"/>
          <w:szCs w:val="24"/>
        </w:rPr>
        <w:t>Iniciativa de Ley de Presupuesto y Responsabilidad Hacendaria del Estado de Colima</w:t>
      </w:r>
      <w:r w:rsidRPr="008464D7">
        <w:rPr>
          <w:sz w:val="24"/>
          <w:szCs w:val="24"/>
        </w:rPr>
        <w:t>.</w:t>
      </w:r>
    </w:p>
    <w:p w:rsidR="00E23519" w:rsidRPr="008464D7" w:rsidRDefault="00E23519" w:rsidP="00E23519">
      <w:pPr>
        <w:pStyle w:val="Texto"/>
        <w:spacing w:after="0" w:line="240" w:lineRule="auto"/>
        <w:rPr>
          <w:sz w:val="24"/>
          <w:szCs w:val="24"/>
        </w:rPr>
      </w:pPr>
    </w:p>
    <w:p w:rsidR="00E23519" w:rsidRPr="008464D7" w:rsidRDefault="00E23519" w:rsidP="00E23519">
      <w:pPr>
        <w:pStyle w:val="Texto"/>
        <w:spacing w:after="0" w:line="240" w:lineRule="auto"/>
        <w:ind w:firstLine="0"/>
        <w:rPr>
          <w:sz w:val="24"/>
          <w:szCs w:val="24"/>
        </w:rPr>
      </w:pPr>
      <w:r w:rsidRPr="008464D7">
        <w:rPr>
          <w:sz w:val="24"/>
          <w:szCs w:val="24"/>
        </w:rPr>
        <w:t>La política de austeridad en materia de gastos de operación s</w:t>
      </w:r>
      <w:r>
        <w:rPr>
          <w:sz w:val="24"/>
          <w:szCs w:val="24"/>
        </w:rPr>
        <w:t>e ha fortalecido y se continuará</w:t>
      </w:r>
      <w:r w:rsidRPr="008464D7">
        <w:rPr>
          <w:sz w:val="24"/>
          <w:szCs w:val="24"/>
        </w:rPr>
        <w:t xml:space="preserve"> fortaleciendo mediante lo siguiente:  </w:t>
      </w:r>
    </w:p>
    <w:p w:rsidR="00E23519" w:rsidRPr="008464D7" w:rsidRDefault="00E23519" w:rsidP="00E23519">
      <w:pPr>
        <w:pStyle w:val="Texto"/>
        <w:spacing w:after="0" w:line="240" w:lineRule="auto"/>
        <w:rPr>
          <w:sz w:val="24"/>
          <w:szCs w:val="24"/>
        </w:rPr>
      </w:pPr>
    </w:p>
    <w:p w:rsidR="00E23519" w:rsidRPr="008464D7" w:rsidRDefault="00E23519" w:rsidP="00E23519">
      <w:pPr>
        <w:autoSpaceDE w:val="0"/>
        <w:autoSpaceDN w:val="0"/>
        <w:adjustRightInd w:val="0"/>
        <w:spacing w:after="0" w:line="240" w:lineRule="auto"/>
        <w:jc w:val="both"/>
        <w:rPr>
          <w:rFonts w:ascii="Arial" w:hAnsi="Arial" w:cs="Arial"/>
          <w:sz w:val="24"/>
          <w:szCs w:val="24"/>
        </w:rPr>
      </w:pPr>
      <w:r w:rsidRPr="008464D7">
        <w:rPr>
          <w:rFonts w:ascii="Arial" w:hAnsi="Arial" w:cs="Arial"/>
          <w:sz w:val="24"/>
          <w:szCs w:val="24"/>
        </w:rPr>
        <w:t xml:space="preserve">Formulación, publicación y aplicación del Decreto relativo a las </w:t>
      </w:r>
      <w:r w:rsidRPr="008464D7">
        <w:rPr>
          <w:rFonts w:ascii="Arial" w:hAnsi="Arial" w:cs="Arial"/>
          <w:b/>
          <w:bCs/>
          <w:sz w:val="24"/>
          <w:szCs w:val="24"/>
        </w:rPr>
        <w:t>Reglas de Austeridad, Racionalidad y Disciplina del Gasto público estatal</w:t>
      </w:r>
      <w:r w:rsidRPr="008464D7">
        <w:rPr>
          <w:rFonts w:ascii="Arial" w:hAnsi="Arial" w:cs="Arial"/>
          <w:sz w:val="24"/>
          <w:szCs w:val="24"/>
        </w:rPr>
        <w:t xml:space="preserve"> que establece las medidas para el uso eficiente, transparente y eficaz de los recursos públicos, y las acciones de disciplina presupuestaria en el ejercicio del gasto público.</w:t>
      </w:r>
    </w:p>
    <w:p w:rsidR="00E23519" w:rsidRPr="008464D7" w:rsidRDefault="00E23519" w:rsidP="00E23519">
      <w:pPr>
        <w:autoSpaceDE w:val="0"/>
        <w:autoSpaceDN w:val="0"/>
        <w:adjustRightInd w:val="0"/>
        <w:spacing w:after="0" w:line="240" w:lineRule="auto"/>
        <w:jc w:val="both"/>
        <w:rPr>
          <w:rFonts w:ascii="Arial" w:hAnsi="Arial" w:cs="Arial"/>
          <w:sz w:val="24"/>
          <w:szCs w:val="24"/>
        </w:rPr>
      </w:pPr>
    </w:p>
    <w:p w:rsidR="00E23519" w:rsidRPr="008464D7" w:rsidRDefault="00E23519" w:rsidP="00E23519">
      <w:pPr>
        <w:pStyle w:val="Texto"/>
        <w:spacing w:after="0" w:line="240" w:lineRule="auto"/>
        <w:ind w:firstLine="0"/>
        <w:rPr>
          <w:sz w:val="24"/>
          <w:szCs w:val="24"/>
        </w:rPr>
      </w:pPr>
      <w:r w:rsidRPr="008464D7">
        <w:rPr>
          <w:bCs/>
          <w:sz w:val="24"/>
          <w:szCs w:val="24"/>
        </w:rPr>
        <w:t xml:space="preserve">Previa Iniciativa de Ley con Proyecto de Decreto del Ejecutivo Estatal y mediante aprobación del Congreso del Estado, se abroga la Ley de Adquisiciones, Servicios y Arrendamientos del Sector Público en el Estado de Colima, del 15 de junio del 2002 y se aprueba la nueva </w:t>
      </w:r>
      <w:r w:rsidRPr="008464D7">
        <w:rPr>
          <w:b/>
          <w:sz w:val="24"/>
          <w:szCs w:val="24"/>
        </w:rPr>
        <w:t>Ley de Adquisiciones, Arrendamientos y Servicios del Sector Público del Estado de Colima</w:t>
      </w:r>
      <w:r w:rsidRPr="008464D7">
        <w:rPr>
          <w:sz w:val="24"/>
          <w:szCs w:val="24"/>
        </w:rPr>
        <w:t>, publicada en el Periódico Oficial” El Estado de Colima”, el  10 de septiembre de 2016 mediante Decreto  No. 150 , con dicha acción se fortalecen  las reglas relativas al adecuado manejo de los recursos públicos que se emplean en las contrataciones públicas.</w:t>
      </w:r>
    </w:p>
    <w:p w:rsidR="00E23519" w:rsidRPr="008464D7" w:rsidRDefault="00E23519" w:rsidP="00E23519">
      <w:pPr>
        <w:pStyle w:val="Texto"/>
        <w:spacing w:after="0" w:line="240" w:lineRule="auto"/>
        <w:ind w:firstLine="0"/>
        <w:rPr>
          <w:color w:val="FF0000"/>
          <w:sz w:val="24"/>
          <w:szCs w:val="24"/>
          <w:lang w:val="es-MX"/>
        </w:rPr>
      </w:pPr>
    </w:p>
    <w:p w:rsidR="00E23519" w:rsidRPr="008464D7" w:rsidRDefault="00E23519" w:rsidP="00E23519">
      <w:pPr>
        <w:pStyle w:val="Texto"/>
        <w:spacing w:after="0" w:line="240" w:lineRule="auto"/>
        <w:ind w:firstLine="0"/>
        <w:rPr>
          <w:i/>
          <w:sz w:val="24"/>
          <w:szCs w:val="24"/>
        </w:rPr>
      </w:pPr>
      <w:r w:rsidRPr="008464D7">
        <w:rPr>
          <w:sz w:val="24"/>
          <w:szCs w:val="24"/>
          <w:lang w:val="es-MX"/>
        </w:rPr>
        <w:t>Por su parte, deben tomarse en consideración las Políticas</w:t>
      </w:r>
      <w:r w:rsidRPr="008464D7">
        <w:rPr>
          <w:sz w:val="24"/>
          <w:szCs w:val="24"/>
        </w:rPr>
        <w:t xml:space="preserve"> de Finanzas Públicas contenida en el Eje Transversal </w:t>
      </w:r>
      <w:r w:rsidRPr="008464D7">
        <w:rPr>
          <w:i/>
          <w:sz w:val="24"/>
          <w:szCs w:val="24"/>
        </w:rPr>
        <w:t>“Colima con un Gobierno Moderno, Efectivo y Transparente” del PED.</w:t>
      </w:r>
    </w:p>
    <w:p w:rsidR="00E23519" w:rsidRPr="008464D7" w:rsidRDefault="00E23519" w:rsidP="00E23519">
      <w:pPr>
        <w:pStyle w:val="Texto"/>
        <w:spacing w:after="0" w:line="240" w:lineRule="auto"/>
        <w:rPr>
          <w:sz w:val="24"/>
          <w:szCs w:val="24"/>
        </w:rPr>
      </w:pPr>
    </w:p>
    <w:p w:rsidR="00E23519" w:rsidRPr="008464D7" w:rsidRDefault="00E23519" w:rsidP="00E23519">
      <w:pPr>
        <w:pStyle w:val="Texto"/>
        <w:spacing w:after="0" w:line="240" w:lineRule="auto"/>
        <w:ind w:firstLine="0"/>
        <w:rPr>
          <w:sz w:val="24"/>
          <w:szCs w:val="24"/>
        </w:rPr>
      </w:pPr>
      <w:r w:rsidRPr="008464D7">
        <w:rPr>
          <w:sz w:val="24"/>
          <w:szCs w:val="24"/>
        </w:rPr>
        <w:t xml:space="preserve">Impulso a la optimización en el uso de los recursos públicos, en particular, para fortalecer la estrategia de contención al gasto en servicios personales y gasto de </w:t>
      </w:r>
      <w:r w:rsidRPr="008464D7">
        <w:rPr>
          <w:sz w:val="24"/>
          <w:szCs w:val="24"/>
        </w:rPr>
        <w:lastRenderedPageBreak/>
        <w:t>operación. En forma periódica, se evaluará el logro de las acciones gubernamentales en esta materia, con base en la evolución de los indicadores establecidos para tal propósito.</w:t>
      </w:r>
    </w:p>
    <w:p w:rsidR="00E23519" w:rsidRPr="008464D7" w:rsidRDefault="00E23519" w:rsidP="00E23519">
      <w:pPr>
        <w:pStyle w:val="Texto"/>
        <w:spacing w:after="0" w:line="240" w:lineRule="auto"/>
        <w:ind w:firstLine="0"/>
        <w:rPr>
          <w:sz w:val="24"/>
          <w:szCs w:val="24"/>
        </w:rPr>
      </w:pPr>
    </w:p>
    <w:p w:rsidR="00E23519" w:rsidRPr="008464D7" w:rsidRDefault="00E23519" w:rsidP="00E23519">
      <w:pPr>
        <w:pStyle w:val="Texto"/>
        <w:spacing w:after="0" w:line="240" w:lineRule="auto"/>
        <w:ind w:firstLine="0"/>
        <w:rPr>
          <w:sz w:val="20"/>
        </w:rPr>
      </w:pPr>
      <w:r w:rsidRPr="008464D7">
        <w:rPr>
          <w:sz w:val="24"/>
          <w:szCs w:val="24"/>
        </w:rPr>
        <w:t>Implementar el Libro Blanco Trimestral</w:t>
      </w:r>
      <w:r w:rsidRPr="008464D7">
        <w:rPr>
          <w:rStyle w:val="Refdenotaalpie"/>
          <w:sz w:val="24"/>
          <w:szCs w:val="24"/>
        </w:rPr>
        <w:footnoteReference w:id="1"/>
      </w:r>
      <w:r w:rsidRPr="008464D7">
        <w:rPr>
          <w:sz w:val="24"/>
          <w:szCs w:val="24"/>
        </w:rPr>
        <w:t>. Dicho documento es aquel que memoriza, sistematiza e integra documentalmente las acciones de un programa, proyecto o acción de Gobierno a favor de la actividad de una gestión interna, como medio para informar a la sociedad como ella espera, demanda y merece, consolidando la comunicación entre gobernantes y gobernados, e</w:t>
      </w:r>
      <w:r w:rsidRPr="008464D7">
        <w:rPr>
          <w:color w:val="000000"/>
          <w:sz w:val="24"/>
          <w:szCs w:val="24"/>
        </w:rPr>
        <w:t xml:space="preserve">n </w:t>
      </w:r>
      <w:r w:rsidRPr="008464D7">
        <w:rPr>
          <w:sz w:val="24"/>
          <w:szCs w:val="24"/>
        </w:rPr>
        <w:t>cada una de las</w:t>
      </w:r>
      <w:r w:rsidRPr="008464D7">
        <w:rPr>
          <w:rStyle w:val="apple-converted-space"/>
          <w:sz w:val="24"/>
          <w:szCs w:val="24"/>
        </w:rPr>
        <w:t> </w:t>
      </w:r>
      <w:r w:rsidRPr="008464D7">
        <w:rPr>
          <w:rStyle w:val="Textoennegrita"/>
          <w:b w:val="0"/>
          <w:sz w:val="24"/>
          <w:szCs w:val="24"/>
        </w:rPr>
        <w:t>Dependencias</w:t>
      </w:r>
      <w:r w:rsidRPr="008464D7">
        <w:rPr>
          <w:rStyle w:val="apple-converted-space"/>
          <w:sz w:val="24"/>
          <w:szCs w:val="24"/>
        </w:rPr>
        <w:t> </w:t>
      </w:r>
      <w:r w:rsidRPr="008464D7">
        <w:rPr>
          <w:sz w:val="24"/>
          <w:szCs w:val="24"/>
        </w:rPr>
        <w:t>del Gobierno del Estado.</w:t>
      </w:r>
    </w:p>
    <w:p w:rsidR="00E23519" w:rsidRPr="008464D7" w:rsidRDefault="00E23519" w:rsidP="00E23519">
      <w:pPr>
        <w:pStyle w:val="Texto"/>
        <w:spacing w:after="0" w:line="240" w:lineRule="auto"/>
        <w:ind w:firstLine="0"/>
        <w:rPr>
          <w:sz w:val="24"/>
          <w:szCs w:val="24"/>
        </w:rPr>
      </w:pPr>
    </w:p>
    <w:p w:rsidR="00E23519" w:rsidRPr="008464D7" w:rsidRDefault="00E23519" w:rsidP="00E23519">
      <w:pPr>
        <w:pStyle w:val="Texto"/>
        <w:spacing w:after="0" w:line="240" w:lineRule="auto"/>
        <w:ind w:firstLine="0"/>
        <w:rPr>
          <w:rStyle w:val="Textoennegrita"/>
          <w:b w:val="0"/>
          <w:sz w:val="24"/>
          <w:szCs w:val="24"/>
        </w:rPr>
      </w:pPr>
      <w:r w:rsidRPr="008464D7">
        <w:rPr>
          <w:sz w:val="24"/>
          <w:szCs w:val="24"/>
        </w:rPr>
        <w:t>Este instrumento va a permitir identificar con mucha mayor claridad, cómo está el cumplimiento no solamente de la</w:t>
      </w:r>
      <w:r w:rsidRPr="008464D7">
        <w:rPr>
          <w:rStyle w:val="apple-converted-space"/>
          <w:sz w:val="24"/>
          <w:szCs w:val="24"/>
        </w:rPr>
        <w:t> </w:t>
      </w:r>
      <w:r w:rsidRPr="008464D7">
        <w:rPr>
          <w:rStyle w:val="Textoennegrita"/>
          <w:b w:val="0"/>
          <w:sz w:val="24"/>
          <w:szCs w:val="24"/>
        </w:rPr>
        <w:t>normatividad aplicable,</w:t>
      </w:r>
      <w:r w:rsidRPr="008464D7">
        <w:rPr>
          <w:rStyle w:val="apple-converted-space"/>
          <w:sz w:val="24"/>
          <w:szCs w:val="24"/>
        </w:rPr>
        <w:t> </w:t>
      </w:r>
      <w:r w:rsidRPr="008464D7">
        <w:rPr>
          <w:sz w:val="24"/>
          <w:szCs w:val="24"/>
        </w:rPr>
        <w:t>sino también en cuanto al</w:t>
      </w:r>
      <w:r w:rsidRPr="008464D7">
        <w:rPr>
          <w:rStyle w:val="apple-converted-space"/>
          <w:sz w:val="24"/>
          <w:szCs w:val="24"/>
        </w:rPr>
        <w:t> </w:t>
      </w:r>
      <w:r w:rsidRPr="008464D7">
        <w:rPr>
          <w:rStyle w:val="Textoennegrita"/>
          <w:b w:val="0"/>
          <w:sz w:val="24"/>
          <w:szCs w:val="24"/>
        </w:rPr>
        <w:t>manejo de los recursos públicos federales.</w:t>
      </w:r>
    </w:p>
    <w:p w:rsidR="00E23519" w:rsidRPr="008464D7" w:rsidRDefault="00E23519" w:rsidP="00E23519">
      <w:pPr>
        <w:pStyle w:val="Texto"/>
        <w:spacing w:after="0" w:line="240" w:lineRule="auto"/>
        <w:rPr>
          <w:rStyle w:val="Textoennegrita"/>
          <w:b w:val="0"/>
          <w:sz w:val="24"/>
          <w:szCs w:val="24"/>
        </w:rPr>
      </w:pPr>
    </w:p>
    <w:p w:rsidR="00E23519" w:rsidRPr="008464D7" w:rsidRDefault="00E23519" w:rsidP="00E23519">
      <w:pPr>
        <w:pStyle w:val="Texto"/>
        <w:spacing w:after="0" w:line="240" w:lineRule="auto"/>
        <w:ind w:firstLine="0"/>
        <w:rPr>
          <w:sz w:val="24"/>
          <w:szCs w:val="24"/>
        </w:rPr>
      </w:pPr>
      <w:r w:rsidRPr="008464D7">
        <w:rPr>
          <w:rStyle w:val="Textoennegrita"/>
          <w:b w:val="0"/>
          <w:sz w:val="24"/>
          <w:szCs w:val="24"/>
        </w:rPr>
        <w:t>La</w:t>
      </w:r>
      <w:r w:rsidRPr="008464D7">
        <w:rPr>
          <w:rStyle w:val="Textoennegrita"/>
          <w:sz w:val="24"/>
          <w:szCs w:val="24"/>
        </w:rPr>
        <w:t xml:space="preserve"> </w:t>
      </w:r>
      <w:r w:rsidRPr="008464D7">
        <w:rPr>
          <w:sz w:val="24"/>
          <w:szCs w:val="24"/>
        </w:rPr>
        <w:t>administración será muy enfática respecto a la</w:t>
      </w:r>
      <w:r w:rsidRPr="008464D7">
        <w:rPr>
          <w:rStyle w:val="apple-converted-space"/>
          <w:sz w:val="24"/>
          <w:szCs w:val="24"/>
        </w:rPr>
        <w:t> cero tolerancia </w:t>
      </w:r>
      <w:r w:rsidRPr="008464D7">
        <w:rPr>
          <w:sz w:val="24"/>
          <w:szCs w:val="24"/>
        </w:rPr>
        <w:t>en materia de corrupción.</w:t>
      </w:r>
    </w:p>
    <w:p w:rsidR="00E23519" w:rsidRPr="008464D7" w:rsidRDefault="00E23519" w:rsidP="00E23519">
      <w:pPr>
        <w:pStyle w:val="Texto"/>
        <w:spacing w:after="0" w:line="240" w:lineRule="auto"/>
        <w:ind w:firstLine="0"/>
        <w:rPr>
          <w:strike/>
          <w:sz w:val="24"/>
          <w:szCs w:val="24"/>
          <w:lang w:val="es-MX"/>
        </w:rPr>
      </w:pPr>
    </w:p>
    <w:p w:rsidR="00E23519" w:rsidRPr="008464D7" w:rsidRDefault="00E23519" w:rsidP="00E23519">
      <w:pPr>
        <w:autoSpaceDE w:val="0"/>
        <w:autoSpaceDN w:val="0"/>
        <w:adjustRightInd w:val="0"/>
        <w:spacing w:after="0" w:line="240" w:lineRule="auto"/>
        <w:jc w:val="both"/>
        <w:rPr>
          <w:rFonts w:ascii="Arial" w:hAnsi="Arial" w:cs="Arial"/>
          <w:sz w:val="24"/>
          <w:szCs w:val="24"/>
        </w:rPr>
      </w:pPr>
      <w:r w:rsidRPr="008464D7">
        <w:rPr>
          <w:rFonts w:ascii="Arial" w:hAnsi="Arial" w:cs="Arial"/>
          <w:sz w:val="24"/>
          <w:szCs w:val="24"/>
        </w:rPr>
        <w:t xml:space="preserve">El pasado 12 de marzo se publicaron en el Periódico Oficial “El Estado de Colima” las </w:t>
      </w:r>
      <w:r w:rsidRPr="008464D7">
        <w:rPr>
          <w:rFonts w:ascii="Arial" w:hAnsi="Arial" w:cs="Arial"/>
          <w:b/>
          <w:sz w:val="24"/>
          <w:szCs w:val="24"/>
        </w:rPr>
        <w:t>Reglas de Austeridad y Disciplina del Gasto Público Estatal</w:t>
      </w:r>
      <w:r w:rsidRPr="008464D7">
        <w:rPr>
          <w:rFonts w:ascii="Arial" w:hAnsi="Arial" w:cs="Arial"/>
          <w:sz w:val="24"/>
          <w:szCs w:val="24"/>
        </w:rPr>
        <w:t>, cumpliendo con el compromiso de iniciar uno de los planes más ambiciosos en la historia de Colima en materia de ahorro, eficiencia del gasto público y disciplina financiera.</w:t>
      </w:r>
    </w:p>
    <w:p w:rsidR="00E23519" w:rsidRPr="008464D7" w:rsidRDefault="00E23519" w:rsidP="00E23519">
      <w:pPr>
        <w:autoSpaceDE w:val="0"/>
        <w:autoSpaceDN w:val="0"/>
        <w:adjustRightInd w:val="0"/>
        <w:spacing w:after="0" w:line="240" w:lineRule="auto"/>
        <w:jc w:val="both"/>
        <w:rPr>
          <w:rFonts w:ascii="Arial" w:hAnsi="Arial" w:cs="Arial"/>
          <w:sz w:val="24"/>
          <w:szCs w:val="24"/>
        </w:rPr>
      </w:pPr>
    </w:p>
    <w:p w:rsidR="00E23519" w:rsidRPr="008464D7" w:rsidRDefault="00E23519" w:rsidP="00E23519">
      <w:pPr>
        <w:autoSpaceDE w:val="0"/>
        <w:autoSpaceDN w:val="0"/>
        <w:adjustRightInd w:val="0"/>
        <w:spacing w:after="0" w:line="240" w:lineRule="auto"/>
        <w:jc w:val="both"/>
        <w:rPr>
          <w:rFonts w:ascii="Arial" w:hAnsi="Arial" w:cs="Arial"/>
          <w:sz w:val="24"/>
          <w:szCs w:val="24"/>
        </w:rPr>
      </w:pPr>
      <w:r w:rsidRPr="008464D7">
        <w:rPr>
          <w:rFonts w:ascii="Arial" w:hAnsi="Arial" w:cs="Arial"/>
          <w:sz w:val="24"/>
          <w:szCs w:val="24"/>
        </w:rPr>
        <w:t>Este plan de austeridad elimina gastos no esenciales y reorienta los recursos hacia inversiones en programas sociales y actividades sustantivas de la administración.</w:t>
      </w:r>
    </w:p>
    <w:p w:rsidR="00E23519" w:rsidRPr="008464D7" w:rsidRDefault="00E23519" w:rsidP="00E23519">
      <w:pPr>
        <w:autoSpaceDE w:val="0"/>
        <w:autoSpaceDN w:val="0"/>
        <w:adjustRightInd w:val="0"/>
        <w:spacing w:after="0" w:line="240" w:lineRule="auto"/>
        <w:jc w:val="both"/>
        <w:rPr>
          <w:rFonts w:ascii="Arial" w:hAnsi="Arial" w:cs="Arial"/>
          <w:sz w:val="24"/>
          <w:szCs w:val="24"/>
        </w:rPr>
      </w:pPr>
    </w:p>
    <w:p w:rsidR="00E23519" w:rsidRPr="008464D7" w:rsidRDefault="00E23519" w:rsidP="00E23519">
      <w:pPr>
        <w:autoSpaceDE w:val="0"/>
        <w:autoSpaceDN w:val="0"/>
        <w:adjustRightInd w:val="0"/>
        <w:spacing w:after="0" w:line="240" w:lineRule="auto"/>
        <w:jc w:val="both"/>
        <w:rPr>
          <w:rFonts w:ascii="Arial" w:hAnsi="Arial" w:cs="Arial"/>
          <w:sz w:val="24"/>
          <w:szCs w:val="24"/>
        </w:rPr>
      </w:pPr>
      <w:r w:rsidRPr="008464D7">
        <w:rPr>
          <w:rFonts w:ascii="Arial" w:hAnsi="Arial" w:cs="Arial"/>
          <w:sz w:val="24"/>
          <w:szCs w:val="24"/>
        </w:rPr>
        <w:t>Esta medida además de coadyuvar en el saneamiento y la estabilización de las finanzas públicas, permitirá reorientar los recursos hacia los temas de más sensibilidad y necesidad social, contribuyendo al mejoramiento del bienestar de las familias colimenses.</w:t>
      </w:r>
    </w:p>
    <w:p w:rsidR="00E23519" w:rsidRPr="008464D7" w:rsidRDefault="00E23519" w:rsidP="00E23519">
      <w:pPr>
        <w:pStyle w:val="Texto"/>
        <w:spacing w:after="0" w:line="240" w:lineRule="auto"/>
        <w:ind w:firstLine="0"/>
        <w:rPr>
          <w:color w:val="FF0000"/>
          <w:sz w:val="24"/>
          <w:szCs w:val="24"/>
        </w:rPr>
      </w:pPr>
    </w:p>
    <w:p w:rsidR="00E23519" w:rsidRPr="008464D7" w:rsidRDefault="00E23519" w:rsidP="00E23519">
      <w:pPr>
        <w:pStyle w:val="Texto"/>
        <w:spacing w:after="0" w:line="240" w:lineRule="auto"/>
        <w:ind w:firstLine="0"/>
        <w:rPr>
          <w:b/>
          <w:sz w:val="24"/>
          <w:szCs w:val="24"/>
        </w:rPr>
      </w:pPr>
      <w:r w:rsidRPr="008464D7">
        <w:rPr>
          <w:sz w:val="24"/>
          <w:szCs w:val="24"/>
        </w:rPr>
        <w:t xml:space="preserve">Con los postulados y asignaciones que se consignan en el Proyecto de Presupuesto de Egresos que remite el Ejecutivo, nutrido con los análisis que efectué el H. Congreso del Estado, se contribuirá a cumplir con la meta de lograr una reducción del 15% del gasto corriente al 2018, respecto al gasto corriente ejercido en 2015, </w:t>
      </w:r>
      <w:r w:rsidRPr="008464D7">
        <w:rPr>
          <w:sz w:val="24"/>
          <w:szCs w:val="24"/>
        </w:rPr>
        <w:lastRenderedPageBreak/>
        <w:t xml:space="preserve">de acuerdo al compromiso plasmado en las </w:t>
      </w:r>
      <w:r w:rsidRPr="008464D7">
        <w:rPr>
          <w:b/>
          <w:bCs/>
          <w:sz w:val="24"/>
          <w:szCs w:val="24"/>
        </w:rPr>
        <w:t>Reglas de Racionalidad y Disciplina del Gasto Público Estatal.</w:t>
      </w:r>
    </w:p>
    <w:p w:rsidR="00E23519" w:rsidRPr="008464D7" w:rsidRDefault="00E23519" w:rsidP="00E23519">
      <w:pPr>
        <w:pStyle w:val="Texto"/>
        <w:spacing w:after="0" w:line="240" w:lineRule="auto"/>
        <w:ind w:firstLine="0"/>
        <w:rPr>
          <w:b/>
          <w:sz w:val="24"/>
          <w:szCs w:val="24"/>
        </w:rPr>
      </w:pPr>
    </w:p>
    <w:p w:rsidR="00E23519" w:rsidRPr="008464D7" w:rsidRDefault="00E23519" w:rsidP="00E23519">
      <w:pPr>
        <w:spacing w:line="240" w:lineRule="auto"/>
        <w:jc w:val="both"/>
        <w:rPr>
          <w:rFonts w:ascii="Arial" w:hAnsi="Arial" w:cs="Arial"/>
          <w:sz w:val="24"/>
          <w:szCs w:val="24"/>
        </w:rPr>
      </w:pPr>
      <w:r w:rsidRPr="008464D7">
        <w:rPr>
          <w:rFonts w:ascii="Arial" w:hAnsi="Arial" w:cs="Arial"/>
          <w:sz w:val="24"/>
          <w:szCs w:val="24"/>
        </w:rPr>
        <w:t>Las reducciones referidas reflejan el compromiso del gobierno con la provisión de los bienes y servicios más importantes para la ciudadanía, así como la reestructura interna que, en el marco de la reingeniería del gasto, permitirá un ejercicio más eficiente de estos recursos.</w:t>
      </w:r>
    </w:p>
    <w:p w:rsidR="00E23519" w:rsidRPr="008464D7" w:rsidRDefault="00E23519" w:rsidP="00E23519">
      <w:pPr>
        <w:autoSpaceDE w:val="0"/>
        <w:autoSpaceDN w:val="0"/>
        <w:adjustRightInd w:val="0"/>
        <w:spacing w:after="0" w:line="240" w:lineRule="auto"/>
        <w:jc w:val="both"/>
        <w:rPr>
          <w:rFonts w:ascii="Arial" w:hAnsi="Arial" w:cs="Arial"/>
          <w:b/>
          <w:sz w:val="24"/>
          <w:szCs w:val="24"/>
        </w:rPr>
      </w:pPr>
      <w:r w:rsidRPr="008464D7">
        <w:rPr>
          <w:rFonts w:ascii="Arial" w:hAnsi="Arial" w:cs="Arial"/>
          <w:b/>
          <w:sz w:val="24"/>
          <w:szCs w:val="24"/>
          <w:u w:val="single"/>
        </w:rPr>
        <w:t>Eje 4.</w:t>
      </w:r>
      <w:r w:rsidRPr="008464D7">
        <w:rPr>
          <w:rFonts w:ascii="Arial" w:hAnsi="Arial" w:cs="Arial"/>
          <w:b/>
          <w:i/>
          <w:sz w:val="24"/>
          <w:szCs w:val="24"/>
        </w:rPr>
        <w:t xml:space="preserve"> Mejora en la asignación de recursos destinados a programas y proyectos de Inversión.</w:t>
      </w:r>
    </w:p>
    <w:p w:rsidR="00E23519" w:rsidRPr="008464D7" w:rsidRDefault="00E23519" w:rsidP="00E23519">
      <w:pPr>
        <w:autoSpaceDE w:val="0"/>
        <w:autoSpaceDN w:val="0"/>
        <w:adjustRightInd w:val="0"/>
        <w:spacing w:after="0" w:line="240" w:lineRule="auto"/>
        <w:jc w:val="both"/>
        <w:rPr>
          <w:rFonts w:ascii="Arial" w:hAnsi="Arial" w:cs="Arial"/>
          <w:b/>
          <w:sz w:val="24"/>
          <w:szCs w:val="24"/>
        </w:rPr>
      </w:pPr>
    </w:p>
    <w:p w:rsidR="00E23519" w:rsidRPr="008464D7" w:rsidRDefault="00E23519" w:rsidP="00E23519">
      <w:pPr>
        <w:autoSpaceDE w:val="0"/>
        <w:autoSpaceDN w:val="0"/>
        <w:adjustRightInd w:val="0"/>
        <w:spacing w:after="0" w:line="240" w:lineRule="auto"/>
        <w:jc w:val="both"/>
        <w:rPr>
          <w:rFonts w:ascii="Arial" w:hAnsi="Arial" w:cs="Arial"/>
          <w:sz w:val="24"/>
          <w:szCs w:val="24"/>
        </w:rPr>
      </w:pPr>
      <w:r w:rsidRPr="008464D7">
        <w:rPr>
          <w:rFonts w:ascii="Arial" w:hAnsi="Arial" w:cs="Arial"/>
          <w:sz w:val="24"/>
          <w:szCs w:val="24"/>
        </w:rPr>
        <w:t>Con base en la definición de las prioridades estatales plasmadas en el PED derivadas del consenso ciudadano por medio de la planeación participativa, en el marco de la Gestión para Resulta</w:t>
      </w:r>
      <w:r>
        <w:rPr>
          <w:rFonts w:ascii="Arial" w:hAnsi="Arial" w:cs="Arial"/>
          <w:sz w:val="24"/>
          <w:szCs w:val="24"/>
        </w:rPr>
        <w:t>dos</w:t>
      </w:r>
      <w:r w:rsidRPr="008464D7">
        <w:rPr>
          <w:rFonts w:ascii="Arial" w:hAnsi="Arial" w:cs="Arial"/>
          <w:sz w:val="24"/>
          <w:szCs w:val="24"/>
        </w:rPr>
        <w:t>, se fortalecieron las acciones con el propósito de mejorar la asignación de recursos a los programas y proyectos de inversión,  a partir del análisis de costo-beneficio, a fin de priorizar los de mayor potencial y rentabilidad social,  generadores de valor público, para incidir en el crecimiento y desarrollo económico, para apuntalar el cumplimiento de los objetivos y metas planteadas en el Plan Estatal de Desarrollo 2016-2021, así como de los programas institucionales, sectoriales y especiales que de él emanen.</w:t>
      </w:r>
    </w:p>
    <w:p w:rsidR="00E23519" w:rsidRPr="008464D7" w:rsidRDefault="00E23519" w:rsidP="00E23519">
      <w:pPr>
        <w:autoSpaceDE w:val="0"/>
        <w:autoSpaceDN w:val="0"/>
        <w:adjustRightInd w:val="0"/>
        <w:spacing w:after="0" w:line="240" w:lineRule="auto"/>
        <w:jc w:val="both"/>
        <w:rPr>
          <w:rFonts w:ascii="Arial" w:hAnsi="Arial" w:cs="Arial"/>
          <w:b/>
          <w:sz w:val="24"/>
          <w:szCs w:val="24"/>
        </w:rPr>
      </w:pPr>
    </w:p>
    <w:p w:rsidR="00E23519" w:rsidRPr="008464D7" w:rsidRDefault="00E23519" w:rsidP="00E23519">
      <w:pPr>
        <w:autoSpaceDE w:val="0"/>
        <w:autoSpaceDN w:val="0"/>
        <w:adjustRightInd w:val="0"/>
        <w:spacing w:after="0" w:line="240" w:lineRule="auto"/>
        <w:jc w:val="both"/>
        <w:rPr>
          <w:rFonts w:ascii="Arial" w:hAnsi="Arial" w:cs="Arial"/>
          <w:sz w:val="24"/>
          <w:szCs w:val="24"/>
        </w:rPr>
      </w:pPr>
      <w:r w:rsidRPr="008464D7">
        <w:rPr>
          <w:rFonts w:ascii="Arial" w:hAnsi="Arial" w:cs="Arial"/>
          <w:sz w:val="24"/>
          <w:szCs w:val="24"/>
        </w:rPr>
        <w:t>Se identificaron y se priorizaron los proyectos de inversión que generan mayores beneficios a la población y atienden las problemáticas sociales sentidas por la ciudadanía.</w:t>
      </w:r>
    </w:p>
    <w:p w:rsidR="00E23519" w:rsidRPr="008464D7" w:rsidRDefault="00E23519" w:rsidP="00E23519">
      <w:pPr>
        <w:spacing w:after="0" w:line="240" w:lineRule="auto"/>
        <w:jc w:val="both"/>
        <w:rPr>
          <w:rFonts w:ascii="Arial" w:hAnsi="Arial" w:cs="Arial"/>
          <w:b/>
          <w:sz w:val="24"/>
          <w:szCs w:val="24"/>
        </w:rPr>
      </w:pPr>
    </w:p>
    <w:p w:rsidR="00E23519" w:rsidRPr="008464D7" w:rsidRDefault="00E23519" w:rsidP="00E23519">
      <w:pPr>
        <w:spacing w:after="0" w:line="240" w:lineRule="auto"/>
        <w:jc w:val="both"/>
        <w:rPr>
          <w:rFonts w:ascii="Arial" w:eastAsia="Times New Roman" w:hAnsi="Arial" w:cs="Arial"/>
          <w:sz w:val="24"/>
          <w:szCs w:val="24"/>
          <w:lang w:val="es-ES" w:eastAsia="es-ES"/>
        </w:rPr>
      </w:pPr>
      <w:r w:rsidRPr="008464D7">
        <w:rPr>
          <w:rFonts w:ascii="Arial" w:eastAsia="Times New Roman" w:hAnsi="Arial" w:cs="Arial"/>
          <w:sz w:val="24"/>
          <w:szCs w:val="24"/>
          <w:lang w:val="es-ES" w:eastAsia="es-ES"/>
        </w:rPr>
        <w:t>En el mediano plazo, se implementarán acciones para avanzar en los siguientes aspectos:</w:t>
      </w:r>
    </w:p>
    <w:p w:rsidR="00E23519" w:rsidRPr="008464D7" w:rsidRDefault="00E23519" w:rsidP="00E23519">
      <w:pPr>
        <w:spacing w:after="0" w:line="240" w:lineRule="auto"/>
        <w:ind w:firstLine="288"/>
        <w:jc w:val="both"/>
        <w:rPr>
          <w:rFonts w:ascii="Arial" w:eastAsia="Times New Roman" w:hAnsi="Arial" w:cs="Arial"/>
          <w:sz w:val="24"/>
          <w:szCs w:val="24"/>
          <w:lang w:val="es-ES" w:eastAsia="es-ES"/>
        </w:rPr>
      </w:pPr>
    </w:p>
    <w:p w:rsidR="00E23519" w:rsidRPr="008464D7" w:rsidRDefault="00E23519" w:rsidP="00E23519">
      <w:pPr>
        <w:spacing w:after="0" w:line="240" w:lineRule="auto"/>
        <w:jc w:val="both"/>
        <w:rPr>
          <w:rFonts w:ascii="Arial" w:eastAsia="Times New Roman" w:hAnsi="Arial" w:cs="Arial"/>
          <w:sz w:val="24"/>
          <w:szCs w:val="24"/>
          <w:lang w:val="es-ES" w:eastAsia="es-ES"/>
        </w:rPr>
      </w:pPr>
      <w:r w:rsidRPr="008464D7">
        <w:rPr>
          <w:rFonts w:ascii="Arial" w:eastAsia="Times New Roman" w:hAnsi="Arial" w:cs="Arial"/>
          <w:sz w:val="24"/>
          <w:szCs w:val="24"/>
          <w:lang w:val="es-ES" w:eastAsia="es-ES"/>
        </w:rPr>
        <w:t>Con anterioridad al ejercicio o contratación de cualquier programa o proyecto de inversión cuyo monto rebase el equivalente a 10 millones de Unidades de Inversión, se realizará un análisis costo y beneficio, en donde se muestre que dichos programas y proyectos son susceptibles de generar, en cada caso, un beneficio social neto bajo supuestos razonables. Dicho análisis no se requerirá en el caso del gasto de inversión que se destine a la atención prioritaria de desastres naturales declarados en los términos de la Ley General de Protección Civil.</w:t>
      </w:r>
    </w:p>
    <w:p w:rsidR="00E23519" w:rsidRPr="008464D7" w:rsidRDefault="00E23519" w:rsidP="00E23519">
      <w:pPr>
        <w:spacing w:after="0" w:line="240" w:lineRule="auto"/>
        <w:jc w:val="both"/>
        <w:rPr>
          <w:rFonts w:ascii="Arial" w:eastAsia="Times New Roman" w:hAnsi="Arial" w:cs="Arial"/>
          <w:sz w:val="24"/>
          <w:szCs w:val="24"/>
          <w:lang w:val="es-ES" w:eastAsia="es-ES"/>
        </w:rPr>
      </w:pPr>
    </w:p>
    <w:p w:rsidR="00E23519" w:rsidRPr="008464D7" w:rsidRDefault="00E23519" w:rsidP="00E23519">
      <w:pPr>
        <w:spacing w:after="0" w:line="240" w:lineRule="auto"/>
        <w:jc w:val="both"/>
        <w:rPr>
          <w:rFonts w:ascii="Arial" w:eastAsia="Times New Roman" w:hAnsi="Arial" w:cs="Arial"/>
          <w:sz w:val="24"/>
          <w:szCs w:val="24"/>
          <w:lang w:val="es-ES" w:eastAsia="es-ES"/>
        </w:rPr>
      </w:pPr>
      <w:r w:rsidRPr="008464D7">
        <w:rPr>
          <w:rFonts w:ascii="Arial" w:eastAsia="Times New Roman" w:hAnsi="Arial" w:cs="Arial"/>
          <w:sz w:val="24"/>
          <w:szCs w:val="24"/>
          <w:lang w:val="es-ES" w:eastAsia="es-ES"/>
        </w:rPr>
        <w:t>Para los propósitos señalados se contará con un área encargada de evaluar el análisis socioeconómico, conforme a los requisitos que, en su caso, se determinen para tales efectos; así como de integrar y administrar el registro de proyectos de inversión pública productiva.</w:t>
      </w:r>
    </w:p>
    <w:p w:rsidR="00E23519" w:rsidRPr="008464D7" w:rsidRDefault="00E23519" w:rsidP="00E23519">
      <w:pPr>
        <w:spacing w:after="0" w:line="240" w:lineRule="auto"/>
        <w:jc w:val="both"/>
        <w:rPr>
          <w:rFonts w:ascii="Arial" w:eastAsia="Times New Roman" w:hAnsi="Arial" w:cs="Arial"/>
          <w:sz w:val="24"/>
          <w:szCs w:val="24"/>
          <w:lang w:val="es-ES" w:eastAsia="es-ES"/>
        </w:rPr>
      </w:pPr>
    </w:p>
    <w:p w:rsidR="00E23519" w:rsidRPr="008464D7" w:rsidRDefault="00E23519" w:rsidP="00E23519">
      <w:pPr>
        <w:spacing w:after="0" w:line="240" w:lineRule="auto"/>
        <w:jc w:val="both"/>
        <w:rPr>
          <w:rFonts w:ascii="Arial" w:hAnsi="Arial" w:cs="Arial"/>
          <w:sz w:val="24"/>
          <w:szCs w:val="24"/>
        </w:rPr>
      </w:pPr>
      <w:r w:rsidRPr="008464D7">
        <w:rPr>
          <w:rFonts w:ascii="Arial" w:eastAsia="Times New Roman" w:hAnsi="Arial" w:cs="Arial"/>
          <w:sz w:val="24"/>
          <w:szCs w:val="24"/>
          <w:lang w:val="es-ES" w:eastAsia="es-ES"/>
        </w:rPr>
        <w:lastRenderedPageBreak/>
        <w:t>En materia de que eventualmente se planifiquen proyectos de inversión pública productiva que se pretendan contratar bajo un esquema de Asociación Público-Privada, se deberá acreditar, por lo menos, un análisis de conveniencia para llevar a cabo el proyecto a través de dicho esquema, en comparación con un mecanismo de obra pública tradicional y un análisis de transferencia de riesgos al sector privado. Dichas evaluaciones serán públicas.</w:t>
      </w:r>
      <w:r w:rsidRPr="008464D7">
        <w:rPr>
          <w:rFonts w:ascii="Arial" w:eastAsia="Times New Roman" w:hAnsi="Arial" w:cs="Arial"/>
          <w:color w:val="000000" w:themeColor="text1"/>
          <w:sz w:val="24"/>
          <w:szCs w:val="24"/>
          <w:lang w:val="es-ES" w:eastAsia="es-ES"/>
        </w:rPr>
        <w:t xml:space="preserve"> Ello en acatamiento a lo previsto en la Ley de Asociaciones Público Privadas del Estado de Colima aprobada por el H. Congreso del Estado, mediante Decreto Número</w:t>
      </w:r>
      <w:r w:rsidRPr="008464D7">
        <w:rPr>
          <w:rFonts w:ascii="Arial" w:eastAsia="Times New Roman" w:hAnsi="Arial" w:cs="Arial"/>
          <w:color w:val="C00000"/>
          <w:sz w:val="24"/>
          <w:szCs w:val="24"/>
          <w:lang w:val="es-ES" w:eastAsia="es-ES"/>
        </w:rPr>
        <w:t xml:space="preserve"> </w:t>
      </w:r>
      <w:r w:rsidRPr="008464D7">
        <w:rPr>
          <w:rFonts w:ascii="Arial" w:hAnsi="Arial" w:cs="Arial"/>
          <w:sz w:val="24"/>
          <w:szCs w:val="24"/>
        </w:rPr>
        <w:t>156, de fecha 15 de septiembre de 2016.</w:t>
      </w:r>
    </w:p>
    <w:p w:rsidR="00E23519" w:rsidRPr="008464D7" w:rsidRDefault="00E23519" w:rsidP="00E23519">
      <w:pPr>
        <w:spacing w:after="0" w:line="240" w:lineRule="auto"/>
        <w:jc w:val="both"/>
        <w:rPr>
          <w:rFonts w:ascii="Arial" w:hAnsi="Arial" w:cs="Arial"/>
          <w:sz w:val="24"/>
          <w:szCs w:val="24"/>
        </w:rPr>
      </w:pPr>
    </w:p>
    <w:p w:rsidR="00E23519" w:rsidRPr="008464D7" w:rsidRDefault="00E23519" w:rsidP="00E23519">
      <w:pPr>
        <w:autoSpaceDE w:val="0"/>
        <w:autoSpaceDN w:val="0"/>
        <w:adjustRightInd w:val="0"/>
        <w:spacing w:after="0" w:line="240" w:lineRule="auto"/>
        <w:jc w:val="both"/>
        <w:rPr>
          <w:rFonts w:ascii="Arial" w:hAnsi="Arial" w:cs="Arial"/>
          <w:b/>
          <w:strike/>
          <w:sz w:val="24"/>
          <w:szCs w:val="24"/>
        </w:rPr>
      </w:pPr>
      <w:r w:rsidRPr="008464D7">
        <w:rPr>
          <w:rFonts w:ascii="Arial" w:hAnsi="Arial" w:cs="Arial"/>
          <w:b/>
          <w:sz w:val="24"/>
          <w:szCs w:val="24"/>
          <w:u w:val="single"/>
        </w:rPr>
        <w:t>Eje 5</w:t>
      </w:r>
      <w:r w:rsidRPr="008464D7">
        <w:rPr>
          <w:rFonts w:ascii="Arial" w:hAnsi="Arial" w:cs="Arial"/>
          <w:b/>
          <w:sz w:val="24"/>
          <w:szCs w:val="24"/>
        </w:rPr>
        <w:t xml:space="preserve">. </w:t>
      </w:r>
      <w:r w:rsidRPr="008464D7">
        <w:rPr>
          <w:rFonts w:ascii="Arial" w:hAnsi="Arial" w:cs="Arial"/>
          <w:b/>
          <w:i/>
          <w:sz w:val="24"/>
          <w:szCs w:val="24"/>
        </w:rPr>
        <w:t>Ejes transversales y estrategias complementarias</w:t>
      </w:r>
      <w:r w:rsidRPr="008464D7">
        <w:rPr>
          <w:rFonts w:ascii="Arial" w:hAnsi="Arial" w:cs="Arial"/>
          <w:b/>
          <w:sz w:val="24"/>
          <w:szCs w:val="24"/>
        </w:rPr>
        <w:t>.</w:t>
      </w:r>
    </w:p>
    <w:p w:rsidR="00E23519" w:rsidRPr="008464D7" w:rsidRDefault="00E23519" w:rsidP="00E23519">
      <w:pPr>
        <w:autoSpaceDE w:val="0"/>
        <w:autoSpaceDN w:val="0"/>
        <w:adjustRightInd w:val="0"/>
        <w:spacing w:after="0" w:line="240" w:lineRule="auto"/>
        <w:jc w:val="both"/>
        <w:rPr>
          <w:rFonts w:ascii="Arial" w:hAnsi="Arial" w:cs="Arial"/>
          <w:b/>
          <w:color w:val="FF0000"/>
          <w:sz w:val="24"/>
          <w:szCs w:val="24"/>
        </w:rPr>
      </w:pPr>
    </w:p>
    <w:p w:rsidR="00E23519" w:rsidRPr="008464D7" w:rsidRDefault="00E23519" w:rsidP="00E23519">
      <w:pPr>
        <w:autoSpaceDE w:val="0"/>
        <w:autoSpaceDN w:val="0"/>
        <w:adjustRightInd w:val="0"/>
        <w:spacing w:after="0" w:line="240" w:lineRule="auto"/>
        <w:jc w:val="both"/>
        <w:rPr>
          <w:rFonts w:ascii="Arial" w:hAnsi="Arial" w:cs="Arial"/>
          <w:b/>
          <w:color w:val="000000" w:themeColor="text1"/>
          <w:sz w:val="24"/>
          <w:szCs w:val="24"/>
        </w:rPr>
      </w:pPr>
      <w:r w:rsidRPr="008464D7">
        <w:rPr>
          <w:rFonts w:ascii="Arial" w:hAnsi="Arial" w:cs="Arial"/>
          <w:b/>
          <w:color w:val="000000" w:themeColor="text1"/>
          <w:sz w:val="24"/>
          <w:szCs w:val="24"/>
        </w:rPr>
        <w:t>V.1 Ejes Transversales:</w:t>
      </w:r>
    </w:p>
    <w:p w:rsidR="00E23519" w:rsidRPr="008464D7" w:rsidRDefault="00E23519" w:rsidP="00E23519">
      <w:pPr>
        <w:pStyle w:val="Prrafodelista"/>
        <w:autoSpaceDE w:val="0"/>
        <w:autoSpaceDN w:val="0"/>
        <w:adjustRightInd w:val="0"/>
        <w:spacing w:after="0" w:line="240" w:lineRule="auto"/>
        <w:jc w:val="both"/>
        <w:rPr>
          <w:rFonts w:ascii="Arial" w:hAnsi="Arial" w:cs="Arial"/>
          <w:b/>
          <w:color w:val="000000" w:themeColor="text1"/>
          <w:sz w:val="24"/>
          <w:szCs w:val="24"/>
        </w:rPr>
      </w:pPr>
    </w:p>
    <w:p w:rsidR="00E23519" w:rsidRPr="008464D7" w:rsidRDefault="00E23519" w:rsidP="00E23519">
      <w:pPr>
        <w:pStyle w:val="Prrafodelista"/>
        <w:numPr>
          <w:ilvl w:val="0"/>
          <w:numId w:val="1"/>
        </w:numPr>
        <w:autoSpaceDE w:val="0"/>
        <w:autoSpaceDN w:val="0"/>
        <w:adjustRightInd w:val="0"/>
        <w:spacing w:after="0" w:line="240" w:lineRule="auto"/>
        <w:jc w:val="both"/>
        <w:rPr>
          <w:rFonts w:ascii="Arial" w:hAnsi="Arial" w:cs="Arial"/>
          <w:color w:val="000000" w:themeColor="text1"/>
          <w:sz w:val="24"/>
          <w:szCs w:val="24"/>
        </w:rPr>
      </w:pPr>
      <w:r w:rsidRPr="008464D7">
        <w:rPr>
          <w:rFonts w:ascii="Arial" w:hAnsi="Arial" w:cs="Arial"/>
          <w:color w:val="000000" w:themeColor="text1"/>
          <w:sz w:val="24"/>
          <w:szCs w:val="24"/>
        </w:rPr>
        <w:t xml:space="preserve">Colima con un Gobierno Moderno, Efectivo y Transparente. </w:t>
      </w:r>
    </w:p>
    <w:p w:rsidR="00E23519" w:rsidRPr="008464D7" w:rsidRDefault="00E23519" w:rsidP="00E23519">
      <w:pPr>
        <w:pStyle w:val="Prrafodelista"/>
        <w:numPr>
          <w:ilvl w:val="0"/>
          <w:numId w:val="1"/>
        </w:numPr>
        <w:autoSpaceDE w:val="0"/>
        <w:autoSpaceDN w:val="0"/>
        <w:adjustRightInd w:val="0"/>
        <w:spacing w:after="0" w:line="240" w:lineRule="auto"/>
        <w:jc w:val="both"/>
        <w:rPr>
          <w:rFonts w:ascii="Arial" w:hAnsi="Arial" w:cs="Arial"/>
          <w:color w:val="000000" w:themeColor="text1"/>
          <w:sz w:val="24"/>
          <w:szCs w:val="24"/>
        </w:rPr>
      </w:pPr>
      <w:r w:rsidRPr="008464D7">
        <w:rPr>
          <w:rFonts w:ascii="Arial" w:hAnsi="Arial" w:cs="Arial"/>
          <w:color w:val="000000" w:themeColor="text1"/>
          <w:sz w:val="24"/>
          <w:szCs w:val="24"/>
        </w:rPr>
        <w:t xml:space="preserve"> Colima por la Igualdad</w:t>
      </w:r>
    </w:p>
    <w:p w:rsidR="00E23519" w:rsidRPr="008464D7" w:rsidRDefault="00E23519" w:rsidP="00E23519">
      <w:pPr>
        <w:pStyle w:val="Prrafodelista"/>
        <w:numPr>
          <w:ilvl w:val="0"/>
          <w:numId w:val="1"/>
        </w:numPr>
        <w:autoSpaceDE w:val="0"/>
        <w:autoSpaceDN w:val="0"/>
        <w:adjustRightInd w:val="0"/>
        <w:spacing w:after="0" w:line="240" w:lineRule="auto"/>
        <w:jc w:val="both"/>
        <w:rPr>
          <w:rFonts w:ascii="Arial" w:hAnsi="Arial" w:cs="Arial"/>
          <w:b/>
          <w:color w:val="000000" w:themeColor="text1"/>
          <w:sz w:val="24"/>
          <w:szCs w:val="24"/>
        </w:rPr>
      </w:pPr>
      <w:r w:rsidRPr="008464D7">
        <w:rPr>
          <w:rFonts w:ascii="Arial" w:hAnsi="Arial" w:cs="Arial"/>
          <w:color w:val="000000" w:themeColor="text1"/>
          <w:sz w:val="24"/>
          <w:szCs w:val="24"/>
        </w:rPr>
        <w:t xml:space="preserve"> Colima Sustentable</w:t>
      </w:r>
    </w:p>
    <w:p w:rsidR="00E23519" w:rsidRPr="008464D7" w:rsidRDefault="00E23519" w:rsidP="00E23519">
      <w:pPr>
        <w:autoSpaceDE w:val="0"/>
        <w:autoSpaceDN w:val="0"/>
        <w:adjustRightInd w:val="0"/>
        <w:spacing w:after="0" w:line="240" w:lineRule="auto"/>
        <w:jc w:val="both"/>
        <w:rPr>
          <w:rFonts w:ascii="Arial" w:hAnsi="Arial" w:cs="Arial"/>
          <w:b/>
          <w:strike/>
          <w:color w:val="000000" w:themeColor="text1"/>
          <w:sz w:val="24"/>
          <w:szCs w:val="24"/>
        </w:rPr>
      </w:pPr>
    </w:p>
    <w:p w:rsidR="00E23519" w:rsidRPr="008464D7" w:rsidRDefault="00E23519" w:rsidP="00E23519">
      <w:pPr>
        <w:autoSpaceDE w:val="0"/>
        <w:autoSpaceDN w:val="0"/>
        <w:adjustRightInd w:val="0"/>
        <w:spacing w:after="0" w:line="240" w:lineRule="auto"/>
        <w:jc w:val="both"/>
        <w:rPr>
          <w:rFonts w:ascii="Arial" w:hAnsi="Arial" w:cs="Arial"/>
          <w:b/>
          <w:color w:val="000000" w:themeColor="text1"/>
          <w:sz w:val="24"/>
          <w:szCs w:val="24"/>
        </w:rPr>
      </w:pPr>
      <w:r w:rsidRPr="008464D7">
        <w:rPr>
          <w:rFonts w:ascii="Arial" w:hAnsi="Arial" w:cs="Arial"/>
          <w:b/>
          <w:color w:val="000000" w:themeColor="text1"/>
          <w:sz w:val="24"/>
          <w:szCs w:val="24"/>
        </w:rPr>
        <w:t>V.2 Estrategias Complementarias:</w:t>
      </w:r>
    </w:p>
    <w:p w:rsidR="00E23519" w:rsidRPr="008464D7" w:rsidRDefault="00E23519" w:rsidP="00E23519">
      <w:pPr>
        <w:autoSpaceDE w:val="0"/>
        <w:autoSpaceDN w:val="0"/>
        <w:adjustRightInd w:val="0"/>
        <w:spacing w:after="0" w:line="240" w:lineRule="auto"/>
        <w:jc w:val="both"/>
        <w:rPr>
          <w:rFonts w:ascii="Arial" w:hAnsi="Arial" w:cs="Arial"/>
          <w:b/>
          <w:color w:val="000000" w:themeColor="text1"/>
          <w:sz w:val="24"/>
          <w:szCs w:val="24"/>
        </w:rPr>
      </w:pPr>
    </w:p>
    <w:p w:rsidR="00E23519" w:rsidRPr="008464D7" w:rsidRDefault="00E23519" w:rsidP="00E23519">
      <w:pPr>
        <w:autoSpaceDE w:val="0"/>
        <w:autoSpaceDN w:val="0"/>
        <w:adjustRightInd w:val="0"/>
        <w:spacing w:after="0" w:line="240" w:lineRule="auto"/>
        <w:jc w:val="both"/>
        <w:rPr>
          <w:rFonts w:ascii="Arial" w:hAnsi="Arial" w:cs="Arial"/>
          <w:color w:val="000000" w:themeColor="text1"/>
          <w:sz w:val="24"/>
          <w:szCs w:val="24"/>
        </w:rPr>
      </w:pPr>
      <w:r w:rsidRPr="008464D7">
        <w:rPr>
          <w:rFonts w:ascii="Arial" w:hAnsi="Arial" w:cs="Arial"/>
          <w:color w:val="000000" w:themeColor="text1"/>
          <w:sz w:val="24"/>
          <w:szCs w:val="24"/>
        </w:rPr>
        <w:t>Enfoque Base Cero, Presupuesto basado en Resultados PbR y Sistema de               Evaluación del Desempeño SED.</w:t>
      </w:r>
    </w:p>
    <w:p w:rsidR="00E23519" w:rsidRPr="008464D7" w:rsidRDefault="00E23519" w:rsidP="00E23519">
      <w:pPr>
        <w:autoSpaceDE w:val="0"/>
        <w:autoSpaceDN w:val="0"/>
        <w:adjustRightInd w:val="0"/>
        <w:spacing w:after="0" w:line="240" w:lineRule="auto"/>
        <w:jc w:val="both"/>
        <w:rPr>
          <w:rFonts w:ascii="Arial" w:hAnsi="Arial" w:cs="Arial"/>
          <w:b/>
          <w:color w:val="000000" w:themeColor="text1"/>
          <w:sz w:val="24"/>
          <w:szCs w:val="24"/>
        </w:rPr>
      </w:pPr>
    </w:p>
    <w:p w:rsidR="00E23519" w:rsidRPr="008464D7" w:rsidRDefault="00E23519" w:rsidP="00E23519">
      <w:pPr>
        <w:autoSpaceDE w:val="0"/>
        <w:autoSpaceDN w:val="0"/>
        <w:adjustRightInd w:val="0"/>
        <w:spacing w:after="0" w:line="240" w:lineRule="auto"/>
        <w:jc w:val="both"/>
        <w:rPr>
          <w:rFonts w:ascii="Arial" w:hAnsi="Arial" w:cs="Arial"/>
          <w:b/>
          <w:color w:val="000000" w:themeColor="text1"/>
          <w:sz w:val="24"/>
          <w:szCs w:val="24"/>
        </w:rPr>
      </w:pPr>
      <w:r w:rsidRPr="008464D7">
        <w:rPr>
          <w:rFonts w:ascii="Arial" w:hAnsi="Arial" w:cs="Arial"/>
          <w:b/>
          <w:color w:val="000000" w:themeColor="text1"/>
          <w:sz w:val="24"/>
          <w:szCs w:val="24"/>
        </w:rPr>
        <w:t>V.1 Ejes transversales- líneas de política:</w:t>
      </w:r>
    </w:p>
    <w:p w:rsidR="00E23519" w:rsidRPr="008464D7" w:rsidRDefault="00E23519" w:rsidP="00E23519">
      <w:pPr>
        <w:pStyle w:val="Prrafodelista"/>
        <w:autoSpaceDE w:val="0"/>
        <w:autoSpaceDN w:val="0"/>
        <w:adjustRightInd w:val="0"/>
        <w:spacing w:after="0" w:line="240" w:lineRule="auto"/>
        <w:jc w:val="both"/>
        <w:rPr>
          <w:rFonts w:ascii="Arial" w:hAnsi="Arial" w:cs="Arial"/>
          <w:b/>
          <w:color w:val="000000" w:themeColor="text1"/>
          <w:sz w:val="24"/>
          <w:szCs w:val="24"/>
        </w:rPr>
      </w:pPr>
    </w:p>
    <w:p w:rsidR="00E23519" w:rsidRPr="008464D7" w:rsidRDefault="00E23519" w:rsidP="00E23519">
      <w:pPr>
        <w:pStyle w:val="Prrafodelista"/>
        <w:numPr>
          <w:ilvl w:val="0"/>
          <w:numId w:val="2"/>
        </w:numPr>
        <w:autoSpaceDE w:val="0"/>
        <w:autoSpaceDN w:val="0"/>
        <w:adjustRightInd w:val="0"/>
        <w:spacing w:after="0" w:line="240" w:lineRule="auto"/>
        <w:jc w:val="both"/>
        <w:rPr>
          <w:rFonts w:ascii="Arial" w:hAnsi="Arial" w:cs="Arial"/>
          <w:sz w:val="24"/>
          <w:szCs w:val="24"/>
        </w:rPr>
      </w:pPr>
      <w:r w:rsidRPr="008464D7">
        <w:rPr>
          <w:rFonts w:ascii="Arial" w:hAnsi="Arial" w:cs="Arial"/>
          <w:sz w:val="24"/>
          <w:szCs w:val="24"/>
        </w:rPr>
        <w:t>Colima con un Gobierno Moderno, Efectivo y Transparente.</w:t>
      </w:r>
    </w:p>
    <w:p w:rsidR="00E23519" w:rsidRPr="008464D7" w:rsidRDefault="00E23519" w:rsidP="00E23519">
      <w:pPr>
        <w:pStyle w:val="Prrafodelista"/>
        <w:autoSpaceDE w:val="0"/>
        <w:autoSpaceDN w:val="0"/>
        <w:adjustRightInd w:val="0"/>
        <w:spacing w:after="0" w:line="240" w:lineRule="auto"/>
        <w:jc w:val="both"/>
        <w:rPr>
          <w:rFonts w:ascii="Arial" w:hAnsi="Arial" w:cs="Arial"/>
          <w:sz w:val="24"/>
          <w:szCs w:val="24"/>
        </w:rPr>
      </w:pPr>
    </w:p>
    <w:p w:rsidR="00E23519" w:rsidRDefault="00E23519" w:rsidP="00E23519">
      <w:pPr>
        <w:spacing w:after="0" w:line="240" w:lineRule="auto"/>
        <w:ind w:left="426"/>
        <w:jc w:val="both"/>
        <w:rPr>
          <w:rFonts w:ascii="Arial" w:eastAsia="Times New Roman" w:hAnsi="Arial" w:cs="Arial"/>
          <w:sz w:val="24"/>
          <w:szCs w:val="24"/>
          <w:lang w:val="es-ES" w:eastAsia="es-ES"/>
        </w:rPr>
      </w:pPr>
      <w:r w:rsidRPr="001B1579">
        <w:rPr>
          <w:rFonts w:ascii="Arial" w:eastAsia="Times New Roman" w:hAnsi="Arial" w:cs="Arial"/>
          <w:sz w:val="24"/>
          <w:szCs w:val="24"/>
          <w:lang w:val="es-ES" w:eastAsia="es-ES"/>
        </w:rPr>
        <w:t>Fortalecer las finanzas públicas del estado mediante la revisión de las políticas de ingresos, egresos y deuda pública.</w:t>
      </w:r>
    </w:p>
    <w:p w:rsidR="00E23519" w:rsidRPr="001B1579" w:rsidRDefault="00E23519" w:rsidP="00E23519">
      <w:pPr>
        <w:spacing w:after="0" w:line="240" w:lineRule="auto"/>
        <w:ind w:left="426"/>
        <w:jc w:val="both"/>
        <w:rPr>
          <w:rFonts w:ascii="Arial" w:eastAsia="Times New Roman" w:hAnsi="Arial" w:cs="Arial"/>
          <w:sz w:val="24"/>
          <w:szCs w:val="24"/>
          <w:lang w:val="es-ES" w:eastAsia="es-ES"/>
        </w:rPr>
      </w:pPr>
    </w:p>
    <w:p w:rsidR="00E23519" w:rsidRDefault="00E23519" w:rsidP="00E23519">
      <w:pPr>
        <w:spacing w:after="0" w:line="240" w:lineRule="auto"/>
        <w:ind w:left="426"/>
        <w:jc w:val="both"/>
        <w:rPr>
          <w:rFonts w:ascii="Arial" w:eastAsia="Times New Roman" w:hAnsi="Arial" w:cs="Arial"/>
          <w:sz w:val="24"/>
          <w:szCs w:val="24"/>
          <w:lang w:val="es-ES" w:eastAsia="es-ES"/>
        </w:rPr>
      </w:pPr>
      <w:r w:rsidRPr="001B1579">
        <w:rPr>
          <w:rFonts w:ascii="Arial" w:eastAsia="Times New Roman" w:hAnsi="Arial" w:cs="Arial"/>
          <w:sz w:val="24"/>
          <w:szCs w:val="24"/>
          <w:lang w:val="es-ES" w:eastAsia="es-ES"/>
        </w:rPr>
        <w:t xml:space="preserve">Modernizar la gestión pública mediante la actualización del marco normativo, la implementación de mejoras regulatorias, la simplificación de trámites, la reducción de costos y la capacitación de servidores públicos. </w:t>
      </w:r>
    </w:p>
    <w:p w:rsidR="00E23519" w:rsidRPr="001B1579" w:rsidRDefault="00E23519" w:rsidP="00E23519">
      <w:pPr>
        <w:spacing w:after="0" w:line="240" w:lineRule="auto"/>
        <w:ind w:left="426"/>
        <w:jc w:val="both"/>
        <w:rPr>
          <w:rFonts w:ascii="Arial" w:eastAsia="Times New Roman" w:hAnsi="Arial" w:cs="Arial"/>
          <w:sz w:val="24"/>
          <w:szCs w:val="24"/>
          <w:lang w:val="es-ES" w:eastAsia="es-ES"/>
        </w:rPr>
      </w:pPr>
    </w:p>
    <w:p w:rsidR="00E23519" w:rsidRDefault="00E23519" w:rsidP="00E23519">
      <w:pPr>
        <w:spacing w:after="0" w:line="240" w:lineRule="auto"/>
        <w:ind w:left="426"/>
        <w:jc w:val="both"/>
        <w:rPr>
          <w:rFonts w:ascii="Arial" w:eastAsia="Times New Roman" w:hAnsi="Arial" w:cs="Arial"/>
          <w:sz w:val="24"/>
          <w:szCs w:val="24"/>
          <w:lang w:val="es-ES" w:eastAsia="es-ES"/>
        </w:rPr>
      </w:pPr>
      <w:r w:rsidRPr="001B1579">
        <w:rPr>
          <w:rFonts w:ascii="Arial" w:eastAsia="Times New Roman" w:hAnsi="Arial" w:cs="Arial"/>
          <w:sz w:val="24"/>
          <w:szCs w:val="24"/>
          <w:lang w:val="es-ES" w:eastAsia="es-ES"/>
        </w:rPr>
        <w:t>Reducir la corrupción mediante mayor transparencia, rendición de cuentas, mecanismos de monitoreo y evaluación y el uso de las tecnologías de la información y comunicación.</w:t>
      </w:r>
    </w:p>
    <w:p w:rsidR="00E23519" w:rsidRPr="001B1579" w:rsidRDefault="00E23519" w:rsidP="00E23519">
      <w:pPr>
        <w:spacing w:after="0" w:line="240" w:lineRule="auto"/>
        <w:jc w:val="both"/>
        <w:rPr>
          <w:rFonts w:ascii="Arial" w:eastAsia="Times New Roman" w:hAnsi="Arial" w:cs="Arial"/>
          <w:sz w:val="24"/>
          <w:szCs w:val="24"/>
          <w:lang w:val="es-ES" w:eastAsia="es-ES"/>
        </w:rPr>
      </w:pPr>
    </w:p>
    <w:p w:rsidR="00E23519" w:rsidRPr="008464D7" w:rsidRDefault="00E23519" w:rsidP="00E23519">
      <w:pPr>
        <w:pStyle w:val="Prrafodelista"/>
        <w:numPr>
          <w:ilvl w:val="0"/>
          <w:numId w:val="2"/>
        </w:numPr>
        <w:autoSpaceDE w:val="0"/>
        <w:autoSpaceDN w:val="0"/>
        <w:adjustRightInd w:val="0"/>
        <w:spacing w:after="0" w:line="240" w:lineRule="auto"/>
        <w:jc w:val="both"/>
        <w:rPr>
          <w:rFonts w:ascii="Arial" w:hAnsi="Arial" w:cs="Arial"/>
          <w:sz w:val="24"/>
          <w:szCs w:val="24"/>
        </w:rPr>
      </w:pPr>
      <w:r w:rsidRPr="008464D7">
        <w:rPr>
          <w:rFonts w:ascii="Arial" w:hAnsi="Arial" w:cs="Arial"/>
          <w:sz w:val="24"/>
          <w:szCs w:val="24"/>
        </w:rPr>
        <w:t>Colima por la Igualdad.</w:t>
      </w:r>
    </w:p>
    <w:p w:rsidR="00E23519" w:rsidRPr="008464D7" w:rsidRDefault="00E23519" w:rsidP="00E23519">
      <w:pPr>
        <w:pStyle w:val="Prrafodelista"/>
        <w:autoSpaceDE w:val="0"/>
        <w:autoSpaceDN w:val="0"/>
        <w:adjustRightInd w:val="0"/>
        <w:spacing w:after="0" w:line="240" w:lineRule="auto"/>
        <w:jc w:val="both"/>
        <w:rPr>
          <w:rFonts w:ascii="Arial" w:hAnsi="Arial" w:cs="Arial"/>
          <w:sz w:val="24"/>
          <w:szCs w:val="24"/>
        </w:rPr>
      </w:pPr>
    </w:p>
    <w:p w:rsidR="00E23519" w:rsidRDefault="00E23519" w:rsidP="00E23519">
      <w:pPr>
        <w:spacing w:after="0" w:line="240" w:lineRule="auto"/>
        <w:ind w:left="426"/>
        <w:jc w:val="both"/>
        <w:rPr>
          <w:rFonts w:ascii="Arial" w:eastAsia="Times New Roman" w:hAnsi="Arial" w:cs="Arial"/>
          <w:sz w:val="24"/>
          <w:szCs w:val="24"/>
          <w:lang w:val="es-ES" w:eastAsia="es-ES"/>
        </w:rPr>
      </w:pPr>
      <w:r w:rsidRPr="001B1579">
        <w:rPr>
          <w:rFonts w:ascii="Arial" w:eastAsia="Times New Roman" w:hAnsi="Arial" w:cs="Arial"/>
          <w:sz w:val="24"/>
          <w:szCs w:val="24"/>
          <w:lang w:val="es-ES" w:eastAsia="es-ES"/>
        </w:rPr>
        <w:t>Impulsar la equidad en el ámbito laboral.</w:t>
      </w:r>
    </w:p>
    <w:p w:rsidR="00E23519" w:rsidRPr="001B1579" w:rsidRDefault="00E23519" w:rsidP="00E23519">
      <w:pPr>
        <w:spacing w:after="0" w:line="240" w:lineRule="auto"/>
        <w:ind w:left="426"/>
        <w:jc w:val="both"/>
        <w:rPr>
          <w:rFonts w:ascii="Arial" w:eastAsia="Times New Roman" w:hAnsi="Arial" w:cs="Arial"/>
          <w:sz w:val="24"/>
          <w:szCs w:val="24"/>
          <w:lang w:val="es-ES" w:eastAsia="es-ES"/>
        </w:rPr>
      </w:pPr>
    </w:p>
    <w:p w:rsidR="00E23519" w:rsidRDefault="00E23519" w:rsidP="00E23519">
      <w:pPr>
        <w:spacing w:after="0" w:line="240" w:lineRule="auto"/>
        <w:ind w:left="426"/>
        <w:jc w:val="both"/>
        <w:rPr>
          <w:rFonts w:ascii="Arial" w:eastAsia="Times New Roman" w:hAnsi="Arial" w:cs="Arial"/>
          <w:sz w:val="24"/>
          <w:szCs w:val="24"/>
          <w:lang w:val="es-ES" w:eastAsia="es-ES"/>
        </w:rPr>
      </w:pPr>
      <w:r w:rsidRPr="001B1579">
        <w:rPr>
          <w:rFonts w:ascii="Arial" w:eastAsia="Times New Roman" w:hAnsi="Arial" w:cs="Arial"/>
          <w:sz w:val="24"/>
          <w:szCs w:val="24"/>
          <w:lang w:val="es-ES" w:eastAsia="es-ES"/>
        </w:rPr>
        <w:lastRenderedPageBreak/>
        <w:t>Impulsar la equidad en el ámbito educativo.</w:t>
      </w:r>
    </w:p>
    <w:p w:rsidR="00E23519" w:rsidRPr="001B1579" w:rsidRDefault="00E23519" w:rsidP="00E23519">
      <w:pPr>
        <w:spacing w:after="0" w:line="240" w:lineRule="auto"/>
        <w:ind w:left="426"/>
        <w:jc w:val="both"/>
        <w:rPr>
          <w:rFonts w:ascii="Arial" w:eastAsia="Times New Roman" w:hAnsi="Arial" w:cs="Arial"/>
          <w:sz w:val="24"/>
          <w:szCs w:val="24"/>
          <w:lang w:val="es-ES" w:eastAsia="es-ES"/>
        </w:rPr>
      </w:pPr>
    </w:p>
    <w:p w:rsidR="00E23519" w:rsidRDefault="00E23519" w:rsidP="00E23519">
      <w:pPr>
        <w:spacing w:after="0" w:line="240" w:lineRule="auto"/>
        <w:ind w:left="426"/>
        <w:jc w:val="both"/>
        <w:rPr>
          <w:rFonts w:ascii="Arial" w:eastAsia="Times New Roman" w:hAnsi="Arial" w:cs="Arial"/>
          <w:sz w:val="24"/>
          <w:szCs w:val="24"/>
          <w:lang w:val="es-ES" w:eastAsia="es-ES"/>
        </w:rPr>
      </w:pPr>
      <w:r w:rsidRPr="001B1579">
        <w:rPr>
          <w:rFonts w:ascii="Arial" w:eastAsia="Times New Roman" w:hAnsi="Arial" w:cs="Arial"/>
          <w:sz w:val="24"/>
          <w:szCs w:val="24"/>
          <w:lang w:val="es-ES" w:eastAsia="es-ES"/>
        </w:rPr>
        <w:t>Fortalecer la inclusión de las mujeres y las personas con discapacidad</w:t>
      </w:r>
    </w:p>
    <w:p w:rsidR="00E23519" w:rsidRPr="001B1579" w:rsidRDefault="00E23519" w:rsidP="00E23519">
      <w:pPr>
        <w:spacing w:after="0" w:line="240" w:lineRule="auto"/>
        <w:ind w:left="426"/>
        <w:jc w:val="both"/>
        <w:rPr>
          <w:rFonts w:ascii="Arial" w:eastAsia="Times New Roman" w:hAnsi="Arial" w:cs="Arial"/>
          <w:sz w:val="24"/>
          <w:szCs w:val="24"/>
          <w:lang w:val="es-ES" w:eastAsia="es-ES"/>
        </w:rPr>
      </w:pPr>
    </w:p>
    <w:p w:rsidR="00E23519" w:rsidRDefault="00E23519" w:rsidP="00E23519">
      <w:pPr>
        <w:spacing w:after="0" w:line="240" w:lineRule="auto"/>
        <w:ind w:left="426"/>
        <w:jc w:val="both"/>
        <w:rPr>
          <w:rFonts w:ascii="Arial" w:eastAsia="Times New Roman" w:hAnsi="Arial" w:cs="Arial"/>
          <w:sz w:val="24"/>
          <w:szCs w:val="24"/>
          <w:lang w:val="es-ES" w:eastAsia="es-ES"/>
        </w:rPr>
      </w:pPr>
      <w:r w:rsidRPr="001B1579">
        <w:rPr>
          <w:rFonts w:ascii="Arial" w:eastAsia="Times New Roman" w:hAnsi="Arial" w:cs="Arial"/>
          <w:sz w:val="24"/>
          <w:szCs w:val="24"/>
          <w:lang w:val="es-ES" w:eastAsia="es-ES"/>
        </w:rPr>
        <w:t>Fortalecer la prevención y la atención a las víctimas de violencia de género</w:t>
      </w:r>
    </w:p>
    <w:p w:rsidR="00E23519" w:rsidRPr="001B1579" w:rsidRDefault="00E23519" w:rsidP="00E23519">
      <w:pPr>
        <w:spacing w:after="0" w:line="240" w:lineRule="auto"/>
        <w:jc w:val="both"/>
        <w:rPr>
          <w:rFonts w:ascii="Arial" w:eastAsia="Times New Roman" w:hAnsi="Arial" w:cs="Arial"/>
          <w:sz w:val="24"/>
          <w:szCs w:val="24"/>
          <w:lang w:val="es-ES" w:eastAsia="es-ES"/>
        </w:rPr>
      </w:pPr>
    </w:p>
    <w:p w:rsidR="00E23519" w:rsidRPr="008464D7" w:rsidRDefault="00E23519" w:rsidP="00E23519">
      <w:pPr>
        <w:pStyle w:val="Prrafodelista"/>
        <w:numPr>
          <w:ilvl w:val="0"/>
          <w:numId w:val="2"/>
        </w:numPr>
        <w:autoSpaceDE w:val="0"/>
        <w:autoSpaceDN w:val="0"/>
        <w:adjustRightInd w:val="0"/>
        <w:spacing w:after="0" w:line="240" w:lineRule="auto"/>
        <w:jc w:val="both"/>
        <w:rPr>
          <w:rFonts w:ascii="Arial" w:hAnsi="Arial" w:cs="Arial"/>
          <w:sz w:val="24"/>
          <w:szCs w:val="24"/>
        </w:rPr>
      </w:pPr>
      <w:r w:rsidRPr="008464D7">
        <w:rPr>
          <w:rFonts w:ascii="Arial" w:hAnsi="Arial" w:cs="Arial"/>
          <w:sz w:val="24"/>
          <w:szCs w:val="24"/>
        </w:rPr>
        <w:t>Colima Sustentable.</w:t>
      </w:r>
    </w:p>
    <w:p w:rsidR="00E23519" w:rsidRPr="008464D7" w:rsidRDefault="00E23519" w:rsidP="00E23519">
      <w:pPr>
        <w:autoSpaceDE w:val="0"/>
        <w:autoSpaceDN w:val="0"/>
        <w:adjustRightInd w:val="0"/>
        <w:spacing w:after="0" w:line="240" w:lineRule="auto"/>
        <w:jc w:val="both"/>
        <w:rPr>
          <w:rFonts w:ascii="Arial" w:hAnsi="Arial" w:cs="Arial"/>
          <w:b/>
          <w:strike/>
          <w:sz w:val="24"/>
          <w:szCs w:val="24"/>
        </w:rPr>
      </w:pPr>
    </w:p>
    <w:p w:rsidR="00E23519" w:rsidRDefault="00E23519" w:rsidP="00E23519">
      <w:pPr>
        <w:spacing w:after="0" w:line="240" w:lineRule="auto"/>
        <w:ind w:left="426"/>
        <w:jc w:val="both"/>
        <w:rPr>
          <w:rFonts w:ascii="Arial" w:eastAsia="Times New Roman" w:hAnsi="Arial" w:cs="Arial"/>
          <w:sz w:val="24"/>
          <w:szCs w:val="24"/>
          <w:lang w:val="es-ES" w:eastAsia="es-ES"/>
        </w:rPr>
      </w:pPr>
      <w:r w:rsidRPr="00344AD0">
        <w:rPr>
          <w:rFonts w:ascii="Arial" w:eastAsia="Times New Roman" w:hAnsi="Arial" w:cs="Arial"/>
          <w:sz w:val="24"/>
          <w:szCs w:val="24"/>
          <w:lang w:val="es-ES" w:eastAsia="es-ES"/>
        </w:rPr>
        <w:t>Asegurar que las políticas de desarrollo económico y social del estado sean sustentables y que brinden oportunidades a las comunidades más vulnerables.</w:t>
      </w:r>
    </w:p>
    <w:p w:rsidR="00E23519" w:rsidRPr="00344AD0" w:rsidRDefault="00E23519" w:rsidP="00E23519">
      <w:pPr>
        <w:spacing w:after="0" w:line="240" w:lineRule="auto"/>
        <w:ind w:left="426"/>
        <w:jc w:val="both"/>
        <w:rPr>
          <w:rFonts w:ascii="Arial" w:eastAsia="Times New Roman" w:hAnsi="Arial" w:cs="Arial"/>
          <w:sz w:val="24"/>
          <w:szCs w:val="24"/>
          <w:lang w:val="es-ES" w:eastAsia="es-ES"/>
        </w:rPr>
      </w:pPr>
    </w:p>
    <w:p w:rsidR="00E23519" w:rsidRPr="00344AD0" w:rsidRDefault="00E23519" w:rsidP="00E23519">
      <w:pPr>
        <w:spacing w:after="0" w:line="240" w:lineRule="auto"/>
        <w:ind w:left="426"/>
        <w:jc w:val="both"/>
        <w:rPr>
          <w:rFonts w:ascii="Arial" w:eastAsia="Times New Roman" w:hAnsi="Arial" w:cs="Arial"/>
          <w:sz w:val="24"/>
          <w:szCs w:val="24"/>
          <w:lang w:val="es-ES" w:eastAsia="es-ES"/>
        </w:rPr>
      </w:pPr>
      <w:r w:rsidRPr="00344AD0">
        <w:rPr>
          <w:rFonts w:ascii="Arial" w:eastAsia="Times New Roman" w:hAnsi="Arial" w:cs="Arial"/>
          <w:sz w:val="24"/>
          <w:szCs w:val="24"/>
          <w:lang w:val="es-ES" w:eastAsia="es-ES"/>
        </w:rPr>
        <w:t>Garantizar el manejo sustentable de los recursos naturales del estado.</w:t>
      </w:r>
    </w:p>
    <w:p w:rsidR="00E23519" w:rsidRPr="008464D7" w:rsidRDefault="00E23519" w:rsidP="00E23519">
      <w:pPr>
        <w:autoSpaceDE w:val="0"/>
        <w:autoSpaceDN w:val="0"/>
        <w:adjustRightInd w:val="0"/>
        <w:spacing w:after="0" w:line="240" w:lineRule="auto"/>
        <w:ind w:left="426"/>
        <w:jc w:val="both"/>
        <w:rPr>
          <w:rFonts w:ascii="Arial" w:hAnsi="Arial" w:cs="Arial"/>
          <w:sz w:val="24"/>
          <w:szCs w:val="24"/>
        </w:rPr>
      </w:pPr>
    </w:p>
    <w:p w:rsidR="00E23519" w:rsidRPr="008464D7" w:rsidRDefault="00E23519" w:rsidP="00E23519">
      <w:pPr>
        <w:autoSpaceDE w:val="0"/>
        <w:autoSpaceDN w:val="0"/>
        <w:adjustRightInd w:val="0"/>
        <w:spacing w:after="0" w:line="240" w:lineRule="auto"/>
        <w:ind w:left="426"/>
        <w:jc w:val="both"/>
        <w:rPr>
          <w:rFonts w:ascii="Arial" w:hAnsi="Arial" w:cs="Arial"/>
          <w:sz w:val="24"/>
          <w:szCs w:val="24"/>
        </w:rPr>
      </w:pPr>
      <w:r w:rsidRPr="008464D7">
        <w:rPr>
          <w:rFonts w:ascii="Arial" w:hAnsi="Arial" w:cs="Arial"/>
          <w:sz w:val="24"/>
          <w:szCs w:val="24"/>
        </w:rPr>
        <w:t>Diseñar e implementar programas de mitigación del cambio climático.</w:t>
      </w:r>
      <w:r w:rsidRPr="008464D7">
        <w:rPr>
          <w:sz w:val="24"/>
          <w:szCs w:val="24"/>
        </w:rPr>
        <w:t xml:space="preserve"> </w:t>
      </w:r>
      <w:r w:rsidRPr="008464D7">
        <w:rPr>
          <w:rFonts w:ascii="Arial" w:hAnsi="Arial" w:cs="Arial"/>
          <w:sz w:val="24"/>
          <w:szCs w:val="24"/>
        </w:rPr>
        <w:t>Mejorar la educación ambiental de los colimenses.</w:t>
      </w:r>
    </w:p>
    <w:p w:rsidR="00E23519" w:rsidRPr="008464D7" w:rsidRDefault="00E23519" w:rsidP="00E23519">
      <w:pPr>
        <w:spacing w:after="0" w:line="240" w:lineRule="auto"/>
        <w:ind w:left="426"/>
        <w:jc w:val="both"/>
        <w:rPr>
          <w:rFonts w:ascii="Arial" w:eastAsia="Times New Roman" w:hAnsi="Arial" w:cs="Arial"/>
          <w:sz w:val="24"/>
          <w:szCs w:val="24"/>
          <w:lang w:val="es-ES" w:eastAsia="es-ES"/>
        </w:rPr>
      </w:pPr>
      <w:r w:rsidRPr="008464D7">
        <w:rPr>
          <w:rFonts w:ascii="Arial" w:hAnsi="Arial" w:cs="Arial"/>
          <w:sz w:val="24"/>
          <w:szCs w:val="24"/>
        </w:rPr>
        <w:t>Garantizar la disponibilidad de sistemas de movilidad sustentable en todo el estado.</w:t>
      </w:r>
    </w:p>
    <w:p w:rsidR="00E23519" w:rsidRPr="008464D7" w:rsidRDefault="00E23519" w:rsidP="00E23519">
      <w:pPr>
        <w:spacing w:line="240" w:lineRule="auto"/>
        <w:jc w:val="both"/>
        <w:rPr>
          <w:rFonts w:ascii="Arial" w:hAnsi="Arial" w:cs="Arial"/>
          <w:lang w:val="es-ES"/>
        </w:rPr>
      </w:pPr>
    </w:p>
    <w:p w:rsidR="00E23519" w:rsidRPr="008464D7" w:rsidRDefault="00E23519" w:rsidP="00E23519">
      <w:pPr>
        <w:autoSpaceDE w:val="0"/>
        <w:autoSpaceDN w:val="0"/>
        <w:adjustRightInd w:val="0"/>
        <w:spacing w:after="0" w:line="240" w:lineRule="auto"/>
        <w:ind w:left="360"/>
        <w:jc w:val="both"/>
        <w:rPr>
          <w:rFonts w:ascii="Arial" w:hAnsi="Arial" w:cs="Arial"/>
          <w:b/>
          <w:sz w:val="24"/>
          <w:szCs w:val="24"/>
        </w:rPr>
      </w:pPr>
      <w:r w:rsidRPr="008464D7">
        <w:rPr>
          <w:rFonts w:ascii="Arial" w:hAnsi="Arial" w:cs="Arial"/>
          <w:b/>
          <w:sz w:val="24"/>
          <w:szCs w:val="24"/>
        </w:rPr>
        <w:t>V.2</w:t>
      </w:r>
      <w:r w:rsidRPr="008464D7">
        <w:rPr>
          <w:rFonts w:ascii="Arial" w:hAnsi="Arial" w:cs="Arial"/>
          <w:b/>
          <w:color w:val="FF0000"/>
          <w:sz w:val="24"/>
          <w:szCs w:val="24"/>
        </w:rPr>
        <w:t xml:space="preserve"> </w:t>
      </w:r>
      <w:r w:rsidRPr="008464D7">
        <w:rPr>
          <w:rFonts w:ascii="Arial" w:hAnsi="Arial" w:cs="Arial"/>
          <w:b/>
          <w:sz w:val="24"/>
          <w:szCs w:val="24"/>
        </w:rPr>
        <w:t>Estrategias Complementarias:</w:t>
      </w:r>
    </w:p>
    <w:p w:rsidR="00E23519" w:rsidRPr="008464D7" w:rsidRDefault="00E23519" w:rsidP="00E23519">
      <w:pPr>
        <w:autoSpaceDE w:val="0"/>
        <w:autoSpaceDN w:val="0"/>
        <w:adjustRightInd w:val="0"/>
        <w:spacing w:after="0" w:line="240" w:lineRule="auto"/>
        <w:jc w:val="both"/>
        <w:rPr>
          <w:rFonts w:ascii="Arial" w:hAnsi="Arial" w:cs="Arial"/>
          <w:b/>
          <w:sz w:val="24"/>
          <w:szCs w:val="24"/>
        </w:rPr>
      </w:pPr>
    </w:p>
    <w:p w:rsidR="00E23519" w:rsidRPr="008464D7" w:rsidRDefault="00E23519" w:rsidP="00E23519">
      <w:pPr>
        <w:autoSpaceDE w:val="0"/>
        <w:autoSpaceDN w:val="0"/>
        <w:adjustRightInd w:val="0"/>
        <w:spacing w:after="0" w:line="240" w:lineRule="auto"/>
        <w:ind w:left="426"/>
        <w:jc w:val="both"/>
        <w:rPr>
          <w:rFonts w:ascii="Arial" w:hAnsi="Arial" w:cs="Arial"/>
          <w:b/>
          <w:bCs/>
          <w:sz w:val="24"/>
          <w:szCs w:val="24"/>
        </w:rPr>
      </w:pPr>
      <w:r w:rsidRPr="008464D7">
        <w:rPr>
          <w:rFonts w:ascii="Arial" w:hAnsi="Arial" w:cs="Arial"/>
          <w:b/>
          <w:sz w:val="24"/>
          <w:szCs w:val="24"/>
        </w:rPr>
        <w:t>Enfoque Base Cero</w:t>
      </w:r>
      <w:r w:rsidRPr="008464D7">
        <w:rPr>
          <w:rFonts w:ascii="Arial" w:hAnsi="Arial" w:cs="Arial"/>
          <w:b/>
          <w:bCs/>
          <w:sz w:val="24"/>
          <w:szCs w:val="24"/>
        </w:rPr>
        <w:t xml:space="preserve">, Presupuesto basado en Resultados (PbR) </w:t>
      </w:r>
      <w:r w:rsidRPr="008464D7">
        <w:rPr>
          <w:rFonts w:ascii="Arial" w:hAnsi="Arial" w:cs="Arial"/>
          <w:bCs/>
          <w:sz w:val="24"/>
          <w:szCs w:val="24"/>
        </w:rPr>
        <w:t>y el</w:t>
      </w:r>
      <w:r w:rsidRPr="008464D7">
        <w:rPr>
          <w:rFonts w:ascii="Arial" w:hAnsi="Arial" w:cs="Arial"/>
          <w:b/>
          <w:bCs/>
          <w:sz w:val="24"/>
          <w:szCs w:val="24"/>
        </w:rPr>
        <w:t xml:space="preserve"> Sistema de Evaluación del Desempeño (SED).</w:t>
      </w:r>
    </w:p>
    <w:p w:rsidR="00E23519" w:rsidRPr="008464D7" w:rsidRDefault="00E23519" w:rsidP="00E23519">
      <w:pPr>
        <w:autoSpaceDE w:val="0"/>
        <w:autoSpaceDN w:val="0"/>
        <w:adjustRightInd w:val="0"/>
        <w:spacing w:after="0" w:line="240" w:lineRule="auto"/>
        <w:ind w:left="426"/>
        <w:jc w:val="both"/>
        <w:rPr>
          <w:rFonts w:ascii="Arial" w:hAnsi="Arial" w:cs="Arial"/>
          <w:b/>
          <w:color w:val="FF0000"/>
          <w:sz w:val="24"/>
          <w:szCs w:val="24"/>
        </w:rPr>
      </w:pPr>
    </w:p>
    <w:p w:rsidR="00E23519" w:rsidRPr="008464D7" w:rsidRDefault="00E23519" w:rsidP="00E23519">
      <w:pPr>
        <w:autoSpaceDE w:val="0"/>
        <w:autoSpaceDN w:val="0"/>
        <w:adjustRightInd w:val="0"/>
        <w:spacing w:after="0" w:line="240" w:lineRule="auto"/>
        <w:ind w:left="426"/>
        <w:jc w:val="both"/>
        <w:rPr>
          <w:rFonts w:ascii="Arial" w:hAnsi="Arial" w:cs="Arial"/>
          <w:sz w:val="24"/>
          <w:szCs w:val="24"/>
        </w:rPr>
      </w:pPr>
      <w:r w:rsidRPr="008464D7">
        <w:rPr>
          <w:rFonts w:ascii="Arial" w:hAnsi="Arial" w:cs="Arial"/>
          <w:sz w:val="24"/>
          <w:szCs w:val="24"/>
        </w:rPr>
        <w:t>El Presupuesto de Egresos del Gobierno del Estado, constituye uno de los principales instrumentos de política de que dispone el propio gobierno, para alcanzar los objetivos plasmados en el Plan Estatal de Desarrollo 2016-2021.</w:t>
      </w:r>
    </w:p>
    <w:p w:rsidR="00E23519" w:rsidRPr="008464D7" w:rsidRDefault="00E23519" w:rsidP="00E23519">
      <w:pPr>
        <w:autoSpaceDE w:val="0"/>
        <w:autoSpaceDN w:val="0"/>
        <w:adjustRightInd w:val="0"/>
        <w:spacing w:after="0" w:line="240" w:lineRule="auto"/>
        <w:ind w:left="426"/>
        <w:jc w:val="both"/>
        <w:rPr>
          <w:rFonts w:ascii="Arial" w:hAnsi="Arial" w:cs="Arial"/>
          <w:sz w:val="24"/>
          <w:szCs w:val="24"/>
        </w:rPr>
      </w:pPr>
    </w:p>
    <w:p w:rsidR="00E23519" w:rsidRPr="008464D7" w:rsidRDefault="00E23519" w:rsidP="00E23519">
      <w:pPr>
        <w:autoSpaceDE w:val="0"/>
        <w:autoSpaceDN w:val="0"/>
        <w:adjustRightInd w:val="0"/>
        <w:spacing w:after="0" w:line="240" w:lineRule="auto"/>
        <w:ind w:left="426"/>
        <w:jc w:val="both"/>
        <w:rPr>
          <w:rFonts w:ascii="Arial" w:hAnsi="Arial" w:cs="Arial"/>
          <w:sz w:val="24"/>
          <w:szCs w:val="24"/>
        </w:rPr>
      </w:pPr>
      <w:r w:rsidRPr="008464D7">
        <w:rPr>
          <w:rFonts w:ascii="Arial" w:hAnsi="Arial" w:cs="Arial"/>
          <w:sz w:val="24"/>
          <w:szCs w:val="24"/>
        </w:rPr>
        <w:t>Lo anterior implicó la necesidad de analizar la evolución del gasto público e identificar aquellos componentes que contribuyen a la consecución de las prioridades.</w:t>
      </w:r>
    </w:p>
    <w:p w:rsidR="00E23519" w:rsidRPr="008464D7" w:rsidRDefault="00E23519" w:rsidP="00E23519">
      <w:pPr>
        <w:autoSpaceDE w:val="0"/>
        <w:autoSpaceDN w:val="0"/>
        <w:adjustRightInd w:val="0"/>
        <w:spacing w:after="0" w:line="240" w:lineRule="auto"/>
        <w:ind w:left="426"/>
        <w:jc w:val="both"/>
        <w:rPr>
          <w:rFonts w:ascii="Arial" w:hAnsi="Arial" w:cs="Arial"/>
          <w:sz w:val="24"/>
          <w:szCs w:val="24"/>
        </w:rPr>
      </w:pPr>
    </w:p>
    <w:p w:rsidR="00E23519" w:rsidRPr="008464D7" w:rsidRDefault="00E23519" w:rsidP="00E23519">
      <w:pPr>
        <w:autoSpaceDE w:val="0"/>
        <w:autoSpaceDN w:val="0"/>
        <w:adjustRightInd w:val="0"/>
        <w:spacing w:after="0" w:line="240" w:lineRule="auto"/>
        <w:ind w:left="426"/>
        <w:jc w:val="both"/>
        <w:rPr>
          <w:rFonts w:ascii="Arial" w:hAnsi="Arial" w:cs="Arial"/>
          <w:sz w:val="24"/>
          <w:szCs w:val="24"/>
        </w:rPr>
      </w:pPr>
      <w:r w:rsidRPr="008464D7">
        <w:rPr>
          <w:rFonts w:ascii="Arial" w:hAnsi="Arial" w:cs="Arial"/>
          <w:sz w:val="24"/>
          <w:szCs w:val="24"/>
        </w:rPr>
        <w:t xml:space="preserve">El uso del </w:t>
      </w:r>
      <w:r w:rsidRPr="008464D7">
        <w:rPr>
          <w:rFonts w:ascii="Arial" w:hAnsi="Arial" w:cs="Arial"/>
          <w:b/>
          <w:sz w:val="24"/>
          <w:szCs w:val="24"/>
        </w:rPr>
        <w:t>enfoque Base Cero</w:t>
      </w:r>
      <w:r w:rsidRPr="008464D7">
        <w:rPr>
          <w:rFonts w:ascii="Arial" w:hAnsi="Arial" w:cs="Arial"/>
          <w:sz w:val="24"/>
          <w:szCs w:val="24"/>
        </w:rPr>
        <w:t xml:space="preserve"> significa llevar a cabo un análisis y reorganización de los diferentes componentes del gasto : programas, estructuras organizacionales, gastos de operación, y la forma en que s</w:t>
      </w:r>
      <w:r>
        <w:rPr>
          <w:rFonts w:ascii="Arial" w:hAnsi="Arial" w:cs="Arial"/>
          <w:sz w:val="24"/>
          <w:szCs w:val="24"/>
        </w:rPr>
        <w:t>e determinaron las asignaciones</w:t>
      </w:r>
      <w:r w:rsidRPr="008464D7">
        <w:rPr>
          <w:rFonts w:ascii="Arial" w:hAnsi="Arial" w:cs="Arial"/>
          <w:sz w:val="24"/>
          <w:szCs w:val="24"/>
        </w:rPr>
        <w:t>, privilegiando la determinación de un nivel óptimo de recursos para cada programa, con base en su potencial para cumplir la atenci</w:t>
      </w:r>
      <w:r>
        <w:rPr>
          <w:rFonts w:ascii="Arial" w:hAnsi="Arial" w:cs="Arial"/>
          <w:sz w:val="24"/>
          <w:szCs w:val="24"/>
        </w:rPr>
        <w:t>ón de las prioridades estatales</w:t>
      </w:r>
      <w:r w:rsidRPr="008464D7">
        <w:rPr>
          <w:rFonts w:ascii="Arial" w:hAnsi="Arial" w:cs="Arial"/>
          <w:sz w:val="24"/>
          <w:szCs w:val="24"/>
        </w:rPr>
        <w:t>, rompiendo inercias  incrementalistas de asignación de recursos, a partir de presupuestos de años previos.</w:t>
      </w:r>
    </w:p>
    <w:p w:rsidR="00E23519" w:rsidRPr="008464D7" w:rsidRDefault="00E23519" w:rsidP="00E23519">
      <w:pPr>
        <w:autoSpaceDE w:val="0"/>
        <w:autoSpaceDN w:val="0"/>
        <w:adjustRightInd w:val="0"/>
        <w:spacing w:after="0" w:line="240" w:lineRule="auto"/>
        <w:ind w:left="426"/>
        <w:jc w:val="both"/>
        <w:rPr>
          <w:rFonts w:ascii="Arial" w:hAnsi="Arial" w:cs="Arial"/>
          <w:sz w:val="24"/>
          <w:szCs w:val="24"/>
        </w:rPr>
      </w:pPr>
    </w:p>
    <w:p w:rsidR="00E23519" w:rsidRPr="008464D7" w:rsidRDefault="00E23519" w:rsidP="00E23519">
      <w:pPr>
        <w:autoSpaceDE w:val="0"/>
        <w:autoSpaceDN w:val="0"/>
        <w:adjustRightInd w:val="0"/>
        <w:spacing w:after="0" w:line="240" w:lineRule="auto"/>
        <w:ind w:left="426"/>
        <w:jc w:val="both"/>
        <w:rPr>
          <w:rFonts w:ascii="Arial" w:hAnsi="Arial" w:cs="Arial"/>
          <w:bCs/>
          <w:color w:val="000000" w:themeColor="text1"/>
          <w:sz w:val="24"/>
          <w:szCs w:val="24"/>
        </w:rPr>
      </w:pPr>
      <w:r w:rsidRPr="008464D7">
        <w:rPr>
          <w:rFonts w:ascii="Arial" w:hAnsi="Arial" w:cs="Arial"/>
          <w:sz w:val="24"/>
          <w:szCs w:val="24"/>
        </w:rPr>
        <w:t xml:space="preserve">De esta manera, en la presupuestación 2017 se utilizaron metodologías como el </w:t>
      </w:r>
      <w:r w:rsidRPr="008464D7">
        <w:rPr>
          <w:rFonts w:ascii="Arial" w:hAnsi="Arial" w:cs="Arial"/>
          <w:b/>
          <w:sz w:val="24"/>
          <w:szCs w:val="24"/>
        </w:rPr>
        <w:t>enfoque Base Cero</w:t>
      </w:r>
      <w:r w:rsidRPr="008464D7">
        <w:rPr>
          <w:rFonts w:ascii="Arial" w:hAnsi="Arial" w:cs="Arial"/>
          <w:sz w:val="24"/>
          <w:szCs w:val="24"/>
        </w:rPr>
        <w:t xml:space="preserve">, el </w:t>
      </w:r>
      <w:r w:rsidRPr="008464D7">
        <w:rPr>
          <w:rFonts w:ascii="Arial" w:hAnsi="Arial" w:cs="Arial"/>
          <w:b/>
          <w:bCs/>
          <w:sz w:val="24"/>
          <w:szCs w:val="24"/>
        </w:rPr>
        <w:t xml:space="preserve">Presupuesto basado en Resultados (PbR) </w:t>
      </w:r>
      <w:r w:rsidRPr="008464D7">
        <w:rPr>
          <w:rFonts w:ascii="Arial" w:hAnsi="Arial" w:cs="Arial"/>
          <w:bCs/>
          <w:sz w:val="24"/>
          <w:szCs w:val="24"/>
        </w:rPr>
        <w:t>y el</w:t>
      </w:r>
      <w:r w:rsidRPr="008464D7">
        <w:rPr>
          <w:rFonts w:ascii="Arial" w:hAnsi="Arial" w:cs="Arial"/>
          <w:b/>
          <w:bCs/>
          <w:sz w:val="24"/>
          <w:szCs w:val="24"/>
        </w:rPr>
        <w:t xml:space="preserve"> </w:t>
      </w:r>
      <w:r w:rsidRPr="008464D7">
        <w:rPr>
          <w:rFonts w:ascii="Arial" w:hAnsi="Arial" w:cs="Arial"/>
          <w:b/>
          <w:bCs/>
          <w:sz w:val="24"/>
          <w:szCs w:val="24"/>
        </w:rPr>
        <w:lastRenderedPageBreak/>
        <w:t>Sistema de Evaluación del Desempeño (SED)</w:t>
      </w:r>
      <w:r w:rsidRPr="008464D7">
        <w:rPr>
          <w:rFonts w:ascii="Arial" w:hAnsi="Arial" w:cs="Arial"/>
          <w:bCs/>
          <w:sz w:val="24"/>
          <w:szCs w:val="24"/>
        </w:rPr>
        <w:t>;</w:t>
      </w:r>
      <w:r w:rsidRPr="008464D7">
        <w:rPr>
          <w:rFonts w:ascii="Arial" w:hAnsi="Arial" w:cs="Arial"/>
          <w:bCs/>
        </w:rPr>
        <w:t xml:space="preserve"> El</w:t>
      </w:r>
      <w:r w:rsidRPr="008464D7">
        <w:rPr>
          <w:rFonts w:ascii="Arial" w:hAnsi="Arial" w:cs="Arial"/>
          <w:sz w:val="24"/>
          <w:szCs w:val="24"/>
        </w:rPr>
        <w:t xml:space="preserve"> primero como </w:t>
      </w:r>
      <w:r w:rsidRPr="008464D7">
        <w:rPr>
          <w:rFonts w:ascii="Arial" w:hAnsi="Arial" w:cs="Arial"/>
          <w:bCs/>
          <w:sz w:val="24"/>
          <w:szCs w:val="24"/>
        </w:rPr>
        <w:t xml:space="preserve">instrumento metodológico y el modelo de cultura organizacional, cuyo objetivo es que los recursos públicos se asignen prioritariamente a los programas que generan más beneficios a la población y que se corrija el diseño de </w:t>
      </w:r>
      <w:r w:rsidRPr="008464D7">
        <w:rPr>
          <w:rFonts w:ascii="Arial" w:hAnsi="Arial" w:cs="Arial"/>
          <w:bCs/>
          <w:color w:val="000000" w:themeColor="text1"/>
          <w:sz w:val="24"/>
          <w:szCs w:val="24"/>
        </w:rPr>
        <w:t xml:space="preserve">aquellos que no están funcionando correctamente. </w:t>
      </w:r>
    </w:p>
    <w:p w:rsidR="00E23519" w:rsidRPr="008464D7" w:rsidRDefault="00E23519" w:rsidP="00E23519">
      <w:pPr>
        <w:autoSpaceDE w:val="0"/>
        <w:autoSpaceDN w:val="0"/>
        <w:adjustRightInd w:val="0"/>
        <w:spacing w:after="0" w:line="240" w:lineRule="auto"/>
        <w:ind w:left="426"/>
        <w:jc w:val="both"/>
        <w:rPr>
          <w:rFonts w:ascii="Arial" w:hAnsi="Arial" w:cs="Arial"/>
          <w:bCs/>
          <w:color w:val="000000" w:themeColor="text1"/>
        </w:rPr>
      </w:pPr>
    </w:p>
    <w:p w:rsidR="00E23519" w:rsidRPr="008464D7" w:rsidRDefault="00E23519" w:rsidP="00E23519">
      <w:pPr>
        <w:autoSpaceDE w:val="0"/>
        <w:autoSpaceDN w:val="0"/>
        <w:adjustRightInd w:val="0"/>
        <w:spacing w:after="0" w:line="240" w:lineRule="auto"/>
        <w:ind w:left="426"/>
        <w:jc w:val="both"/>
        <w:rPr>
          <w:rFonts w:ascii="Arial" w:hAnsi="Arial" w:cs="Arial"/>
          <w:bCs/>
          <w:sz w:val="24"/>
          <w:szCs w:val="24"/>
        </w:rPr>
      </w:pPr>
      <w:r w:rsidRPr="008464D7">
        <w:rPr>
          <w:rFonts w:ascii="Arial" w:hAnsi="Arial" w:cs="Arial"/>
          <w:bCs/>
          <w:color w:val="000000" w:themeColor="text1"/>
          <w:sz w:val="24"/>
          <w:szCs w:val="24"/>
        </w:rPr>
        <w:t>Un presupuesto con enfoque en el logro</w:t>
      </w:r>
      <w:r w:rsidRPr="008464D7">
        <w:rPr>
          <w:rFonts w:ascii="Arial" w:hAnsi="Arial" w:cs="Arial"/>
          <w:bCs/>
          <w:sz w:val="24"/>
          <w:szCs w:val="24"/>
        </w:rPr>
        <w:t xml:space="preserve"> de resultados se utiliza con el propósito de que los órganos públicos establezcan de manera puntual los objetivos que se alcanzarán con los recursos que se asignen a sus respectivos programas y que el grado de consecución de dichos objetivos pueda ser efectivamente confirmado mediante el Sistema de Evaluación del Desempeño (SED). </w:t>
      </w:r>
    </w:p>
    <w:p w:rsidR="00E23519" w:rsidRPr="008464D7" w:rsidRDefault="00E23519" w:rsidP="00E23519">
      <w:pPr>
        <w:autoSpaceDE w:val="0"/>
        <w:autoSpaceDN w:val="0"/>
        <w:adjustRightInd w:val="0"/>
        <w:spacing w:after="0" w:line="240" w:lineRule="auto"/>
        <w:ind w:left="426"/>
        <w:jc w:val="both"/>
        <w:rPr>
          <w:rFonts w:ascii="Arial" w:hAnsi="Arial" w:cs="Arial"/>
          <w:sz w:val="24"/>
          <w:szCs w:val="24"/>
        </w:rPr>
      </w:pPr>
    </w:p>
    <w:p w:rsidR="00E23519" w:rsidRPr="008464D7" w:rsidRDefault="00E23519" w:rsidP="00E23519">
      <w:pPr>
        <w:autoSpaceDE w:val="0"/>
        <w:autoSpaceDN w:val="0"/>
        <w:adjustRightInd w:val="0"/>
        <w:spacing w:after="0" w:line="240" w:lineRule="auto"/>
        <w:ind w:left="426"/>
        <w:jc w:val="both"/>
        <w:rPr>
          <w:rFonts w:ascii="Arial" w:hAnsi="Arial" w:cs="Arial"/>
          <w:sz w:val="24"/>
          <w:szCs w:val="24"/>
        </w:rPr>
      </w:pPr>
      <w:r>
        <w:rPr>
          <w:rFonts w:ascii="Arial" w:hAnsi="Arial" w:cs="Arial"/>
          <w:sz w:val="24"/>
          <w:szCs w:val="24"/>
        </w:rPr>
        <w:t>Además</w:t>
      </w:r>
      <w:r w:rsidRPr="008464D7">
        <w:rPr>
          <w:rFonts w:ascii="Arial" w:hAnsi="Arial" w:cs="Arial"/>
          <w:sz w:val="24"/>
          <w:szCs w:val="24"/>
        </w:rPr>
        <w:t>, para potenci</w:t>
      </w:r>
      <w:r>
        <w:rPr>
          <w:rFonts w:ascii="Arial" w:hAnsi="Arial" w:cs="Arial"/>
          <w:sz w:val="24"/>
          <w:szCs w:val="24"/>
        </w:rPr>
        <w:t>ar el monitoreo del presupuesto</w:t>
      </w:r>
      <w:r w:rsidRPr="008464D7">
        <w:rPr>
          <w:rFonts w:ascii="Arial" w:hAnsi="Arial" w:cs="Arial"/>
          <w:sz w:val="24"/>
          <w:szCs w:val="24"/>
        </w:rPr>
        <w:t>, se aplicaron una variedad de instrumentos con diferentes alcances y profundidad metodológica,  con el objeto de obtener información de desempeño, entendido como la actuación o el funcionamiento en las acciones públicas, entre los que destacan: matrices de marco lógico, matrices de indicadores, indicadores de desempeño, con ello se fortalecen las bases para futuros monitoreo y evaluaciones de programas, de proyectos y  revisiones de gasto.</w:t>
      </w:r>
    </w:p>
    <w:p w:rsidR="00E23519" w:rsidRPr="008464D7" w:rsidRDefault="00E23519" w:rsidP="00E23519">
      <w:pPr>
        <w:autoSpaceDE w:val="0"/>
        <w:autoSpaceDN w:val="0"/>
        <w:adjustRightInd w:val="0"/>
        <w:spacing w:after="0" w:line="240" w:lineRule="auto"/>
        <w:ind w:left="426"/>
        <w:jc w:val="both"/>
        <w:rPr>
          <w:rFonts w:ascii="Rotis Sans Serif Std Light" w:hAnsi="Rotis Sans Serif Std Light"/>
          <w:sz w:val="26"/>
        </w:rPr>
      </w:pPr>
    </w:p>
    <w:p w:rsidR="00E23519" w:rsidRPr="008464D7" w:rsidRDefault="00E23519" w:rsidP="00E23519">
      <w:pPr>
        <w:autoSpaceDE w:val="0"/>
        <w:autoSpaceDN w:val="0"/>
        <w:adjustRightInd w:val="0"/>
        <w:spacing w:after="0" w:line="240" w:lineRule="auto"/>
        <w:ind w:left="426"/>
        <w:jc w:val="both"/>
        <w:rPr>
          <w:rFonts w:ascii="Arial" w:hAnsi="Arial" w:cs="Arial"/>
          <w:color w:val="000000"/>
          <w:sz w:val="24"/>
          <w:szCs w:val="24"/>
        </w:rPr>
      </w:pPr>
      <w:r w:rsidRPr="008464D7">
        <w:rPr>
          <w:rFonts w:ascii="Arial" w:hAnsi="Arial" w:cs="Arial"/>
          <w:color w:val="000000"/>
          <w:sz w:val="24"/>
          <w:szCs w:val="24"/>
        </w:rPr>
        <w:t xml:space="preserve">En el presente proyecto, se tiene claro que los resultados finales o impactos </w:t>
      </w:r>
      <w:r>
        <w:rPr>
          <w:rFonts w:ascii="Arial" w:hAnsi="Arial" w:cs="Arial"/>
          <w:color w:val="000000"/>
          <w:sz w:val="24"/>
          <w:szCs w:val="24"/>
        </w:rPr>
        <w:t>(</w:t>
      </w:r>
      <w:r w:rsidRPr="008464D7">
        <w:rPr>
          <w:rFonts w:ascii="Arial" w:hAnsi="Arial" w:cs="Arial"/>
          <w:color w:val="000000"/>
          <w:sz w:val="24"/>
          <w:szCs w:val="24"/>
        </w:rPr>
        <w:t>fin sup</w:t>
      </w:r>
      <w:r>
        <w:rPr>
          <w:rFonts w:ascii="Arial" w:hAnsi="Arial" w:cs="Arial"/>
          <w:color w:val="000000"/>
          <w:sz w:val="24"/>
          <w:szCs w:val="24"/>
        </w:rPr>
        <w:t>erior de las políticas públicas)</w:t>
      </w:r>
      <w:r w:rsidRPr="008464D7">
        <w:rPr>
          <w:rFonts w:ascii="Arial" w:hAnsi="Arial" w:cs="Arial"/>
          <w:color w:val="000000"/>
          <w:sz w:val="24"/>
          <w:szCs w:val="24"/>
        </w:rPr>
        <w:t xml:space="preserve"> en general, ocurren en horizontes de tiempo mayores al período anual de un presupuesto, por ello se perfila el ejercicio anual, con un horizonte de mediano plazo.</w:t>
      </w:r>
    </w:p>
    <w:p w:rsidR="00E23519" w:rsidRPr="008464D7" w:rsidRDefault="00E23519" w:rsidP="00E23519">
      <w:pPr>
        <w:autoSpaceDE w:val="0"/>
        <w:autoSpaceDN w:val="0"/>
        <w:adjustRightInd w:val="0"/>
        <w:spacing w:after="0" w:line="240" w:lineRule="auto"/>
        <w:ind w:left="426"/>
        <w:jc w:val="both"/>
        <w:rPr>
          <w:rFonts w:cs="Rotis Sans Serif Std Light"/>
          <w:color w:val="000000"/>
          <w:sz w:val="26"/>
          <w:szCs w:val="26"/>
        </w:rPr>
      </w:pPr>
    </w:p>
    <w:p w:rsidR="00E23519" w:rsidRPr="008464D7" w:rsidRDefault="00E23519" w:rsidP="00E23519">
      <w:pPr>
        <w:autoSpaceDE w:val="0"/>
        <w:autoSpaceDN w:val="0"/>
        <w:adjustRightInd w:val="0"/>
        <w:spacing w:after="0" w:line="240" w:lineRule="auto"/>
        <w:ind w:left="426"/>
        <w:jc w:val="both"/>
        <w:rPr>
          <w:rFonts w:ascii="Arial" w:hAnsi="Arial" w:cs="Arial"/>
          <w:sz w:val="24"/>
          <w:szCs w:val="24"/>
        </w:rPr>
      </w:pPr>
      <w:r w:rsidRPr="008464D7">
        <w:rPr>
          <w:rFonts w:ascii="Arial" w:hAnsi="Arial" w:cs="Arial"/>
          <w:sz w:val="24"/>
          <w:szCs w:val="24"/>
        </w:rPr>
        <w:t xml:space="preserve">Los referidos Cinco </w:t>
      </w:r>
      <w:r w:rsidRPr="008464D7">
        <w:rPr>
          <w:rFonts w:ascii="Arial" w:hAnsi="Arial" w:cs="Arial"/>
          <w:b/>
          <w:sz w:val="24"/>
          <w:szCs w:val="24"/>
        </w:rPr>
        <w:t xml:space="preserve">Ejes Generales y Transversales </w:t>
      </w:r>
      <w:r w:rsidRPr="008464D7">
        <w:rPr>
          <w:rFonts w:ascii="Arial" w:hAnsi="Arial" w:cs="Arial"/>
          <w:sz w:val="24"/>
          <w:szCs w:val="24"/>
        </w:rPr>
        <w:t>tratados en este apartado contribuyen a articular el compromiso de alcanzar la estabilidad fiscal y financiera, el equilibrio presupuestario y financiero, en beneficio del desarrollo integral del estado.</w:t>
      </w:r>
    </w:p>
    <w:p w:rsidR="00E23519" w:rsidRPr="008464D7" w:rsidRDefault="00E23519" w:rsidP="00E23519">
      <w:pPr>
        <w:autoSpaceDE w:val="0"/>
        <w:autoSpaceDN w:val="0"/>
        <w:adjustRightInd w:val="0"/>
        <w:spacing w:after="0" w:line="240" w:lineRule="auto"/>
        <w:jc w:val="both"/>
        <w:rPr>
          <w:rFonts w:ascii="Arial" w:hAnsi="Arial" w:cs="Arial"/>
          <w:sz w:val="24"/>
          <w:szCs w:val="24"/>
        </w:rPr>
      </w:pPr>
    </w:p>
    <w:p w:rsidR="00E23519" w:rsidRPr="008464D7" w:rsidRDefault="00E23519" w:rsidP="00E23519">
      <w:pPr>
        <w:autoSpaceDE w:val="0"/>
        <w:autoSpaceDN w:val="0"/>
        <w:adjustRightInd w:val="0"/>
        <w:spacing w:after="0" w:line="240" w:lineRule="auto"/>
        <w:jc w:val="both"/>
        <w:rPr>
          <w:rFonts w:ascii="Arial" w:hAnsi="Arial" w:cs="Arial"/>
          <w:sz w:val="24"/>
          <w:szCs w:val="24"/>
        </w:rPr>
      </w:pPr>
    </w:p>
    <w:p w:rsidR="00E23519" w:rsidRPr="008464D7" w:rsidRDefault="00E23519" w:rsidP="00E23519">
      <w:pPr>
        <w:autoSpaceDE w:val="0"/>
        <w:autoSpaceDN w:val="0"/>
        <w:adjustRightInd w:val="0"/>
        <w:spacing w:after="0" w:line="240" w:lineRule="auto"/>
        <w:jc w:val="both"/>
        <w:rPr>
          <w:rFonts w:ascii="Arial" w:hAnsi="Arial" w:cs="Arial"/>
          <w:sz w:val="24"/>
          <w:szCs w:val="24"/>
        </w:rPr>
      </w:pPr>
    </w:p>
    <w:p w:rsidR="00E23519" w:rsidRPr="008464D7" w:rsidRDefault="00E23519" w:rsidP="00E23519">
      <w:pPr>
        <w:autoSpaceDE w:val="0"/>
        <w:autoSpaceDN w:val="0"/>
        <w:adjustRightInd w:val="0"/>
        <w:spacing w:after="0" w:line="240" w:lineRule="auto"/>
        <w:jc w:val="both"/>
        <w:rPr>
          <w:rFonts w:ascii="Arial" w:hAnsi="Arial" w:cs="Arial"/>
          <w:sz w:val="24"/>
          <w:szCs w:val="24"/>
        </w:rPr>
      </w:pPr>
    </w:p>
    <w:p w:rsidR="00E23519" w:rsidRPr="008464D7" w:rsidRDefault="00E23519" w:rsidP="00E23519">
      <w:pPr>
        <w:autoSpaceDE w:val="0"/>
        <w:autoSpaceDN w:val="0"/>
        <w:adjustRightInd w:val="0"/>
        <w:spacing w:after="0" w:line="240" w:lineRule="auto"/>
        <w:jc w:val="both"/>
        <w:rPr>
          <w:rFonts w:ascii="Arial" w:hAnsi="Arial" w:cs="Arial"/>
          <w:sz w:val="24"/>
          <w:szCs w:val="24"/>
        </w:rPr>
      </w:pPr>
    </w:p>
    <w:p w:rsidR="00E23519" w:rsidRPr="008464D7" w:rsidRDefault="00E23519" w:rsidP="00E23519">
      <w:pPr>
        <w:autoSpaceDE w:val="0"/>
        <w:autoSpaceDN w:val="0"/>
        <w:adjustRightInd w:val="0"/>
        <w:spacing w:after="0" w:line="240" w:lineRule="auto"/>
        <w:jc w:val="both"/>
        <w:rPr>
          <w:rFonts w:ascii="Arial" w:hAnsi="Arial" w:cs="Arial"/>
          <w:sz w:val="24"/>
          <w:szCs w:val="24"/>
        </w:rPr>
      </w:pPr>
    </w:p>
    <w:p w:rsidR="00E23519" w:rsidRPr="008464D7" w:rsidRDefault="00E23519" w:rsidP="00E23519">
      <w:pPr>
        <w:autoSpaceDE w:val="0"/>
        <w:autoSpaceDN w:val="0"/>
        <w:adjustRightInd w:val="0"/>
        <w:spacing w:after="0" w:line="240" w:lineRule="auto"/>
        <w:jc w:val="both"/>
        <w:rPr>
          <w:rFonts w:ascii="Arial" w:hAnsi="Arial" w:cs="Arial"/>
          <w:sz w:val="24"/>
          <w:szCs w:val="24"/>
        </w:rPr>
      </w:pPr>
    </w:p>
    <w:p w:rsidR="00E23519" w:rsidRPr="008464D7" w:rsidRDefault="00E23519" w:rsidP="00E23519">
      <w:pPr>
        <w:autoSpaceDE w:val="0"/>
        <w:autoSpaceDN w:val="0"/>
        <w:adjustRightInd w:val="0"/>
        <w:spacing w:after="0" w:line="240" w:lineRule="auto"/>
        <w:jc w:val="both"/>
        <w:rPr>
          <w:rFonts w:ascii="Arial" w:hAnsi="Arial" w:cs="Arial"/>
          <w:sz w:val="24"/>
          <w:szCs w:val="24"/>
        </w:rPr>
      </w:pPr>
    </w:p>
    <w:p w:rsidR="00E23519" w:rsidRDefault="00E23519" w:rsidP="00E23519">
      <w:pPr>
        <w:autoSpaceDE w:val="0"/>
        <w:autoSpaceDN w:val="0"/>
        <w:adjustRightInd w:val="0"/>
        <w:spacing w:after="0" w:line="240" w:lineRule="auto"/>
        <w:jc w:val="center"/>
        <w:rPr>
          <w:rFonts w:ascii="Arial" w:hAnsi="Arial" w:cs="Arial"/>
          <w:b/>
          <w:sz w:val="28"/>
          <w:szCs w:val="28"/>
        </w:rPr>
      </w:pPr>
    </w:p>
    <w:p w:rsidR="002D4A9C" w:rsidRDefault="002D4A9C" w:rsidP="00E23519">
      <w:pPr>
        <w:autoSpaceDE w:val="0"/>
        <w:autoSpaceDN w:val="0"/>
        <w:adjustRightInd w:val="0"/>
        <w:spacing w:after="0" w:line="240" w:lineRule="auto"/>
        <w:jc w:val="center"/>
        <w:rPr>
          <w:rFonts w:ascii="Arial" w:hAnsi="Arial" w:cs="Arial"/>
          <w:b/>
          <w:sz w:val="28"/>
          <w:szCs w:val="28"/>
        </w:rPr>
      </w:pPr>
    </w:p>
    <w:p w:rsidR="002D4A9C" w:rsidRDefault="002D4A9C" w:rsidP="00E23519">
      <w:pPr>
        <w:autoSpaceDE w:val="0"/>
        <w:autoSpaceDN w:val="0"/>
        <w:adjustRightInd w:val="0"/>
        <w:spacing w:after="0" w:line="240" w:lineRule="auto"/>
        <w:jc w:val="center"/>
        <w:rPr>
          <w:rFonts w:ascii="Arial" w:hAnsi="Arial" w:cs="Arial"/>
          <w:b/>
          <w:sz w:val="28"/>
          <w:szCs w:val="28"/>
        </w:rPr>
      </w:pPr>
    </w:p>
    <w:p w:rsidR="002D4A9C" w:rsidRPr="008464D7" w:rsidRDefault="002D4A9C" w:rsidP="00E23519">
      <w:pPr>
        <w:autoSpaceDE w:val="0"/>
        <w:autoSpaceDN w:val="0"/>
        <w:adjustRightInd w:val="0"/>
        <w:spacing w:after="0" w:line="240" w:lineRule="auto"/>
        <w:jc w:val="center"/>
        <w:rPr>
          <w:rFonts w:ascii="Arial" w:hAnsi="Arial" w:cs="Arial"/>
          <w:b/>
          <w:sz w:val="28"/>
          <w:szCs w:val="28"/>
        </w:rPr>
      </w:pPr>
    </w:p>
    <w:p w:rsidR="00E23519" w:rsidRPr="008464D7" w:rsidRDefault="00E23519" w:rsidP="00E23519">
      <w:pPr>
        <w:autoSpaceDE w:val="0"/>
        <w:autoSpaceDN w:val="0"/>
        <w:adjustRightInd w:val="0"/>
        <w:spacing w:after="0" w:line="240" w:lineRule="auto"/>
        <w:jc w:val="center"/>
        <w:rPr>
          <w:rFonts w:ascii="Arial" w:hAnsi="Arial" w:cs="Arial"/>
          <w:b/>
          <w:sz w:val="24"/>
          <w:szCs w:val="24"/>
        </w:rPr>
      </w:pPr>
      <w:r w:rsidRPr="008464D7">
        <w:rPr>
          <w:rFonts w:ascii="Arial" w:hAnsi="Arial" w:cs="Arial"/>
          <w:b/>
          <w:sz w:val="24"/>
          <w:szCs w:val="24"/>
        </w:rPr>
        <w:lastRenderedPageBreak/>
        <w:t>Cuadro 13. Ejes Generales y Transversales del Presupuesto.</w:t>
      </w:r>
    </w:p>
    <w:p w:rsidR="00E23519" w:rsidRPr="008464D7" w:rsidRDefault="00E23519" w:rsidP="00E23519">
      <w:pPr>
        <w:autoSpaceDE w:val="0"/>
        <w:autoSpaceDN w:val="0"/>
        <w:adjustRightInd w:val="0"/>
        <w:spacing w:after="0" w:line="240" w:lineRule="auto"/>
        <w:jc w:val="both"/>
        <w:rPr>
          <w:rFonts w:ascii="Arial" w:hAnsi="Arial" w:cs="Arial"/>
          <w:sz w:val="24"/>
          <w:szCs w:val="24"/>
        </w:rPr>
      </w:pPr>
    </w:p>
    <w:p w:rsidR="00E23519" w:rsidRPr="008464D7" w:rsidRDefault="00E23519" w:rsidP="00E23519">
      <w:pPr>
        <w:autoSpaceDE w:val="0"/>
        <w:autoSpaceDN w:val="0"/>
        <w:adjustRightInd w:val="0"/>
        <w:spacing w:after="0" w:line="240" w:lineRule="auto"/>
        <w:jc w:val="both"/>
        <w:rPr>
          <w:rFonts w:ascii="Arial" w:hAnsi="Arial" w:cs="Arial"/>
          <w:sz w:val="24"/>
          <w:szCs w:val="24"/>
        </w:rPr>
      </w:pPr>
      <w:r w:rsidRPr="008464D7">
        <w:rPr>
          <w:noProof/>
        </w:rPr>
        <w:drawing>
          <wp:inline distT="0" distB="0" distL="0" distR="0" wp14:anchorId="427DEA9E" wp14:editId="739E8257">
            <wp:extent cx="5856660" cy="3907735"/>
            <wp:effectExtent l="0" t="57150" r="0" b="131445"/>
            <wp:docPr id="20" name="Diagram 20">
              <a:extLst xmlns:a="http://schemas.openxmlformats.org/drawingml/2006/main">
                <a:ext uri="{FF2B5EF4-FFF2-40B4-BE49-F238E27FC236}">
                  <a16:creationId xmlns:ve="http://schemas.openxmlformats.org/markup-compatibility/2006"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500-00000200000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E23519" w:rsidRPr="008464D7" w:rsidRDefault="00E23519" w:rsidP="00E23519">
      <w:pPr>
        <w:autoSpaceDE w:val="0"/>
        <w:autoSpaceDN w:val="0"/>
        <w:adjustRightInd w:val="0"/>
        <w:spacing w:after="0" w:line="240" w:lineRule="auto"/>
        <w:jc w:val="both"/>
        <w:rPr>
          <w:rFonts w:ascii="Arial" w:hAnsi="Arial" w:cs="Arial"/>
          <w:sz w:val="24"/>
          <w:szCs w:val="24"/>
        </w:rPr>
      </w:pPr>
      <w:r w:rsidRPr="008464D7">
        <w:rPr>
          <w:rFonts w:ascii="Arial" w:hAnsi="Arial" w:cs="Arial"/>
          <w:sz w:val="24"/>
          <w:szCs w:val="24"/>
        </w:rPr>
        <w:t xml:space="preserve">              </w:t>
      </w:r>
      <w:r>
        <w:rPr>
          <w:rFonts w:ascii="Arial" w:hAnsi="Arial" w:cs="Arial"/>
          <w:b/>
          <w:strike/>
          <w:noProof/>
          <w:color w:val="FF0000"/>
          <w:sz w:val="28"/>
          <w:szCs w:val="28"/>
        </w:rPr>
        <mc:AlternateContent>
          <mc:Choice Requires="wps">
            <w:drawing>
              <wp:inline distT="0" distB="0" distL="0" distR="0" wp14:anchorId="22FB46BB" wp14:editId="1CD548FB">
                <wp:extent cx="4283710" cy="518795"/>
                <wp:effectExtent l="15875" t="16510" r="15240" b="17145"/>
                <wp:docPr id="36"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3710" cy="518795"/>
                        </a:xfrm>
                        <a:prstGeom prst="rect">
                          <a:avLst/>
                        </a:prstGeom>
                        <a:solidFill>
                          <a:srgbClr val="FFFFFF"/>
                        </a:solidFill>
                        <a:ln w="25400">
                          <a:solidFill>
                            <a:srgbClr val="000000"/>
                          </a:solidFill>
                          <a:miter lim="800000"/>
                          <a:headEnd/>
                          <a:tailEnd/>
                        </a:ln>
                      </wps:spPr>
                      <wps:txbx>
                        <w:txbxContent>
                          <w:p w:rsidR="008A5921" w:rsidRPr="00823393" w:rsidRDefault="008A5921" w:rsidP="00E23519">
                            <w:pPr>
                              <w:pStyle w:val="Prrafodelista"/>
                              <w:numPr>
                                <w:ilvl w:val="0"/>
                                <w:numId w:val="1"/>
                              </w:numPr>
                              <w:autoSpaceDE w:val="0"/>
                              <w:autoSpaceDN w:val="0"/>
                              <w:adjustRightInd w:val="0"/>
                              <w:spacing w:after="0" w:line="240" w:lineRule="auto"/>
                              <w:rPr>
                                <w:rFonts w:ascii="Arial" w:hAnsi="Arial" w:cs="Arial"/>
                                <w:sz w:val="18"/>
                                <w:szCs w:val="18"/>
                              </w:rPr>
                            </w:pPr>
                            <w:r w:rsidRPr="00823393">
                              <w:rPr>
                                <w:rFonts w:ascii="Arial" w:hAnsi="Arial" w:cs="Arial"/>
                                <w:sz w:val="18"/>
                                <w:szCs w:val="18"/>
                              </w:rPr>
                              <w:t xml:space="preserve">Colima con un Gobierno Moderno, Efectivo y Transparente. </w:t>
                            </w:r>
                          </w:p>
                          <w:p w:rsidR="008A5921" w:rsidRPr="00823393" w:rsidRDefault="008A5921" w:rsidP="00E23519">
                            <w:pPr>
                              <w:pStyle w:val="Prrafodelista"/>
                              <w:numPr>
                                <w:ilvl w:val="0"/>
                                <w:numId w:val="1"/>
                              </w:numPr>
                              <w:autoSpaceDE w:val="0"/>
                              <w:autoSpaceDN w:val="0"/>
                              <w:adjustRightInd w:val="0"/>
                              <w:spacing w:after="0" w:line="240" w:lineRule="auto"/>
                              <w:rPr>
                                <w:rFonts w:ascii="Arial" w:hAnsi="Arial" w:cs="Arial"/>
                                <w:sz w:val="18"/>
                                <w:szCs w:val="18"/>
                              </w:rPr>
                            </w:pPr>
                            <w:r w:rsidRPr="00823393">
                              <w:rPr>
                                <w:rFonts w:ascii="Arial" w:hAnsi="Arial" w:cs="Arial"/>
                                <w:sz w:val="18"/>
                                <w:szCs w:val="18"/>
                              </w:rPr>
                              <w:t xml:space="preserve"> Colima por la Igualdad</w:t>
                            </w:r>
                          </w:p>
                          <w:p w:rsidR="008A5921" w:rsidRPr="00823393" w:rsidRDefault="008A5921" w:rsidP="00E23519">
                            <w:pPr>
                              <w:pStyle w:val="Prrafodelista"/>
                              <w:numPr>
                                <w:ilvl w:val="0"/>
                                <w:numId w:val="1"/>
                              </w:numPr>
                              <w:autoSpaceDE w:val="0"/>
                              <w:autoSpaceDN w:val="0"/>
                              <w:adjustRightInd w:val="0"/>
                              <w:spacing w:after="0" w:line="240" w:lineRule="auto"/>
                              <w:rPr>
                                <w:rFonts w:ascii="Arial" w:hAnsi="Arial" w:cs="Arial"/>
                                <w:b/>
                                <w:sz w:val="18"/>
                                <w:szCs w:val="18"/>
                              </w:rPr>
                            </w:pPr>
                            <w:r w:rsidRPr="00823393">
                              <w:rPr>
                                <w:rFonts w:ascii="Arial" w:hAnsi="Arial" w:cs="Arial"/>
                                <w:sz w:val="18"/>
                                <w:szCs w:val="18"/>
                              </w:rPr>
                              <w:t xml:space="preserve"> Colima Sustentable</w:t>
                            </w:r>
                          </w:p>
                          <w:p w:rsidR="008A5921" w:rsidRDefault="008A5921" w:rsidP="00E23519">
                            <w:pPr>
                              <w:pStyle w:val="NormalWeb"/>
                              <w:kinsoku w:val="0"/>
                              <w:overflowPunct w:val="0"/>
                              <w:spacing w:before="0" w:beforeAutospacing="0" w:after="0" w:afterAutospacing="0"/>
                              <w:textAlignment w:val="baseline"/>
                            </w:pPr>
                          </w:p>
                        </w:txbxContent>
                      </wps:txbx>
                      <wps:bodyPr rot="0" vert="horz" wrap="square" lIns="91440" tIns="45720" rIns="91440" bIns="45720" anchor="ctr" anchorCtr="0" upright="1">
                        <a:noAutofit/>
                      </wps:bodyPr>
                    </wps:wsp>
                  </a:graphicData>
                </a:graphic>
              </wp:inline>
            </w:drawing>
          </mc:Choice>
          <mc:Fallback>
            <w:pict>
              <v:rect w14:anchorId="22FB46BB" id="Rectángulo 23" o:spid="_x0000_s1026" style="width:337.3pt;height:40.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" strokeweight="2pt">
                <v:textbox>
                  <w:txbxContent>
                    <w:p w:rsidR="008A5921" w:rsidRPr="00823393" w:rsidRDefault="008A5921" w:rsidP="00E23519">
                      <w:pPr>
                        <w:pStyle w:val="Prrafodelista"/>
                        <w:numPr>
                          <w:ilvl w:val="0"/>
                          <w:numId w:val="1"/>
                        </w:numPr>
                        <w:autoSpaceDE w:val="0"/>
                        <w:autoSpaceDN w:val="0"/>
                        <w:adjustRightInd w:val="0"/>
                        <w:spacing w:after="0" w:line="240" w:lineRule="auto"/>
                        <w:rPr>
                          <w:rFonts w:ascii="Arial" w:hAnsi="Arial" w:cs="Arial"/>
                          <w:sz w:val="18"/>
                          <w:szCs w:val="18"/>
                        </w:rPr>
                      </w:pPr>
                      <w:r w:rsidRPr="00823393">
                        <w:rPr>
                          <w:rFonts w:ascii="Arial" w:hAnsi="Arial" w:cs="Arial"/>
                          <w:sz w:val="18"/>
                          <w:szCs w:val="18"/>
                        </w:rPr>
                        <w:t xml:space="preserve">Colima con un Gobierno Moderno, Efectivo y Transparente. </w:t>
                      </w:r>
                    </w:p>
                    <w:p w:rsidR="008A5921" w:rsidRPr="00823393" w:rsidRDefault="008A5921" w:rsidP="00E23519">
                      <w:pPr>
                        <w:pStyle w:val="Prrafodelista"/>
                        <w:numPr>
                          <w:ilvl w:val="0"/>
                          <w:numId w:val="1"/>
                        </w:numPr>
                        <w:autoSpaceDE w:val="0"/>
                        <w:autoSpaceDN w:val="0"/>
                        <w:adjustRightInd w:val="0"/>
                        <w:spacing w:after="0" w:line="240" w:lineRule="auto"/>
                        <w:rPr>
                          <w:rFonts w:ascii="Arial" w:hAnsi="Arial" w:cs="Arial"/>
                          <w:sz w:val="18"/>
                          <w:szCs w:val="18"/>
                        </w:rPr>
                      </w:pPr>
                      <w:r w:rsidRPr="00823393">
                        <w:rPr>
                          <w:rFonts w:ascii="Arial" w:hAnsi="Arial" w:cs="Arial"/>
                          <w:sz w:val="18"/>
                          <w:szCs w:val="18"/>
                        </w:rPr>
                        <w:t xml:space="preserve"> Colima por la Igualdad</w:t>
                      </w:r>
                    </w:p>
                    <w:p w:rsidR="008A5921" w:rsidRPr="00823393" w:rsidRDefault="008A5921" w:rsidP="00E23519">
                      <w:pPr>
                        <w:pStyle w:val="Prrafodelista"/>
                        <w:numPr>
                          <w:ilvl w:val="0"/>
                          <w:numId w:val="1"/>
                        </w:numPr>
                        <w:autoSpaceDE w:val="0"/>
                        <w:autoSpaceDN w:val="0"/>
                        <w:adjustRightInd w:val="0"/>
                        <w:spacing w:after="0" w:line="240" w:lineRule="auto"/>
                        <w:rPr>
                          <w:rFonts w:ascii="Arial" w:hAnsi="Arial" w:cs="Arial"/>
                          <w:b/>
                          <w:sz w:val="18"/>
                          <w:szCs w:val="18"/>
                        </w:rPr>
                      </w:pPr>
                      <w:r w:rsidRPr="00823393">
                        <w:rPr>
                          <w:rFonts w:ascii="Arial" w:hAnsi="Arial" w:cs="Arial"/>
                          <w:sz w:val="18"/>
                          <w:szCs w:val="18"/>
                        </w:rPr>
                        <w:t xml:space="preserve"> Colima Sustentable</w:t>
                      </w:r>
                    </w:p>
                    <w:p w:rsidR="008A5921" w:rsidRDefault="008A5921" w:rsidP="00E23519">
                      <w:pPr>
                        <w:pStyle w:val="NormalWeb"/>
                        <w:kinsoku w:val="0"/>
                        <w:overflowPunct w:val="0"/>
                        <w:spacing w:before="0" w:beforeAutospacing="0" w:after="0" w:afterAutospacing="0"/>
                        <w:textAlignment w:val="baseline"/>
                      </w:pPr>
                    </w:p>
                  </w:txbxContent>
                </v:textbox>
                <w10:anchorlock/>
              </v:rect>
            </w:pict>
          </mc:Fallback>
        </mc:AlternateContent>
      </w:r>
    </w:p>
    <w:p w:rsidR="00E23519" w:rsidRPr="008464D7" w:rsidRDefault="00E23519" w:rsidP="00E23519">
      <w:pPr>
        <w:autoSpaceDE w:val="0"/>
        <w:autoSpaceDN w:val="0"/>
        <w:adjustRightInd w:val="0"/>
        <w:spacing w:after="0" w:line="240" w:lineRule="auto"/>
        <w:jc w:val="both"/>
        <w:rPr>
          <w:rFonts w:ascii="Arial" w:hAnsi="Arial" w:cs="Arial"/>
          <w:sz w:val="18"/>
          <w:szCs w:val="18"/>
        </w:rPr>
      </w:pPr>
      <w:r w:rsidRPr="008464D7">
        <w:rPr>
          <w:rFonts w:ascii="Arial" w:hAnsi="Arial" w:cs="Arial"/>
          <w:sz w:val="18"/>
          <w:szCs w:val="18"/>
        </w:rPr>
        <w:t xml:space="preserve">                   Fuente: Elaboración propia.</w:t>
      </w:r>
    </w:p>
    <w:p w:rsidR="00E23519" w:rsidRDefault="00E23519" w:rsidP="00E23519">
      <w:pPr>
        <w:autoSpaceDE w:val="0"/>
        <w:autoSpaceDN w:val="0"/>
        <w:adjustRightInd w:val="0"/>
        <w:spacing w:after="0" w:line="240" w:lineRule="auto"/>
        <w:jc w:val="both"/>
        <w:rPr>
          <w:rFonts w:ascii="Arial" w:hAnsi="Arial" w:cs="Arial"/>
          <w:sz w:val="24"/>
          <w:szCs w:val="24"/>
        </w:rPr>
      </w:pPr>
    </w:p>
    <w:p w:rsidR="002D4A9C" w:rsidRDefault="002D4A9C" w:rsidP="00E23519">
      <w:pPr>
        <w:autoSpaceDE w:val="0"/>
        <w:autoSpaceDN w:val="0"/>
        <w:adjustRightInd w:val="0"/>
        <w:spacing w:after="0" w:line="240" w:lineRule="auto"/>
        <w:jc w:val="both"/>
        <w:rPr>
          <w:rFonts w:ascii="Arial" w:hAnsi="Arial" w:cs="Arial"/>
          <w:sz w:val="24"/>
          <w:szCs w:val="24"/>
        </w:rPr>
      </w:pPr>
    </w:p>
    <w:p w:rsidR="00E23519" w:rsidRPr="008464D7" w:rsidRDefault="00E23519" w:rsidP="00E23519">
      <w:pPr>
        <w:autoSpaceDE w:val="0"/>
        <w:autoSpaceDN w:val="0"/>
        <w:adjustRightInd w:val="0"/>
        <w:spacing w:after="0" w:line="240" w:lineRule="auto"/>
        <w:jc w:val="both"/>
        <w:rPr>
          <w:rFonts w:ascii="Arial" w:hAnsi="Arial" w:cs="Arial"/>
          <w:b/>
          <w:strike/>
          <w:color w:val="FF0000"/>
          <w:sz w:val="24"/>
          <w:szCs w:val="24"/>
        </w:rPr>
      </w:pPr>
      <w:r w:rsidRPr="008464D7">
        <w:rPr>
          <w:rFonts w:ascii="Arial" w:hAnsi="Arial" w:cs="Arial"/>
          <w:sz w:val="24"/>
          <w:szCs w:val="24"/>
        </w:rPr>
        <w:t>Considerando que el presupuesto constituye la expresión financiera de las políticas públicas, en la administración actual se emprendieron acciones para lograr diversos objetivos con un presupuesto mejor integrado:</w:t>
      </w:r>
    </w:p>
    <w:p w:rsidR="00E23519" w:rsidRPr="008464D7" w:rsidRDefault="00E23519" w:rsidP="00E23519">
      <w:pPr>
        <w:autoSpaceDE w:val="0"/>
        <w:autoSpaceDN w:val="0"/>
        <w:adjustRightInd w:val="0"/>
        <w:spacing w:after="0" w:line="240" w:lineRule="auto"/>
        <w:jc w:val="both"/>
        <w:rPr>
          <w:rFonts w:ascii="Arial" w:hAnsi="Arial" w:cs="Arial"/>
          <w:b/>
          <w:strike/>
          <w:color w:val="FF0000"/>
          <w:sz w:val="24"/>
          <w:szCs w:val="24"/>
        </w:rPr>
      </w:pPr>
    </w:p>
    <w:p w:rsidR="00E23519" w:rsidRPr="008464D7" w:rsidRDefault="00E23519" w:rsidP="00E23519">
      <w:pPr>
        <w:pStyle w:val="Prrafodelista"/>
        <w:numPr>
          <w:ilvl w:val="0"/>
          <w:numId w:val="3"/>
        </w:numPr>
        <w:autoSpaceDE w:val="0"/>
        <w:autoSpaceDN w:val="0"/>
        <w:adjustRightInd w:val="0"/>
        <w:spacing w:after="0" w:line="240" w:lineRule="auto"/>
        <w:jc w:val="both"/>
        <w:rPr>
          <w:rFonts w:ascii="Arial" w:hAnsi="Arial" w:cs="Arial"/>
          <w:sz w:val="24"/>
          <w:szCs w:val="24"/>
        </w:rPr>
      </w:pPr>
      <w:r w:rsidRPr="008464D7">
        <w:rPr>
          <w:rFonts w:ascii="Arial" w:hAnsi="Arial" w:cs="Arial"/>
          <w:sz w:val="24"/>
          <w:szCs w:val="24"/>
        </w:rPr>
        <w:t xml:space="preserve">El primero es el de la disciplina fiscal, para el equilibrio entre los ingresos y los gastos públicos, para contribuir a la estabilidad fiscal en el tiempo. </w:t>
      </w:r>
    </w:p>
    <w:p w:rsidR="00E23519" w:rsidRPr="008464D7" w:rsidRDefault="00E23519" w:rsidP="00E23519">
      <w:pPr>
        <w:autoSpaceDE w:val="0"/>
        <w:autoSpaceDN w:val="0"/>
        <w:adjustRightInd w:val="0"/>
        <w:spacing w:after="0" w:line="240" w:lineRule="auto"/>
        <w:jc w:val="both"/>
        <w:rPr>
          <w:rFonts w:ascii="Arial" w:hAnsi="Arial" w:cs="Arial"/>
          <w:sz w:val="24"/>
          <w:szCs w:val="24"/>
        </w:rPr>
      </w:pPr>
    </w:p>
    <w:p w:rsidR="00E23519" w:rsidRPr="008464D7" w:rsidRDefault="00E23519" w:rsidP="00E23519">
      <w:pPr>
        <w:pStyle w:val="Prrafodelista"/>
        <w:numPr>
          <w:ilvl w:val="0"/>
          <w:numId w:val="3"/>
        </w:numPr>
        <w:autoSpaceDE w:val="0"/>
        <w:autoSpaceDN w:val="0"/>
        <w:adjustRightInd w:val="0"/>
        <w:spacing w:after="0" w:line="240" w:lineRule="auto"/>
        <w:jc w:val="both"/>
        <w:rPr>
          <w:rFonts w:ascii="Arial" w:hAnsi="Arial" w:cs="Arial"/>
          <w:sz w:val="24"/>
          <w:szCs w:val="24"/>
        </w:rPr>
      </w:pPr>
      <w:r w:rsidRPr="008464D7">
        <w:rPr>
          <w:rFonts w:ascii="Arial" w:hAnsi="Arial" w:cs="Arial"/>
          <w:sz w:val="24"/>
          <w:szCs w:val="24"/>
        </w:rPr>
        <w:t xml:space="preserve">El segundo objetivo, es el de la eficiencia en la asignación y se refiere a la capacidad del presupuesto para responder a las prioridades de gobierno, en la asignación de recursos públicos a aquellos proyectos, programas y </w:t>
      </w:r>
      <w:r w:rsidRPr="008464D7">
        <w:rPr>
          <w:rFonts w:ascii="Arial" w:hAnsi="Arial" w:cs="Arial"/>
          <w:sz w:val="24"/>
          <w:szCs w:val="24"/>
        </w:rPr>
        <w:lastRenderedPageBreak/>
        <w:t>acciones donde sea posible obtener los mejores desempeños, es decir, las mayores contribuciones a los objetivos de política.</w:t>
      </w:r>
    </w:p>
    <w:p w:rsidR="00E23519" w:rsidRPr="008464D7" w:rsidRDefault="00E23519" w:rsidP="00E23519">
      <w:pPr>
        <w:spacing w:line="240" w:lineRule="auto"/>
        <w:jc w:val="both"/>
        <w:rPr>
          <w:rFonts w:ascii="Arial" w:hAnsi="Arial" w:cs="Arial"/>
          <w:sz w:val="24"/>
          <w:szCs w:val="24"/>
        </w:rPr>
      </w:pPr>
    </w:p>
    <w:p w:rsidR="00E23519" w:rsidRPr="008464D7" w:rsidRDefault="00E23519" w:rsidP="00E23519">
      <w:pPr>
        <w:pStyle w:val="Prrafodelista"/>
        <w:numPr>
          <w:ilvl w:val="0"/>
          <w:numId w:val="3"/>
        </w:numPr>
        <w:spacing w:line="240" w:lineRule="auto"/>
        <w:jc w:val="both"/>
        <w:rPr>
          <w:rFonts w:ascii="Arial" w:hAnsi="Arial" w:cs="Arial"/>
        </w:rPr>
      </w:pPr>
      <w:r w:rsidRPr="008464D7">
        <w:rPr>
          <w:rFonts w:ascii="Arial" w:hAnsi="Arial" w:cs="Arial"/>
          <w:sz w:val="24"/>
          <w:szCs w:val="24"/>
        </w:rPr>
        <w:t>El tercer objetivo, es el de la eficiencia operacional, centrando su atención en el desempeño en la entrega de los bienes y los servicios. Esto ocurre en la etapa de ejecución del presupuesto por cada uno de los organismos o unidades ejecutoras de gasto que forman parte de dicho presupuesto.</w:t>
      </w:r>
    </w:p>
    <w:p w:rsidR="00E23519" w:rsidRPr="008464D7" w:rsidRDefault="00E23519" w:rsidP="00E23519">
      <w:pPr>
        <w:pStyle w:val="Prrafodelista"/>
        <w:rPr>
          <w:rFonts w:ascii="Arial" w:hAnsi="Arial" w:cs="Arial"/>
        </w:rPr>
      </w:pPr>
    </w:p>
    <w:p w:rsidR="00E23519" w:rsidRPr="008464D7" w:rsidRDefault="00E23519" w:rsidP="00E23519">
      <w:pPr>
        <w:pStyle w:val="Texto"/>
        <w:spacing w:after="0" w:line="240" w:lineRule="auto"/>
        <w:ind w:firstLine="0"/>
        <w:rPr>
          <w:b/>
          <w:sz w:val="24"/>
          <w:szCs w:val="24"/>
        </w:rPr>
      </w:pPr>
      <w:r w:rsidRPr="008464D7">
        <w:rPr>
          <w:b/>
          <w:sz w:val="24"/>
          <w:szCs w:val="24"/>
          <w:lang w:val="es-MX"/>
        </w:rPr>
        <w:t>2</w:t>
      </w:r>
      <w:r w:rsidRPr="008464D7">
        <w:rPr>
          <w:b/>
          <w:sz w:val="24"/>
          <w:szCs w:val="24"/>
        </w:rPr>
        <w:t>.2. PROYECCIONES DE FINANZAS PÚBLICAS, CONSIDERANDO LAS PREMISAS EMPLEADAS EN LOS CRITERIOS GENERALES DE POLÍTICA ECONÓMICA.</w:t>
      </w:r>
    </w:p>
    <w:p w:rsidR="00E23519" w:rsidRPr="008464D7" w:rsidRDefault="00E23519" w:rsidP="00E23519">
      <w:pPr>
        <w:spacing w:line="240" w:lineRule="auto"/>
        <w:jc w:val="both"/>
        <w:rPr>
          <w:rFonts w:ascii="Arial" w:hAnsi="Arial" w:cs="Arial"/>
          <w:lang w:val="es-ES"/>
        </w:rPr>
      </w:pPr>
    </w:p>
    <w:p w:rsidR="00E23519" w:rsidRPr="008464D7" w:rsidRDefault="00E23519" w:rsidP="00E23519">
      <w:pPr>
        <w:pStyle w:val="Texto"/>
        <w:spacing w:after="0" w:line="240" w:lineRule="auto"/>
        <w:ind w:firstLine="0"/>
        <w:rPr>
          <w:color w:val="000000"/>
          <w:sz w:val="24"/>
          <w:szCs w:val="24"/>
        </w:rPr>
      </w:pPr>
      <w:r w:rsidRPr="008464D7">
        <w:rPr>
          <w:color w:val="000000"/>
          <w:sz w:val="24"/>
          <w:szCs w:val="24"/>
        </w:rPr>
        <w:t>Las proyecciones que más adelante se presentan, abarcan un periodo de cinco años en adición al ejercicio fiscal 2017 y se efectuaron con base en los formatos emitidos por el Consejo Nacional de Armonización Contable. Asimismo, se fundamentaron en los siguientes criterios:</w:t>
      </w:r>
    </w:p>
    <w:p w:rsidR="00E23519" w:rsidRPr="008464D7" w:rsidRDefault="00E23519" w:rsidP="00E23519">
      <w:pPr>
        <w:pStyle w:val="Texto"/>
        <w:spacing w:after="0" w:line="240" w:lineRule="auto"/>
        <w:ind w:firstLine="0"/>
        <w:rPr>
          <w:color w:val="000000"/>
          <w:sz w:val="24"/>
          <w:szCs w:val="24"/>
        </w:rPr>
      </w:pPr>
      <w:r w:rsidRPr="008464D7">
        <w:rPr>
          <w:color w:val="000000"/>
          <w:sz w:val="24"/>
          <w:szCs w:val="24"/>
        </w:rPr>
        <w:t xml:space="preserve"> </w:t>
      </w:r>
    </w:p>
    <w:p w:rsidR="00E23519" w:rsidRPr="008464D7" w:rsidRDefault="00E23519" w:rsidP="00E23519">
      <w:pPr>
        <w:spacing w:line="240" w:lineRule="auto"/>
        <w:jc w:val="both"/>
        <w:rPr>
          <w:rFonts w:ascii="Arial" w:hAnsi="Arial" w:cs="Arial"/>
          <w:sz w:val="24"/>
          <w:szCs w:val="24"/>
        </w:rPr>
      </w:pPr>
      <w:r w:rsidRPr="008464D7">
        <w:rPr>
          <w:rFonts w:ascii="Arial" w:hAnsi="Arial" w:cs="Arial"/>
          <w:sz w:val="24"/>
          <w:szCs w:val="24"/>
        </w:rPr>
        <w:t>1.- Premisas empleadas en los Criterios Generales de Política Económica a los que se refiere el artículo 2° fracción IV de la Ley de Disciplina Financiera de las Entidades Federativas y los Municipios.</w:t>
      </w:r>
    </w:p>
    <w:p w:rsidR="00E23519" w:rsidRPr="008464D7" w:rsidRDefault="00E23519" w:rsidP="00E23519">
      <w:pPr>
        <w:spacing w:line="240" w:lineRule="auto"/>
        <w:jc w:val="both"/>
        <w:rPr>
          <w:rFonts w:ascii="Arial" w:hAnsi="Arial" w:cs="Arial"/>
          <w:sz w:val="24"/>
          <w:szCs w:val="24"/>
        </w:rPr>
      </w:pPr>
      <w:r w:rsidRPr="008464D7">
        <w:rPr>
          <w:rFonts w:ascii="Arial" w:hAnsi="Arial" w:cs="Arial"/>
          <w:sz w:val="24"/>
          <w:szCs w:val="24"/>
        </w:rPr>
        <w:t>2.- Postulados del Título Segundo, Reglas de Disciplina Financiera artículo. 5° fracción II de la Ley de Disciplina Financiera de las Entidades Federativas y los Municipios.</w:t>
      </w:r>
    </w:p>
    <w:p w:rsidR="00E23519" w:rsidRPr="008464D7" w:rsidRDefault="00E23519" w:rsidP="00E23519">
      <w:pPr>
        <w:spacing w:line="240" w:lineRule="auto"/>
        <w:jc w:val="both"/>
        <w:rPr>
          <w:rFonts w:ascii="Arial" w:hAnsi="Arial" w:cs="Arial"/>
          <w:sz w:val="24"/>
          <w:szCs w:val="24"/>
        </w:rPr>
      </w:pPr>
      <w:r w:rsidRPr="008464D7">
        <w:rPr>
          <w:rFonts w:ascii="Arial" w:hAnsi="Arial" w:cs="Arial"/>
          <w:sz w:val="24"/>
          <w:szCs w:val="24"/>
        </w:rPr>
        <w:t>3.- Criterios para la elaboración y presentación homogénea de la información financiera y de los formatos a que hace referencia la Ley de Disciplina Financiera de las Entidades Federativas y los Municipios.</w:t>
      </w:r>
    </w:p>
    <w:p w:rsidR="00E23519" w:rsidRPr="008464D7" w:rsidRDefault="00E23519" w:rsidP="00E23519">
      <w:pPr>
        <w:spacing w:line="240" w:lineRule="auto"/>
        <w:jc w:val="both"/>
        <w:rPr>
          <w:rFonts w:ascii="Arial" w:hAnsi="Arial" w:cs="Arial"/>
          <w:sz w:val="24"/>
          <w:szCs w:val="24"/>
        </w:rPr>
      </w:pPr>
      <w:r w:rsidRPr="008464D7">
        <w:rPr>
          <w:rFonts w:ascii="Arial" w:hAnsi="Arial" w:cs="Arial"/>
          <w:sz w:val="24"/>
          <w:szCs w:val="24"/>
        </w:rPr>
        <w:t>4.- Supuestos de Finanzas Públicas de Mediano Plazo 2017 – 2022, establecidos en los Criterios Generales de Política Económica 2017 expedidos por la SHCP.</w:t>
      </w:r>
    </w:p>
    <w:p w:rsidR="00E23519" w:rsidRPr="008464D7" w:rsidRDefault="00E23519" w:rsidP="00E23519">
      <w:pPr>
        <w:spacing w:line="240" w:lineRule="auto"/>
        <w:jc w:val="center"/>
        <w:rPr>
          <w:rFonts w:ascii="Arial" w:hAnsi="Arial" w:cs="Arial"/>
          <w:b/>
          <w:sz w:val="24"/>
        </w:rPr>
      </w:pPr>
    </w:p>
    <w:p w:rsidR="00E23519" w:rsidRPr="008464D7" w:rsidRDefault="00E23519" w:rsidP="00E23519">
      <w:pPr>
        <w:spacing w:line="240" w:lineRule="auto"/>
        <w:jc w:val="center"/>
        <w:rPr>
          <w:rFonts w:ascii="Arial" w:hAnsi="Arial" w:cs="Arial"/>
          <w:b/>
          <w:sz w:val="24"/>
        </w:rPr>
      </w:pPr>
    </w:p>
    <w:p w:rsidR="00E23519" w:rsidRDefault="00E23519" w:rsidP="00E23519">
      <w:pPr>
        <w:spacing w:line="240" w:lineRule="auto"/>
        <w:jc w:val="center"/>
        <w:rPr>
          <w:rFonts w:ascii="Arial" w:hAnsi="Arial" w:cs="Arial"/>
          <w:b/>
          <w:sz w:val="24"/>
        </w:rPr>
      </w:pPr>
    </w:p>
    <w:p w:rsidR="002D4A9C" w:rsidRDefault="002D4A9C" w:rsidP="00E23519">
      <w:pPr>
        <w:spacing w:line="240" w:lineRule="auto"/>
        <w:jc w:val="center"/>
        <w:rPr>
          <w:rFonts w:ascii="Arial" w:hAnsi="Arial" w:cs="Arial"/>
          <w:b/>
          <w:sz w:val="24"/>
        </w:rPr>
      </w:pPr>
    </w:p>
    <w:p w:rsidR="002D4A9C" w:rsidRPr="008464D7" w:rsidRDefault="002D4A9C" w:rsidP="00E23519">
      <w:pPr>
        <w:spacing w:line="240" w:lineRule="auto"/>
        <w:jc w:val="center"/>
        <w:rPr>
          <w:rFonts w:ascii="Arial" w:hAnsi="Arial" w:cs="Arial"/>
          <w:b/>
          <w:sz w:val="24"/>
        </w:rPr>
      </w:pPr>
    </w:p>
    <w:p w:rsidR="00E23519" w:rsidRPr="008464D7" w:rsidRDefault="00E23519" w:rsidP="00E23519">
      <w:pPr>
        <w:spacing w:line="240" w:lineRule="auto"/>
        <w:jc w:val="center"/>
        <w:rPr>
          <w:rFonts w:ascii="Arial" w:hAnsi="Arial" w:cs="Arial"/>
          <w:b/>
          <w:sz w:val="24"/>
        </w:rPr>
      </w:pPr>
      <w:r w:rsidRPr="008464D7">
        <w:rPr>
          <w:rFonts w:ascii="Arial" w:hAnsi="Arial" w:cs="Arial"/>
          <w:b/>
          <w:sz w:val="24"/>
        </w:rPr>
        <w:lastRenderedPageBreak/>
        <w:t>Supuestos de finanzas públicas de mediano plazo 2017-2022</w:t>
      </w:r>
    </w:p>
    <w:p w:rsidR="00E23519" w:rsidRPr="008464D7" w:rsidRDefault="00E23519" w:rsidP="00E23519">
      <w:pPr>
        <w:spacing w:line="240" w:lineRule="auto"/>
        <w:jc w:val="center"/>
        <w:rPr>
          <w:rFonts w:ascii="Arial" w:hAnsi="Arial" w:cs="Arial"/>
          <w:b/>
          <w:sz w:val="24"/>
        </w:rPr>
      </w:pPr>
      <w:r w:rsidRPr="008464D7">
        <w:rPr>
          <w:noProof/>
        </w:rPr>
        <w:drawing>
          <wp:inline distT="0" distB="0" distL="0" distR="0" wp14:anchorId="3D5D7EE1" wp14:editId="46D95255">
            <wp:extent cx="5612538" cy="6152444"/>
            <wp:effectExtent l="19050" t="0" r="7212"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17266" cy="6157627"/>
                    </a:xfrm>
                    <a:prstGeom prst="rect">
                      <a:avLst/>
                    </a:prstGeom>
                    <a:noFill/>
                    <a:ln>
                      <a:noFill/>
                    </a:ln>
                  </pic:spPr>
                </pic:pic>
              </a:graphicData>
            </a:graphic>
          </wp:inline>
        </w:drawing>
      </w:r>
    </w:p>
    <w:p w:rsidR="00E23519" w:rsidRPr="008464D7" w:rsidRDefault="00E23519" w:rsidP="00E23519">
      <w:pPr>
        <w:spacing w:line="240" w:lineRule="auto"/>
        <w:rPr>
          <w:rFonts w:ascii="Arial" w:hAnsi="Arial" w:cs="Arial"/>
          <w:sz w:val="16"/>
          <w:szCs w:val="16"/>
        </w:rPr>
      </w:pPr>
      <w:r w:rsidRPr="008464D7">
        <w:rPr>
          <w:rFonts w:ascii="Arial" w:hAnsi="Arial" w:cs="Arial"/>
          <w:sz w:val="16"/>
          <w:szCs w:val="16"/>
        </w:rPr>
        <w:t>Fuente: Criterios Generales de Política Económica 2017</w:t>
      </w:r>
    </w:p>
    <w:p w:rsidR="00E23519" w:rsidRDefault="00E23519" w:rsidP="00E23519">
      <w:pPr>
        <w:spacing w:line="240" w:lineRule="auto"/>
        <w:jc w:val="both"/>
        <w:rPr>
          <w:rFonts w:ascii="Arial" w:hAnsi="Arial" w:cs="Arial"/>
          <w:sz w:val="24"/>
          <w:szCs w:val="24"/>
        </w:rPr>
      </w:pPr>
    </w:p>
    <w:p w:rsidR="00E23519" w:rsidRDefault="00E23519" w:rsidP="00E23519">
      <w:pPr>
        <w:spacing w:line="240" w:lineRule="auto"/>
        <w:jc w:val="both"/>
        <w:rPr>
          <w:rFonts w:ascii="Arial" w:hAnsi="Arial" w:cs="Arial"/>
          <w:sz w:val="24"/>
          <w:szCs w:val="24"/>
        </w:rPr>
      </w:pPr>
    </w:p>
    <w:p w:rsidR="00E23519" w:rsidRDefault="00E23519" w:rsidP="00E23519">
      <w:pPr>
        <w:spacing w:line="240" w:lineRule="auto"/>
        <w:jc w:val="both"/>
        <w:rPr>
          <w:rFonts w:ascii="Arial" w:hAnsi="Arial" w:cs="Arial"/>
          <w:sz w:val="24"/>
          <w:szCs w:val="24"/>
        </w:rPr>
      </w:pPr>
      <w:r w:rsidRPr="008464D7">
        <w:rPr>
          <w:rFonts w:ascii="Arial" w:hAnsi="Arial" w:cs="Arial"/>
          <w:sz w:val="24"/>
          <w:szCs w:val="24"/>
        </w:rPr>
        <w:lastRenderedPageBreak/>
        <w:t>A continuación, se presentan las proyecciones de ingresos en el formato 7 a) emitido por el CONAC, así como las proyecciones de los egresos en el periodo 2017 – 2022 en el formato 7 b).</w:t>
      </w:r>
    </w:p>
    <w:p w:rsidR="00E23519" w:rsidRPr="008464D7" w:rsidRDefault="00E23519" w:rsidP="00E23519">
      <w:pPr>
        <w:spacing w:after="0" w:line="240" w:lineRule="auto"/>
        <w:ind w:right="-36"/>
        <w:contextualSpacing/>
        <w:jc w:val="both"/>
        <w:rPr>
          <w:rFonts w:ascii="Arial" w:hAnsi="Arial" w:cs="Arial"/>
          <w:sz w:val="18"/>
          <w:szCs w:val="18"/>
          <w:shd w:val="clear" w:color="auto" w:fill="FFFFFF"/>
        </w:rPr>
      </w:pPr>
      <w:r w:rsidRPr="00343A3E">
        <w:rPr>
          <w:noProof/>
        </w:rPr>
        <w:drawing>
          <wp:inline distT="0" distB="0" distL="0" distR="0" wp14:anchorId="1A38637E" wp14:editId="004D9FBC">
            <wp:extent cx="5612130" cy="6123167"/>
            <wp:effectExtent l="0" t="0" r="762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2130" cy="6123167"/>
                    </a:xfrm>
                    <a:prstGeom prst="rect">
                      <a:avLst/>
                    </a:prstGeom>
                    <a:noFill/>
                    <a:ln>
                      <a:noFill/>
                    </a:ln>
                  </pic:spPr>
                </pic:pic>
              </a:graphicData>
            </a:graphic>
          </wp:inline>
        </w:drawing>
      </w:r>
    </w:p>
    <w:p w:rsidR="00E23519" w:rsidRPr="008464D7" w:rsidRDefault="00E23519" w:rsidP="00E23519">
      <w:pPr>
        <w:spacing w:after="0" w:line="240" w:lineRule="auto"/>
        <w:ind w:right="-36"/>
        <w:contextualSpacing/>
        <w:jc w:val="both"/>
        <w:rPr>
          <w:rFonts w:ascii="Arial" w:hAnsi="Arial" w:cs="Arial"/>
          <w:sz w:val="18"/>
          <w:szCs w:val="18"/>
          <w:shd w:val="clear" w:color="auto" w:fill="FFFFFF"/>
        </w:rPr>
      </w:pPr>
    </w:p>
    <w:p w:rsidR="00E23519" w:rsidRPr="008464D7" w:rsidRDefault="00E23519" w:rsidP="00E23519">
      <w:pPr>
        <w:spacing w:after="0" w:line="240" w:lineRule="auto"/>
        <w:ind w:right="-36"/>
        <w:contextualSpacing/>
        <w:jc w:val="both"/>
        <w:rPr>
          <w:rFonts w:ascii="Arial" w:hAnsi="Arial" w:cs="Arial"/>
          <w:sz w:val="18"/>
          <w:szCs w:val="18"/>
          <w:shd w:val="clear" w:color="auto" w:fill="FFFFFF"/>
        </w:rPr>
      </w:pPr>
    </w:p>
    <w:p w:rsidR="00E23519" w:rsidRDefault="00E23519" w:rsidP="00E23519">
      <w:pPr>
        <w:spacing w:line="240" w:lineRule="auto"/>
        <w:rPr>
          <w:rFonts w:ascii="Arial" w:hAnsi="Arial" w:cs="Arial"/>
          <w:b/>
          <w:sz w:val="24"/>
        </w:rPr>
      </w:pPr>
    </w:p>
    <w:p w:rsidR="00E23519" w:rsidRPr="008464D7" w:rsidRDefault="00E23519" w:rsidP="00E23519">
      <w:pPr>
        <w:spacing w:line="240" w:lineRule="auto"/>
        <w:rPr>
          <w:rFonts w:ascii="Arial" w:hAnsi="Arial" w:cs="Arial"/>
          <w:b/>
          <w:sz w:val="24"/>
        </w:rPr>
      </w:pPr>
      <w:r w:rsidRPr="00343A3E">
        <w:rPr>
          <w:noProof/>
        </w:rPr>
        <w:lastRenderedPageBreak/>
        <w:drawing>
          <wp:inline distT="0" distB="0" distL="0" distR="0" wp14:anchorId="3CF5A34C" wp14:editId="368676B3">
            <wp:extent cx="5612130" cy="4435760"/>
            <wp:effectExtent l="0" t="0" r="7620" b="317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2130" cy="4435760"/>
                    </a:xfrm>
                    <a:prstGeom prst="rect">
                      <a:avLst/>
                    </a:prstGeom>
                    <a:noFill/>
                    <a:ln>
                      <a:noFill/>
                    </a:ln>
                  </pic:spPr>
                </pic:pic>
              </a:graphicData>
            </a:graphic>
          </wp:inline>
        </w:drawing>
      </w:r>
    </w:p>
    <w:p w:rsidR="00E23519" w:rsidRDefault="00E23519" w:rsidP="00E23519">
      <w:pPr>
        <w:spacing w:line="240" w:lineRule="auto"/>
        <w:rPr>
          <w:rFonts w:ascii="Arial" w:hAnsi="Arial" w:cs="Arial"/>
          <w:b/>
          <w:sz w:val="24"/>
        </w:rPr>
      </w:pPr>
    </w:p>
    <w:p w:rsidR="00E23519" w:rsidRDefault="00E23519" w:rsidP="00E23519">
      <w:pPr>
        <w:spacing w:line="240" w:lineRule="auto"/>
        <w:rPr>
          <w:rFonts w:ascii="Arial" w:hAnsi="Arial" w:cs="Arial"/>
          <w:b/>
          <w:sz w:val="24"/>
        </w:rPr>
      </w:pPr>
    </w:p>
    <w:p w:rsidR="00E23519" w:rsidRDefault="00E23519" w:rsidP="00E23519">
      <w:pPr>
        <w:spacing w:line="240" w:lineRule="auto"/>
        <w:rPr>
          <w:rFonts w:ascii="Arial" w:hAnsi="Arial" w:cs="Arial"/>
          <w:b/>
          <w:sz w:val="24"/>
        </w:rPr>
      </w:pPr>
    </w:p>
    <w:p w:rsidR="00E23519" w:rsidRDefault="00E23519" w:rsidP="00E23519">
      <w:pPr>
        <w:spacing w:line="240" w:lineRule="auto"/>
        <w:rPr>
          <w:rFonts w:ascii="Arial" w:hAnsi="Arial" w:cs="Arial"/>
          <w:b/>
          <w:sz w:val="24"/>
        </w:rPr>
      </w:pPr>
    </w:p>
    <w:p w:rsidR="00E23519" w:rsidRDefault="00E23519" w:rsidP="00E23519">
      <w:pPr>
        <w:spacing w:line="240" w:lineRule="auto"/>
        <w:rPr>
          <w:rFonts w:ascii="Arial" w:hAnsi="Arial" w:cs="Arial"/>
          <w:b/>
          <w:sz w:val="24"/>
        </w:rPr>
      </w:pPr>
    </w:p>
    <w:p w:rsidR="00E23519" w:rsidRDefault="00E23519" w:rsidP="00E23519">
      <w:pPr>
        <w:spacing w:line="240" w:lineRule="auto"/>
        <w:rPr>
          <w:rFonts w:ascii="Arial" w:hAnsi="Arial" w:cs="Arial"/>
          <w:b/>
          <w:sz w:val="24"/>
        </w:rPr>
      </w:pPr>
    </w:p>
    <w:p w:rsidR="00E23519" w:rsidRDefault="00E23519" w:rsidP="00E23519">
      <w:pPr>
        <w:spacing w:line="240" w:lineRule="auto"/>
        <w:rPr>
          <w:rFonts w:ascii="Arial" w:hAnsi="Arial" w:cs="Arial"/>
          <w:b/>
          <w:sz w:val="24"/>
        </w:rPr>
      </w:pPr>
    </w:p>
    <w:p w:rsidR="00E23519" w:rsidRDefault="00E23519" w:rsidP="00E23519">
      <w:pPr>
        <w:spacing w:line="240" w:lineRule="auto"/>
        <w:rPr>
          <w:rFonts w:ascii="Arial" w:hAnsi="Arial" w:cs="Arial"/>
          <w:b/>
          <w:sz w:val="24"/>
        </w:rPr>
      </w:pPr>
    </w:p>
    <w:p w:rsidR="002D4A9C" w:rsidRDefault="002D4A9C" w:rsidP="00E23519">
      <w:pPr>
        <w:spacing w:line="240" w:lineRule="auto"/>
        <w:rPr>
          <w:rFonts w:ascii="Arial" w:hAnsi="Arial" w:cs="Arial"/>
          <w:b/>
          <w:sz w:val="24"/>
        </w:rPr>
      </w:pPr>
    </w:p>
    <w:p w:rsidR="00E23519" w:rsidRPr="008464D7" w:rsidRDefault="00E23519" w:rsidP="00E23519">
      <w:pPr>
        <w:spacing w:line="240" w:lineRule="auto"/>
        <w:rPr>
          <w:rFonts w:ascii="Arial" w:hAnsi="Arial" w:cs="Arial"/>
          <w:b/>
          <w:sz w:val="24"/>
        </w:rPr>
      </w:pPr>
      <w:r w:rsidRPr="008464D7">
        <w:rPr>
          <w:rFonts w:ascii="Arial" w:hAnsi="Arial" w:cs="Arial"/>
          <w:b/>
          <w:sz w:val="24"/>
        </w:rPr>
        <w:lastRenderedPageBreak/>
        <w:t>Proyectos de Inversión, Infraestructura y Prestación de Servicios</w:t>
      </w:r>
    </w:p>
    <w:p w:rsidR="00E23519" w:rsidRDefault="00E23519" w:rsidP="00E23519">
      <w:pPr>
        <w:spacing w:line="240" w:lineRule="auto"/>
        <w:jc w:val="both"/>
        <w:rPr>
          <w:rFonts w:ascii="Arial" w:hAnsi="Arial" w:cs="Arial"/>
          <w:sz w:val="24"/>
        </w:rPr>
      </w:pPr>
      <w:r w:rsidRPr="008464D7">
        <w:rPr>
          <w:rFonts w:ascii="Arial" w:hAnsi="Arial" w:cs="Arial"/>
          <w:sz w:val="24"/>
        </w:rPr>
        <w:t>Los proyectos presupuestarios que se proponen para ejecutarse en el ejercicio fiscal 2017, están alineados a 99 programas presupuestarios y se clasifican de la siguiente forma:</w:t>
      </w:r>
    </w:p>
    <w:p w:rsidR="00720793" w:rsidRDefault="00720793" w:rsidP="00E23519">
      <w:pPr>
        <w:spacing w:line="240" w:lineRule="auto"/>
        <w:jc w:val="both"/>
        <w:rPr>
          <w:rFonts w:ascii="Arial" w:hAnsi="Arial" w:cs="Arial"/>
          <w:sz w:val="24"/>
        </w:rPr>
      </w:pPr>
    </w:p>
    <w:p w:rsidR="00E23519" w:rsidRDefault="00E23519" w:rsidP="00E23519">
      <w:pPr>
        <w:spacing w:line="240" w:lineRule="auto"/>
        <w:jc w:val="center"/>
        <w:rPr>
          <w:rFonts w:ascii="Arial" w:hAnsi="Arial" w:cs="Arial"/>
          <w:sz w:val="24"/>
        </w:rPr>
      </w:pPr>
      <w:r w:rsidRPr="00343A3E">
        <w:rPr>
          <w:noProof/>
        </w:rPr>
        <w:drawing>
          <wp:inline distT="0" distB="0" distL="0" distR="0" wp14:anchorId="5F847BF4" wp14:editId="7894320E">
            <wp:extent cx="4008576" cy="1602584"/>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35678" cy="1613419"/>
                    </a:xfrm>
                    <a:prstGeom prst="rect">
                      <a:avLst/>
                    </a:prstGeom>
                    <a:noFill/>
                    <a:ln>
                      <a:noFill/>
                    </a:ln>
                  </pic:spPr>
                </pic:pic>
              </a:graphicData>
            </a:graphic>
          </wp:inline>
        </w:drawing>
      </w:r>
    </w:p>
    <w:p w:rsidR="00720793" w:rsidRDefault="00720793" w:rsidP="00E23519">
      <w:pPr>
        <w:spacing w:line="240" w:lineRule="auto"/>
        <w:jc w:val="both"/>
        <w:rPr>
          <w:rFonts w:ascii="Arial" w:hAnsi="Arial" w:cs="Arial"/>
          <w:sz w:val="24"/>
        </w:rPr>
      </w:pPr>
    </w:p>
    <w:p w:rsidR="00E23519" w:rsidRPr="008464D7" w:rsidRDefault="00E23519" w:rsidP="00E23519">
      <w:pPr>
        <w:spacing w:line="240" w:lineRule="auto"/>
        <w:jc w:val="both"/>
        <w:rPr>
          <w:rFonts w:ascii="Arial" w:hAnsi="Arial" w:cs="Arial"/>
          <w:sz w:val="24"/>
        </w:rPr>
      </w:pPr>
      <w:r w:rsidRPr="008464D7">
        <w:rPr>
          <w:rFonts w:ascii="Arial" w:hAnsi="Arial" w:cs="Arial"/>
          <w:sz w:val="24"/>
        </w:rPr>
        <w:t>Dichos proyectos se desglosan en el Anexo 1</w:t>
      </w:r>
      <w:r>
        <w:rPr>
          <w:rFonts w:ascii="Arial" w:hAnsi="Arial" w:cs="Arial"/>
          <w:sz w:val="24"/>
        </w:rPr>
        <w:t>2</w:t>
      </w:r>
      <w:r w:rsidRPr="008464D7">
        <w:rPr>
          <w:rFonts w:ascii="Arial" w:hAnsi="Arial" w:cs="Arial"/>
          <w:sz w:val="24"/>
        </w:rPr>
        <w:t xml:space="preserve"> del Proyecto de Decreto del Presupuesto de Egresos 2017.</w:t>
      </w:r>
    </w:p>
    <w:p w:rsidR="00E23519" w:rsidRPr="008464D7" w:rsidRDefault="00E23519" w:rsidP="00E23519">
      <w:pPr>
        <w:spacing w:line="240" w:lineRule="auto"/>
        <w:jc w:val="both"/>
        <w:rPr>
          <w:rFonts w:ascii="Arial" w:hAnsi="Arial" w:cs="Arial"/>
          <w:sz w:val="24"/>
        </w:rPr>
      </w:pPr>
      <w:r w:rsidRPr="008464D7">
        <w:rPr>
          <w:rFonts w:ascii="Arial" w:hAnsi="Arial" w:cs="Arial"/>
          <w:sz w:val="24"/>
        </w:rPr>
        <w:t>Actualmente se trabaja en la integración de los Programas Sectoriales y Especiales derivados del Plan Estatal de Desarrollo y a estos se alinearán los proyectos plurianuales a programarse y a ejecutarse, sujetos a la disponibilidad presupuestaria.</w:t>
      </w:r>
    </w:p>
    <w:p w:rsidR="00E23519" w:rsidRDefault="00E23519" w:rsidP="00E23519">
      <w:pPr>
        <w:spacing w:line="240" w:lineRule="auto"/>
        <w:rPr>
          <w:rFonts w:ascii="Arial" w:hAnsi="Arial" w:cs="Arial"/>
          <w:b/>
          <w:sz w:val="24"/>
        </w:rPr>
      </w:pPr>
      <w:r w:rsidRPr="008464D7">
        <w:rPr>
          <w:rFonts w:ascii="Arial" w:hAnsi="Arial" w:cs="Arial"/>
          <w:b/>
          <w:sz w:val="24"/>
        </w:rPr>
        <w:t>Proyectos de Asociación Público – Privada</w:t>
      </w:r>
    </w:p>
    <w:p w:rsidR="00E23519" w:rsidRPr="008464D7" w:rsidRDefault="00E23519" w:rsidP="00E23519">
      <w:pPr>
        <w:spacing w:line="240" w:lineRule="auto"/>
        <w:jc w:val="both"/>
        <w:rPr>
          <w:rFonts w:ascii="Arial" w:hAnsi="Arial" w:cs="Arial"/>
          <w:sz w:val="24"/>
        </w:rPr>
      </w:pPr>
      <w:r w:rsidRPr="008464D7">
        <w:rPr>
          <w:rFonts w:ascii="Arial" w:hAnsi="Arial" w:cs="Arial"/>
          <w:sz w:val="24"/>
        </w:rPr>
        <w:t>A partir de la promulgación de la Ley de Asociaciones Público – Privadas, aprobada por el H. Congreso del Estado en el presente año, se establecen las bases legales para generar este tipo de proyectos para impulsar el desarrollo del Estado en función de la prioridad establecida en el Plan Estatal de Desarrollo.</w:t>
      </w:r>
    </w:p>
    <w:p w:rsidR="00E23519" w:rsidRPr="008464D7" w:rsidRDefault="00E23519" w:rsidP="00E23519">
      <w:pPr>
        <w:spacing w:before="100" w:beforeAutospacing="1" w:after="100" w:afterAutospacing="1" w:line="240" w:lineRule="auto"/>
        <w:jc w:val="both"/>
        <w:rPr>
          <w:rFonts w:ascii="Arial" w:eastAsia="Times New Roman" w:hAnsi="Arial" w:cs="Arial"/>
          <w:sz w:val="24"/>
          <w:szCs w:val="24"/>
        </w:rPr>
      </w:pPr>
      <w:r w:rsidRPr="008464D7">
        <w:rPr>
          <w:rFonts w:ascii="Arial" w:eastAsia="Times New Roman" w:hAnsi="Arial" w:cs="Arial"/>
          <w:sz w:val="24"/>
          <w:szCs w:val="24"/>
        </w:rPr>
        <w:t>Los proyectos de Asociación Público-Privada son aquellos que se realicen con cualquier esquema para establecer una relación contractual de largo plazo, entre instancias del sector público y del sector privado, para la prestación de servicios al sector público, mayoristas, intermediarios o al usuario final y en los que se utilice infraestructura proporcionada total o parcialmente por el sector privado con objetivos que aumenten el bienestar social y los niveles de inversión en el Estado y sus municipios.</w:t>
      </w:r>
    </w:p>
    <w:p w:rsidR="00E23519" w:rsidRPr="008464D7" w:rsidRDefault="00E23519" w:rsidP="00E23519">
      <w:pPr>
        <w:spacing w:before="100" w:beforeAutospacing="1" w:after="100" w:afterAutospacing="1" w:line="240" w:lineRule="auto"/>
        <w:jc w:val="both"/>
        <w:rPr>
          <w:rFonts w:ascii="Arial" w:eastAsia="Times New Roman" w:hAnsi="Arial" w:cs="Arial"/>
          <w:sz w:val="24"/>
          <w:szCs w:val="24"/>
        </w:rPr>
      </w:pPr>
      <w:r w:rsidRPr="008464D7">
        <w:rPr>
          <w:rFonts w:ascii="Arial" w:eastAsia="Times New Roman" w:hAnsi="Arial" w:cs="Arial"/>
          <w:sz w:val="24"/>
          <w:szCs w:val="24"/>
        </w:rPr>
        <w:lastRenderedPageBreak/>
        <w:t>Dichos proyectos deberán estar plenamente justificados, especificar el beneficio social que se busca obtener y demostrar su ventaja financiera frente a otras formas de financiamiento y ser congruentes con los objetivos del Plan Estatal.</w:t>
      </w:r>
    </w:p>
    <w:p w:rsidR="00E23519" w:rsidRPr="008464D7" w:rsidRDefault="00E23519" w:rsidP="00E23519">
      <w:pPr>
        <w:spacing w:before="100" w:beforeAutospacing="1" w:after="100" w:afterAutospacing="1" w:line="240" w:lineRule="auto"/>
        <w:jc w:val="both"/>
        <w:rPr>
          <w:rFonts w:ascii="Arial" w:eastAsia="Times New Roman" w:hAnsi="Arial" w:cs="Arial"/>
          <w:sz w:val="24"/>
          <w:szCs w:val="24"/>
        </w:rPr>
      </w:pPr>
      <w:r w:rsidRPr="008464D7">
        <w:rPr>
          <w:rFonts w:ascii="Arial" w:eastAsia="Times New Roman" w:hAnsi="Arial" w:cs="Arial"/>
          <w:sz w:val="24"/>
          <w:szCs w:val="24"/>
        </w:rPr>
        <w:t>El gasto público contemplado para los proyectos de Asociación Público-Privada se ajustarán a las disposiciones de la Constitución Política del Estado Libre y Soberano de Colima, y a las previstas en la Ley de Disciplina Financiera, de la Ley de Presupuesto, Ley de Asociaciones Público Privadas del Estado de Colima y las demás que resulten aplicables.</w:t>
      </w:r>
    </w:p>
    <w:p w:rsidR="00E23519" w:rsidRDefault="00E23519" w:rsidP="00E23519">
      <w:pPr>
        <w:spacing w:before="100" w:beforeAutospacing="1" w:after="100" w:afterAutospacing="1" w:line="240" w:lineRule="auto"/>
        <w:jc w:val="both"/>
        <w:rPr>
          <w:rFonts w:ascii="Arial" w:eastAsia="Times New Roman" w:hAnsi="Arial" w:cs="Arial"/>
          <w:sz w:val="24"/>
          <w:szCs w:val="24"/>
        </w:rPr>
      </w:pPr>
      <w:r w:rsidRPr="008464D7">
        <w:rPr>
          <w:rFonts w:ascii="Arial" w:eastAsia="Times New Roman" w:hAnsi="Arial" w:cs="Arial"/>
          <w:sz w:val="24"/>
          <w:szCs w:val="24"/>
        </w:rPr>
        <w:t xml:space="preserve">Los compromisos presupuestarios futuros que en su caso llegaren a originar los proyectos de Asociación Público-Privada que se prevea iniciar, acumulados o aquellos de los proyectos que ya hubieran iniciado algún procedimiento de contratación o que ya estuvieran operando, serán acordes con las posibilidades agregadas de gasto y de financiamiento del sector público estatal. </w:t>
      </w:r>
    </w:p>
    <w:p w:rsidR="00E23519" w:rsidRPr="008464D7" w:rsidRDefault="00E23519" w:rsidP="00E23519">
      <w:pPr>
        <w:pStyle w:val="Texto"/>
        <w:spacing w:after="0" w:line="240" w:lineRule="auto"/>
        <w:ind w:firstLine="0"/>
        <w:rPr>
          <w:b/>
          <w:color w:val="000000"/>
          <w:sz w:val="24"/>
          <w:szCs w:val="24"/>
        </w:rPr>
      </w:pPr>
      <w:r w:rsidRPr="008464D7">
        <w:rPr>
          <w:b/>
          <w:color w:val="000000"/>
          <w:sz w:val="24"/>
          <w:szCs w:val="24"/>
        </w:rPr>
        <w:t>2.3. DESCRIPCIÓN DE LOS RIESGOS RELEVANTES PARA LAS FINANZAS PÚBLICAS, INCLUYENDO LOS MONTOS DE DEUDA CONTINGENTE, ACOMPAÑADOS DE PROPUESTAS DE ACCIÓN PARA ENFRENTARLOS.</w:t>
      </w:r>
    </w:p>
    <w:p w:rsidR="00E23519" w:rsidRDefault="00E23519" w:rsidP="00E23519">
      <w:pPr>
        <w:pStyle w:val="Texto"/>
        <w:spacing w:after="0" w:line="240" w:lineRule="auto"/>
        <w:ind w:firstLine="0"/>
        <w:jc w:val="center"/>
        <w:rPr>
          <w:b/>
          <w:color w:val="000000"/>
          <w:sz w:val="28"/>
          <w:szCs w:val="28"/>
        </w:rPr>
      </w:pPr>
    </w:p>
    <w:p w:rsidR="00E23519" w:rsidRPr="008464D7" w:rsidRDefault="00E23519" w:rsidP="00E23519">
      <w:pPr>
        <w:spacing w:line="240" w:lineRule="auto"/>
        <w:jc w:val="both"/>
        <w:rPr>
          <w:b/>
          <w:color w:val="000000"/>
          <w:sz w:val="28"/>
          <w:szCs w:val="28"/>
        </w:rPr>
      </w:pPr>
      <w:r w:rsidRPr="008464D7">
        <w:rPr>
          <w:b/>
          <w:color w:val="000000"/>
          <w:sz w:val="28"/>
          <w:szCs w:val="28"/>
          <w:lang w:val="es-ES"/>
        </w:rPr>
        <w:t>2</w:t>
      </w:r>
      <w:r w:rsidRPr="008464D7">
        <w:rPr>
          <w:b/>
          <w:color w:val="000000"/>
          <w:sz w:val="28"/>
          <w:szCs w:val="28"/>
        </w:rPr>
        <w:t>.3.1. Riesgos relevantes de las finanzas públicas a nivel   Nacional.</w:t>
      </w:r>
    </w:p>
    <w:p w:rsidR="00E23519" w:rsidRPr="00A514C3" w:rsidRDefault="00E23519" w:rsidP="00E23519">
      <w:pPr>
        <w:rPr>
          <w:rFonts w:ascii="Arial" w:hAnsi="Arial" w:cs="Arial"/>
          <w:b/>
          <w:sz w:val="24"/>
          <w:szCs w:val="24"/>
        </w:rPr>
      </w:pPr>
      <w:r w:rsidRPr="008464D7">
        <w:rPr>
          <w:rFonts w:ascii="Arial" w:hAnsi="Arial" w:cs="Arial"/>
          <w:b/>
          <w:sz w:val="24"/>
          <w:szCs w:val="24"/>
        </w:rPr>
        <w:t>Riesgos previstos en los Pre-Criterios Generales de Política Económica 2017</w:t>
      </w:r>
      <w:r>
        <w:rPr>
          <w:rFonts w:ascii="Arial" w:eastAsia="Times New Roman" w:hAnsi="Arial" w:cs="Arial"/>
          <w:b/>
          <w:bCs/>
          <w:sz w:val="24"/>
          <w:szCs w:val="24"/>
        </w:rPr>
        <w:t>Cuadro 17</w:t>
      </w:r>
      <w:r w:rsidRPr="008464D7">
        <w:rPr>
          <w:rFonts w:ascii="Arial" w:eastAsia="Times New Roman" w:hAnsi="Arial" w:cs="Arial"/>
          <w:b/>
          <w:bCs/>
          <w:sz w:val="24"/>
          <w:szCs w:val="24"/>
        </w:rPr>
        <w:t>.-  Factores de riesgo que inciden al alza</w:t>
      </w:r>
    </w:p>
    <w:p w:rsidR="00E23519" w:rsidRPr="008464D7" w:rsidRDefault="00E23519" w:rsidP="00E23519">
      <w:pPr>
        <w:spacing w:line="240" w:lineRule="auto"/>
        <w:jc w:val="center"/>
        <w:rPr>
          <w:rFonts w:ascii="Arial" w:hAnsi="Arial" w:cs="Arial"/>
          <w:b/>
          <w:sz w:val="24"/>
          <w:szCs w:val="24"/>
        </w:rPr>
      </w:pPr>
      <w:r w:rsidRPr="008464D7">
        <w:rPr>
          <w:rFonts w:ascii="Arial" w:hAnsi="Arial" w:cs="Arial"/>
          <w:noProof/>
          <w:sz w:val="18"/>
          <w:szCs w:val="18"/>
        </w:rPr>
        <w:drawing>
          <wp:inline distT="0" distB="0" distL="0" distR="0" wp14:anchorId="68512AEF" wp14:editId="0CE909BD">
            <wp:extent cx="5328402" cy="2524539"/>
            <wp:effectExtent l="19050" t="0" r="5598" b="0"/>
            <wp:docPr id="5" name="Imagen 1">
              <a:extLst xmlns:a="http://schemas.openxmlformats.org/drawingml/2006/main">
                <a:ext uri="{FF2B5EF4-FFF2-40B4-BE49-F238E27FC236}">
                  <a16:creationId xmlns:ve="http://schemas.openxmlformats.org/markup-compatibility/2006"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5CC218E3-1F19-4B42-81BA-58130F0384BD}"/>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ve="http://schemas.openxmlformats.org/markup-compatibility/2006"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5CC218E3-1F19-4B42-81BA-58130F0384BD}"/>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34000" cy="252719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E23519" w:rsidRPr="008464D7" w:rsidRDefault="00E23519" w:rsidP="00E23519">
      <w:pPr>
        <w:spacing w:line="240" w:lineRule="auto"/>
        <w:rPr>
          <w:rFonts w:ascii="Arial" w:hAnsi="Arial" w:cs="Arial"/>
          <w:sz w:val="18"/>
          <w:szCs w:val="18"/>
        </w:rPr>
      </w:pPr>
      <w:r w:rsidRPr="008464D7">
        <w:rPr>
          <w:rFonts w:ascii="Arial" w:hAnsi="Arial" w:cs="Arial"/>
          <w:sz w:val="18"/>
          <w:szCs w:val="18"/>
        </w:rPr>
        <w:t xml:space="preserve">   Fuente: SHCP Pre-Criterios Generales de Política Económica 2017</w:t>
      </w:r>
    </w:p>
    <w:p w:rsidR="00E23519" w:rsidRDefault="00E23519" w:rsidP="00E23519">
      <w:pPr>
        <w:rPr>
          <w:rFonts w:ascii="Arial" w:eastAsia="Times New Roman" w:hAnsi="Arial" w:cs="Arial"/>
          <w:b/>
          <w:bCs/>
          <w:sz w:val="24"/>
          <w:szCs w:val="24"/>
        </w:rPr>
      </w:pPr>
      <w:r>
        <w:rPr>
          <w:rFonts w:ascii="Arial" w:eastAsia="Times New Roman" w:hAnsi="Arial" w:cs="Arial"/>
          <w:b/>
          <w:bCs/>
          <w:sz w:val="24"/>
          <w:szCs w:val="24"/>
        </w:rPr>
        <w:lastRenderedPageBreak/>
        <w:t xml:space="preserve">        </w:t>
      </w:r>
    </w:p>
    <w:p w:rsidR="00E23519" w:rsidRPr="008464D7" w:rsidRDefault="00E23519" w:rsidP="00E23519">
      <w:pPr>
        <w:rPr>
          <w:rFonts w:ascii="Arial" w:eastAsia="Times New Roman" w:hAnsi="Arial" w:cs="Arial"/>
          <w:b/>
          <w:bCs/>
          <w:sz w:val="24"/>
          <w:szCs w:val="24"/>
        </w:rPr>
      </w:pPr>
      <w:r w:rsidRPr="008464D7">
        <w:rPr>
          <w:rFonts w:ascii="Arial" w:eastAsia="Times New Roman" w:hAnsi="Arial" w:cs="Arial"/>
          <w:b/>
          <w:bCs/>
          <w:sz w:val="24"/>
          <w:szCs w:val="24"/>
        </w:rPr>
        <w:t>Cuadro 18.- Factores de Riesgo que inciden a la baja</w:t>
      </w:r>
    </w:p>
    <w:p w:rsidR="00E23519" w:rsidRPr="008464D7" w:rsidRDefault="00E23519" w:rsidP="00E23519">
      <w:pPr>
        <w:spacing w:line="240" w:lineRule="auto"/>
        <w:jc w:val="center"/>
        <w:rPr>
          <w:rFonts w:ascii="Arial" w:hAnsi="Arial" w:cs="Arial"/>
          <w:color w:val="000000"/>
          <w:sz w:val="28"/>
          <w:szCs w:val="28"/>
        </w:rPr>
      </w:pPr>
      <w:r w:rsidRPr="008464D7">
        <w:rPr>
          <w:rFonts w:ascii="Arial" w:hAnsi="Arial" w:cs="Arial"/>
          <w:noProof/>
          <w:color w:val="000000"/>
          <w:sz w:val="28"/>
          <w:szCs w:val="28"/>
        </w:rPr>
        <w:drawing>
          <wp:inline distT="0" distB="0" distL="0" distR="0" wp14:anchorId="63275540" wp14:editId="76FE5DED">
            <wp:extent cx="5100073" cy="3468757"/>
            <wp:effectExtent l="19050" t="0" r="5327" b="0"/>
            <wp:docPr id="9" name="Imagen 2">
              <a:extLst xmlns:a="http://schemas.openxmlformats.org/drawingml/2006/main">
                <a:ext uri="{FF2B5EF4-FFF2-40B4-BE49-F238E27FC236}">
                  <a16:creationId xmlns:ve="http://schemas.openxmlformats.org/markup-compatibility/2006"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58482173-37EB-4712-8C57-72BDBE7CB9FA}"/>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ve="http://schemas.openxmlformats.org/markup-compatibility/2006"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58482173-37EB-4712-8C57-72BDBE7CB9FA}"/>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108123" cy="347423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E23519" w:rsidRPr="00A514C3" w:rsidRDefault="00E23519" w:rsidP="00E23519">
      <w:pPr>
        <w:spacing w:line="240" w:lineRule="auto"/>
        <w:rPr>
          <w:rFonts w:ascii="Arial" w:hAnsi="Arial" w:cs="Arial"/>
          <w:color w:val="000000"/>
          <w:sz w:val="28"/>
          <w:szCs w:val="28"/>
        </w:rPr>
      </w:pPr>
      <w:r w:rsidRPr="008464D7">
        <w:rPr>
          <w:rFonts w:ascii="Arial" w:hAnsi="Arial" w:cs="Arial"/>
          <w:sz w:val="18"/>
          <w:szCs w:val="18"/>
        </w:rPr>
        <w:t xml:space="preserve">         Fuente: SHCP Pre-Criterios Generales de Política Económica 2017.</w:t>
      </w:r>
    </w:p>
    <w:p w:rsidR="00E23519" w:rsidRDefault="00E23519" w:rsidP="00E23519">
      <w:pPr>
        <w:spacing w:line="240" w:lineRule="auto"/>
        <w:rPr>
          <w:rFonts w:ascii="Arial" w:hAnsi="Arial" w:cs="Arial"/>
          <w:b/>
          <w:sz w:val="24"/>
          <w:szCs w:val="24"/>
        </w:rPr>
      </w:pPr>
      <w:r>
        <w:rPr>
          <w:rFonts w:ascii="Arial" w:hAnsi="Arial" w:cs="Arial"/>
          <w:b/>
          <w:sz w:val="24"/>
          <w:szCs w:val="24"/>
        </w:rPr>
        <w:lastRenderedPageBreak/>
        <w:t>Cuadro 19.-</w:t>
      </w:r>
      <w:r w:rsidRPr="008464D7">
        <w:rPr>
          <w:rFonts w:ascii="Arial" w:hAnsi="Arial" w:cs="Arial"/>
          <w:b/>
          <w:sz w:val="24"/>
          <w:szCs w:val="24"/>
        </w:rPr>
        <w:t xml:space="preserve"> Perspectivas de las Finanzas Públicas </w:t>
      </w:r>
      <w:r w:rsidRPr="00343A3E">
        <w:rPr>
          <w:noProof/>
        </w:rPr>
        <w:drawing>
          <wp:inline distT="0" distB="0" distL="0" distR="0" wp14:anchorId="17663999" wp14:editId="47BC56A8">
            <wp:extent cx="5612130" cy="7104548"/>
            <wp:effectExtent l="0" t="0" r="7620" b="127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2130" cy="7104548"/>
                    </a:xfrm>
                    <a:prstGeom prst="rect">
                      <a:avLst/>
                    </a:prstGeom>
                    <a:noFill/>
                    <a:ln>
                      <a:noFill/>
                    </a:ln>
                  </pic:spPr>
                </pic:pic>
              </a:graphicData>
            </a:graphic>
          </wp:inline>
        </w:drawing>
      </w:r>
    </w:p>
    <w:p w:rsidR="00E23519" w:rsidRPr="008464D7" w:rsidRDefault="00E23519" w:rsidP="00E23519">
      <w:pPr>
        <w:autoSpaceDE w:val="0"/>
        <w:autoSpaceDN w:val="0"/>
        <w:adjustRightInd w:val="0"/>
        <w:spacing w:after="0" w:line="240" w:lineRule="auto"/>
        <w:rPr>
          <w:rFonts w:ascii="Arial" w:hAnsi="Arial" w:cs="Arial"/>
          <w:b/>
          <w:color w:val="000000"/>
          <w:sz w:val="28"/>
          <w:szCs w:val="28"/>
        </w:rPr>
      </w:pPr>
      <w:r w:rsidRPr="008464D7">
        <w:rPr>
          <w:rFonts w:ascii="Arial" w:hAnsi="Arial" w:cs="Arial"/>
          <w:b/>
          <w:color w:val="000000"/>
          <w:sz w:val="28"/>
          <w:szCs w:val="28"/>
        </w:rPr>
        <w:lastRenderedPageBreak/>
        <w:t>Riesgos fiscales</w:t>
      </w:r>
    </w:p>
    <w:p w:rsidR="00E23519" w:rsidRPr="008464D7" w:rsidRDefault="00E23519" w:rsidP="00E23519">
      <w:pPr>
        <w:autoSpaceDE w:val="0"/>
        <w:autoSpaceDN w:val="0"/>
        <w:adjustRightInd w:val="0"/>
        <w:spacing w:after="0" w:line="240" w:lineRule="auto"/>
        <w:rPr>
          <w:rFonts w:ascii="SoberanaSans-Black" w:hAnsi="SoberanaSans-Black" w:cs="SoberanaSans-Black"/>
          <w:color w:val="000000"/>
          <w:sz w:val="28"/>
          <w:szCs w:val="28"/>
        </w:rPr>
      </w:pPr>
    </w:p>
    <w:p w:rsidR="00E23519" w:rsidRPr="008464D7" w:rsidRDefault="00E23519" w:rsidP="00E23519">
      <w:pPr>
        <w:autoSpaceDE w:val="0"/>
        <w:autoSpaceDN w:val="0"/>
        <w:adjustRightInd w:val="0"/>
        <w:spacing w:after="0" w:line="240" w:lineRule="auto"/>
        <w:jc w:val="both"/>
        <w:rPr>
          <w:rFonts w:ascii="Arial" w:hAnsi="Arial" w:cs="Arial"/>
          <w:b/>
          <w:iCs/>
          <w:sz w:val="24"/>
          <w:szCs w:val="24"/>
        </w:rPr>
      </w:pPr>
      <w:r w:rsidRPr="008464D7">
        <w:rPr>
          <w:rFonts w:ascii="Arial" w:hAnsi="Arial" w:cs="Arial"/>
          <w:b/>
          <w:iCs/>
          <w:sz w:val="24"/>
          <w:szCs w:val="24"/>
        </w:rPr>
        <w:t>Riesgos macroeconómicos de corto plazo.</w:t>
      </w:r>
    </w:p>
    <w:p w:rsidR="00E23519" w:rsidRPr="008464D7" w:rsidRDefault="00E23519" w:rsidP="00E23519">
      <w:pPr>
        <w:autoSpaceDE w:val="0"/>
        <w:autoSpaceDN w:val="0"/>
        <w:adjustRightInd w:val="0"/>
        <w:spacing w:after="0" w:line="240" w:lineRule="auto"/>
        <w:jc w:val="both"/>
        <w:rPr>
          <w:rFonts w:ascii="Arial" w:hAnsi="Arial" w:cs="Arial"/>
          <w:b/>
          <w:iCs/>
          <w:sz w:val="24"/>
          <w:szCs w:val="24"/>
        </w:rPr>
      </w:pPr>
    </w:p>
    <w:p w:rsidR="00E23519" w:rsidRPr="008464D7" w:rsidRDefault="00E23519" w:rsidP="00E23519">
      <w:pPr>
        <w:spacing w:line="240" w:lineRule="auto"/>
        <w:jc w:val="both"/>
        <w:rPr>
          <w:rFonts w:ascii="Arial" w:hAnsi="Arial" w:cs="Arial"/>
          <w:sz w:val="24"/>
          <w:szCs w:val="24"/>
        </w:rPr>
      </w:pPr>
      <w:r w:rsidRPr="008464D7">
        <w:rPr>
          <w:rFonts w:ascii="Arial" w:hAnsi="Arial" w:cs="Arial"/>
          <w:sz w:val="24"/>
          <w:szCs w:val="24"/>
        </w:rPr>
        <w:t>Con el objetivo de evaluar la sustentabilidad de las finanzas públicas, a continuación, se presenta un análisis de las posibles desviaciones de los ingresos y gasto público respecto a la Iniciativa de la Ley de Ingresos de la Federación y el PPEF como consecuencia de movimientos en las principales variables macroeconómicas. Estas desviaciones no consideran efectos conjuntos entre variables, por lo que deben ser consideradas como impactos aislados a las finanzas públicas.</w:t>
      </w:r>
    </w:p>
    <w:p w:rsidR="00E23519" w:rsidRPr="008464D7" w:rsidRDefault="00E23519" w:rsidP="00E23519">
      <w:pPr>
        <w:spacing w:line="240" w:lineRule="auto"/>
        <w:jc w:val="both"/>
        <w:rPr>
          <w:rFonts w:ascii="Arial" w:hAnsi="Arial" w:cs="Arial"/>
          <w:sz w:val="24"/>
          <w:szCs w:val="24"/>
        </w:rPr>
      </w:pPr>
      <w:r w:rsidRPr="008464D7">
        <w:rPr>
          <w:noProof/>
          <w:szCs w:val="24"/>
        </w:rPr>
        <w:drawing>
          <wp:inline distT="0" distB="0" distL="0" distR="0" wp14:anchorId="1F554E17" wp14:editId="26A180C7">
            <wp:extent cx="5631180" cy="2562225"/>
            <wp:effectExtent l="0" t="0" r="7620" b="9525"/>
            <wp:docPr id="6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srcRect/>
                    <a:stretch>
                      <a:fillRect/>
                    </a:stretch>
                  </pic:blipFill>
                  <pic:spPr bwMode="auto">
                    <a:xfrm>
                      <a:off x="0" y="0"/>
                      <a:ext cx="5675177" cy="2582244"/>
                    </a:xfrm>
                    <a:prstGeom prst="rect">
                      <a:avLst/>
                    </a:prstGeom>
                    <a:noFill/>
                    <a:ln w="9525">
                      <a:noFill/>
                      <a:miter lim="800000"/>
                      <a:headEnd/>
                      <a:tailEnd/>
                    </a:ln>
                  </pic:spPr>
                </pic:pic>
              </a:graphicData>
            </a:graphic>
          </wp:inline>
        </w:drawing>
      </w:r>
    </w:p>
    <w:p w:rsidR="00E23519" w:rsidRPr="008464D7" w:rsidRDefault="00E23519" w:rsidP="00E23519">
      <w:pPr>
        <w:autoSpaceDE w:val="0"/>
        <w:autoSpaceDN w:val="0"/>
        <w:adjustRightInd w:val="0"/>
        <w:spacing w:after="0" w:line="240" w:lineRule="auto"/>
        <w:jc w:val="both"/>
        <w:rPr>
          <w:rFonts w:ascii="Arial" w:hAnsi="Arial" w:cs="Arial"/>
          <w:sz w:val="24"/>
          <w:szCs w:val="24"/>
        </w:rPr>
      </w:pPr>
      <w:r w:rsidRPr="008464D7">
        <w:rPr>
          <w:rFonts w:ascii="Arial" w:hAnsi="Arial" w:cs="Arial"/>
          <w:sz w:val="24"/>
          <w:szCs w:val="24"/>
        </w:rPr>
        <w:t>Además de los efectos previamente descritos, existen factores extraordinarios que influyen en el comportamiento de las finanzas públicas en el corto plazo, que debido a su naturaleza es difícil realizar una cuantificación precisa de su impacto. Ante cualquier posible escenario, el Gobierno Federal está comprometido en actuar de manera oportuna y con acciones para enfrentar la materialización de los riesgos que alteren los ingresos o gastos que comprometan la sustentabilidad de las finanzas públicas.</w:t>
      </w:r>
    </w:p>
    <w:p w:rsidR="00E23519" w:rsidRPr="008464D7" w:rsidRDefault="00E23519" w:rsidP="00E23519">
      <w:pPr>
        <w:autoSpaceDE w:val="0"/>
        <w:autoSpaceDN w:val="0"/>
        <w:adjustRightInd w:val="0"/>
        <w:spacing w:after="0" w:line="240" w:lineRule="auto"/>
        <w:jc w:val="both"/>
        <w:rPr>
          <w:rFonts w:ascii="Arial" w:hAnsi="Arial" w:cs="Arial"/>
          <w:sz w:val="24"/>
          <w:szCs w:val="24"/>
        </w:rPr>
      </w:pPr>
    </w:p>
    <w:p w:rsidR="00E23519" w:rsidRPr="008464D7" w:rsidRDefault="00E23519" w:rsidP="00E23519">
      <w:pPr>
        <w:autoSpaceDE w:val="0"/>
        <w:autoSpaceDN w:val="0"/>
        <w:adjustRightInd w:val="0"/>
        <w:spacing w:after="0" w:line="240" w:lineRule="auto"/>
        <w:jc w:val="both"/>
        <w:rPr>
          <w:rFonts w:ascii="Arial" w:hAnsi="Arial" w:cs="Arial"/>
          <w:b/>
          <w:iCs/>
          <w:sz w:val="24"/>
          <w:szCs w:val="24"/>
        </w:rPr>
      </w:pPr>
      <w:r w:rsidRPr="008464D7">
        <w:rPr>
          <w:rFonts w:ascii="Arial" w:hAnsi="Arial" w:cs="Arial"/>
          <w:b/>
          <w:iCs/>
          <w:sz w:val="24"/>
          <w:szCs w:val="24"/>
        </w:rPr>
        <w:t>Riesgos macroeconómicos de largo plazo y pasivos contingentes</w:t>
      </w:r>
    </w:p>
    <w:p w:rsidR="00E23519" w:rsidRPr="008464D7" w:rsidRDefault="00E23519" w:rsidP="00E23519">
      <w:pPr>
        <w:autoSpaceDE w:val="0"/>
        <w:autoSpaceDN w:val="0"/>
        <w:adjustRightInd w:val="0"/>
        <w:spacing w:after="0" w:line="240" w:lineRule="auto"/>
        <w:jc w:val="both"/>
        <w:rPr>
          <w:rFonts w:ascii="Arial" w:hAnsi="Arial" w:cs="Arial"/>
          <w:b/>
          <w:iCs/>
          <w:sz w:val="24"/>
          <w:szCs w:val="24"/>
        </w:rPr>
      </w:pPr>
    </w:p>
    <w:p w:rsidR="00E23519" w:rsidRPr="008464D7" w:rsidRDefault="00E23519" w:rsidP="00E23519">
      <w:pPr>
        <w:autoSpaceDE w:val="0"/>
        <w:autoSpaceDN w:val="0"/>
        <w:adjustRightInd w:val="0"/>
        <w:spacing w:after="0" w:line="240" w:lineRule="auto"/>
        <w:jc w:val="both"/>
        <w:rPr>
          <w:rFonts w:ascii="Arial" w:hAnsi="Arial" w:cs="Arial"/>
          <w:sz w:val="24"/>
          <w:szCs w:val="24"/>
        </w:rPr>
      </w:pPr>
      <w:r w:rsidRPr="008464D7">
        <w:rPr>
          <w:rFonts w:ascii="Arial" w:hAnsi="Arial" w:cs="Arial"/>
          <w:sz w:val="24"/>
          <w:szCs w:val="24"/>
        </w:rPr>
        <w:t xml:space="preserve">Los riesgos fiscales de largo plazo para las finanzas públicas se definen como obligaciones no transitorias, cuya dinámica depende también del desempeño de las variables macroeconómicas en el corto plazo. Asimismo, existen obligaciones financieras estipuladas por el Sector Público que no constituyen deuda pública del </w:t>
      </w:r>
      <w:r w:rsidRPr="008464D7">
        <w:rPr>
          <w:rFonts w:ascii="Arial" w:hAnsi="Arial" w:cs="Arial"/>
          <w:sz w:val="24"/>
          <w:szCs w:val="24"/>
        </w:rPr>
        <w:lastRenderedPageBreak/>
        <w:t>mismo o que surgen de la ocurrencia de imprevistos como son los desastres naturales.</w:t>
      </w:r>
    </w:p>
    <w:p w:rsidR="00E23519" w:rsidRPr="008464D7" w:rsidRDefault="00E23519" w:rsidP="00E23519">
      <w:pPr>
        <w:autoSpaceDE w:val="0"/>
        <w:autoSpaceDN w:val="0"/>
        <w:adjustRightInd w:val="0"/>
        <w:spacing w:after="0" w:line="240" w:lineRule="auto"/>
        <w:jc w:val="both"/>
        <w:rPr>
          <w:rFonts w:ascii="Arial" w:hAnsi="Arial" w:cs="Arial"/>
          <w:sz w:val="24"/>
          <w:szCs w:val="24"/>
        </w:rPr>
      </w:pPr>
    </w:p>
    <w:p w:rsidR="00E23519" w:rsidRPr="008464D7" w:rsidRDefault="00E23519" w:rsidP="00E23519">
      <w:pPr>
        <w:autoSpaceDE w:val="0"/>
        <w:autoSpaceDN w:val="0"/>
        <w:adjustRightInd w:val="0"/>
        <w:spacing w:after="0" w:line="240" w:lineRule="auto"/>
        <w:jc w:val="both"/>
        <w:rPr>
          <w:rFonts w:ascii="Arial" w:hAnsi="Arial" w:cs="Arial"/>
          <w:sz w:val="24"/>
          <w:szCs w:val="24"/>
        </w:rPr>
      </w:pPr>
      <w:r w:rsidRPr="008464D7">
        <w:rPr>
          <w:rFonts w:ascii="Arial" w:hAnsi="Arial" w:cs="Arial"/>
          <w:sz w:val="24"/>
          <w:szCs w:val="24"/>
        </w:rPr>
        <w:t>En consecuencia, el diseño e implementación de la política económica de la presente Administración considera los riesgos de mediano y largo plazos. A continuación, se enumera una lista de los principales factores que podrían tener un impacto en las finanzas públicas y las acciones que se han tomado para evitar que se conviertan en un riesgo para la solidez de la hacienda pública.</w:t>
      </w:r>
    </w:p>
    <w:p w:rsidR="00E23519" w:rsidRPr="008464D7" w:rsidRDefault="00E23519" w:rsidP="00E23519">
      <w:pPr>
        <w:pStyle w:val="Texto"/>
        <w:spacing w:after="0" w:line="240" w:lineRule="auto"/>
        <w:rPr>
          <w:b/>
          <w:sz w:val="24"/>
          <w:szCs w:val="24"/>
        </w:rPr>
      </w:pPr>
    </w:p>
    <w:p w:rsidR="00E23519" w:rsidRPr="008464D7" w:rsidRDefault="00E23519" w:rsidP="00E23519">
      <w:pPr>
        <w:autoSpaceDE w:val="0"/>
        <w:autoSpaceDN w:val="0"/>
        <w:adjustRightInd w:val="0"/>
        <w:spacing w:after="0" w:line="240" w:lineRule="auto"/>
        <w:jc w:val="both"/>
        <w:rPr>
          <w:rFonts w:ascii="Arial" w:hAnsi="Arial" w:cs="Arial"/>
          <w:sz w:val="24"/>
          <w:szCs w:val="24"/>
        </w:rPr>
      </w:pPr>
      <w:r w:rsidRPr="008464D7">
        <w:rPr>
          <w:rFonts w:ascii="Arial" w:hAnsi="Arial" w:cs="Arial"/>
          <w:sz w:val="24"/>
          <w:szCs w:val="24"/>
        </w:rPr>
        <w:t>1) Pirámide poblacional, pensiones y salud.</w:t>
      </w:r>
    </w:p>
    <w:p w:rsidR="00E23519" w:rsidRPr="008464D7" w:rsidRDefault="00E23519" w:rsidP="00E23519">
      <w:pPr>
        <w:autoSpaceDE w:val="0"/>
        <w:autoSpaceDN w:val="0"/>
        <w:adjustRightInd w:val="0"/>
        <w:spacing w:after="0" w:line="240" w:lineRule="auto"/>
        <w:jc w:val="both"/>
        <w:rPr>
          <w:rFonts w:ascii="Arial" w:hAnsi="Arial" w:cs="Arial"/>
          <w:sz w:val="24"/>
          <w:szCs w:val="24"/>
        </w:rPr>
      </w:pPr>
    </w:p>
    <w:p w:rsidR="00E23519" w:rsidRPr="008464D7" w:rsidRDefault="00E23519" w:rsidP="00E23519">
      <w:pPr>
        <w:autoSpaceDE w:val="0"/>
        <w:autoSpaceDN w:val="0"/>
        <w:adjustRightInd w:val="0"/>
        <w:spacing w:after="0" w:line="240" w:lineRule="auto"/>
        <w:jc w:val="both"/>
        <w:rPr>
          <w:rFonts w:ascii="Arial" w:hAnsi="Arial" w:cs="Arial"/>
          <w:sz w:val="24"/>
          <w:szCs w:val="24"/>
        </w:rPr>
      </w:pPr>
      <w:r w:rsidRPr="008464D7">
        <w:rPr>
          <w:rFonts w:ascii="Arial" w:hAnsi="Arial" w:cs="Arial"/>
          <w:sz w:val="24"/>
          <w:szCs w:val="24"/>
        </w:rPr>
        <w:t>Entre 2017 y 2035, se prevé que habrá una transición importante de la estructura poblacional, con un aumento de una población adulta que oscila entre los 40 y 70 años de edad. Lo anterior implica una presión en el gasto esperado en pensiones y en salud.</w:t>
      </w:r>
    </w:p>
    <w:p w:rsidR="00E23519" w:rsidRPr="008464D7" w:rsidRDefault="00E23519" w:rsidP="00E23519">
      <w:pPr>
        <w:pStyle w:val="Texto"/>
        <w:spacing w:after="0" w:line="240" w:lineRule="auto"/>
        <w:rPr>
          <w:b/>
          <w:sz w:val="24"/>
          <w:szCs w:val="24"/>
        </w:rPr>
      </w:pPr>
    </w:p>
    <w:p w:rsidR="00E23519" w:rsidRPr="008464D7" w:rsidRDefault="00E23519" w:rsidP="00E23519">
      <w:pPr>
        <w:autoSpaceDE w:val="0"/>
        <w:autoSpaceDN w:val="0"/>
        <w:adjustRightInd w:val="0"/>
        <w:spacing w:after="0" w:line="240" w:lineRule="auto"/>
        <w:jc w:val="both"/>
        <w:rPr>
          <w:rFonts w:ascii="Arial" w:hAnsi="Arial" w:cs="Arial"/>
          <w:sz w:val="24"/>
          <w:szCs w:val="24"/>
        </w:rPr>
      </w:pPr>
      <w:r w:rsidRPr="008464D7">
        <w:rPr>
          <w:rFonts w:ascii="Arial" w:hAnsi="Arial" w:cs="Arial"/>
          <w:sz w:val="24"/>
          <w:szCs w:val="24"/>
        </w:rPr>
        <w:t>2) Banca de Desarrollo.</w:t>
      </w:r>
    </w:p>
    <w:p w:rsidR="00E23519" w:rsidRPr="008464D7" w:rsidRDefault="00E23519" w:rsidP="00E23519">
      <w:pPr>
        <w:autoSpaceDE w:val="0"/>
        <w:autoSpaceDN w:val="0"/>
        <w:adjustRightInd w:val="0"/>
        <w:spacing w:after="0" w:line="240" w:lineRule="auto"/>
        <w:jc w:val="both"/>
        <w:rPr>
          <w:rFonts w:ascii="Arial" w:hAnsi="Arial" w:cs="Arial"/>
          <w:sz w:val="24"/>
          <w:szCs w:val="24"/>
        </w:rPr>
      </w:pPr>
    </w:p>
    <w:p w:rsidR="00E23519" w:rsidRPr="008464D7" w:rsidRDefault="00E23519" w:rsidP="00E23519">
      <w:pPr>
        <w:autoSpaceDE w:val="0"/>
        <w:autoSpaceDN w:val="0"/>
        <w:adjustRightInd w:val="0"/>
        <w:spacing w:after="0" w:line="240" w:lineRule="auto"/>
        <w:jc w:val="both"/>
        <w:rPr>
          <w:rFonts w:ascii="Arial" w:hAnsi="Arial" w:cs="Arial"/>
          <w:sz w:val="24"/>
          <w:szCs w:val="24"/>
        </w:rPr>
      </w:pPr>
      <w:r w:rsidRPr="008464D7">
        <w:rPr>
          <w:rFonts w:ascii="Arial" w:hAnsi="Arial" w:cs="Arial"/>
          <w:sz w:val="24"/>
          <w:szCs w:val="24"/>
        </w:rPr>
        <w:t>Los riesgos se concentran en el posible incumplimiento del servicio de los créditos directos o en el ejercicio de las garantías otorgadas.</w:t>
      </w:r>
    </w:p>
    <w:p w:rsidR="00E23519" w:rsidRPr="008464D7" w:rsidRDefault="00E23519" w:rsidP="00E23519">
      <w:pPr>
        <w:pStyle w:val="Texto"/>
        <w:spacing w:after="0" w:line="240" w:lineRule="auto"/>
        <w:rPr>
          <w:b/>
          <w:sz w:val="24"/>
          <w:szCs w:val="24"/>
        </w:rPr>
      </w:pPr>
    </w:p>
    <w:p w:rsidR="00E23519" w:rsidRPr="008464D7" w:rsidRDefault="00E23519" w:rsidP="00E23519">
      <w:pPr>
        <w:autoSpaceDE w:val="0"/>
        <w:autoSpaceDN w:val="0"/>
        <w:adjustRightInd w:val="0"/>
        <w:spacing w:after="0" w:line="240" w:lineRule="auto"/>
        <w:jc w:val="both"/>
        <w:rPr>
          <w:rFonts w:ascii="Arial" w:hAnsi="Arial" w:cs="Arial"/>
          <w:sz w:val="24"/>
          <w:szCs w:val="24"/>
        </w:rPr>
      </w:pPr>
      <w:r w:rsidRPr="008464D7">
        <w:rPr>
          <w:rFonts w:ascii="Arial" w:hAnsi="Arial" w:cs="Arial"/>
          <w:sz w:val="24"/>
          <w:szCs w:val="24"/>
        </w:rPr>
        <w:t>3) Seguro de depósitos e Instituto para la Protección al Ahorro Bancario (IPAB)</w:t>
      </w:r>
    </w:p>
    <w:p w:rsidR="00E23519" w:rsidRPr="008464D7" w:rsidRDefault="00E23519" w:rsidP="00E23519">
      <w:pPr>
        <w:autoSpaceDE w:val="0"/>
        <w:autoSpaceDN w:val="0"/>
        <w:adjustRightInd w:val="0"/>
        <w:spacing w:after="0" w:line="240" w:lineRule="auto"/>
        <w:jc w:val="both"/>
        <w:rPr>
          <w:rFonts w:ascii="Arial" w:hAnsi="Arial" w:cs="Arial"/>
          <w:sz w:val="24"/>
          <w:szCs w:val="24"/>
        </w:rPr>
      </w:pPr>
    </w:p>
    <w:p w:rsidR="00E23519" w:rsidRPr="008464D7" w:rsidRDefault="00E23519" w:rsidP="00E23519">
      <w:pPr>
        <w:autoSpaceDE w:val="0"/>
        <w:autoSpaceDN w:val="0"/>
        <w:adjustRightInd w:val="0"/>
        <w:spacing w:after="0" w:line="240" w:lineRule="auto"/>
        <w:jc w:val="both"/>
        <w:rPr>
          <w:rFonts w:ascii="Arial" w:hAnsi="Arial" w:cs="Arial"/>
          <w:sz w:val="24"/>
          <w:szCs w:val="24"/>
        </w:rPr>
      </w:pPr>
      <w:r w:rsidRPr="008464D7">
        <w:rPr>
          <w:rFonts w:ascii="Arial" w:hAnsi="Arial" w:cs="Arial"/>
          <w:sz w:val="24"/>
          <w:szCs w:val="24"/>
        </w:rPr>
        <w:t>El riesgo a las finanzas públicas por parte del seguro de depósitos se debe a la obligación que tiene el Gobierno Federal de cubrir el monto garantizado de los depósitos en caso de insolvencia de una institución financiera. Así, en caso de ocurrir la contingencia, el IPAB procede a pagar las obligaciones garantizadas líquidas y exigibles, a cargo de una institución de banca múltiple, cuando se establece la liquidación o concurso mercantil de la institución.</w:t>
      </w:r>
    </w:p>
    <w:p w:rsidR="00E23519" w:rsidRPr="008464D7" w:rsidRDefault="00E23519" w:rsidP="00E23519">
      <w:pPr>
        <w:autoSpaceDE w:val="0"/>
        <w:autoSpaceDN w:val="0"/>
        <w:adjustRightInd w:val="0"/>
        <w:spacing w:after="0" w:line="240" w:lineRule="auto"/>
        <w:jc w:val="both"/>
        <w:rPr>
          <w:rFonts w:ascii="Arial" w:hAnsi="Arial" w:cs="Arial"/>
          <w:sz w:val="24"/>
          <w:szCs w:val="24"/>
        </w:rPr>
      </w:pPr>
    </w:p>
    <w:p w:rsidR="00E23519" w:rsidRPr="008464D7" w:rsidRDefault="00E23519" w:rsidP="00E23519">
      <w:pPr>
        <w:autoSpaceDE w:val="0"/>
        <w:autoSpaceDN w:val="0"/>
        <w:adjustRightInd w:val="0"/>
        <w:spacing w:after="0" w:line="240" w:lineRule="auto"/>
        <w:jc w:val="both"/>
        <w:rPr>
          <w:rFonts w:ascii="Arial" w:hAnsi="Arial" w:cs="Arial"/>
          <w:sz w:val="24"/>
          <w:szCs w:val="24"/>
        </w:rPr>
      </w:pPr>
      <w:r w:rsidRPr="008464D7">
        <w:rPr>
          <w:rFonts w:ascii="Arial" w:hAnsi="Arial" w:cs="Arial"/>
          <w:sz w:val="24"/>
          <w:szCs w:val="24"/>
        </w:rPr>
        <w:t>4) Proyectos de Infraestructura de Largo Plazo (Pidiregas)</w:t>
      </w:r>
    </w:p>
    <w:p w:rsidR="00E23519" w:rsidRPr="008464D7" w:rsidRDefault="00E23519" w:rsidP="00E23519">
      <w:pPr>
        <w:autoSpaceDE w:val="0"/>
        <w:autoSpaceDN w:val="0"/>
        <w:adjustRightInd w:val="0"/>
        <w:spacing w:after="0" w:line="240" w:lineRule="auto"/>
        <w:jc w:val="both"/>
        <w:rPr>
          <w:rFonts w:ascii="Arial" w:hAnsi="Arial" w:cs="Arial"/>
          <w:sz w:val="24"/>
          <w:szCs w:val="24"/>
        </w:rPr>
      </w:pPr>
    </w:p>
    <w:p w:rsidR="00E23519" w:rsidRPr="008464D7" w:rsidRDefault="00E23519" w:rsidP="00E23519">
      <w:pPr>
        <w:autoSpaceDE w:val="0"/>
        <w:autoSpaceDN w:val="0"/>
        <w:adjustRightInd w:val="0"/>
        <w:spacing w:after="0" w:line="240" w:lineRule="auto"/>
        <w:jc w:val="both"/>
        <w:rPr>
          <w:rFonts w:ascii="Arial" w:hAnsi="Arial" w:cs="Arial"/>
          <w:sz w:val="24"/>
          <w:szCs w:val="24"/>
        </w:rPr>
      </w:pPr>
      <w:r w:rsidRPr="008464D7">
        <w:rPr>
          <w:rFonts w:ascii="Arial" w:hAnsi="Arial" w:cs="Arial"/>
          <w:sz w:val="24"/>
          <w:szCs w:val="24"/>
        </w:rPr>
        <w:t>Actualmente, la CFE es la única entidad del Sector Público que continúa utilizando el esquema de inversión condicionada conocido como Proyectos de Infraestructura de Largo Plazo (Pidiregas), ya que Pemex dejó de utilizar estos esquemas a partir de la Reforma Energética de 2009, por lo que toda la deuda asociada a ese concepto se convirtió en deuda pública.</w:t>
      </w:r>
    </w:p>
    <w:p w:rsidR="00E23519" w:rsidRPr="008464D7" w:rsidRDefault="00E23519" w:rsidP="00E23519">
      <w:pPr>
        <w:autoSpaceDE w:val="0"/>
        <w:autoSpaceDN w:val="0"/>
        <w:adjustRightInd w:val="0"/>
        <w:spacing w:after="0" w:line="240" w:lineRule="auto"/>
        <w:jc w:val="both"/>
        <w:rPr>
          <w:rFonts w:ascii="Arial" w:hAnsi="Arial" w:cs="Arial"/>
          <w:sz w:val="24"/>
          <w:szCs w:val="24"/>
        </w:rPr>
      </w:pPr>
    </w:p>
    <w:p w:rsidR="00E23519" w:rsidRPr="008464D7" w:rsidRDefault="00E23519" w:rsidP="00E23519">
      <w:pPr>
        <w:autoSpaceDE w:val="0"/>
        <w:autoSpaceDN w:val="0"/>
        <w:adjustRightInd w:val="0"/>
        <w:spacing w:after="0" w:line="240" w:lineRule="auto"/>
        <w:jc w:val="both"/>
        <w:rPr>
          <w:rFonts w:ascii="Arial" w:hAnsi="Arial" w:cs="Arial"/>
          <w:sz w:val="24"/>
          <w:szCs w:val="24"/>
        </w:rPr>
      </w:pPr>
      <w:r w:rsidRPr="008464D7">
        <w:rPr>
          <w:rFonts w:ascii="Arial" w:hAnsi="Arial" w:cs="Arial"/>
          <w:sz w:val="24"/>
          <w:szCs w:val="24"/>
        </w:rPr>
        <w:t>5) Desastres naturales</w:t>
      </w:r>
    </w:p>
    <w:p w:rsidR="00E23519" w:rsidRPr="008464D7" w:rsidRDefault="00E23519" w:rsidP="00E23519">
      <w:pPr>
        <w:autoSpaceDE w:val="0"/>
        <w:autoSpaceDN w:val="0"/>
        <w:adjustRightInd w:val="0"/>
        <w:spacing w:after="0" w:line="240" w:lineRule="auto"/>
        <w:jc w:val="both"/>
        <w:rPr>
          <w:rFonts w:ascii="Arial" w:hAnsi="Arial" w:cs="Arial"/>
          <w:sz w:val="24"/>
          <w:szCs w:val="24"/>
        </w:rPr>
      </w:pPr>
    </w:p>
    <w:p w:rsidR="00E23519" w:rsidRDefault="00E23519" w:rsidP="00E23519">
      <w:pPr>
        <w:autoSpaceDE w:val="0"/>
        <w:autoSpaceDN w:val="0"/>
        <w:adjustRightInd w:val="0"/>
        <w:spacing w:after="0" w:line="240" w:lineRule="auto"/>
        <w:jc w:val="both"/>
        <w:rPr>
          <w:rFonts w:ascii="Arial" w:hAnsi="Arial" w:cs="Arial"/>
          <w:sz w:val="24"/>
          <w:szCs w:val="24"/>
        </w:rPr>
      </w:pPr>
      <w:r w:rsidRPr="008464D7">
        <w:rPr>
          <w:rFonts w:ascii="Arial" w:hAnsi="Arial" w:cs="Arial"/>
          <w:sz w:val="24"/>
          <w:szCs w:val="24"/>
        </w:rPr>
        <w:lastRenderedPageBreak/>
        <w:t>En caso de que los efectos de los desastres naturales rebasen la capacidad financiera de respuesta de las entidades federativas, se cuenta con el FONDEN. El Fondo representa una herramienta financiera para que, en caso de un desastre natural severo, se apoye a la población afectada, a la restitución y salvaguarda de bienes públicos y privados y se ayude a mitigar los daños a los activos productivos y viviendas. Para garantizar que existan los recursos necesarios, la LFPRH dispone que las previsiones en el PEF para desastres naturales no podrán ser inferiores al 0.4 por ciento del gasto programable.</w:t>
      </w:r>
    </w:p>
    <w:p w:rsidR="00E2499C" w:rsidRPr="008464D7" w:rsidRDefault="00E2499C" w:rsidP="00E23519">
      <w:pPr>
        <w:autoSpaceDE w:val="0"/>
        <w:autoSpaceDN w:val="0"/>
        <w:adjustRightInd w:val="0"/>
        <w:spacing w:after="0" w:line="240" w:lineRule="auto"/>
        <w:jc w:val="both"/>
        <w:rPr>
          <w:rFonts w:ascii="Arial" w:hAnsi="Arial" w:cs="Arial"/>
          <w:sz w:val="24"/>
          <w:szCs w:val="24"/>
        </w:rPr>
      </w:pPr>
    </w:p>
    <w:p w:rsidR="00E23519" w:rsidRPr="008464D7" w:rsidRDefault="00E23519" w:rsidP="00E23519">
      <w:pPr>
        <w:autoSpaceDE w:val="0"/>
        <w:autoSpaceDN w:val="0"/>
        <w:adjustRightInd w:val="0"/>
        <w:spacing w:after="0" w:line="240" w:lineRule="auto"/>
        <w:jc w:val="both"/>
        <w:rPr>
          <w:rFonts w:ascii="Arial" w:hAnsi="Arial" w:cs="Arial"/>
          <w:sz w:val="24"/>
          <w:szCs w:val="24"/>
        </w:rPr>
      </w:pPr>
    </w:p>
    <w:p w:rsidR="00E23519" w:rsidRPr="008464D7" w:rsidRDefault="00E23519" w:rsidP="00E23519">
      <w:pPr>
        <w:autoSpaceDE w:val="0"/>
        <w:autoSpaceDN w:val="0"/>
        <w:adjustRightInd w:val="0"/>
        <w:spacing w:after="0" w:line="240" w:lineRule="auto"/>
        <w:rPr>
          <w:rFonts w:ascii="Arial" w:hAnsi="Arial" w:cs="Arial"/>
          <w:b/>
          <w:sz w:val="24"/>
          <w:szCs w:val="24"/>
        </w:rPr>
      </w:pPr>
      <w:r w:rsidRPr="008464D7">
        <w:rPr>
          <w:rFonts w:ascii="Arial" w:hAnsi="Arial" w:cs="Arial"/>
          <w:b/>
          <w:sz w:val="24"/>
          <w:szCs w:val="24"/>
        </w:rPr>
        <w:t xml:space="preserve">3.3.2. RIESGOS RELEVANTES </w:t>
      </w:r>
      <w:r w:rsidRPr="008464D7">
        <w:rPr>
          <w:rFonts w:ascii="Arial" w:hAnsi="Arial" w:cs="Arial"/>
          <w:b/>
          <w:color w:val="000000"/>
          <w:sz w:val="24"/>
          <w:szCs w:val="24"/>
        </w:rPr>
        <w:t>PARA LAS FINANZAS PÚBLICAS</w:t>
      </w:r>
      <w:r w:rsidRPr="008464D7">
        <w:rPr>
          <w:rFonts w:ascii="Arial" w:hAnsi="Arial" w:cs="Arial"/>
          <w:b/>
          <w:sz w:val="24"/>
          <w:szCs w:val="24"/>
        </w:rPr>
        <w:t xml:space="preserve"> ESTATALES Y PROPUESTAS DE ACCIÓN PARA ENFRENTARLOS.</w:t>
      </w:r>
    </w:p>
    <w:p w:rsidR="00E23519" w:rsidRPr="008464D7" w:rsidRDefault="00E23519" w:rsidP="00E23519">
      <w:pPr>
        <w:autoSpaceDE w:val="0"/>
        <w:autoSpaceDN w:val="0"/>
        <w:adjustRightInd w:val="0"/>
        <w:spacing w:after="0" w:line="240" w:lineRule="auto"/>
        <w:rPr>
          <w:rFonts w:ascii="Arial" w:hAnsi="Arial" w:cs="Arial"/>
          <w:b/>
          <w:sz w:val="28"/>
          <w:szCs w:val="28"/>
        </w:rPr>
      </w:pPr>
    </w:p>
    <w:p w:rsidR="00E23519" w:rsidRPr="008464D7" w:rsidRDefault="00E23519" w:rsidP="00E23519">
      <w:pPr>
        <w:autoSpaceDE w:val="0"/>
        <w:autoSpaceDN w:val="0"/>
        <w:adjustRightInd w:val="0"/>
        <w:spacing w:after="0" w:line="240" w:lineRule="auto"/>
        <w:rPr>
          <w:b/>
          <w:color w:val="000000"/>
          <w:sz w:val="24"/>
          <w:szCs w:val="24"/>
        </w:rPr>
      </w:pPr>
      <w:r w:rsidRPr="008464D7">
        <w:rPr>
          <w:b/>
          <w:sz w:val="24"/>
          <w:szCs w:val="24"/>
        </w:rPr>
        <w:t xml:space="preserve">Riesgos relevantes </w:t>
      </w:r>
      <w:r w:rsidRPr="008464D7">
        <w:rPr>
          <w:b/>
          <w:color w:val="000000"/>
          <w:sz w:val="24"/>
          <w:szCs w:val="24"/>
        </w:rPr>
        <w:t>para las finanzas públicas PED 2016-2021</w:t>
      </w:r>
    </w:p>
    <w:p w:rsidR="00E23519" w:rsidRPr="008464D7" w:rsidRDefault="00E23519" w:rsidP="00E23519">
      <w:pPr>
        <w:pStyle w:val="Texto"/>
        <w:spacing w:after="0" w:line="240" w:lineRule="auto"/>
        <w:ind w:firstLine="0"/>
        <w:rPr>
          <w:sz w:val="22"/>
          <w:szCs w:val="22"/>
        </w:rPr>
      </w:pPr>
    </w:p>
    <w:p w:rsidR="00E23519" w:rsidRPr="008464D7" w:rsidRDefault="00E23519" w:rsidP="00E23519">
      <w:pPr>
        <w:pStyle w:val="Texto"/>
        <w:numPr>
          <w:ilvl w:val="0"/>
          <w:numId w:val="36"/>
        </w:numPr>
        <w:spacing w:after="0" w:line="240" w:lineRule="auto"/>
        <w:rPr>
          <w:sz w:val="24"/>
          <w:szCs w:val="24"/>
        </w:rPr>
      </w:pPr>
      <w:r w:rsidRPr="008464D7">
        <w:rPr>
          <w:sz w:val="24"/>
          <w:szCs w:val="24"/>
        </w:rPr>
        <w:t>La percepción de corrupción gubernamental y la desconfianza ciudadana hacia las instituciones públicas, constituyen uno de los problemas más importantes para el nuevo gobierno.</w:t>
      </w:r>
    </w:p>
    <w:p w:rsidR="00E23519" w:rsidRPr="008464D7" w:rsidRDefault="00E23519" w:rsidP="00E23519">
      <w:pPr>
        <w:pStyle w:val="Texto"/>
        <w:spacing w:after="0" w:line="240" w:lineRule="auto"/>
        <w:ind w:firstLine="0"/>
        <w:rPr>
          <w:sz w:val="24"/>
          <w:szCs w:val="24"/>
        </w:rPr>
      </w:pPr>
    </w:p>
    <w:p w:rsidR="00E23519" w:rsidRPr="008464D7" w:rsidRDefault="00E23519" w:rsidP="00E23519">
      <w:pPr>
        <w:pStyle w:val="Texto"/>
        <w:numPr>
          <w:ilvl w:val="0"/>
          <w:numId w:val="36"/>
        </w:numPr>
        <w:spacing w:after="0" w:line="240" w:lineRule="auto"/>
        <w:rPr>
          <w:sz w:val="24"/>
          <w:szCs w:val="24"/>
        </w:rPr>
      </w:pPr>
      <w:r w:rsidRPr="008464D7">
        <w:rPr>
          <w:sz w:val="24"/>
          <w:szCs w:val="24"/>
        </w:rPr>
        <w:t>Esto se debe a que un gobierno con finanzas públicas débiles, sin controles ni rendición de cuentas efectivos, hace más difícil impulsar nuestra agenda de desarrollo económico y social. Al mismo tiempo, un gobierno con estas características reduce la competitividad del estado.</w:t>
      </w:r>
    </w:p>
    <w:p w:rsidR="00E23519" w:rsidRPr="008464D7" w:rsidRDefault="00E23519" w:rsidP="00E23519">
      <w:pPr>
        <w:pStyle w:val="Texto"/>
        <w:spacing w:after="0" w:line="240" w:lineRule="auto"/>
        <w:ind w:left="288" w:firstLine="0"/>
        <w:rPr>
          <w:sz w:val="24"/>
          <w:szCs w:val="24"/>
        </w:rPr>
      </w:pPr>
    </w:p>
    <w:p w:rsidR="00E23519" w:rsidRPr="008464D7" w:rsidRDefault="00E23519" w:rsidP="00E23519">
      <w:pPr>
        <w:pStyle w:val="Texto"/>
        <w:numPr>
          <w:ilvl w:val="0"/>
          <w:numId w:val="36"/>
        </w:numPr>
        <w:spacing w:after="0" w:line="240" w:lineRule="auto"/>
        <w:rPr>
          <w:sz w:val="24"/>
          <w:szCs w:val="24"/>
        </w:rPr>
      </w:pPr>
      <w:r w:rsidRPr="008464D7">
        <w:rPr>
          <w:sz w:val="24"/>
          <w:szCs w:val="24"/>
        </w:rPr>
        <w:t>En consecuencia, una prioridad transversal para este gobierno es transformar la administración pública estatal. En esta tarea, los pilares serán:</w:t>
      </w:r>
    </w:p>
    <w:p w:rsidR="00E23519" w:rsidRPr="008464D7" w:rsidRDefault="00E23519" w:rsidP="00E23519">
      <w:pPr>
        <w:pStyle w:val="Texto"/>
        <w:spacing w:after="0" w:line="240" w:lineRule="auto"/>
        <w:ind w:left="288" w:firstLine="0"/>
        <w:rPr>
          <w:sz w:val="24"/>
          <w:szCs w:val="24"/>
        </w:rPr>
      </w:pPr>
    </w:p>
    <w:p w:rsidR="00E23519" w:rsidRPr="008464D7" w:rsidRDefault="00E23519" w:rsidP="00E23519">
      <w:pPr>
        <w:pStyle w:val="Texto"/>
        <w:numPr>
          <w:ilvl w:val="0"/>
          <w:numId w:val="36"/>
        </w:numPr>
        <w:spacing w:after="0" w:line="240" w:lineRule="auto"/>
        <w:rPr>
          <w:sz w:val="24"/>
          <w:szCs w:val="24"/>
        </w:rPr>
      </w:pPr>
      <w:r w:rsidRPr="008464D7">
        <w:rPr>
          <w:sz w:val="24"/>
          <w:szCs w:val="24"/>
        </w:rPr>
        <w:t>Un sistema anticorrupción efectivo, que sea el ejemplo a seguir para todos los estados de la República, quienes están obligados a definir su sistema en los próximos meses.</w:t>
      </w:r>
    </w:p>
    <w:p w:rsidR="00E23519" w:rsidRPr="008464D7" w:rsidRDefault="00E23519" w:rsidP="00E23519">
      <w:pPr>
        <w:pStyle w:val="Texto"/>
        <w:spacing w:after="0" w:line="240" w:lineRule="auto"/>
        <w:ind w:firstLine="0"/>
        <w:rPr>
          <w:sz w:val="24"/>
          <w:szCs w:val="24"/>
        </w:rPr>
      </w:pPr>
    </w:p>
    <w:p w:rsidR="00E23519" w:rsidRPr="008464D7" w:rsidRDefault="00E23519" w:rsidP="00E23519">
      <w:pPr>
        <w:pStyle w:val="Texto"/>
        <w:numPr>
          <w:ilvl w:val="0"/>
          <w:numId w:val="36"/>
        </w:numPr>
        <w:spacing w:after="0" w:line="240" w:lineRule="auto"/>
        <w:rPr>
          <w:sz w:val="24"/>
          <w:szCs w:val="24"/>
        </w:rPr>
      </w:pPr>
      <w:r w:rsidRPr="008464D7">
        <w:rPr>
          <w:sz w:val="24"/>
          <w:szCs w:val="24"/>
        </w:rPr>
        <w:t xml:space="preserve">Finanzas públicas sanas, con mayor independencia de los recursos federales, con una deuda sostenible en el largo plazo y con transparencia en su manejo. </w:t>
      </w:r>
    </w:p>
    <w:p w:rsidR="00E23519" w:rsidRPr="008464D7" w:rsidRDefault="00E23519" w:rsidP="00E23519">
      <w:pPr>
        <w:pStyle w:val="Texto"/>
        <w:spacing w:after="0" w:line="240" w:lineRule="auto"/>
        <w:ind w:left="288" w:firstLine="0"/>
        <w:rPr>
          <w:sz w:val="24"/>
          <w:szCs w:val="24"/>
        </w:rPr>
      </w:pPr>
    </w:p>
    <w:p w:rsidR="00E23519" w:rsidRPr="008464D7" w:rsidRDefault="00E23519" w:rsidP="00E23519">
      <w:pPr>
        <w:pStyle w:val="Prrafodelista"/>
        <w:numPr>
          <w:ilvl w:val="0"/>
          <w:numId w:val="36"/>
        </w:numPr>
        <w:autoSpaceDE w:val="0"/>
        <w:autoSpaceDN w:val="0"/>
        <w:adjustRightInd w:val="0"/>
        <w:spacing w:after="0" w:line="240" w:lineRule="auto"/>
        <w:jc w:val="both"/>
        <w:rPr>
          <w:rFonts w:ascii="Arial" w:hAnsi="Arial" w:cs="Arial"/>
          <w:sz w:val="24"/>
          <w:szCs w:val="24"/>
        </w:rPr>
      </w:pPr>
      <w:r w:rsidRPr="008464D7">
        <w:rPr>
          <w:rFonts w:ascii="Arial" w:hAnsi="Arial" w:cs="Arial"/>
          <w:sz w:val="24"/>
          <w:szCs w:val="24"/>
        </w:rPr>
        <w:t>Todos los colimenses podrán conocer a detalle cómo, cuándo y por qué se gasta el dinero del gobierno estatal.</w:t>
      </w:r>
    </w:p>
    <w:p w:rsidR="00E23519" w:rsidRPr="008464D7" w:rsidRDefault="00E23519" w:rsidP="00E23519">
      <w:pPr>
        <w:autoSpaceDE w:val="0"/>
        <w:autoSpaceDN w:val="0"/>
        <w:adjustRightInd w:val="0"/>
        <w:spacing w:after="0" w:line="240" w:lineRule="auto"/>
        <w:jc w:val="both"/>
        <w:rPr>
          <w:rFonts w:ascii="Arial" w:hAnsi="Arial" w:cs="Arial"/>
          <w:sz w:val="24"/>
          <w:szCs w:val="24"/>
        </w:rPr>
      </w:pPr>
    </w:p>
    <w:p w:rsidR="00E23519" w:rsidRPr="008464D7" w:rsidRDefault="00E23519" w:rsidP="00E23519">
      <w:pPr>
        <w:pStyle w:val="Texto"/>
        <w:numPr>
          <w:ilvl w:val="0"/>
          <w:numId w:val="36"/>
        </w:numPr>
        <w:spacing w:after="0" w:line="240" w:lineRule="auto"/>
        <w:rPr>
          <w:sz w:val="24"/>
          <w:szCs w:val="24"/>
        </w:rPr>
      </w:pPr>
      <w:r w:rsidRPr="008464D7">
        <w:rPr>
          <w:sz w:val="24"/>
          <w:szCs w:val="24"/>
        </w:rPr>
        <w:t xml:space="preserve">Mayor participación ciudadana en la definición de las prioridades, así como en el control y la evaluación del gasto público. Funcionarios públicos </w:t>
      </w:r>
      <w:r w:rsidRPr="008464D7">
        <w:rPr>
          <w:sz w:val="24"/>
          <w:szCs w:val="24"/>
        </w:rPr>
        <w:lastRenderedPageBreak/>
        <w:t>capacitados y sujetos a esquemas de evaluación del desempeño y de rendición de cuentas modernos.</w:t>
      </w:r>
    </w:p>
    <w:p w:rsidR="00E23519" w:rsidRPr="008464D7" w:rsidRDefault="00E23519" w:rsidP="00E23519">
      <w:pPr>
        <w:pStyle w:val="Texto"/>
        <w:spacing w:after="0" w:line="240" w:lineRule="auto"/>
        <w:ind w:left="288" w:firstLine="0"/>
        <w:rPr>
          <w:sz w:val="24"/>
          <w:szCs w:val="24"/>
        </w:rPr>
      </w:pPr>
    </w:p>
    <w:p w:rsidR="00E23519" w:rsidRPr="008464D7" w:rsidRDefault="00E23519" w:rsidP="00E23519">
      <w:pPr>
        <w:pStyle w:val="Texto"/>
        <w:numPr>
          <w:ilvl w:val="0"/>
          <w:numId w:val="37"/>
        </w:numPr>
        <w:spacing w:after="0" w:line="240" w:lineRule="auto"/>
        <w:rPr>
          <w:sz w:val="24"/>
          <w:szCs w:val="24"/>
        </w:rPr>
      </w:pPr>
      <w:r w:rsidRPr="008464D7">
        <w:rPr>
          <w:sz w:val="24"/>
          <w:szCs w:val="24"/>
        </w:rPr>
        <w:t xml:space="preserve">Garantizaremos el principio de máxima transparencia en el quehacer de toda la administración pública estatal. Uso de las tecnologías de la información de manera intensiva para mejorar la productividad del sector público, agilizar los trámites que los ciudadanos realizan diariamente y para combatir la corrupción. </w:t>
      </w:r>
    </w:p>
    <w:p w:rsidR="00E23519" w:rsidRPr="008464D7" w:rsidRDefault="00E23519" w:rsidP="00E23519">
      <w:pPr>
        <w:pStyle w:val="Texto"/>
        <w:spacing w:after="0" w:line="240" w:lineRule="auto"/>
        <w:ind w:firstLine="0"/>
        <w:rPr>
          <w:sz w:val="24"/>
          <w:szCs w:val="24"/>
        </w:rPr>
      </w:pPr>
    </w:p>
    <w:p w:rsidR="00E23519" w:rsidRPr="008464D7" w:rsidRDefault="00E23519" w:rsidP="00E23519">
      <w:pPr>
        <w:pStyle w:val="Texto"/>
        <w:numPr>
          <w:ilvl w:val="0"/>
          <w:numId w:val="37"/>
        </w:numPr>
        <w:spacing w:after="0" w:line="240" w:lineRule="auto"/>
        <w:rPr>
          <w:sz w:val="24"/>
          <w:szCs w:val="24"/>
        </w:rPr>
      </w:pPr>
      <w:r w:rsidRPr="008464D7">
        <w:rPr>
          <w:sz w:val="24"/>
          <w:szCs w:val="24"/>
        </w:rPr>
        <w:t xml:space="preserve">El buen gobierno que queremos construir, será cercano a la sociedad, respetuoso con la legalidad, honesto, transparente y eficaz. </w:t>
      </w:r>
    </w:p>
    <w:p w:rsidR="00E23519" w:rsidRPr="008464D7" w:rsidRDefault="00E23519" w:rsidP="00E23519">
      <w:pPr>
        <w:pStyle w:val="Texto"/>
        <w:spacing w:after="0" w:line="240" w:lineRule="auto"/>
        <w:ind w:left="288" w:firstLine="0"/>
        <w:rPr>
          <w:sz w:val="24"/>
          <w:szCs w:val="24"/>
        </w:rPr>
      </w:pPr>
    </w:p>
    <w:p w:rsidR="00E23519" w:rsidRPr="008464D7" w:rsidRDefault="00E23519" w:rsidP="00E23519">
      <w:pPr>
        <w:pStyle w:val="Prrafodelista"/>
        <w:numPr>
          <w:ilvl w:val="0"/>
          <w:numId w:val="37"/>
        </w:numPr>
        <w:autoSpaceDE w:val="0"/>
        <w:autoSpaceDN w:val="0"/>
        <w:adjustRightInd w:val="0"/>
        <w:spacing w:after="0" w:line="240" w:lineRule="auto"/>
        <w:jc w:val="both"/>
        <w:rPr>
          <w:rFonts w:ascii="Arial" w:hAnsi="Arial" w:cs="Arial"/>
          <w:sz w:val="24"/>
          <w:szCs w:val="24"/>
        </w:rPr>
      </w:pPr>
      <w:r w:rsidRPr="008464D7">
        <w:rPr>
          <w:rFonts w:ascii="Arial" w:hAnsi="Arial" w:cs="Arial"/>
          <w:sz w:val="24"/>
          <w:szCs w:val="24"/>
        </w:rPr>
        <w:t>Un gobierno consciente de su misión de promover el desarrollo humano y social, es decir, un gobierno que tenga en el centro de toda su acción al ciudadano. El gobierno del estado está dispuesto a aprender de experiencias exitosas nacionales e internacionales; para implementarlas en el estado, y de esta forma para que, con ello, se ofrezcan mejores servicios con calidad y se provea de bienes públicos a menor costo.</w:t>
      </w:r>
    </w:p>
    <w:p w:rsidR="00E23519" w:rsidRPr="008464D7" w:rsidRDefault="00E23519" w:rsidP="00E23519">
      <w:pPr>
        <w:autoSpaceDE w:val="0"/>
        <w:autoSpaceDN w:val="0"/>
        <w:adjustRightInd w:val="0"/>
        <w:spacing w:after="0" w:line="240" w:lineRule="auto"/>
        <w:jc w:val="both"/>
        <w:rPr>
          <w:rFonts w:ascii="Arial" w:hAnsi="Arial" w:cs="Arial"/>
          <w:sz w:val="24"/>
          <w:szCs w:val="24"/>
        </w:rPr>
      </w:pPr>
    </w:p>
    <w:p w:rsidR="00E23519" w:rsidRPr="008464D7" w:rsidRDefault="00E23519" w:rsidP="00E23519">
      <w:pPr>
        <w:pStyle w:val="Prrafodelista"/>
        <w:numPr>
          <w:ilvl w:val="0"/>
          <w:numId w:val="37"/>
        </w:numPr>
        <w:spacing w:line="240" w:lineRule="auto"/>
        <w:jc w:val="both"/>
        <w:rPr>
          <w:rFonts w:ascii="Arial" w:hAnsi="Arial" w:cs="Arial"/>
          <w:color w:val="000000" w:themeColor="text1"/>
          <w:sz w:val="24"/>
          <w:szCs w:val="24"/>
        </w:rPr>
      </w:pPr>
      <w:r w:rsidRPr="008464D7">
        <w:rPr>
          <w:rFonts w:ascii="Arial" w:hAnsi="Arial" w:cs="Arial"/>
          <w:color w:val="000000" w:themeColor="text1"/>
          <w:sz w:val="24"/>
          <w:szCs w:val="24"/>
        </w:rPr>
        <w:t>Los retos que enfrenta Colima requieren que el gobierno tenga la capacidad para atender los principales problemas públicos</w:t>
      </w:r>
      <w:r>
        <w:rPr>
          <w:rFonts w:ascii="Arial" w:hAnsi="Arial" w:cs="Arial"/>
          <w:color w:val="000000" w:themeColor="text1"/>
          <w:sz w:val="24"/>
          <w:szCs w:val="24"/>
        </w:rPr>
        <w:t>.</w:t>
      </w:r>
    </w:p>
    <w:p w:rsidR="00E23519" w:rsidRPr="005E54D6" w:rsidRDefault="00E23519" w:rsidP="00E23519">
      <w:pPr>
        <w:spacing w:after="0" w:line="240" w:lineRule="auto"/>
        <w:jc w:val="both"/>
        <w:rPr>
          <w:rFonts w:ascii="Arial" w:hAnsi="Arial" w:cs="Arial"/>
          <w:color w:val="000000" w:themeColor="text1"/>
          <w:sz w:val="18"/>
          <w:szCs w:val="24"/>
        </w:rPr>
      </w:pPr>
    </w:p>
    <w:p w:rsidR="00E23519" w:rsidRPr="008464D7" w:rsidRDefault="00E23519" w:rsidP="00E23519">
      <w:pPr>
        <w:pStyle w:val="Prrafodelista"/>
        <w:numPr>
          <w:ilvl w:val="0"/>
          <w:numId w:val="37"/>
        </w:numPr>
        <w:spacing w:line="240" w:lineRule="auto"/>
        <w:jc w:val="both"/>
        <w:rPr>
          <w:rFonts w:ascii="Arial" w:hAnsi="Arial" w:cs="Arial"/>
          <w:color w:val="000000" w:themeColor="text1"/>
          <w:sz w:val="24"/>
          <w:szCs w:val="24"/>
        </w:rPr>
      </w:pPr>
      <w:r w:rsidRPr="008464D7">
        <w:rPr>
          <w:rFonts w:ascii="Arial" w:hAnsi="Arial" w:cs="Arial"/>
          <w:color w:val="000000" w:themeColor="text1"/>
          <w:sz w:val="24"/>
          <w:szCs w:val="24"/>
        </w:rPr>
        <w:t xml:space="preserve">La nueva administración encuentra una hacienda pública debilitada. </w:t>
      </w:r>
    </w:p>
    <w:p w:rsidR="00E23519" w:rsidRPr="008464D7" w:rsidRDefault="00E23519" w:rsidP="00E23519">
      <w:pPr>
        <w:spacing w:after="0" w:line="240" w:lineRule="auto"/>
        <w:jc w:val="both"/>
        <w:rPr>
          <w:rFonts w:ascii="Arial" w:hAnsi="Arial" w:cs="Arial"/>
          <w:color w:val="000000" w:themeColor="text1"/>
          <w:sz w:val="24"/>
          <w:szCs w:val="24"/>
        </w:rPr>
      </w:pPr>
      <w:r w:rsidRPr="008464D7">
        <w:rPr>
          <w:rFonts w:ascii="Arial" w:hAnsi="Arial" w:cs="Arial"/>
          <w:color w:val="000000" w:themeColor="text1"/>
          <w:sz w:val="24"/>
          <w:szCs w:val="24"/>
        </w:rPr>
        <w:t>Uno de los mayores desafíos que se habrán de enfrentar para el pleno cumplimiento de los objetivos establecidos en la planeación para el desarrollo 2016-2021, será contar con los recursos necesarios para financiar, de manera responsable, los programas y políticas delineadas, sin comprometer la viabilidad de la hacienda pública estatal.</w:t>
      </w:r>
    </w:p>
    <w:p w:rsidR="00E23519" w:rsidRPr="008464D7" w:rsidRDefault="00E23519" w:rsidP="00E23519">
      <w:pPr>
        <w:spacing w:after="0" w:line="240" w:lineRule="auto"/>
        <w:jc w:val="both"/>
        <w:rPr>
          <w:rFonts w:ascii="Arial" w:hAnsi="Arial" w:cs="Arial"/>
          <w:color w:val="000000" w:themeColor="text1"/>
          <w:sz w:val="24"/>
          <w:szCs w:val="24"/>
        </w:rPr>
      </w:pPr>
    </w:p>
    <w:p w:rsidR="00E23519" w:rsidRDefault="00E23519" w:rsidP="00E23519">
      <w:pPr>
        <w:pStyle w:val="Prrafodelista"/>
        <w:numPr>
          <w:ilvl w:val="0"/>
          <w:numId w:val="38"/>
        </w:numPr>
        <w:spacing w:after="0" w:line="240" w:lineRule="auto"/>
        <w:jc w:val="both"/>
        <w:rPr>
          <w:rFonts w:ascii="Arial" w:hAnsi="Arial" w:cs="Arial"/>
          <w:color w:val="000000" w:themeColor="text1"/>
          <w:sz w:val="24"/>
          <w:szCs w:val="24"/>
        </w:rPr>
      </w:pPr>
      <w:r w:rsidRPr="008464D7">
        <w:rPr>
          <w:rFonts w:ascii="Arial" w:hAnsi="Arial" w:cs="Arial"/>
          <w:color w:val="000000" w:themeColor="text1"/>
          <w:sz w:val="24"/>
          <w:szCs w:val="24"/>
        </w:rPr>
        <w:t xml:space="preserve">Dependencia de los recursos federales. </w:t>
      </w:r>
    </w:p>
    <w:p w:rsidR="00E23519" w:rsidRPr="008464D7" w:rsidRDefault="00E23519" w:rsidP="00E23519">
      <w:pPr>
        <w:pStyle w:val="Prrafodelista"/>
        <w:spacing w:after="0" w:line="240" w:lineRule="auto"/>
        <w:jc w:val="both"/>
        <w:rPr>
          <w:rFonts w:ascii="Arial" w:hAnsi="Arial" w:cs="Arial"/>
          <w:color w:val="000000" w:themeColor="text1"/>
          <w:sz w:val="24"/>
          <w:szCs w:val="24"/>
        </w:rPr>
      </w:pPr>
    </w:p>
    <w:p w:rsidR="00E23519" w:rsidRDefault="00E23519" w:rsidP="00E23519">
      <w:pPr>
        <w:pStyle w:val="Prrafodelista"/>
        <w:numPr>
          <w:ilvl w:val="0"/>
          <w:numId w:val="38"/>
        </w:numPr>
        <w:spacing w:after="0" w:line="240" w:lineRule="auto"/>
        <w:jc w:val="both"/>
        <w:rPr>
          <w:rFonts w:ascii="Arial" w:hAnsi="Arial" w:cs="Arial"/>
          <w:color w:val="000000" w:themeColor="text1"/>
          <w:sz w:val="24"/>
          <w:szCs w:val="24"/>
        </w:rPr>
      </w:pPr>
      <w:r w:rsidRPr="008464D7">
        <w:rPr>
          <w:rFonts w:ascii="Arial" w:hAnsi="Arial" w:cs="Arial"/>
          <w:color w:val="000000" w:themeColor="text1"/>
          <w:sz w:val="24"/>
          <w:szCs w:val="24"/>
        </w:rPr>
        <w:t>Una deuda pública con una tendencia al alza</w:t>
      </w:r>
      <w:r>
        <w:rPr>
          <w:rFonts w:ascii="Arial" w:hAnsi="Arial" w:cs="Arial"/>
          <w:color w:val="000000" w:themeColor="text1"/>
          <w:sz w:val="24"/>
          <w:szCs w:val="24"/>
        </w:rPr>
        <w:t>.</w:t>
      </w:r>
    </w:p>
    <w:p w:rsidR="00E23519" w:rsidRPr="005D2710" w:rsidRDefault="00E23519" w:rsidP="00E23519">
      <w:pPr>
        <w:pStyle w:val="Prrafodelista"/>
        <w:rPr>
          <w:rFonts w:ascii="Arial" w:hAnsi="Arial" w:cs="Arial"/>
          <w:color w:val="000000" w:themeColor="text1"/>
          <w:sz w:val="24"/>
          <w:szCs w:val="24"/>
        </w:rPr>
      </w:pPr>
    </w:p>
    <w:p w:rsidR="00E23519" w:rsidRDefault="00E23519" w:rsidP="00E23519">
      <w:pPr>
        <w:pStyle w:val="Prrafodelista"/>
        <w:numPr>
          <w:ilvl w:val="0"/>
          <w:numId w:val="38"/>
        </w:numPr>
        <w:spacing w:after="0" w:line="240" w:lineRule="auto"/>
        <w:jc w:val="both"/>
        <w:rPr>
          <w:rFonts w:ascii="Arial" w:hAnsi="Arial" w:cs="Arial"/>
          <w:color w:val="000000" w:themeColor="text1"/>
          <w:sz w:val="24"/>
          <w:szCs w:val="24"/>
        </w:rPr>
      </w:pPr>
      <w:r w:rsidRPr="008464D7">
        <w:rPr>
          <w:rFonts w:ascii="Arial" w:hAnsi="Arial" w:cs="Arial"/>
          <w:color w:val="000000" w:themeColor="text1"/>
          <w:sz w:val="24"/>
          <w:szCs w:val="24"/>
        </w:rPr>
        <w:t xml:space="preserve">Incremento del gasto público para atender actividades no productivas. </w:t>
      </w:r>
    </w:p>
    <w:p w:rsidR="00E23519" w:rsidRPr="005D2710" w:rsidRDefault="00E23519" w:rsidP="00E23519">
      <w:pPr>
        <w:pStyle w:val="Prrafodelista"/>
        <w:rPr>
          <w:rFonts w:ascii="Arial" w:hAnsi="Arial" w:cs="Arial"/>
          <w:color w:val="000000" w:themeColor="text1"/>
          <w:sz w:val="24"/>
          <w:szCs w:val="24"/>
        </w:rPr>
      </w:pPr>
    </w:p>
    <w:p w:rsidR="00E23519" w:rsidRDefault="00E23519" w:rsidP="00E23519">
      <w:pPr>
        <w:pStyle w:val="Prrafodelista"/>
        <w:numPr>
          <w:ilvl w:val="0"/>
          <w:numId w:val="38"/>
        </w:numPr>
        <w:spacing w:after="0" w:line="240" w:lineRule="auto"/>
        <w:jc w:val="both"/>
        <w:rPr>
          <w:rFonts w:ascii="Arial" w:hAnsi="Arial" w:cs="Arial"/>
          <w:color w:val="000000" w:themeColor="text1"/>
          <w:sz w:val="24"/>
          <w:szCs w:val="24"/>
        </w:rPr>
      </w:pPr>
      <w:r w:rsidRPr="008464D7">
        <w:rPr>
          <w:rFonts w:ascii="Arial" w:hAnsi="Arial" w:cs="Arial"/>
          <w:color w:val="000000" w:themeColor="text1"/>
          <w:sz w:val="24"/>
          <w:szCs w:val="24"/>
        </w:rPr>
        <w:t xml:space="preserve">Una estructura administrativa muy grande y con baja productividad. </w:t>
      </w:r>
    </w:p>
    <w:p w:rsidR="00E23519" w:rsidRPr="005D2710" w:rsidRDefault="00E23519" w:rsidP="00E23519">
      <w:pPr>
        <w:pStyle w:val="Prrafodelista"/>
        <w:rPr>
          <w:rFonts w:ascii="Arial" w:hAnsi="Arial" w:cs="Arial"/>
          <w:color w:val="000000" w:themeColor="text1"/>
          <w:sz w:val="24"/>
          <w:szCs w:val="24"/>
        </w:rPr>
      </w:pPr>
    </w:p>
    <w:p w:rsidR="00E23519" w:rsidRDefault="00E23519" w:rsidP="00E23519">
      <w:pPr>
        <w:pStyle w:val="Prrafodelista"/>
        <w:numPr>
          <w:ilvl w:val="0"/>
          <w:numId w:val="38"/>
        </w:numPr>
        <w:spacing w:after="0" w:line="240" w:lineRule="auto"/>
        <w:jc w:val="both"/>
        <w:rPr>
          <w:rFonts w:ascii="Arial" w:hAnsi="Arial" w:cs="Arial"/>
          <w:color w:val="000000" w:themeColor="text1"/>
          <w:sz w:val="24"/>
          <w:szCs w:val="24"/>
        </w:rPr>
      </w:pPr>
      <w:r w:rsidRPr="008464D7">
        <w:rPr>
          <w:rFonts w:ascii="Arial" w:hAnsi="Arial" w:cs="Arial"/>
          <w:color w:val="000000" w:themeColor="text1"/>
          <w:sz w:val="24"/>
          <w:szCs w:val="24"/>
        </w:rPr>
        <w:t xml:space="preserve">Opacidad en compras y adquisiciones públicas. </w:t>
      </w:r>
    </w:p>
    <w:p w:rsidR="00E23519" w:rsidRPr="005D2710" w:rsidRDefault="00E23519" w:rsidP="00E23519">
      <w:pPr>
        <w:pStyle w:val="Prrafodelista"/>
        <w:rPr>
          <w:rFonts w:ascii="Arial" w:hAnsi="Arial" w:cs="Arial"/>
          <w:color w:val="000000" w:themeColor="text1"/>
          <w:sz w:val="24"/>
          <w:szCs w:val="24"/>
        </w:rPr>
      </w:pPr>
    </w:p>
    <w:p w:rsidR="00E23519" w:rsidRPr="008464D7" w:rsidRDefault="00E23519" w:rsidP="00E23519">
      <w:pPr>
        <w:pStyle w:val="Prrafodelista"/>
        <w:numPr>
          <w:ilvl w:val="0"/>
          <w:numId w:val="38"/>
        </w:numPr>
        <w:spacing w:after="0" w:line="240" w:lineRule="auto"/>
        <w:jc w:val="both"/>
        <w:rPr>
          <w:rFonts w:ascii="Arial" w:hAnsi="Arial" w:cs="Arial"/>
          <w:color w:val="000000" w:themeColor="text1"/>
          <w:sz w:val="24"/>
          <w:szCs w:val="24"/>
        </w:rPr>
      </w:pPr>
      <w:r w:rsidRPr="008464D7">
        <w:rPr>
          <w:rFonts w:ascii="Arial" w:hAnsi="Arial" w:cs="Arial"/>
          <w:color w:val="000000" w:themeColor="text1"/>
          <w:sz w:val="24"/>
          <w:szCs w:val="24"/>
        </w:rPr>
        <w:lastRenderedPageBreak/>
        <w:t>Un sistema con débil rendición de cuentas que tolera la corrupción y los malos manejos de los recursos de la administración pública.</w:t>
      </w:r>
    </w:p>
    <w:p w:rsidR="005E54D6" w:rsidRDefault="005E54D6" w:rsidP="005E54D6">
      <w:pPr>
        <w:spacing w:after="0" w:line="240" w:lineRule="auto"/>
        <w:jc w:val="both"/>
        <w:rPr>
          <w:rFonts w:ascii="Arial" w:hAnsi="Arial" w:cs="Arial"/>
          <w:b/>
          <w:color w:val="000000" w:themeColor="text1"/>
        </w:rPr>
      </w:pPr>
    </w:p>
    <w:p w:rsidR="00E23519" w:rsidRPr="008464D7" w:rsidRDefault="00E23519" w:rsidP="00E23519">
      <w:pPr>
        <w:spacing w:line="240" w:lineRule="auto"/>
        <w:jc w:val="both"/>
        <w:rPr>
          <w:rFonts w:ascii="Arial" w:hAnsi="Arial" w:cs="Arial"/>
          <w:color w:val="000000" w:themeColor="text1"/>
        </w:rPr>
      </w:pPr>
      <w:r w:rsidRPr="008464D7">
        <w:rPr>
          <w:rFonts w:ascii="Arial" w:hAnsi="Arial" w:cs="Arial"/>
          <w:b/>
          <w:color w:val="000000" w:themeColor="text1"/>
        </w:rPr>
        <w:t>Dependencia de los recursos federales</w:t>
      </w:r>
      <w:r w:rsidRPr="008464D7">
        <w:rPr>
          <w:rFonts w:ascii="Arial" w:hAnsi="Arial" w:cs="Arial"/>
          <w:color w:val="000000" w:themeColor="text1"/>
        </w:rPr>
        <w:t>. Las transferencias federales han sido la principal fuente de recursos con la que Colima ha contado para su desarrollo. Éstas han representado alrededor de 90% en los ejercicios fiscales más recientes.</w:t>
      </w:r>
    </w:p>
    <w:p w:rsidR="00E23519" w:rsidRPr="008464D7" w:rsidRDefault="00E23519" w:rsidP="00E23519">
      <w:pPr>
        <w:spacing w:line="240" w:lineRule="auto"/>
        <w:jc w:val="both"/>
        <w:rPr>
          <w:rFonts w:ascii="Arial" w:hAnsi="Arial" w:cs="Arial"/>
          <w:b/>
          <w:color w:val="000000" w:themeColor="text1"/>
        </w:rPr>
      </w:pPr>
      <w:r w:rsidRPr="008464D7">
        <w:rPr>
          <w:rFonts w:ascii="Arial" w:hAnsi="Arial" w:cs="Arial"/>
          <w:b/>
          <w:color w:val="000000" w:themeColor="text1"/>
        </w:rPr>
        <w:t xml:space="preserve"> La recaudación estatal se mantiene baja, a pesar de mejoras en los últimos años. </w:t>
      </w:r>
    </w:p>
    <w:p w:rsidR="00E23519" w:rsidRDefault="00E23519" w:rsidP="00E23519">
      <w:pPr>
        <w:pStyle w:val="Prrafodelista"/>
        <w:numPr>
          <w:ilvl w:val="0"/>
          <w:numId w:val="39"/>
        </w:numPr>
        <w:spacing w:line="240" w:lineRule="auto"/>
        <w:jc w:val="both"/>
        <w:rPr>
          <w:rFonts w:ascii="Arial" w:hAnsi="Arial" w:cs="Arial"/>
          <w:color w:val="000000" w:themeColor="text1"/>
        </w:rPr>
      </w:pPr>
      <w:r w:rsidRPr="008464D7">
        <w:rPr>
          <w:rFonts w:ascii="Arial" w:hAnsi="Arial" w:cs="Arial"/>
          <w:color w:val="000000" w:themeColor="text1"/>
        </w:rPr>
        <w:t>Los ingresos propios del estado han pasado de 5.0% en 2006 a 7.5% en 2015.</w:t>
      </w:r>
      <w:r w:rsidRPr="008464D7">
        <w:rPr>
          <w:rFonts w:ascii="Arial" w:hAnsi="Arial" w:cs="Arial"/>
          <w:color w:val="FF0000"/>
        </w:rPr>
        <w:t xml:space="preserve"> </w:t>
      </w:r>
      <w:r w:rsidRPr="008464D7">
        <w:rPr>
          <w:rFonts w:ascii="Arial" w:hAnsi="Arial" w:cs="Arial"/>
          <w:color w:val="000000" w:themeColor="text1"/>
        </w:rPr>
        <w:t xml:space="preserve">Por su parte, los ingresos no tributarios tienen un mayor peso dentro de la estructura de los ingresos propios, ya que corresponden a 57% de los ingresos propios para 2015. </w:t>
      </w:r>
    </w:p>
    <w:p w:rsidR="00E23519" w:rsidRPr="008464D7" w:rsidRDefault="00E23519" w:rsidP="00E23519">
      <w:pPr>
        <w:pStyle w:val="Prrafodelista"/>
        <w:spacing w:line="240" w:lineRule="auto"/>
        <w:ind w:left="1080"/>
        <w:jc w:val="both"/>
        <w:rPr>
          <w:rFonts w:ascii="Arial" w:hAnsi="Arial" w:cs="Arial"/>
          <w:color w:val="000000" w:themeColor="text1"/>
        </w:rPr>
      </w:pPr>
    </w:p>
    <w:p w:rsidR="00E23519" w:rsidRDefault="00E23519" w:rsidP="00E23519">
      <w:pPr>
        <w:pStyle w:val="Prrafodelista"/>
        <w:numPr>
          <w:ilvl w:val="0"/>
          <w:numId w:val="39"/>
        </w:numPr>
        <w:spacing w:line="240" w:lineRule="auto"/>
        <w:jc w:val="both"/>
        <w:rPr>
          <w:rFonts w:ascii="Arial" w:hAnsi="Arial" w:cs="Arial"/>
        </w:rPr>
      </w:pPr>
      <w:r w:rsidRPr="008464D7">
        <w:rPr>
          <w:rFonts w:ascii="Arial" w:hAnsi="Arial" w:cs="Arial"/>
        </w:rPr>
        <w:t xml:space="preserve">No se han realizado evaluaciones a programas de desarrollo social. </w:t>
      </w:r>
    </w:p>
    <w:p w:rsidR="00E23519" w:rsidRPr="008F4003" w:rsidRDefault="00E23519" w:rsidP="00E23519">
      <w:pPr>
        <w:pStyle w:val="Prrafodelista"/>
        <w:rPr>
          <w:rFonts w:ascii="Arial" w:hAnsi="Arial" w:cs="Arial"/>
        </w:rPr>
      </w:pPr>
    </w:p>
    <w:p w:rsidR="00E23519" w:rsidRDefault="00E23519" w:rsidP="00E23519">
      <w:pPr>
        <w:pStyle w:val="Prrafodelista"/>
        <w:numPr>
          <w:ilvl w:val="0"/>
          <w:numId w:val="39"/>
        </w:numPr>
        <w:spacing w:after="160" w:line="240" w:lineRule="auto"/>
        <w:jc w:val="both"/>
        <w:rPr>
          <w:rFonts w:ascii="Arial" w:hAnsi="Arial" w:cs="Arial"/>
        </w:rPr>
      </w:pPr>
      <w:r w:rsidRPr="008464D7">
        <w:rPr>
          <w:rFonts w:ascii="Arial" w:hAnsi="Arial" w:cs="Arial"/>
        </w:rPr>
        <w:t xml:space="preserve">Es escasa la información sobre estudios, diagnósticos e investigaciones sobre programas de desarrollo social. </w:t>
      </w:r>
    </w:p>
    <w:p w:rsidR="00E23519" w:rsidRPr="008F4003" w:rsidRDefault="00E23519" w:rsidP="00E23519">
      <w:pPr>
        <w:pStyle w:val="Prrafodelista"/>
        <w:rPr>
          <w:rFonts w:ascii="Arial" w:hAnsi="Arial" w:cs="Arial"/>
        </w:rPr>
      </w:pPr>
    </w:p>
    <w:p w:rsidR="00E23519" w:rsidRPr="008464D7" w:rsidRDefault="00E23519" w:rsidP="00E23519">
      <w:pPr>
        <w:pStyle w:val="Prrafodelista"/>
        <w:numPr>
          <w:ilvl w:val="0"/>
          <w:numId w:val="39"/>
        </w:numPr>
        <w:spacing w:after="160" w:line="240" w:lineRule="auto"/>
        <w:jc w:val="both"/>
        <w:rPr>
          <w:rFonts w:ascii="Arial" w:hAnsi="Arial" w:cs="Arial"/>
          <w:sz w:val="24"/>
          <w:szCs w:val="24"/>
        </w:rPr>
      </w:pPr>
      <w:r w:rsidRPr="008464D7">
        <w:rPr>
          <w:rFonts w:ascii="Arial" w:hAnsi="Arial" w:cs="Arial"/>
        </w:rPr>
        <w:t>Falta de homologación entre los programas estatales en su presentación y difusión de padrones de beneficiarios, reglas de operación e información del presupuesto que se les asigna.</w:t>
      </w:r>
    </w:p>
    <w:p w:rsidR="00E23519" w:rsidRPr="008464D7" w:rsidRDefault="00E23519" w:rsidP="00E23519">
      <w:pPr>
        <w:autoSpaceDE w:val="0"/>
        <w:autoSpaceDN w:val="0"/>
        <w:adjustRightInd w:val="0"/>
        <w:spacing w:after="0" w:line="240" w:lineRule="auto"/>
        <w:rPr>
          <w:rFonts w:ascii="Arial" w:hAnsi="Arial" w:cs="Arial"/>
          <w:sz w:val="24"/>
          <w:szCs w:val="24"/>
          <w:lang w:val="es-ES"/>
        </w:rPr>
      </w:pPr>
    </w:p>
    <w:p w:rsidR="00E23519" w:rsidRPr="008464D7" w:rsidRDefault="00E23519" w:rsidP="00E23519">
      <w:pPr>
        <w:spacing w:line="240" w:lineRule="auto"/>
        <w:jc w:val="both"/>
        <w:rPr>
          <w:rFonts w:ascii="Arial" w:hAnsi="Arial" w:cs="Arial"/>
          <w:b/>
          <w:sz w:val="24"/>
          <w:szCs w:val="24"/>
        </w:rPr>
      </w:pPr>
      <w:r w:rsidRPr="008464D7">
        <w:rPr>
          <w:rFonts w:ascii="Arial" w:hAnsi="Arial" w:cs="Arial"/>
          <w:b/>
          <w:sz w:val="24"/>
          <w:szCs w:val="24"/>
        </w:rPr>
        <w:t>Propuestas de acción para enfrentar riesgos:</w:t>
      </w:r>
    </w:p>
    <w:p w:rsidR="00E23519" w:rsidRPr="008464D7" w:rsidRDefault="00E23519" w:rsidP="00E23519">
      <w:pPr>
        <w:pStyle w:val="Texto"/>
        <w:spacing w:after="0" w:line="240" w:lineRule="auto"/>
        <w:jc w:val="left"/>
        <w:rPr>
          <w:b/>
          <w:sz w:val="24"/>
          <w:szCs w:val="24"/>
        </w:rPr>
      </w:pPr>
      <w:r w:rsidRPr="008464D7">
        <w:rPr>
          <w:b/>
          <w:sz w:val="24"/>
          <w:szCs w:val="24"/>
        </w:rPr>
        <w:t>Principios de buen gobierno del PED</w:t>
      </w:r>
    </w:p>
    <w:p w:rsidR="00E23519" w:rsidRPr="008464D7" w:rsidRDefault="00E23519" w:rsidP="00E23519">
      <w:pPr>
        <w:pStyle w:val="Texto"/>
        <w:spacing w:after="0" w:line="240" w:lineRule="auto"/>
        <w:jc w:val="center"/>
        <w:rPr>
          <w:b/>
          <w:sz w:val="24"/>
          <w:szCs w:val="24"/>
        </w:rPr>
      </w:pPr>
    </w:p>
    <w:p w:rsidR="00E23519" w:rsidRPr="008464D7" w:rsidRDefault="00E23519" w:rsidP="00E23519">
      <w:pPr>
        <w:pStyle w:val="Texto"/>
        <w:spacing w:after="0" w:line="240" w:lineRule="auto"/>
        <w:rPr>
          <w:b/>
          <w:sz w:val="24"/>
          <w:szCs w:val="24"/>
        </w:rPr>
      </w:pPr>
      <w:r w:rsidRPr="008464D7">
        <w:rPr>
          <w:b/>
          <w:sz w:val="24"/>
          <w:szCs w:val="24"/>
        </w:rPr>
        <w:t>a. Fortalecimiento de la hacienda pública</w:t>
      </w:r>
    </w:p>
    <w:p w:rsidR="00E23519" w:rsidRPr="008464D7" w:rsidRDefault="00E23519" w:rsidP="00E23519">
      <w:pPr>
        <w:pStyle w:val="Texto"/>
        <w:spacing w:after="0" w:line="240" w:lineRule="auto"/>
        <w:rPr>
          <w:sz w:val="22"/>
          <w:szCs w:val="22"/>
        </w:rPr>
      </w:pPr>
      <w:r w:rsidRPr="008464D7">
        <w:rPr>
          <w:sz w:val="22"/>
          <w:szCs w:val="22"/>
        </w:rPr>
        <w:t xml:space="preserve"> </w:t>
      </w:r>
    </w:p>
    <w:p w:rsidR="00E23519" w:rsidRPr="008464D7" w:rsidRDefault="00E23519" w:rsidP="00E23519">
      <w:pPr>
        <w:pStyle w:val="Texto"/>
        <w:spacing w:after="0" w:line="240" w:lineRule="auto"/>
        <w:ind w:firstLine="0"/>
        <w:rPr>
          <w:b/>
          <w:sz w:val="24"/>
          <w:szCs w:val="24"/>
        </w:rPr>
      </w:pPr>
      <w:r w:rsidRPr="008464D7">
        <w:rPr>
          <w:sz w:val="24"/>
          <w:szCs w:val="24"/>
        </w:rPr>
        <w:t>Es indispensable que Colima cuente con una adecuada planeación financiera de corto y mediano plazo, así como con una estrategia que prevea la disponibilidad de los recursos necesarios para financiar el desarrollo económico, el desarrollo social y las tareas de gobierno, que sean congruentes con la realidad actual de las finanzas públicas nacionales y estatales, y sus perspectivas a futuro.</w:t>
      </w:r>
    </w:p>
    <w:p w:rsidR="00E23519" w:rsidRPr="008464D7" w:rsidRDefault="00E23519" w:rsidP="00E23519">
      <w:pPr>
        <w:pStyle w:val="Texto"/>
        <w:spacing w:after="0" w:line="240" w:lineRule="auto"/>
        <w:rPr>
          <w:b/>
          <w:sz w:val="24"/>
          <w:szCs w:val="24"/>
        </w:rPr>
      </w:pPr>
    </w:p>
    <w:p w:rsidR="00E23519" w:rsidRPr="008464D7" w:rsidRDefault="00E23519" w:rsidP="00E23519">
      <w:pPr>
        <w:pStyle w:val="Texto"/>
        <w:spacing w:after="0" w:line="240" w:lineRule="auto"/>
        <w:ind w:firstLine="0"/>
        <w:rPr>
          <w:sz w:val="24"/>
          <w:szCs w:val="24"/>
        </w:rPr>
      </w:pPr>
      <w:r w:rsidRPr="008464D7">
        <w:rPr>
          <w:sz w:val="24"/>
          <w:szCs w:val="24"/>
        </w:rPr>
        <w:t>Para lograrlo, será necesario emprender una gestión más moderna y responsable en los ámbitos tributario, presupuestario y financiero, que coadyuve a elevar la inversión pública productiva y el gasto social, y a la atracción de mayor inversión privada a la entidad, lo que redundará en mayor crecimiento económico, creación de empleos y bienestar social de los colimenses.</w:t>
      </w:r>
    </w:p>
    <w:p w:rsidR="00E23519" w:rsidRPr="008464D7" w:rsidRDefault="00E23519" w:rsidP="00E23519">
      <w:pPr>
        <w:pStyle w:val="Texto"/>
        <w:spacing w:after="0" w:line="240" w:lineRule="auto"/>
        <w:rPr>
          <w:sz w:val="24"/>
          <w:szCs w:val="24"/>
        </w:rPr>
      </w:pPr>
      <w:r w:rsidRPr="008464D7">
        <w:rPr>
          <w:sz w:val="24"/>
          <w:szCs w:val="24"/>
        </w:rPr>
        <w:t xml:space="preserve"> </w:t>
      </w:r>
    </w:p>
    <w:p w:rsidR="00E23519" w:rsidRPr="008464D7" w:rsidRDefault="00E23519" w:rsidP="00E23519">
      <w:pPr>
        <w:pStyle w:val="Texto"/>
        <w:spacing w:after="0" w:line="240" w:lineRule="auto"/>
        <w:ind w:firstLine="0"/>
        <w:rPr>
          <w:b/>
          <w:sz w:val="24"/>
          <w:szCs w:val="24"/>
        </w:rPr>
      </w:pPr>
      <w:r w:rsidRPr="008464D7">
        <w:rPr>
          <w:sz w:val="24"/>
          <w:szCs w:val="24"/>
        </w:rPr>
        <w:t>En este sentido, durante el periodo 2016-2021 se requerirá actuar en cinco vertientes:</w:t>
      </w:r>
    </w:p>
    <w:p w:rsidR="00E23519" w:rsidRPr="008464D7" w:rsidRDefault="00E23519" w:rsidP="00E23519">
      <w:pPr>
        <w:pStyle w:val="Texto"/>
        <w:spacing w:after="0" w:line="240" w:lineRule="auto"/>
        <w:rPr>
          <w:b/>
          <w:sz w:val="24"/>
          <w:szCs w:val="24"/>
        </w:rPr>
      </w:pPr>
    </w:p>
    <w:p w:rsidR="00E23519" w:rsidRPr="008464D7" w:rsidRDefault="00E23519" w:rsidP="00E23519">
      <w:pPr>
        <w:pStyle w:val="Texto"/>
        <w:numPr>
          <w:ilvl w:val="0"/>
          <w:numId w:val="4"/>
        </w:numPr>
        <w:spacing w:after="0" w:line="240" w:lineRule="auto"/>
        <w:rPr>
          <w:sz w:val="24"/>
          <w:szCs w:val="24"/>
        </w:rPr>
      </w:pPr>
      <w:r w:rsidRPr="008464D7">
        <w:rPr>
          <w:sz w:val="24"/>
          <w:szCs w:val="24"/>
        </w:rPr>
        <w:t xml:space="preserve">Fortalecer los ingresos propios, mediante mecanismos que mejoren la eficiencia tributaria. </w:t>
      </w:r>
    </w:p>
    <w:p w:rsidR="00E23519" w:rsidRPr="008464D7" w:rsidRDefault="00E23519" w:rsidP="00E23519">
      <w:pPr>
        <w:pStyle w:val="Texto"/>
        <w:spacing w:after="0" w:line="240" w:lineRule="auto"/>
        <w:rPr>
          <w:sz w:val="24"/>
          <w:szCs w:val="24"/>
        </w:rPr>
      </w:pPr>
    </w:p>
    <w:p w:rsidR="00E23519" w:rsidRPr="008464D7" w:rsidRDefault="00E23519" w:rsidP="00E23519">
      <w:pPr>
        <w:pStyle w:val="Texto"/>
        <w:numPr>
          <w:ilvl w:val="0"/>
          <w:numId w:val="4"/>
        </w:numPr>
        <w:spacing w:after="0" w:line="240" w:lineRule="auto"/>
        <w:rPr>
          <w:sz w:val="24"/>
          <w:szCs w:val="24"/>
        </w:rPr>
      </w:pPr>
      <w:r w:rsidRPr="008464D7">
        <w:rPr>
          <w:sz w:val="24"/>
          <w:szCs w:val="24"/>
        </w:rPr>
        <w:t>Mejorar la calidad del gasto público y su focalización, con presupuestos orientados a resultados.</w:t>
      </w:r>
    </w:p>
    <w:p w:rsidR="00E23519" w:rsidRPr="008464D7" w:rsidRDefault="00E23519" w:rsidP="00E23519">
      <w:pPr>
        <w:pStyle w:val="Texto"/>
        <w:spacing w:after="0" w:line="240" w:lineRule="auto"/>
        <w:ind w:firstLine="60"/>
        <w:rPr>
          <w:sz w:val="24"/>
          <w:szCs w:val="24"/>
        </w:rPr>
      </w:pPr>
    </w:p>
    <w:p w:rsidR="00E23519" w:rsidRPr="008464D7" w:rsidRDefault="00E23519" w:rsidP="00E23519">
      <w:pPr>
        <w:pStyle w:val="Texto"/>
        <w:numPr>
          <w:ilvl w:val="0"/>
          <w:numId w:val="4"/>
        </w:numPr>
        <w:spacing w:after="0" w:line="240" w:lineRule="auto"/>
        <w:rPr>
          <w:sz w:val="24"/>
          <w:szCs w:val="24"/>
        </w:rPr>
      </w:pPr>
      <w:r w:rsidRPr="008464D7">
        <w:rPr>
          <w:sz w:val="24"/>
          <w:szCs w:val="24"/>
        </w:rPr>
        <w:t>Impulsar un mayor gasto federal en la entidad, principalmente el de inversión en infraestructura.</w:t>
      </w:r>
    </w:p>
    <w:p w:rsidR="00E23519" w:rsidRPr="008464D7" w:rsidRDefault="00E23519" w:rsidP="00E23519">
      <w:pPr>
        <w:pStyle w:val="Texto"/>
        <w:spacing w:after="0" w:line="240" w:lineRule="auto"/>
        <w:ind w:firstLine="0"/>
        <w:rPr>
          <w:sz w:val="24"/>
          <w:szCs w:val="24"/>
        </w:rPr>
      </w:pPr>
    </w:p>
    <w:p w:rsidR="00E23519" w:rsidRPr="008464D7" w:rsidRDefault="00E23519" w:rsidP="00E23519">
      <w:pPr>
        <w:pStyle w:val="Texto"/>
        <w:numPr>
          <w:ilvl w:val="0"/>
          <w:numId w:val="4"/>
        </w:numPr>
        <w:spacing w:after="0" w:line="240" w:lineRule="auto"/>
        <w:rPr>
          <w:sz w:val="24"/>
          <w:szCs w:val="24"/>
        </w:rPr>
      </w:pPr>
      <w:r w:rsidRPr="008464D7">
        <w:rPr>
          <w:sz w:val="24"/>
          <w:szCs w:val="24"/>
        </w:rPr>
        <w:t xml:space="preserve">Implementar una política de deuda pública responsable. </w:t>
      </w:r>
    </w:p>
    <w:p w:rsidR="00E23519" w:rsidRPr="008464D7" w:rsidRDefault="00E23519" w:rsidP="00E23519">
      <w:pPr>
        <w:pStyle w:val="Texto"/>
        <w:spacing w:after="0" w:line="240" w:lineRule="auto"/>
        <w:ind w:firstLine="0"/>
        <w:rPr>
          <w:sz w:val="24"/>
          <w:szCs w:val="24"/>
        </w:rPr>
      </w:pPr>
    </w:p>
    <w:p w:rsidR="00E23519" w:rsidRPr="008464D7" w:rsidRDefault="00E23519" w:rsidP="00E23519">
      <w:pPr>
        <w:pStyle w:val="Texto"/>
        <w:numPr>
          <w:ilvl w:val="0"/>
          <w:numId w:val="4"/>
        </w:numPr>
        <w:spacing w:after="0" w:line="240" w:lineRule="auto"/>
        <w:rPr>
          <w:sz w:val="24"/>
          <w:szCs w:val="24"/>
        </w:rPr>
      </w:pPr>
      <w:r w:rsidRPr="008464D7">
        <w:rPr>
          <w:sz w:val="24"/>
          <w:szCs w:val="24"/>
        </w:rPr>
        <w:t>Promover esquemas novedosos de financiamiento, como son las Asociaciones Público-    Privadas.</w:t>
      </w:r>
    </w:p>
    <w:p w:rsidR="00E23519" w:rsidRPr="008464D7" w:rsidRDefault="00E23519" w:rsidP="00E23519">
      <w:pPr>
        <w:pStyle w:val="Prrafodelista"/>
        <w:rPr>
          <w:sz w:val="24"/>
          <w:szCs w:val="24"/>
        </w:rPr>
      </w:pPr>
    </w:p>
    <w:p w:rsidR="00E23519" w:rsidRPr="008464D7" w:rsidRDefault="00E23519" w:rsidP="00E23519">
      <w:pPr>
        <w:pStyle w:val="Texto"/>
        <w:spacing w:after="0" w:line="240" w:lineRule="auto"/>
        <w:ind w:firstLine="0"/>
        <w:rPr>
          <w:sz w:val="24"/>
          <w:szCs w:val="24"/>
        </w:rPr>
      </w:pPr>
      <w:r w:rsidRPr="008464D7">
        <w:rPr>
          <w:i/>
          <w:sz w:val="24"/>
          <w:szCs w:val="24"/>
          <w:u w:val="single"/>
        </w:rPr>
        <w:t>Fortalecimiento de los ingresos propios</w:t>
      </w:r>
      <w:r w:rsidRPr="008464D7">
        <w:rPr>
          <w:b/>
          <w:sz w:val="24"/>
          <w:szCs w:val="24"/>
        </w:rPr>
        <w:t>.</w:t>
      </w:r>
      <w:r w:rsidRPr="008464D7">
        <w:rPr>
          <w:sz w:val="24"/>
          <w:szCs w:val="24"/>
        </w:rPr>
        <w:t xml:space="preserve"> Una de áreas de oportunidad para incrementar los recursos para el financiamiento del desarrollo de Colima, se encuentra en modernizar y perfeccionar la política fiscal del Estado.</w:t>
      </w:r>
    </w:p>
    <w:p w:rsidR="00E23519" w:rsidRPr="008464D7" w:rsidRDefault="00E23519" w:rsidP="00E23519">
      <w:pPr>
        <w:pStyle w:val="Texto"/>
        <w:spacing w:after="0" w:line="240" w:lineRule="auto"/>
        <w:rPr>
          <w:sz w:val="24"/>
          <w:szCs w:val="24"/>
        </w:rPr>
      </w:pPr>
    </w:p>
    <w:p w:rsidR="00E23519" w:rsidRPr="008464D7" w:rsidRDefault="00E23519" w:rsidP="00E23519">
      <w:pPr>
        <w:pStyle w:val="Texto"/>
        <w:spacing w:after="0" w:line="240" w:lineRule="auto"/>
        <w:ind w:firstLine="0"/>
        <w:rPr>
          <w:sz w:val="24"/>
          <w:szCs w:val="24"/>
        </w:rPr>
      </w:pPr>
      <w:r w:rsidRPr="008464D7">
        <w:rPr>
          <w:sz w:val="24"/>
          <w:szCs w:val="24"/>
        </w:rPr>
        <w:t xml:space="preserve">Por ello, durante la Administración implementaremos nuevas estrategias para mejorar la eficiencia recaudatoria, con el fin de que los ingresos derivados del esfuerzo recaudatorio propio tengan una mayor participación en el presupuesto estatal. </w:t>
      </w:r>
    </w:p>
    <w:p w:rsidR="00E23519" w:rsidRPr="008464D7" w:rsidRDefault="00E23519" w:rsidP="00E23519">
      <w:pPr>
        <w:pStyle w:val="Texto"/>
        <w:spacing w:after="0" w:line="240" w:lineRule="auto"/>
        <w:rPr>
          <w:sz w:val="24"/>
          <w:szCs w:val="24"/>
        </w:rPr>
      </w:pPr>
    </w:p>
    <w:p w:rsidR="00E23519" w:rsidRPr="008464D7" w:rsidRDefault="00E23519" w:rsidP="00E23519">
      <w:pPr>
        <w:pStyle w:val="Texto"/>
        <w:spacing w:after="0" w:line="240" w:lineRule="auto"/>
        <w:ind w:firstLine="0"/>
        <w:rPr>
          <w:sz w:val="24"/>
          <w:szCs w:val="24"/>
        </w:rPr>
      </w:pPr>
      <w:r w:rsidRPr="008464D7">
        <w:rPr>
          <w:sz w:val="24"/>
          <w:szCs w:val="24"/>
        </w:rPr>
        <w:t xml:space="preserve">En este sentido, modernizaremos los mecanismos de recaudación, cobranza y fiscalización mediante el uso de tecnologías y aplicaciones informáticas de vanguardia para la captación de los ingresos públicos, y procuraremos brindar una mejor atención a los contribuyentes. </w:t>
      </w:r>
    </w:p>
    <w:p w:rsidR="00E23519" w:rsidRPr="008464D7" w:rsidRDefault="00E23519" w:rsidP="00E23519">
      <w:pPr>
        <w:pStyle w:val="Texto"/>
        <w:spacing w:after="0" w:line="240" w:lineRule="auto"/>
        <w:rPr>
          <w:sz w:val="24"/>
          <w:szCs w:val="24"/>
        </w:rPr>
      </w:pPr>
    </w:p>
    <w:p w:rsidR="00E23519" w:rsidRPr="008464D7" w:rsidRDefault="00E23519" w:rsidP="00E23519">
      <w:pPr>
        <w:pStyle w:val="Texto"/>
        <w:spacing w:after="0" w:line="240" w:lineRule="auto"/>
        <w:ind w:firstLine="0"/>
        <w:rPr>
          <w:sz w:val="24"/>
          <w:szCs w:val="24"/>
        </w:rPr>
      </w:pPr>
      <w:r w:rsidRPr="008464D7">
        <w:rPr>
          <w:sz w:val="24"/>
          <w:szCs w:val="24"/>
        </w:rPr>
        <w:t xml:space="preserve">Ello significará un doble beneficio. Por una parte, aumentaremos de manera directa los ingresos propios, y por otra mejorará nuestra posición relativa frente al resto de entidades federativas del país en las fórmulas de distribución de las participaciones, lo que se traducirá en mayores transferencias del Ramo 28 para Colima. </w:t>
      </w:r>
    </w:p>
    <w:p w:rsidR="00E23519" w:rsidRPr="008464D7" w:rsidRDefault="00E23519" w:rsidP="00E23519">
      <w:pPr>
        <w:pStyle w:val="Texto"/>
        <w:spacing w:after="0" w:line="240" w:lineRule="auto"/>
        <w:rPr>
          <w:i/>
          <w:sz w:val="24"/>
          <w:szCs w:val="24"/>
          <w:u w:val="single"/>
        </w:rPr>
      </w:pPr>
    </w:p>
    <w:p w:rsidR="00E23519" w:rsidRPr="008464D7" w:rsidRDefault="00E23519" w:rsidP="00E23519">
      <w:pPr>
        <w:pStyle w:val="Texto"/>
        <w:spacing w:after="0" w:line="240" w:lineRule="auto"/>
        <w:ind w:firstLine="0"/>
        <w:rPr>
          <w:sz w:val="24"/>
          <w:szCs w:val="24"/>
        </w:rPr>
      </w:pPr>
      <w:r w:rsidRPr="008464D7">
        <w:rPr>
          <w:i/>
          <w:sz w:val="24"/>
          <w:szCs w:val="24"/>
          <w:u w:val="single"/>
        </w:rPr>
        <w:t>Gasto público eficiente y austero</w:t>
      </w:r>
      <w:r w:rsidRPr="008464D7">
        <w:rPr>
          <w:b/>
          <w:sz w:val="24"/>
          <w:szCs w:val="24"/>
        </w:rPr>
        <w:t>.</w:t>
      </w:r>
      <w:r w:rsidRPr="008464D7">
        <w:rPr>
          <w:sz w:val="24"/>
          <w:szCs w:val="24"/>
        </w:rPr>
        <w:t xml:space="preserve"> El mandato constitucional de administrar los recursos públicos atendiendo los principios de eficiencia, eficacia, economía, y transparencia, requiere modernizar los principios de la gestión pública.</w:t>
      </w:r>
    </w:p>
    <w:p w:rsidR="00E23519" w:rsidRPr="008464D7" w:rsidRDefault="00E23519" w:rsidP="00E23519">
      <w:pPr>
        <w:pStyle w:val="Texto"/>
        <w:spacing w:after="0" w:line="240" w:lineRule="auto"/>
        <w:ind w:firstLine="0"/>
        <w:rPr>
          <w:sz w:val="24"/>
          <w:szCs w:val="24"/>
        </w:rPr>
      </w:pPr>
      <w:r w:rsidRPr="008464D7">
        <w:rPr>
          <w:sz w:val="24"/>
          <w:szCs w:val="24"/>
        </w:rPr>
        <w:t xml:space="preserve"> </w:t>
      </w:r>
    </w:p>
    <w:p w:rsidR="00E23519" w:rsidRPr="008464D7" w:rsidRDefault="00E23519" w:rsidP="00E23519">
      <w:pPr>
        <w:pStyle w:val="Texto"/>
        <w:spacing w:after="0" w:line="240" w:lineRule="auto"/>
        <w:ind w:firstLine="0"/>
        <w:rPr>
          <w:sz w:val="24"/>
          <w:szCs w:val="24"/>
        </w:rPr>
      </w:pPr>
      <w:r w:rsidRPr="008464D7">
        <w:rPr>
          <w:sz w:val="24"/>
          <w:szCs w:val="24"/>
        </w:rPr>
        <w:t xml:space="preserve">En Colima impulsaremos la consolidación del Presupuesto Basado en Resultados y del Sistema de Evaluación del Desempeño, para mejorar la eficacia y eficiencia del gasto y, con ello, la calidad y cobertura de los programas públicos. La </w:t>
      </w:r>
      <w:r w:rsidRPr="008464D7">
        <w:rPr>
          <w:sz w:val="24"/>
          <w:szCs w:val="24"/>
        </w:rPr>
        <w:lastRenderedPageBreak/>
        <w:t>presupuestación por resultados nos permitirá re-direccionar mayores recursos a los programas y proyectos de mayor impacto económico y social.</w:t>
      </w:r>
    </w:p>
    <w:p w:rsidR="00E23519" w:rsidRPr="008464D7" w:rsidRDefault="00E23519" w:rsidP="00E23519">
      <w:pPr>
        <w:pStyle w:val="Texto"/>
        <w:spacing w:after="0" w:line="240" w:lineRule="auto"/>
        <w:ind w:firstLine="0"/>
        <w:rPr>
          <w:sz w:val="24"/>
          <w:szCs w:val="24"/>
        </w:rPr>
      </w:pPr>
      <w:r w:rsidRPr="008464D7">
        <w:rPr>
          <w:sz w:val="24"/>
          <w:szCs w:val="24"/>
        </w:rPr>
        <w:t>En el mismo sentido, para elevar la calidad del gasto público estableceremos, de manera permanente, medidas de austeridad, racionalidad y disciplina para el gasto administrativo y operativo, con el fin de contar con una administración pública menos costosa y, con ello, liberar recursos y redirigirlos a financiar programas, proyectos productivos y de inversión.</w:t>
      </w:r>
    </w:p>
    <w:p w:rsidR="00E23519" w:rsidRPr="008464D7" w:rsidRDefault="00E23519" w:rsidP="00E23519">
      <w:pPr>
        <w:pStyle w:val="Texto"/>
        <w:spacing w:after="0" w:line="240" w:lineRule="auto"/>
        <w:ind w:firstLine="0"/>
        <w:rPr>
          <w:sz w:val="24"/>
          <w:szCs w:val="24"/>
        </w:rPr>
      </w:pPr>
    </w:p>
    <w:p w:rsidR="00E23519" w:rsidRPr="008464D7" w:rsidRDefault="00E23519" w:rsidP="00E23519">
      <w:pPr>
        <w:pStyle w:val="Texto"/>
        <w:spacing w:after="0" w:line="240" w:lineRule="auto"/>
        <w:ind w:firstLine="0"/>
        <w:rPr>
          <w:sz w:val="24"/>
          <w:szCs w:val="24"/>
        </w:rPr>
      </w:pPr>
      <w:r w:rsidRPr="008464D7">
        <w:rPr>
          <w:sz w:val="24"/>
          <w:szCs w:val="24"/>
        </w:rPr>
        <w:t>Adicionalmente, se deberán atender problemáticas estructurales que inciden negativamente en la calidad del gasto presupuestario y limitan la disponibilidad recursos, como la que representa el sistema público de pensiones de los trabajadores al servicio del estado, el cual, en los últimos años, ha estado recibiendo subsidios presupuestarios para poder atender sus compromisos con los jubilados y pensionados. En la medida en que se modernice el sistema de pensiones, para alcanzar su autosuficiencia, se contará con recursos adicionales para financiar el desarrollo de Colima.</w:t>
      </w:r>
    </w:p>
    <w:p w:rsidR="00E23519" w:rsidRPr="008464D7" w:rsidRDefault="00E23519" w:rsidP="00E23519">
      <w:pPr>
        <w:pStyle w:val="Texto"/>
        <w:spacing w:after="0" w:line="240" w:lineRule="auto"/>
        <w:rPr>
          <w:sz w:val="24"/>
          <w:szCs w:val="24"/>
        </w:rPr>
      </w:pPr>
    </w:p>
    <w:p w:rsidR="00E23519" w:rsidRPr="008464D7" w:rsidRDefault="00E23519" w:rsidP="00E23519">
      <w:pPr>
        <w:pStyle w:val="Texto"/>
        <w:spacing w:after="0" w:line="240" w:lineRule="auto"/>
        <w:ind w:firstLine="0"/>
        <w:rPr>
          <w:sz w:val="24"/>
          <w:szCs w:val="24"/>
        </w:rPr>
      </w:pPr>
      <w:r w:rsidRPr="008464D7">
        <w:rPr>
          <w:i/>
          <w:sz w:val="24"/>
          <w:szCs w:val="24"/>
          <w:u w:val="single"/>
        </w:rPr>
        <w:t>Impulsar un mayor gasto federal</w:t>
      </w:r>
      <w:r w:rsidRPr="008464D7">
        <w:rPr>
          <w:b/>
          <w:sz w:val="24"/>
          <w:szCs w:val="24"/>
        </w:rPr>
        <w:t>.</w:t>
      </w:r>
      <w:r w:rsidRPr="008464D7">
        <w:rPr>
          <w:sz w:val="24"/>
          <w:szCs w:val="24"/>
        </w:rPr>
        <w:t xml:space="preserve"> Históricamente, el gasto público que el gobierno federal destina para su ejercicio en el territorio estatal, ha tenido gran importancia en el desarrollo del estado, como complemento del presupuesto estatal. </w:t>
      </w:r>
    </w:p>
    <w:p w:rsidR="00E23519" w:rsidRPr="008464D7" w:rsidRDefault="00E23519" w:rsidP="00E23519">
      <w:pPr>
        <w:pStyle w:val="Texto"/>
        <w:spacing w:after="0" w:line="240" w:lineRule="auto"/>
        <w:rPr>
          <w:sz w:val="24"/>
          <w:szCs w:val="24"/>
        </w:rPr>
      </w:pPr>
    </w:p>
    <w:p w:rsidR="00E23519" w:rsidRPr="008464D7" w:rsidRDefault="00E23519" w:rsidP="00E23519">
      <w:pPr>
        <w:pStyle w:val="Texto"/>
        <w:spacing w:after="0" w:line="240" w:lineRule="auto"/>
        <w:ind w:firstLine="0"/>
        <w:rPr>
          <w:sz w:val="24"/>
          <w:szCs w:val="24"/>
        </w:rPr>
      </w:pPr>
      <w:r w:rsidRPr="008464D7">
        <w:rPr>
          <w:sz w:val="24"/>
          <w:szCs w:val="24"/>
        </w:rPr>
        <w:t xml:space="preserve">Las dependencias y organismos públicos federales, de manera directa, desarrollan infraestructura y obra pública, y atienden la política social de la Federación. Asimismo, formalizan convenios de coordinación con el gobierno del estado, para la realización de infraestructura, la puesta en marcha de proyectos productivos y la atención de grupos vulnerables de la población. </w:t>
      </w:r>
    </w:p>
    <w:p w:rsidR="00E23519" w:rsidRPr="008464D7" w:rsidRDefault="00E23519" w:rsidP="00E23519">
      <w:pPr>
        <w:pStyle w:val="Texto"/>
        <w:spacing w:after="0" w:line="240" w:lineRule="auto"/>
        <w:ind w:firstLine="0"/>
        <w:rPr>
          <w:sz w:val="24"/>
          <w:szCs w:val="24"/>
        </w:rPr>
      </w:pPr>
    </w:p>
    <w:p w:rsidR="00E23519" w:rsidRPr="008464D7" w:rsidRDefault="00E23519" w:rsidP="00E23519">
      <w:pPr>
        <w:pStyle w:val="Texto"/>
        <w:spacing w:after="0" w:line="240" w:lineRule="auto"/>
        <w:ind w:firstLine="0"/>
        <w:rPr>
          <w:sz w:val="24"/>
          <w:szCs w:val="24"/>
        </w:rPr>
      </w:pPr>
      <w:r w:rsidRPr="008464D7">
        <w:rPr>
          <w:sz w:val="24"/>
          <w:szCs w:val="24"/>
        </w:rPr>
        <w:t>En la medida en que se alcance una más estrecha coordinación entre autoridades estatales y federales, los recursos destinados a Colima en el Presupuesto de Egresos de la Federación pueden ser de mayor cuantía y tener un impacto más significativo en la atención de las demandas sociales y necesidades de obra pública e infraestructura.</w:t>
      </w:r>
    </w:p>
    <w:p w:rsidR="00E23519" w:rsidRPr="008464D7" w:rsidRDefault="00E23519" w:rsidP="00E23519">
      <w:pPr>
        <w:pStyle w:val="Texto"/>
        <w:spacing w:after="0" w:line="240" w:lineRule="auto"/>
        <w:rPr>
          <w:sz w:val="24"/>
          <w:szCs w:val="24"/>
        </w:rPr>
      </w:pPr>
    </w:p>
    <w:p w:rsidR="00E23519" w:rsidRPr="008464D7" w:rsidRDefault="00E23519" w:rsidP="00E23519">
      <w:pPr>
        <w:pStyle w:val="Texto"/>
        <w:spacing w:after="0" w:line="240" w:lineRule="auto"/>
        <w:ind w:firstLine="0"/>
        <w:rPr>
          <w:sz w:val="24"/>
          <w:szCs w:val="24"/>
        </w:rPr>
      </w:pPr>
      <w:r w:rsidRPr="008464D7">
        <w:rPr>
          <w:sz w:val="24"/>
          <w:szCs w:val="24"/>
        </w:rPr>
        <w:t xml:space="preserve">En el financiamiento del desarrollo del Estado va a ser fundamental profundizar la coordinación con las dependencias y entes públicos de la federación, para impulsar un mayor gasto federal en la entidad. </w:t>
      </w:r>
    </w:p>
    <w:p w:rsidR="00E23519" w:rsidRPr="008464D7" w:rsidRDefault="00E23519" w:rsidP="00E23519">
      <w:pPr>
        <w:pStyle w:val="Texto"/>
        <w:spacing w:after="0" w:line="240" w:lineRule="auto"/>
        <w:ind w:firstLine="0"/>
        <w:rPr>
          <w:sz w:val="24"/>
          <w:szCs w:val="24"/>
        </w:rPr>
      </w:pPr>
    </w:p>
    <w:p w:rsidR="00E23519" w:rsidRPr="008464D7" w:rsidRDefault="00E23519" w:rsidP="00E23519">
      <w:pPr>
        <w:pStyle w:val="Texto"/>
        <w:spacing w:after="0" w:line="240" w:lineRule="auto"/>
        <w:ind w:firstLine="0"/>
        <w:rPr>
          <w:sz w:val="24"/>
          <w:szCs w:val="24"/>
        </w:rPr>
      </w:pPr>
      <w:r w:rsidRPr="008464D7">
        <w:rPr>
          <w:sz w:val="24"/>
          <w:szCs w:val="24"/>
        </w:rPr>
        <w:t xml:space="preserve">En esta estrategia, será necesario coadyuvar con la realización de los estudios y proyectos de interés para el estado, y que sean susceptibles de ser financiados con recursos del presupuesto federal. Asimismo, para potenciar los recursos transferidos vía los convenios de coordinación, el gobierno estatal deberá atender </w:t>
      </w:r>
      <w:r w:rsidRPr="008464D7">
        <w:rPr>
          <w:sz w:val="24"/>
          <w:szCs w:val="24"/>
        </w:rPr>
        <w:lastRenderedPageBreak/>
        <w:t xml:space="preserve">plenamente las contrapartes acordadas en los instrumentos jurídicos, con lo que se podrán incrementar los techos de gasto de diversos programas públicos, en beneficio de un mayor número de colimenses. </w:t>
      </w:r>
    </w:p>
    <w:p w:rsidR="00E23519" w:rsidRPr="008464D7" w:rsidRDefault="00E23519" w:rsidP="00E23519">
      <w:pPr>
        <w:pStyle w:val="Texto"/>
        <w:spacing w:after="0" w:line="240" w:lineRule="auto"/>
        <w:rPr>
          <w:sz w:val="24"/>
          <w:szCs w:val="24"/>
        </w:rPr>
      </w:pPr>
    </w:p>
    <w:p w:rsidR="00E23519" w:rsidRPr="008464D7" w:rsidRDefault="00E23519" w:rsidP="00E23519">
      <w:pPr>
        <w:pStyle w:val="Texto"/>
        <w:spacing w:after="0" w:line="240" w:lineRule="auto"/>
        <w:ind w:firstLine="0"/>
        <w:rPr>
          <w:sz w:val="24"/>
          <w:szCs w:val="24"/>
        </w:rPr>
      </w:pPr>
      <w:r w:rsidRPr="008464D7">
        <w:rPr>
          <w:i/>
          <w:sz w:val="24"/>
          <w:szCs w:val="24"/>
          <w:u w:val="single"/>
        </w:rPr>
        <w:t>Política de deuda pública responsable</w:t>
      </w:r>
      <w:r w:rsidRPr="008464D7">
        <w:rPr>
          <w:sz w:val="24"/>
          <w:szCs w:val="24"/>
        </w:rPr>
        <w:t xml:space="preserve">. El endeudamiento público como fuente de financiamiento del desarrollo debe, ante todo, utilizarse de manera responsable y generar beneficios tangibles a la población colimense, sin comprometer la viabilidad de las finanzas públicas. </w:t>
      </w:r>
    </w:p>
    <w:p w:rsidR="00E23519" w:rsidRPr="008464D7" w:rsidRDefault="00E23519" w:rsidP="00E23519">
      <w:pPr>
        <w:pStyle w:val="Texto"/>
        <w:spacing w:after="0" w:line="240" w:lineRule="auto"/>
        <w:rPr>
          <w:sz w:val="24"/>
          <w:szCs w:val="24"/>
        </w:rPr>
      </w:pPr>
    </w:p>
    <w:p w:rsidR="00E23519" w:rsidRPr="008464D7" w:rsidRDefault="00E23519" w:rsidP="00E23519">
      <w:pPr>
        <w:pStyle w:val="Texto"/>
        <w:spacing w:after="0" w:line="240" w:lineRule="auto"/>
        <w:ind w:firstLine="0"/>
        <w:rPr>
          <w:sz w:val="24"/>
          <w:szCs w:val="24"/>
        </w:rPr>
      </w:pPr>
      <w:r w:rsidRPr="008464D7">
        <w:rPr>
          <w:sz w:val="24"/>
          <w:szCs w:val="24"/>
        </w:rPr>
        <w:t>Si bien, la deuda bancaria de largo plazo del estado se incrementó sustancialmente en los últimos cinco años, su importancia como porcentaje del PIB estatal se sitúa en la media nacional, por lo que aún existe un margen para financiar proyectos de inversión en infraestructura de alto impacto.</w:t>
      </w:r>
    </w:p>
    <w:p w:rsidR="00E23519" w:rsidRPr="008464D7" w:rsidRDefault="00E23519" w:rsidP="00E23519">
      <w:pPr>
        <w:pStyle w:val="Texto"/>
        <w:spacing w:after="0" w:line="240" w:lineRule="auto"/>
        <w:rPr>
          <w:sz w:val="24"/>
          <w:szCs w:val="24"/>
        </w:rPr>
      </w:pPr>
    </w:p>
    <w:p w:rsidR="00E23519" w:rsidRPr="008464D7" w:rsidRDefault="00E23519" w:rsidP="00E23519">
      <w:pPr>
        <w:pStyle w:val="Texto"/>
        <w:spacing w:after="0" w:line="240" w:lineRule="auto"/>
        <w:ind w:firstLine="0"/>
        <w:rPr>
          <w:sz w:val="24"/>
          <w:szCs w:val="24"/>
        </w:rPr>
      </w:pPr>
      <w:r w:rsidRPr="008464D7">
        <w:rPr>
          <w:sz w:val="24"/>
          <w:szCs w:val="24"/>
        </w:rPr>
        <w:t>De ser necesario, durante el periodo 2016-2021, se utilizaría dicho margen como fuente de financiamiento del desarrollo, siempre y cuando la tasa de rentabilidad económica y social de las inversiones sea lo suficientemente alta y se beneficie con ello la competitividad, la productividad, el empleo y el desarrollo social en la entidad.</w:t>
      </w:r>
    </w:p>
    <w:p w:rsidR="00E23519" w:rsidRPr="008464D7" w:rsidRDefault="00E23519" w:rsidP="00E23519">
      <w:pPr>
        <w:pStyle w:val="Texto"/>
        <w:spacing w:after="0" w:line="240" w:lineRule="auto"/>
        <w:rPr>
          <w:sz w:val="24"/>
          <w:szCs w:val="24"/>
        </w:rPr>
      </w:pPr>
    </w:p>
    <w:p w:rsidR="00E23519" w:rsidRPr="008464D7" w:rsidRDefault="00E23519" w:rsidP="00E23519">
      <w:pPr>
        <w:pStyle w:val="Texto"/>
        <w:spacing w:after="0" w:line="240" w:lineRule="auto"/>
        <w:ind w:firstLine="0"/>
        <w:rPr>
          <w:sz w:val="24"/>
          <w:szCs w:val="24"/>
        </w:rPr>
      </w:pPr>
      <w:r w:rsidRPr="008464D7">
        <w:rPr>
          <w:i/>
          <w:sz w:val="24"/>
          <w:szCs w:val="24"/>
          <w:u w:val="single"/>
        </w:rPr>
        <w:t>Promoción de las asociaciones público – privadas</w:t>
      </w:r>
      <w:r w:rsidRPr="008464D7">
        <w:rPr>
          <w:b/>
          <w:sz w:val="24"/>
          <w:szCs w:val="24"/>
        </w:rPr>
        <w:t>.</w:t>
      </w:r>
      <w:r w:rsidRPr="008464D7">
        <w:rPr>
          <w:sz w:val="24"/>
          <w:szCs w:val="24"/>
        </w:rPr>
        <w:t xml:space="preserve"> Ante la escasez de recursos para desarrollar grandes obras de infraestructura, se vuelve necesario considerar el otorgar un mayor impulso y promoción a la inversión por parte del sector privado, como complemente de la inversión pública, para lograr más rápidamente las metas de desarrollo del estado. </w:t>
      </w:r>
    </w:p>
    <w:p w:rsidR="00E23519" w:rsidRPr="008464D7" w:rsidRDefault="00E23519" w:rsidP="00E23519">
      <w:pPr>
        <w:pStyle w:val="Texto"/>
        <w:spacing w:after="0" w:line="240" w:lineRule="auto"/>
        <w:rPr>
          <w:sz w:val="24"/>
          <w:szCs w:val="24"/>
        </w:rPr>
      </w:pPr>
    </w:p>
    <w:p w:rsidR="00E23519" w:rsidRPr="008464D7" w:rsidRDefault="00E23519" w:rsidP="00E23519">
      <w:pPr>
        <w:pStyle w:val="Texto"/>
        <w:spacing w:after="0" w:line="240" w:lineRule="auto"/>
        <w:ind w:firstLine="0"/>
        <w:rPr>
          <w:sz w:val="24"/>
          <w:szCs w:val="24"/>
        </w:rPr>
      </w:pPr>
      <w:r w:rsidRPr="008464D7">
        <w:rPr>
          <w:sz w:val="24"/>
          <w:szCs w:val="24"/>
        </w:rPr>
        <w:t xml:space="preserve">Uno de los mecanismos más exitosos que se han utilizado en esta tarea han sido, tanto nacional como internacionalmente, los esquemas de asociaciones público-privadas, que han demostrado ser eficaces en lograr su objetivo de incentivar la iniciativa y la inversión privada, bajo un marco adecuado de distribución de riesgos, provisión y control de los servicios, así como de contraprestaciones económicas justas, que otorguen certeza y seguridad jurídica a los intereses y necesidades de los inversionistas, las entidades públicas involucradas y la población beneficiada. </w:t>
      </w:r>
    </w:p>
    <w:p w:rsidR="00E23519" w:rsidRPr="008464D7" w:rsidRDefault="00E23519" w:rsidP="00E23519">
      <w:pPr>
        <w:pStyle w:val="Texto"/>
        <w:spacing w:after="0" w:line="240" w:lineRule="auto"/>
        <w:rPr>
          <w:sz w:val="24"/>
          <w:szCs w:val="24"/>
        </w:rPr>
      </w:pPr>
    </w:p>
    <w:p w:rsidR="00E23519" w:rsidRDefault="00E23519" w:rsidP="00E23519">
      <w:pPr>
        <w:pStyle w:val="Texto"/>
        <w:spacing w:after="0" w:line="240" w:lineRule="auto"/>
        <w:ind w:firstLine="0"/>
        <w:rPr>
          <w:sz w:val="24"/>
          <w:szCs w:val="24"/>
        </w:rPr>
      </w:pPr>
      <w:r w:rsidRPr="008464D7">
        <w:rPr>
          <w:sz w:val="24"/>
          <w:szCs w:val="24"/>
        </w:rPr>
        <w:t>Para el desarrollo de algunos proyectos de infraestructura de alto impacto, perfilados en la planeación para el desarrollo de Colima 2016-2021, se requerirán utilizar los esquemas de asociaciones público-privadas como fuente de financiamiento, por lo que será indispensable adecuar nuestro marco jurídico normativo, acorde con la legislación federal en la materia y las mejores prácticas internacionales. Ello redundará en una mayor atracción de inversiones privadas a la entidad y mejores condiciones financieras para el estado.</w:t>
      </w:r>
    </w:p>
    <w:p w:rsidR="00CA11FB" w:rsidRDefault="00CA11FB" w:rsidP="00E23519">
      <w:pPr>
        <w:pStyle w:val="Texto"/>
        <w:spacing w:after="0" w:line="240" w:lineRule="auto"/>
        <w:ind w:firstLine="0"/>
        <w:rPr>
          <w:sz w:val="24"/>
          <w:szCs w:val="24"/>
        </w:rPr>
      </w:pPr>
    </w:p>
    <w:p w:rsidR="00E23519" w:rsidRPr="008464D7" w:rsidRDefault="00E23519" w:rsidP="00E23519">
      <w:pPr>
        <w:pStyle w:val="Texto"/>
        <w:spacing w:after="0" w:line="240" w:lineRule="auto"/>
        <w:rPr>
          <w:b/>
          <w:sz w:val="24"/>
          <w:szCs w:val="24"/>
        </w:rPr>
      </w:pPr>
      <w:r w:rsidRPr="008464D7">
        <w:rPr>
          <w:b/>
          <w:sz w:val="24"/>
          <w:szCs w:val="24"/>
        </w:rPr>
        <w:lastRenderedPageBreak/>
        <w:t>b. Agenda de buen gobierno</w:t>
      </w:r>
    </w:p>
    <w:p w:rsidR="00E23519" w:rsidRPr="008464D7" w:rsidRDefault="00E23519" w:rsidP="00E23519">
      <w:pPr>
        <w:pStyle w:val="Texto"/>
        <w:spacing w:after="0" w:line="240" w:lineRule="auto"/>
        <w:rPr>
          <w:sz w:val="22"/>
          <w:szCs w:val="22"/>
        </w:rPr>
      </w:pPr>
      <w:r w:rsidRPr="008464D7">
        <w:rPr>
          <w:sz w:val="22"/>
          <w:szCs w:val="22"/>
        </w:rPr>
        <w:t xml:space="preserve"> </w:t>
      </w:r>
    </w:p>
    <w:p w:rsidR="00E23519" w:rsidRPr="008464D7" w:rsidRDefault="00E23519" w:rsidP="00E23519">
      <w:pPr>
        <w:pStyle w:val="Texto"/>
        <w:spacing w:after="0" w:line="240" w:lineRule="auto"/>
        <w:ind w:firstLine="0"/>
        <w:rPr>
          <w:sz w:val="24"/>
          <w:szCs w:val="24"/>
        </w:rPr>
      </w:pPr>
      <w:r w:rsidRPr="008464D7">
        <w:rPr>
          <w:sz w:val="24"/>
          <w:szCs w:val="24"/>
        </w:rPr>
        <w:t>Para alcanzar un gobierno de calidad, se necesita un impulso a la reingeniería de procesos de mejora administrativa que incluyan las necesidades de la ciudadanía y que contemplen acciones de transparencia y rendición de cuentas.</w:t>
      </w:r>
    </w:p>
    <w:p w:rsidR="00E23519" w:rsidRPr="008464D7" w:rsidRDefault="00E23519" w:rsidP="00E23519">
      <w:pPr>
        <w:pStyle w:val="Texto"/>
        <w:spacing w:after="0" w:line="240" w:lineRule="auto"/>
        <w:rPr>
          <w:sz w:val="24"/>
          <w:szCs w:val="24"/>
        </w:rPr>
      </w:pPr>
    </w:p>
    <w:p w:rsidR="00E23519" w:rsidRPr="008464D7" w:rsidRDefault="00E23519" w:rsidP="00E23519">
      <w:pPr>
        <w:pStyle w:val="Texto"/>
        <w:spacing w:after="0" w:line="240" w:lineRule="auto"/>
        <w:ind w:firstLine="0"/>
        <w:rPr>
          <w:sz w:val="24"/>
          <w:szCs w:val="24"/>
        </w:rPr>
      </w:pPr>
      <w:r w:rsidRPr="008464D7">
        <w:rPr>
          <w:sz w:val="24"/>
          <w:szCs w:val="24"/>
        </w:rPr>
        <w:t xml:space="preserve">Lo anterior, se logrará dejando atrás esquemas de administración pública tradicionales, con ayuda de instrumentos como la planeación, ejecución y la evaluación de resultados, así como el uso de las nuevas tecnologías de información y de la comunicación. </w:t>
      </w:r>
    </w:p>
    <w:p w:rsidR="00E23519" w:rsidRPr="008464D7" w:rsidRDefault="00E23519" w:rsidP="00E23519">
      <w:pPr>
        <w:pStyle w:val="Texto"/>
        <w:spacing w:after="0" w:line="240" w:lineRule="auto"/>
        <w:rPr>
          <w:sz w:val="24"/>
          <w:szCs w:val="24"/>
        </w:rPr>
      </w:pPr>
    </w:p>
    <w:p w:rsidR="00E23519" w:rsidRPr="008464D7" w:rsidRDefault="00E23519" w:rsidP="00E23519">
      <w:pPr>
        <w:pStyle w:val="Texto"/>
        <w:spacing w:after="0" w:line="240" w:lineRule="auto"/>
        <w:ind w:firstLine="0"/>
        <w:rPr>
          <w:b/>
          <w:sz w:val="24"/>
          <w:szCs w:val="24"/>
        </w:rPr>
      </w:pPr>
      <w:r w:rsidRPr="008464D7">
        <w:rPr>
          <w:sz w:val="24"/>
          <w:szCs w:val="24"/>
        </w:rPr>
        <w:t>Además, se observa la necesidad de contar con servidores públicos capacitados en materia de calidad. Para fortalecer esta área es necesario el impulso de la Norma ISO 18091:2014 de la administración estatal. Esta norma consiste en el reconocimiento de un gobierno confiable que otorga el Consejo Mundial de Calidad y que tiene como premisa la Agenda Local 21 de la Organización de las Nacional Unidas (ONU). La norma mide el desempeño de las administraciones públicas locales, los avances en los procesos de gestión pública; la mejora en servicios y atención a los ciudadanos, así como la capacitación de los servidores públicos.</w:t>
      </w:r>
    </w:p>
    <w:p w:rsidR="00E23519" w:rsidRPr="008464D7" w:rsidRDefault="00E23519" w:rsidP="00E23519">
      <w:pPr>
        <w:pStyle w:val="Texto"/>
        <w:spacing w:after="0" w:line="240" w:lineRule="auto"/>
        <w:rPr>
          <w:b/>
          <w:sz w:val="24"/>
          <w:szCs w:val="24"/>
        </w:rPr>
      </w:pPr>
    </w:p>
    <w:p w:rsidR="00E23519" w:rsidRPr="008464D7" w:rsidRDefault="00E23519" w:rsidP="00E23519">
      <w:pPr>
        <w:pStyle w:val="Texto"/>
        <w:spacing w:after="0" w:line="240" w:lineRule="auto"/>
        <w:ind w:firstLine="0"/>
        <w:rPr>
          <w:sz w:val="24"/>
          <w:szCs w:val="24"/>
        </w:rPr>
      </w:pPr>
      <w:r w:rsidRPr="008464D7">
        <w:rPr>
          <w:sz w:val="24"/>
          <w:szCs w:val="24"/>
        </w:rPr>
        <w:t xml:space="preserve">Necesitamos crear incentivos para impulsar el gobierno participativo, el cual de manera constante estará en contacto con la ciudadanía para conocer sus necesidades y prioridades, con el fin de traducirlas en políticas públicas eficaces y con calidad. </w:t>
      </w:r>
    </w:p>
    <w:p w:rsidR="00E23519" w:rsidRPr="008464D7" w:rsidRDefault="00E23519" w:rsidP="00E23519">
      <w:pPr>
        <w:pStyle w:val="Texto"/>
        <w:spacing w:after="0" w:line="240" w:lineRule="auto"/>
        <w:ind w:firstLine="0"/>
        <w:rPr>
          <w:sz w:val="24"/>
          <w:szCs w:val="24"/>
        </w:rPr>
      </w:pPr>
    </w:p>
    <w:p w:rsidR="00E23519" w:rsidRPr="008464D7" w:rsidRDefault="00E23519" w:rsidP="00E23519">
      <w:pPr>
        <w:pStyle w:val="Texto"/>
        <w:spacing w:after="0" w:line="240" w:lineRule="auto"/>
        <w:ind w:firstLine="0"/>
        <w:rPr>
          <w:sz w:val="24"/>
          <w:szCs w:val="24"/>
        </w:rPr>
      </w:pPr>
      <w:r w:rsidRPr="008464D7">
        <w:rPr>
          <w:sz w:val="24"/>
          <w:szCs w:val="24"/>
        </w:rPr>
        <w:t xml:space="preserve">Con la implementación de la Agenda, se busca reducir los trámites y facilitar las gestiones gubernamentales. Lograr, por ejemplo, que los ciudadanos tengan acceso a la información gubernamental y efectuar trámites de manera remota. </w:t>
      </w:r>
    </w:p>
    <w:p w:rsidR="00E23519" w:rsidRPr="008464D7" w:rsidRDefault="00E23519" w:rsidP="00E23519">
      <w:pPr>
        <w:pStyle w:val="Texto"/>
        <w:spacing w:after="0" w:line="240" w:lineRule="auto"/>
        <w:rPr>
          <w:sz w:val="24"/>
          <w:szCs w:val="24"/>
        </w:rPr>
      </w:pPr>
    </w:p>
    <w:p w:rsidR="00E23519" w:rsidRPr="008464D7" w:rsidRDefault="00E23519" w:rsidP="00E23519">
      <w:pPr>
        <w:pStyle w:val="Texto"/>
        <w:spacing w:after="0" w:line="240" w:lineRule="auto"/>
        <w:ind w:firstLine="0"/>
        <w:rPr>
          <w:sz w:val="24"/>
          <w:szCs w:val="24"/>
        </w:rPr>
      </w:pPr>
      <w:r w:rsidRPr="008464D7">
        <w:rPr>
          <w:sz w:val="24"/>
          <w:szCs w:val="24"/>
        </w:rPr>
        <w:t xml:space="preserve">Bajo la visión de la economía eficiente y sustentada en conocimiento, se debe aprovechar al máximo el uso de las Tecnologías de Información y de la Comunicación (TIC). </w:t>
      </w:r>
    </w:p>
    <w:p w:rsidR="00E23519" w:rsidRPr="008464D7" w:rsidRDefault="00E23519" w:rsidP="00E23519">
      <w:pPr>
        <w:pStyle w:val="Texto"/>
        <w:spacing w:after="0" w:line="240" w:lineRule="auto"/>
        <w:rPr>
          <w:sz w:val="24"/>
          <w:szCs w:val="24"/>
        </w:rPr>
      </w:pPr>
    </w:p>
    <w:p w:rsidR="00E23519" w:rsidRPr="008464D7" w:rsidRDefault="00E23519" w:rsidP="00E23519">
      <w:pPr>
        <w:pStyle w:val="Texto"/>
        <w:spacing w:after="0" w:line="240" w:lineRule="auto"/>
        <w:ind w:firstLine="0"/>
        <w:rPr>
          <w:sz w:val="24"/>
          <w:szCs w:val="24"/>
        </w:rPr>
      </w:pPr>
      <w:r w:rsidRPr="008464D7">
        <w:rPr>
          <w:sz w:val="24"/>
          <w:szCs w:val="24"/>
        </w:rPr>
        <w:t xml:space="preserve">El gobierno del estado debe retomar su liderazgo en el uso de sistemas digitales, que impulsa el Internet como una herramienta principal de trabajo. </w:t>
      </w:r>
    </w:p>
    <w:p w:rsidR="00E23519" w:rsidRPr="008464D7" w:rsidRDefault="00E23519" w:rsidP="00E23519">
      <w:pPr>
        <w:pStyle w:val="Texto"/>
        <w:spacing w:after="0" w:line="240" w:lineRule="auto"/>
        <w:rPr>
          <w:sz w:val="24"/>
          <w:szCs w:val="24"/>
        </w:rPr>
      </w:pPr>
    </w:p>
    <w:p w:rsidR="00E23519" w:rsidRPr="008464D7" w:rsidRDefault="00E23519" w:rsidP="00E23519">
      <w:pPr>
        <w:pStyle w:val="Texto"/>
        <w:spacing w:after="0" w:line="240" w:lineRule="auto"/>
        <w:ind w:firstLine="0"/>
        <w:rPr>
          <w:sz w:val="24"/>
          <w:szCs w:val="24"/>
        </w:rPr>
      </w:pPr>
      <w:r w:rsidRPr="008464D7">
        <w:rPr>
          <w:sz w:val="24"/>
          <w:szCs w:val="24"/>
        </w:rPr>
        <w:t xml:space="preserve">Por ello, se buscará mejorar y fortalecer los procesos con tecnologías de información en todas las instituciones públicas del estado, para ofrecer los servicios y trámites electrónicos con seguridad y rapidez; para que Colima se consolide como la entidad con menor brecha digital entre sus habitantes. </w:t>
      </w:r>
    </w:p>
    <w:p w:rsidR="00E23519" w:rsidRPr="008464D7" w:rsidRDefault="00E23519" w:rsidP="00E23519">
      <w:pPr>
        <w:pStyle w:val="Texto"/>
        <w:spacing w:after="0" w:line="240" w:lineRule="auto"/>
        <w:rPr>
          <w:sz w:val="24"/>
          <w:szCs w:val="24"/>
        </w:rPr>
      </w:pPr>
    </w:p>
    <w:p w:rsidR="00E23519" w:rsidRPr="008464D7" w:rsidRDefault="00E23519" w:rsidP="00E23519">
      <w:pPr>
        <w:pStyle w:val="Texto"/>
        <w:spacing w:after="0" w:line="240" w:lineRule="auto"/>
        <w:ind w:firstLine="0"/>
        <w:rPr>
          <w:sz w:val="24"/>
          <w:szCs w:val="24"/>
        </w:rPr>
      </w:pPr>
      <w:r w:rsidRPr="008464D7">
        <w:rPr>
          <w:sz w:val="24"/>
          <w:szCs w:val="24"/>
        </w:rPr>
        <w:lastRenderedPageBreak/>
        <w:t xml:space="preserve">El gobierno digital es, además, una herramienta para combatir las prácticas de corrupción y opacidad en el servicio público, ya que gracias a que los trámites o servicios que se realizan de manera electrónica no se tienen contacto directo con el ciudadano. </w:t>
      </w:r>
    </w:p>
    <w:p w:rsidR="00E23519" w:rsidRPr="008464D7" w:rsidRDefault="00E23519" w:rsidP="00E23519">
      <w:pPr>
        <w:pStyle w:val="Texto"/>
        <w:spacing w:after="0" w:line="240" w:lineRule="auto"/>
        <w:rPr>
          <w:sz w:val="24"/>
          <w:szCs w:val="24"/>
        </w:rPr>
      </w:pPr>
    </w:p>
    <w:p w:rsidR="00E23519" w:rsidRPr="008464D7" w:rsidRDefault="00E23519" w:rsidP="00E23519">
      <w:pPr>
        <w:pStyle w:val="Texto"/>
        <w:spacing w:after="0" w:line="240" w:lineRule="auto"/>
        <w:ind w:firstLine="0"/>
        <w:rPr>
          <w:sz w:val="24"/>
          <w:szCs w:val="24"/>
        </w:rPr>
      </w:pPr>
      <w:r w:rsidRPr="008464D7">
        <w:rPr>
          <w:sz w:val="24"/>
          <w:szCs w:val="24"/>
        </w:rPr>
        <w:t>Un gobierno confiable, es aquel que tiene como fin ser cercano a la gente. El objetivo de esta administración es atender las demandas ciudadanas y otorgar transparencia en su labor diaria. Para lograrlo, es necesario contar con la participación ciudadana y aplicar diversas reformas al servicio público, como la profesionalización de éste, a través de la capacitación, incentivos de evaluación hacia un buen desempeño, hacer uso eficiente de las herramientas con las que se cuenta hoy en día.</w:t>
      </w:r>
    </w:p>
    <w:p w:rsidR="00E23519" w:rsidRPr="008464D7" w:rsidRDefault="00E23519" w:rsidP="00E23519">
      <w:pPr>
        <w:pStyle w:val="Texto"/>
        <w:spacing w:after="0" w:line="240" w:lineRule="auto"/>
        <w:ind w:firstLine="0"/>
        <w:rPr>
          <w:sz w:val="24"/>
          <w:szCs w:val="24"/>
        </w:rPr>
      </w:pPr>
    </w:p>
    <w:p w:rsidR="00E23519" w:rsidRPr="008464D7" w:rsidRDefault="00E23519" w:rsidP="00E23519">
      <w:pPr>
        <w:pStyle w:val="Texto"/>
        <w:spacing w:after="0" w:line="240" w:lineRule="auto"/>
        <w:rPr>
          <w:b/>
          <w:sz w:val="24"/>
          <w:szCs w:val="24"/>
        </w:rPr>
      </w:pPr>
      <w:r w:rsidRPr="008464D7">
        <w:rPr>
          <w:b/>
          <w:sz w:val="24"/>
          <w:szCs w:val="24"/>
        </w:rPr>
        <w:t>c. Modelo de transparencia y rendición de cuentas</w:t>
      </w:r>
    </w:p>
    <w:p w:rsidR="00E23519" w:rsidRPr="008464D7" w:rsidRDefault="00E23519" w:rsidP="00E23519">
      <w:pPr>
        <w:pStyle w:val="Texto"/>
        <w:spacing w:after="0" w:line="240" w:lineRule="auto"/>
        <w:rPr>
          <w:sz w:val="22"/>
          <w:szCs w:val="22"/>
        </w:rPr>
      </w:pPr>
    </w:p>
    <w:p w:rsidR="00E23519" w:rsidRPr="008464D7" w:rsidRDefault="00E23519" w:rsidP="00E23519">
      <w:pPr>
        <w:pStyle w:val="Texto"/>
        <w:spacing w:after="0" w:line="240" w:lineRule="auto"/>
        <w:ind w:firstLine="0"/>
        <w:rPr>
          <w:sz w:val="24"/>
          <w:szCs w:val="24"/>
        </w:rPr>
      </w:pPr>
      <w:r w:rsidRPr="008464D7">
        <w:rPr>
          <w:sz w:val="24"/>
          <w:szCs w:val="24"/>
        </w:rPr>
        <w:t xml:space="preserve">Aunque Colima ha mejorado en eficiencia gubernamental y calidad regulatoria, todavía queda mucho camino por andar en materia de combate a la corrupción, rendición de cuentas, y transparencia. </w:t>
      </w:r>
    </w:p>
    <w:p w:rsidR="00E23519" w:rsidRPr="008464D7" w:rsidRDefault="00E23519" w:rsidP="00E23519">
      <w:pPr>
        <w:pStyle w:val="Texto"/>
        <w:spacing w:after="0" w:line="240" w:lineRule="auto"/>
        <w:rPr>
          <w:sz w:val="24"/>
          <w:szCs w:val="24"/>
        </w:rPr>
      </w:pPr>
    </w:p>
    <w:p w:rsidR="00E23519" w:rsidRPr="008464D7" w:rsidRDefault="00E23519" w:rsidP="00E23519">
      <w:pPr>
        <w:pStyle w:val="Texto"/>
        <w:spacing w:after="0" w:line="240" w:lineRule="auto"/>
        <w:ind w:firstLine="0"/>
        <w:rPr>
          <w:sz w:val="24"/>
          <w:szCs w:val="24"/>
        </w:rPr>
      </w:pPr>
      <w:r w:rsidRPr="008464D7">
        <w:rPr>
          <w:sz w:val="24"/>
          <w:szCs w:val="24"/>
        </w:rPr>
        <w:t>Un gobierno transparente en la administración de sus recursos coadyuva a combatir la corrupción, facilita el acceso a la información clara, oportuna y fomenta de manera activa la participación ciudadana a través del uso de las nuevas tecnologías de información.</w:t>
      </w:r>
    </w:p>
    <w:p w:rsidR="00E23519" w:rsidRPr="008464D7" w:rsidRDefault="00E23519" w:rsidP="00E23519">
      <w:pPr>
        <w:pStyle w:val="Texto"/>
        <w:spacing w:after="0" w:line="240" w:lineRule="auto"/>
        <w:ind w:firstLine="0"/>
        <w:rPr>
          <w:sz w:val="24"/>
          <w:szCs w:val="24"/>
        </w:rPr>
      </w:pPr>
    </w:p>
    <w:p w:rsidR="00E23519" w:rsidRPr="008464D7" w:rsidRDefault="00E23519" w:rsidP="00E23519">
      <w:pPr>
        <w:pStyle w:val="Texto"/>
        <w:spacing w:after="0" w:line="240" w:lineRule="auto"/>
        <w:ind w:firstLine="0"/>
        <w:rPr>
          <w:sz w:val="24"/>
          <w:szCs w:val="24"/>
        </w:rPr>
      </w:pPr>
      <w:r w:rsidRPr="008464D7">
        <w:rPr>
          <w:sz w:val="24"/>
          <w:szCs w:val="24"/>
        </w:rPr>
        <w:t xml:space="preserve">Es por ello que el gobierno del estado impulsará la transparencia y una impecable rendición de cuentas claras a la sociedad colimense en los programas sociales. Esta obligación es más sensible y vital cuando se trata de recursos para combatir la pobreza y garantizar el desarrollo social. </w:t>
      </w:r>
    </w:p>
    <w:p w:rsidR="00E23519" w:rsidRPr="008464D7" w:rsidRDefault="00E23519" w:rsidP="00E23519">
      <w:pPr>
        <w:pStyle w:val="Texto"/>
        <w:spacing w:after="0" w:line="240" w:lineRule="auto"/>
        <w:rPr>
          <w:sz w:val="24"/>
          <w:szCs w:val="24"/>
        </w:rPr>
      </w:pPr>
    </w:p>
    <w:p w:rsidR="00E23519" w:rsidRPr="008464D7" w:rsidRDefault="00E23519" w:rsidP="00E23519">
      <w:pPr>
        <w:pStyle w:val="Texto"/>
        <w:spacing w:after="0" w:line="240" w:lineRule="auto"/>
        <w:ind w:firstLine="0"/>
        <w:rPr>
          <w:sz w:val="24"/>
          <w:szCs w:val="24"/>
        </w:rPr>
      </w:pPr>
      <w:r w:rsidRPr="008464D7">
        <w:rPr>
          <w:sz w:val="24"/>
          <w:szCs w:val="24"/>
        </w:rPr>
        <w:t>Para cumplir con los objetivos de transparencia, se promoverá el cambio con los servidores públicos, quienes estarán obligados a informar de manera detallada y oportuna los programas que tienen asignados.</w:t>
      </w:r>
    </w:p>
    <w:p w:rsidR="00E23519" w:rsidRPr="008464D7" w:rsidRDefault="00E23519" w:rsidP="00E23519">
      <w:pPr>
        <w:pStyle w:val="Texto"/>
        <w:spacing w:after="0" w:line="240" w:lineRule="auto"/>
        <w:rPr>
          <w:sz w:val="24"/>
          <w:szCs w:val="24"/>
        </w:rPr>
      </w:pPr>
      <w:r w:rsidRPr="008464D7">
        <w:rPr>
          <w:sz w:val="24"/>
          <w:szCs w:val="24"/>
        </w:rPr>
        <w:t xml:space="preserve"> </w:t>
      </w:r>
    </w:p>
    <w:p w:rsidR="00E23519" w:rsidRPr="008464D7" w:rsidRDefault="00E23519" w:rsidP="00E23519">
      <w:pPr>
        <w:pStyle w:val="Texto"/>
        <w:spacing w:after="0" w:line="240" w:lineRule="auto"/>
        <w:ind w:firstLine="0"/>
        <w:rPr>
          <w:sz w:val="24"/>
          <w:szCs w:val="24"/>
        </w:rPr>
      </w:pPr>
      <w:r w:rsidRPr="008464D7">
        <w:rPr>
          <w:sz w:val="24"/>
          <w:szCs w:val="24"/>
        </w:rPr>
        <w:t>Las instituciones gubernamentales deben estar dispuestas a recibir, canalizar, dar respuesta a las peticiones y demandas de los ciudadanos.</w:t>
      </w:r>
    </w:p>
    <w:p w:rsidR="00E23519" w:rsidRPr="008464D7" w:rsidRDefault="00E23519" w:rsidP="00E23519">
      <w:pPr>
        <w:pStyle w:val="Texto"/>
        <w:spacing w:after="0" w:line="240" w:lineRule="auto"/>
        <w:rPr>
          <w:sz w:val="24"/>
          <w:szCs w:val="24"/>
        </w:rPr>
      </w:pPr>
    </w:p>
    <w:p w:rsidR="00E23519" w:rsidRPr="008464D7" w:rsidRDefault="00E23519" w:rsidP="00E23519">
      <w:pPr>
        <w:pStyle w:val="Texto"/>
        <w:spacing w:after="0" w:line="240" w:lineRule="auto"/>
        <w:ind w:firstLine="0"/>
        <w:rPr>
          <w:sz w:val="24"/>
          <w:szCs w:val="24"/>
        </w:rPr>
      </w:pPr>
      <w:r w:rsidRPr="008464D7">
        <w:rPr>
          <w:sz w:val="24"/>
          <w:szCs w:val="24"/>
        </w:rPr>
        <w:t>Asimismo, para fortalecer la transparencia presupuestaria, impulsaremos la figura del contralor social, quien, mediante el seguimiento, supervisión y vigilancia de los programas públicos, podrá evaluar si los funcionarios públicos se conducen con apego a la ley.</w:t>
      </w:r>
    </w:p>
    <w:p w:rsidR="00E23519" w:rsidRPr="008464D7" w:rsidRDefault="00E23519" w:rsidP="00E23519">
      <w:pPr>
        <w:pStyle w:val="Texto"/>
        <w:spacing w:after="0" w:line="240" w:lineRule="auto"/>
        <w:ind w:firstLine="0"/>
        <w:rPr>
          <w:sz w:val="24"/>
          <w:szCs w:val="24"/>
        </w:rPr>
      </w:pPr>
    </w:p>
    <w:p w:rsidR="00E23519" w:rsidRPr="008464D7" w:rsidRDefault="00E23519" w:rsidP="00E23519">
      <w:pPr>
        <w:pStyle w:val="Texto"/>
        <w:spacing w:after="0" w:line="240" w:lineRule="auto"/>
        <w:ind w:firstLine="0"/>
        <w:rPr>
          <w:sz w:val="24"/>
          <w:szCs w:val="24"/>
        </w:rPr>
      </w:pPr>
      <w:r w:rsidRPr="008464D7">
        <w:rPr>
          <w:sz w:val="24"/>
          <w:szCs w:val="24"/>
        </w:rPr>
        <w:t>El combate a la corrupción será integral con una visión preventiva, mediante sistemas de control interno que eviten el uso indebido de los recursos públicos.</w:t>
      </w:r>
    </w:p>
    <w:p w:rsidR="00E23519" w:rsidRPr="008464D7" w:rsidRDefault="00E23519" w:rsidP="00E23519">
      <w:pPr>
        <w:pStyle w:val="Texto"/>
        <w:spacing w:after="0" w:line="240" w:lineRule="auto"/>
        <w:ind w:firstLine="0"/>
        <w:rPr>
          <w:b/>
          <w:sz w:val="28"/>
          <w:szCs w:val="28"/>
        </w:rPr>
      </w:pPr>
      <w:r w:rsidRPr="008464D7">
        <w:rPr>
          <w:b/>
          <w:sz w:val="28"/>
          <w:szCs w:val="28"/>
        </w:rPr>
        <w:lastRenderedPageBreak/>
        <w:t>Otros riesgos relevantes</w:t>
      </w:r>
    </w:p>
    <w:p w:rsidR="00E23519" w:rsidRPr="008464D7" w:rsidRDefault="00E23519" w:rsidP="00E23519">
      <w:pPr>
        <w:pStyle w:val="Texto"/>
        <w:spacing w:after="0" w:line="240" w:lineRule="auto"/>
        <w:rPr>
          <w:b/>
          <w:sz w:val="28"/>
          <w:szCs w:val="28"/>
        </w:rPr>
      </w:pPr>
    </w:p>
    <w:p w:rsidR="00E23519" w:rsidRPr="008464D7" w:rsidRDefault="00E23519" w:rsidP="00E23519">
      <w:pPr>
        <w:pStyle w:val="Texto"/>
        <w:spacing w:after="0" w:line="240" w:lineRule="auto"/>
        <w:ind w:firstLine="0"/>
        <w:rPr>
          <w:sz w:val="24"/>
          <w:szCs w:val="24"/>
        </w:rPr>
      </w:pPr>
      <w:r w:rsidRPr="008464D7">
        <w:rPr>
          <w:sz w:val="24"/>
          <w:szCs w:val="24"/>
        </w:rPr>
        <w:t>Contingencias que pueden comprometer los flujos de efectivo futuros y el presupuesto del Estado de los ejercicios fiscales siguientes.</w:t>
      </w:r>
    </w:p>
    <w:p w:rsidR="00E23519" w:rsidRPr="008464D7" w:rsidRDefault="00E23519" w:rsidP="00E23519">
      <w:pPr>
        <w:pStyle w:val="Texto"/>
        <w:spacing w:after="0" w:line="240" w:lineRule="auto"/>
        <w:ind w:firstLine="0"/>
        <w:rPr>
          <w:sz w:val="24"/>
          <w:szCs w:val="24"/>
        </w:rPr>
      </w:pPr>
    </w:p>
    <w:p w:rsidR="00E23519" w:rsidRPr="008464D7" w:rsidRDefault="00E23519" w:rsidP="00E23519">
      <w:pPr>
        <w:pStyle w:val="Texto"/>
        <w:spacing w:after="0" w:line="240" w:lineRule="auto"/>
        <w:ind w:firstLine="0"/>
        <w:rPr>
          <w:sz w:val="24"/>
          <w:szCs w:val="24"/>
          <w:lang w:val="es-MX"/>
        </w:rPr>
      </w:pPr>
      <w:r w:rsidRPr="008464D7">
        <w:rPr>
          <w:noProof/>
          <w:szCs w:val="24"/>
          <w:lang w:val="es-MX" w:eastAsia="es-MX"/>
        </w:rPr>
        <w:drawing>
          <wp:inline distT="0" distB="0" distL="0" distR="0" wp14:anchorId="1CD62385" wp14:editId="5E1D54E5">
            <wp:extent cx="5612130" cy="2629661"/>
            <wp:effectExtent l="19050" t="0" r="7620" b="0"/>
            <wp:docPr id="6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srcRect/>
                    <a:stretch>
                      <a:fillRect/>
                    </a:stretch>
                  </pic:blipFill>
                  <pic:spPr bwMode="auto">
                    <a:xfrm>
                      <a:off x="0" y="0"/>
                      <a:ext cx="5612130" cy="2629661"/>
                    </a:xfrm>
                    <a:prstGeom prst="rect">
                      <a:avLst/>
                    </a:prstGeom>
                    <a:noFill/>
                    <a:ln w="9525">
                      <a:noFill/>
                      <a:miter lim="800000"/>
                      <a:headEnd/>
                      <a:tailEnd/>
                    </a:ln>
                  </pic:spPr>
                </pic:pic>
              </a:graphicData>
            </a:graphic>
          </wp:inline>
        </w:drawing>
      </w:r>
    </w:p>
    <w:p w:rsidR="00E23519" w:rsidRDefault="00E23519" w:rsidP="00E23519">
      <w:pPr>
        <w:pStyle w:val="Texto"/>
        <w:spacing w:after="0" w:line="240" w:lineRule="auto"/>
        <w:ind w:firstLine="0"/>
        <w:rPr>
          <w:sz w:val="24"/>
          <w:szCs w:val="24"/>
        </w:rPr>
      </w:pPr>
    </w:p>
    <w:p w:rsidR="00BF486B" w:rsidRPr="008464D7" w:rsidRDefault="00BF486B" w:rsidP="00E23519">
      <w:pPr>
        <w:pStyle w:val="Texto"/>
        <w:spacing w:after="0" w:line="240" w:lineRule="auto"/>
        <w:ind w:firstLine="0"/>
        <w:rPr>
          <w:sz w:val="24"/>
          <w:szCs w:val="24"/>
        </w:rPr>
      </w:pPr>
    </w:p>
    <w:p w:rsidR="00E23519" w:rsidRPr="008464D7" w:rsidRDefault="00E23519" w:rsidP="00E2499C">
      <w:pPr>
        <w:spacing w:line="240" w:lineRule="auto"/>
        <w:jc w:val="center"/>
        <w:rPr>
          <w:rFonts w:ascii="Arial" w:hAnsi="Arial" w:cs="Arial"/>
          <w:sz w:val="24"/>
          <w:szCs w:val="24"/>
          <w:lang w:val="es-ES"/>
        </w:rPr>
      </w:pPr>
      <w:r w:rsidRPr="008464D7">
        <w:rPr>
          <w:noProof/>
        </w:rPr>
        <w:lastRenderedPageBreak/>
        <w:drawing>
          <wp:inline distT="0" distB="0" distL="0" distR="0" wp14:anchorId="264EBC25" wp14:editId="3594A0F2">
            <wp:extent cx="5498571" cy="3515710"/>
            <wp:effectExtent l="0" t="0" r="6985" b="8890"/>
            <wp:docPr id="10"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08471" cy="3522040"/>
                    </a:xfrm>
                    <a:prstGeom prst="rect">
                      <a:avLst/>
                    </a:prstGeom>
                    <a:noFill/>
                    <a:ln>
                      <a:noFill/>
                    </a:ln>
                  </pic:spPr>
                </pic:pic>
              </a:graphicData>
            </a:graphic>
          </wp:inline>
        </w:drawing>
      </w:r>
    </w:p>
    <w:p w:rsidR="00E23519" w:rsidRPr="008464D7" w:rsidRDefault="00E23519" w:rsidP="00E23519">
      <w:pPr>
        <w:pStyle w:val="Texto"/>
        <w:spacing w:after="0" w:line="240" w:lineRule="auto"/>
        <w:ind w:firstLine="0"/>
        <w:rPr>
          <w:sz w:val="24"/>
          <w:szCs w:val="24"/>
        </w:rPr>
      </w:pPr>
    </w:p>
    <w:p w:rsidR="00E23519" w:rsidRPr="008464D7" w:rsidRDefault="00E23519" w:rsidP="00E23519">
      <w:pPr>
        <w:pStyle w:val="Texto"/>
        <w:spacing w:after="0" w:line="240" w:lineRule="auto"/>
        <w:ind w:firstLine="0"/>
        <w:rPr>
          <w:sz w:val="24"/>
          <w:szCs w:val="24"/>
        </w:rPr>
      </w:pPr>
      <w:r w:rsidRPr="008464D7">
        <w:rPr>
          <w:sz w:val="24"/>
          <w:szCs w:val="24"/>
        </w:rPr>
        <w:t>Existen diversos desafíos fiscales que los gobiernos locales enfrentan en el corto, mediano plazo (OCDE 2012) y se presentan a continuación:</w:t>
      </w:r>
    </w:p>
    <w:p w:rsidR="00E23519" w:rsidRPr="008464D7" w:rsidRDefault="00E23519" w:rsidP="00E23519">
      <w:pPr>
        <w:spacing w:line="240" w:lineRule="auto"/>
        <w:jc w:val="both"/>
        <w:rPr>
          <w:rFonts w:ascii="Arial" w:hAnsi="Arial" w:cs="Arial"/>
          <w:sz w:val="24"/>
          <w:szCs w:val="24"/>
          <w:lang w:val="es-ES"/>
        </w:rPr>
      </w:pPr>
    </w:p>
    <w:p w:rsidR="00E23519" w:rsidRPr="008464D7" w:rsidRDefault="00E23519" w:rsidP="00E23519">
      <w:pPr>
        <w:spacing w:line="240" w:lineRule="auto"/>
        <w:jc w:val="both"/>
        <w:rPr>
          <w:rFonts w:ascii="Arial" w:hAnsi="Arial" w:cs="Arial"/>
          <w:sz w:val="24"/>
          <w:szCs w:val="24"/>
        </w:rPr>
      </w:pPr>
      <w:r w:rsidRPr="008464D7">
        <w:rPr>
          <w:noProof/>
          <w:szCs w:val="24"/>
        </w:rPr>
        <w:lastRenderedPageBreak/>
        <w:drawing>
          <wp:inline distT="0" distB="0" distL="0" distR="0" wp14:anchorId="21EF4506" wp14:editId="7337BA3D">
            <wp:extent cx="5612130" cy="5563855"/>
            <wp:effectExtent l="19050" t="0" r="7620" b="0"/>
            <wp:docPr id="6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srcRect/>
                    <a:stretch>
                      <a:fillRect/>
                    </a:stretch>
                  </pic:blipFill>
                  <pic:spPr bwMode="auto">
                    <a:xfrm>
                      <a:off x="0" y="0"/>
                      <a:ext cx="5612130" cy="5563855"/>
                    </a:xfrm>
                    <a:prstGeom prst="rect">
                      <a:avLst/>
                    </a:prstGeom>
                    <a:noFill/>
                    <a:ln w="9525">
                      <a:noFill/>
                      <a:miter lim="800000"/>
                      <a:headEnd/>
                      <a:tailEnd/>
                    </a:ln>
                  </pic:spPr>
                </pic:pic>
              </a:graphicData>
            </a:graphic>
          </wp:inline>
        </w:drawing>
      </w:r>
    </w:p>
    <w:p w:rsidR="00E23519" w:rsidRDefault="00E23519" w:rsidP="00E23519">
      <w:pPr>
        <w:spacing w:line="240" w:lineRule="auto"/>
        <w:jc w:val="both"/>
        <w:rPr>
          <w:rFonts w:ascii="Arial" w:hAnsi="Arial" w:cs="Arial"/>
          <w:sz w:val="24"/>
          <w:szCs w:val="24"/>
        </w:rPr>
      </w:pPr>
    </w:p>
    <w:p w:rsidR="00E23519" w:rsidRDefault="00E23519" w:rsidP="00E23519">
      <w:pPr>
        <w:spacing w:line="240" w:lineRule="auto"/>
        <w:jc w:val="both"/>
        <w:rPr>
          <w:rFonts w:ascii="Arial" w:hAnsi="Arial" w:cs="Arial"/>
          <w:sz w:val="24"/>
          <w:szCs w:val="24"/>
        </w:rPr>
      </w:pPr>
    </w:p>
    <w:p w:rsidR="00E23519" w:rsidRDefault="00E23519" w:rsidP="00E23519">
      <w:pPr>
        <w:spacing w:line="240" w:lineRule="auto"/>
        <w:jc w:val="both"/>
        <w:rPr>
          <w:rFonts w:ascii="Arial" w:hAnsi="Arial" w:cs="Arial"/>
          <w:sz w:val="24"/>
          <w:szCs w:val="24"/>
        </w:rPr>
      </w:pPr>
    </w:p>
    <w:p w:rsidR="00E23519" w:rsidRPr="008464D7" w:rsidRDefault="00E23519" w:rsidP="00E23519">
      <w:pPr>
        <w:spacing w:line="240" w:lineRule="auto"/>
        <w:jc w:val="center"/>
        <w:rPr>
          <w:rFonts w:ascii="Arial" w:hAnsi="Arial" w:cs="Arial"/>
          <w:sz w:val="24"/>
          <w:szCs w:val="24"/>
        </w:rPr>
      </w:pPr>
      <w:r w:rsidRPr="00366CF1">
        <w:rPr>
          <w:noProof/>
        </w:rPr>
        <w:lastRenderedPageBreak/>
        <w:drawing>
          <wp:inline distT="0" distB="0" distL="0" distR="0" wp14:anchorId="3BF0A5CE" wp14:editId="1A159C31">
            <wp:extent cx="5036185" cy="350774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36185" cy="3507740"/>
                    </a:xfrm>
                    <a:prstGeom prst="rect">
                      <a:avLst/>
                    </a:prstGeom>
                    <a:noFill/>
                    <a:ln>
                      <a:noFill/>
                    </a:ln>
                  </pic:spPr>
                </pic:pic>
              </a:graphicData>
            </a:graphic>
          </wp:inline>
        </w:drawing>
      </w:r>
    </w:p>
    <w:p w:rsidR="00E23519" w:rsidRPr="008464D7" w:rsidRDefault="00E23519" w:rsidP="00E23519">
      <w:pPr>
        <w:pStyle w:val="Texto"/>
        <w:spacing w:after="0" w:line="240" w:lineRule="auto"/>
        <w:ind w:firstLine="0"/>
        <w:rPr>
          <w:color w:val="000000"/>
          <w:sz w:val="16"/>
          <w:szCs w:val="16"/>
          <w:lang w:eastAsia="es-MX"/>
        </w:rPr>
      </w:pPr>
      <w:r w:rsidRPr="008464D7">
        <w:rPr>
          <w:b/>
          <w:sz w:val="16"/>
          <w:szCs w:val="16"/>
        </w:rPr>
        <w:t xml:space="preserve">Fuente: Elaboración propia con datos de OCDE (2012). </w:t>
      </w:r>
      <w:r w:rsidRPr="008464D7">
        <w:rPr>
          <w:color w:val="000000"/>
          <w:sz w:val="16"/>
          <w:szCs w:val="16"/>
          <w:lang w:eastAsia="es-MX"/>
        </w:rPr>
        <w:t>“México, Mejores Políticas para un Desarrollo Incluyente”        (OCDE 2012)</w:t>
      </w:r>
    </w:p>
    <w:p w:rsidR="00E23519" w:rsidRPr="008464D7" w:rsidRDefault="00E23519" w:rsidP="00E23519">
      <w:pPr>
        <w:pStyle w:val="Texto"/>
        <w:spacing w:after="0" w:line="240" w:lineRule="auto"/>
        <w:ind w:firstLine="0"/>
        <w:jc w:val="center"/>
        <w:rPr>
          <w:b/>
          <w:color w:val="000000"/>
          <w:sz w:val="28"/>
          <w:szCs w:val="28"/>
        </w:rPr>
      </w:pPr>
    </w:p>
    <w:p w:rsidR="00E2499C" w:rsidRDefault="00E2499C" w:rsidP="00E23519">
      <w:pPr>
        <w:pStyle w:val="Texto"/>
        <w:spacing w:after="0" w:line="240" w:lineRule="auto"/>
        <w:ind w:firstLine="0"/>
        <w:jc w:val="left"/>
        <w:rPr>
          <w:b/>
          <w:color w:val="000000"/>
          <w:sz w:val="24"/>
          <w:szCs w:val="24"/>
        </w:rPr>
      </w:pPr>
    </w:p>
    <w:p w:rsidR="00E23519" w:rsidRPr="008464D7" w:rsidRDefault="00E23519" w:rsidP="00E23519">
      <w:pPr>
        <w:pStyle w:val="Texto"/>
        <w:spacing w:after="0" w:line="240" w:lineRule="auto"/>
        <w:ind w:firstLine="0"/>
        <w:jc w:val="left"/>
        <w:rPr>
          <w:b/>
          <w:sz w:val="24"/>
          <w:szCs w:val="24"/>
        </w:rPr>
      </w:pPr>
      <w:r w:rsidRPr="008464D7">
        <w:rPr>
          <w:b/>
          <w:color w:val="000000"/>
          <w:sz w:val="24"/>
          <w:szCs w:val="24"/>
        </w:rPr>
        <w:t xml:space="preserve">2.3.3. MONTOS DE DEUDA CONTINGENTE </w:t>
      </w:r>
      <w:r w:rsidRPr="008464D7">
        <w:rPr>
          <w:b/>
          <w:sz w:val="24"/>
          <w:szCs w:val="24"/>
        </w:rPr>
        <w:t>Y PROPUESTAS DE ACCIÓN PARA ENFRENTARLOS</w:t>
      </w:r>
    </w:p>
    <w:p w:rsidR="00E23519" w:rsidRPr="008464D7" w:rsidRDefault="00E23519" w:rsidP="00E23519">
      <w:pPr>
        <w:pStyle w:val="Texto"/>
        <w:spacing w:after="0" w:line="240" w:lineRule="auto"/>
        <w:ind w:left="1140" w:firstLine="0"/>
        <w:rPr>
          <w:b/>
          <w:color w:val="FF0000"/>
          <w:sz w:val="28"/>
          <w:szCs w:val="28"/>
        </w:rPr>
      </w:pPr>
    </w:p>
    <w:p w:rsidR="00E23519" w:rsidRPr="008464D7" w:rsidRDefault="00E23519" w:rsidP="00E23519">
      <w:pPr>
        <w:pStyle w:val="Texto"/>
        <w:spacing w:after="0" w:line="240" w:lineRule="auto"/>
        <w:ind w:left="360" w:firstLine="0"/>
        <w:rPr>
          <w:sz w:val="24"/>
          <w:szCs w:val="24"/>
        </w:rPr>
      </w:pPr>
      <w:r w:rsidRPr="008464D7">
        <w:rPr>
          <w:sz w:val="24"/>
          <w:szCs w:val="24"/>
        </w:rPr>
        <w:t>La  Ley de Disciplina Financiera de las Entidades Federativas y los Municipios, en su Artículo 1° fracción V establece que la Deuda Contingente es “</w:t>
      </w:r>
      <w:r w:rsidRPr="009D1ABC">
        <w:rPr>
          <w:i/>
          <w:sz w:val="24"/>
          <w:szCs w:val="24"/>
        </w:rPr>
        <w:t>cualquier Financiamiento sin fuente o garantía de pago definida, que sea asumida de manera solidaria o subsidiaria por las Entidades Federativas con sus Municipios, organismos descentralizados y empresas de participación estatal mayoritaria y fideicomisos, locales o municipales y, por los propios Municipios con sus respectivos organismos descentralizados y empresas de participación municipal mayoritaria</w:t>
      </w:r>
      <w:r>
        <w:rPr>
          <w:sz w:val="24"/>
          <w:szCs w:val="24"/>
        </w:rPr>
        <w:t xml:space="preserve"> </w:t>
      </w:r>
      <w:r w:rsidRPr="008464D7">
        <w:rPr>
          <w:sz w:val="24"/>
          <w:szCs w:val="24"/>
        </w:rPr>
        <w:t>…”</w:t>
      </w:r>
    </w:p>
    <w:p w:rsidR="00E23519" w:rsidRPr="008464D7" w:rsidRDefault="00E23519" w:rsidP="00E23519">
      <w:pPr>
        <w:pStyle w:val="Texto"/>
        <w:spacing w:after="0" w:line="240" w:lineRule="auto"/>
        <w:ind w:left="360" w:firstLine="0"/>
        <w:rPr>
          <w:sz w:val="24"/>
          <w:szCs w:val="24"/>
        </w:rPr>
      </w:pPr>
    </w:p>
    <w:p w:rsidR="00E23519" w:rsidRPr="00CA11FB" w:rsidRDefault="00E23519" w:rsidP="00E23519">
      <w:pPr>
        <w:spacing w:line="240" w:lineRule="auto"/>
        <w:jc w:val="both"/>
        <w:rPr>
          <w:rFonts w:ascii="Arial" w:hAnsi="Arial" w:cs="Arial"/>
          <w:sz w:val="24"/>
          <w:szCs w:val="24"/>
        </w:rPr>
      </w:pPr>
      <w:r w:rsidRPr="00CA11FB">
        <w:rPr>
          <w:rFonts w:ascii="Arial" w:hAnsi="Arial" w:cs="Arial"/>
          <w:sz w:val="24"/>
          <w:szCs w:val="24"/>
        </w:rPr>
        <w:t>A continuación, se presenta información sobre la Deuda Pública Indirecta:</w:t>
      </w:r>
    </w:p>
    <w:p w:rsidR="00E23519" w:rsidRPr="008464D7" w:rsidRDefault="00E23519" w:rsidP="00E23519">
      <w:pPr>
        <w:spacing w:line="240" w:lineRule="auto"/>
        <w:jc w:val="both"/>
        <w:rPr>
          <w:rFonts w:ascii="Arial" w:hAnsi="Arial" w:cs="Arial"/>
          <w:sz w:val="24"/>
          <w:szCs w:val="24"/>
          <w:lang w:val="es-ES"/>
        </w:rPr>
      </w:pPr>
      <w:r w:rsidRPr="008464D7">
        <w:rPr>
          <w:noProof/>
          <w:szCs w:val="24"/>
        </w:rPr>
        <w:lastRenderedPageBreak/>
        <w:drawing>
          <wp:inline distT="0" distB="0" distL="0" distR="0" wp14:anchorId="4A15BACC" wp14:editId="3EAC0A63">
            <wp:extent cx="5612130" cy="1899937"/>
            <wp:effectExtent l="19050" t="0" r="7620" b="0"/>
            <wp:docPr id="7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srcRect/>
                    <a:stretch>
                      <a:fillRect/>
                    </a:stretch>
                  </pic:blipFill>
                  <pic:spPr bwMode="auto">
                    <a:xfrm>
                      <a:off x="0" y="0"/>
                      <a:ext cx="5612130" cy="1899937"/>
                    </a:xfrm>
                    <a:prstGeom prst="rect">
                      <a:avLst/>
                    </a:prstGeom>
                    <a:noFill/>
                    <a:ln w="9525">
                      <a:noFill/>
                      <a:miter lim="800000"/>
                      <a:headEnd/>
                      <a:tailEnd/>
                    </a:ln>
                  </pic:spPr>
                </pic:pic>
              </a:graphicData>
            </a:graphic>
          </wp:inline>
        </w:drawing>
      </w:r>
    </w:p>
    <w:p w:rsidR="00BF486B" w:rsidRDefault="00BF486B" w:rsidP="00E23519">
      <w:pPr>
        <w:spacing w:line="240" w:lineRule="auto"/>
        <w:jc w:val="both"/>
        <w:rPr>
          <w:rFonts w:ascii="Arial" w:hAnsi="Arial" w:cs="Arial"/>
          <w:b/>
          <w:sz w:val="24"/>
          <w:szCs w:val="24"/>
        </w:rPr>
      </w:pPr>
    </w:p>
    <w:p w:rsidR="00E23519" w:rsidRPr="008464D7" w:rsidRDefault="00E23519" w:rsidP="00E23519">
      <w:pPr>
        <w:spacing w:line="240" w:lineRule="auto"/>
        <w:jc w:val="both"/>
        <w:rPr>
          <w:rFonts w:ascii="Arial" w:hAnsi="Arial" w:cs="Arial"/>
          <w:b/>
          <w:sz w:val="24"/>
          <w:szCs w:val="24"/>
        </w:rPr>
      </w:pPr>
      <w:r w:rsidRPr="008464D7">
        <w:rPr>
          <w:rFonts w:ascii="Arial" w:hAnsi="Arial" w:cs="Arial"/>
          <w:b/>
          <w:sz w:val="24"/>
          <w:szCs w:val="24"/>
        </w:rPr>
        <w:t>Riesgos relevantes en materia de deuda contingente y propuestas de acción para enfrentarlos:</w:t>
      </w:r>
    </w:p>
    <w:p w:rsidR="00E23519" w:rsidRDefault="00E23519" w:rsidP="00E23519">
      <w:pPr>
        <w:spacing w:line="240" w:lineRule="auto"/>
        <w:jc w:val="both"/>
        <w:rPr>
          <w:rFonts w:ascii="Arial" w:hAnsi="Arial" w:cs="Arial"/>
          <w:sz w:val="24"/>
          <w:szCs w:val="24"/>
        </w:rPr>
      </w:pPr>
      <w:r w:rsidRPr="008464D7">
        <w:rPr>
          <w:rFonts w:ascii="Arial" w:hAnsi="Arial" w:cs="Arial"/>
          <w:sz w:val="24"/>
          <w:szCs w:val="24"/>
        </w:rPr>
        <w:t>El Estado de Colima cuenta solamente con dos financiamientos con aval solidario a organismos descentralizados, los cuales no representan contingencia alguna puesto que cuentan con fuente de pago definida, cuyos recursos se afectan directamente de la Tesorería de la Federación a un Fideicomiso Irrevocable de Administración y Pago, con lo que se reduce al mínimo el riesgo de incumplimiento de pago a los acreedores.</w:t>
      </w:r>
    </w:p>
    <w:p w:rsidR="00BF486B" w:rsidRPr="008464D7" w:rsidRDefault="00BF486B" w:rsidP="00E23519">
      <w:pPr>
        <w:spacing w:line="240" w:lineRule="auto"/>
        <w:jc w:val="both"/>
        <w:rPr>
          <w:rFonts w:ascii="Arial" w:hAnsi="Arial" w:cs="Arial"/>
          <w:b/>
          <w:sz w:val="24"/>
          <w:szCs w:val="24"/>
        </w:rPr>
      </w:pPr>
    </w:p>
    <w:p w:rsidR="00E23519" w:rsidRPr="008464D7" w:rsidRDefault="00E23519" w:rsidP="00E23519">
      <w:pPr>
        <w:pStyle w:val="Texto"/>
        <w:spacing w:after="0" w:line="240" w:lineRule="auto"/>
        <w:ind w:firstLine="0"/>
        <w:rPr>
          <w:b/>
          <w:color w:val="000000"/>
          <w:sz w:val="24"/>
          <w:szCs w:val="24"/>
        </w:rPr>
      </w:pPr>
      <w:r w:rsidRPr="008464D7">
        <w:rPr>
          <w:b/>
          <w:color w:val="000000"/>
          <w:sz w:val="24"/>
          <w:szCs w:val="24"/>
        </w:rPr>
        <w:t>2.4.  RESULTADOS DE LAS FINANZAS PÚBLICAS QUE ABARCAN UN  PERIODO DE LOS CINCO ÚLTIMOS AÑOS Y EL EJERCICIO FISCAL EN CUESTIÓN, DE ACUERDO CON LOS FORMATOS EMITIDOS POR EL CONAC.</w:t>
      </w:r>
    </w:p>
    <w:p w:rsidR="00E23519" w:rsidRPr="008464D7" w:rsidRDefault="00E23519" w:rsidP="00E23519">
      <w:pPr>
        <w:pStyle w:val="Texto"/>
        <w:spacing w:after="0" w:line="240" w:lineRule="auto"/>
        <w:ind w:firstLine="0"/>
        <w:jc w:val="center"/>
        <w:rPr>
          <w:b/>
          <w:color w:val="000000"/>
          <w:sz w:val="24"/>
          <w:szCs w:val="24"/>
        </w:rPr>
      </w:pPr>
    </w:p>
    <w:p w:rsidR="00E23519" w:rsidRPr="008464D7" w:rsidRDefault="00E23519" w:rsidP="00E23519">
      <w:pPr>
        <w:spacing w:line="240" w:lineRule="auto"/>
        <w:jc w:val="both"/>
        <w:rPr>
          <w:rFonts w:ascii="Arial" w:hAnsi="Arial" w:cs="Arial"/>
          <w:b/>
          <w:sz w:val="24"/>
          <w:szCs w:val="24"/>
        </w:rPr>
      </w:pPr>
      <w:r w:rsidRPr="008464D7">
        <w:rPr>
          <w:rFonts w:ascii="Arial" w:hAnsi="Arial" w:cs="Arial"/>
          <w:b/>
          <w:sz w:val="24"/>
          <w:szCs w:val="24"/>
        </w:rPr>
        <w:t>2.4.1. Resultados de las Finanzas Públicas.</w:t>
      </w:r>
    </w:p>
    <w:p w:rsidR="00E23519" w:rsidRPr="008464D7" w:rsidRDefault="00E23519" w:rsidP="00E23519">
      <w:pPr>
        <w:jc w:val="both"/>
        <w:rPr>
          <w:rFonts w:ascii="Arial" w:hAnsi="Arial" w:cs="Arial"/>
          <w:b/>
          <w:sz w:val="24"/>
          <w:szCs w:val="24"/>
        </w:rPr>
      </w:pPr>
      <w:r w:rsidRPr="008464D7">
        <w:rPr>
          <w:rFonts w:ascii="Arial" w:hAnsi="Arial" w:cs="Arial"/>
          <w:b/>
          <w:sz w:val="24"/>
          <w:szCs w:val="24"/>
        </w:rPr>
        <w:t>a.  Finanzas públicas</w:t>
      </w:r>
    </w:p>
    <w:p w:rsidR="00E23519" w:rsidRPr="008464D7" w:rsidRDefault="00E23519" w:rsidP="00E23519">
      <w:pPr>
        <w:spacing w:line="240" w:lineRule="auto"/>
        <w:jc w:val="both"/>
        <w:rPr>
          <w:rFonts w:ascii="Arial" w:hAnsi="Arial" w:cs="Arial"/>
          <w:sz w:val="24"/>
          <w:szCs w:val="24"/>
        </w:rPr>
      </w:pPr>
      <w:r w:rsidRPr="008464D7">
        <w:rPr>
          <w:rFonts w:ascii="Arial" w:hAnsi="Arial" w:cs="Arial"/>
          <w:sz w:val="24"/>
          <w:szCs w:val="24"/>
        </w:rPr>
        <w:t>En los últimos años los colimenses han perdido la credibilidad en el gobierno, debido al manejo inadecuado de las finanzas públicas, la corrupción, la falta de transparencia y de rendición de cuentas, así como por la limitada profesionalización de los funcionarios públicos.</w:t>
      </w:r>
    </w:p>
    <w:p w:rsidR="00E23519" w:rsidRPr="008464D7" w:rsidRDefault="00E23519" w:rsidP="00E23519">
      <w:pPr>
        <w:pStyle w:val="Prrafodelista"/>
        <w:numPr>
          <w:ilvl w:val="0"/>
          <w:numId w:val="26"/>
        </w:numPr>
        <w:spacing w:line="240" w:lineRule="auto"/>
        <w:rPr>
          <w:rFonts w:ascii="Arial" w:hAnsi="Arial" w:cs="Arial"/>
          <w:i/>
          <w:sz w:val="24"/>
          <w:szCs w:val="24"/>
          <w:u w:val="single"/>
        </w:rPr>
      </w:pPr>
      <w:r w:rsidRPr="008464D7">
        <w:rPr>
          <w:rFonts w:ascii="Arial" w:hAnsi="Arial" w:cs="Arial"/>
          <w:i/>
          <w:sz w:val="24"/>
          <w:szCs w:val="24"/>
          <w:u w:val="single"/>
        </w:rPr>
        <w:t>La nueva administración encuentra una hacienda pública debilitada.</w:t>
      </w:r>
    </w:p>
    <w:p w:rsidR="00E23519" w:rsidRPr="008464D7" w:rsidRDefault="00E23519" w:rsidP="00E23519">
      <w:pPr>
        <w:spacing w:line="240" w:lineRule="auto"/>
        <w:jc w:val="both"/>
        <w:rPr>
          <w:rFonts w:ascii="Arial" w:hAnsi="Arial" w:cs="Arial"/>
          <w:sz w:val="24"/>
          <w:szCs w:val="24"/>
        </w:rPr>
      </w:pPr>
      <w:r w:rsidRPr="008464D7">
        <w:rPr>
          <w:rFonts w:ascii="Arial" w:hAnsi="Arial" w:cs="Arial"/>
          <w:sz w:val="24"/>
          <w:szCs w:val="24"/>
        </w:rPr>
        <w:t>La hacienda pública estatal se caracteriza por tener una débil recaudación de impuestos, alta dependencia de los recursos federales, un incremento del gasto público, principalmente del gasto corriente, y una limitada inversión pública.</w:t>
      </w:r>
    </w:p>
    <w:p w:rsidR="00E23519" w:rsidRDefault="00E23519" w:rsidP="00E23519">
      <w:pPr>
        <w:spacing w:line="240" w:lineRule="auto"/>
        <w:jc w:val="both"/>
        <w:rPr>
          <w:rFonts w:ascii="Arial" w:hAnsi="Arial" w:cs="Arial"/>
          <w:sz w:val="24"/>
          <w:szCs w:val="24"/>
        </w:rPr>
      </w:pPr>
    </w:p>
    <w:p w:rsidR="00E23519" w:rsidRPr="008464D7" w:rsidRDefault="00E23519" w:rsidP="00E23519">
      <w:pPr>
        <w:spacing w:line="240" w:lineRule="auto"/>
        <w:jc w:val="both"/>
        <w:rPr>
          <w:rFonts w:ascii="Arial" w:hAnsi="Arial" w:cs="Arial"/>
          <w:sz w:val="24"/>
          <w:szCs w:val="24"/>
        </w:rPr>
      </w:pPr>
      <w:r w:rsidRPr="008464D7">
        <w:rPr>
          <w:rFonts w:ascii="Arial" w:hAnsi="Arial" w:cs="Arial"/>
          <w:sz w:val="24"/>
          <w:szCs w:val="24"/>
        </w:rPr>
        <w:t>Las finanzas públicas del estado se mantuvieron en un proceso de deterioro y desprestigio ciudadano, que han reducido la capacidad de maniobra del gobierno. Esto se debe a la falta de controles, optimización y fiscalización fiable, que se relacionan con:</w:t>
      </w:r>
    </w:p>
    <w:p w:rsidR="00E23519" w:rsidRPr="008464D7" w:rsidRDefault="00E23519" w:rsidP="00E23519">
      <w:pPr>
        <w:spacing w:line="240" w:lineRule="auto"/>
        <w:jc w:val="both"/>
        <w:rPr>
          <w:rFonts w:ascii="Arial" w:hAnsi="Arial" w:cs="Arial"/>
          <w:sz w:val="24"/>
          <w:szCs w:val="24"/>
        </w:rPr>
      </w:pPr>
      <w:r w:rsidRPr="008464D7">
        <w:rPr>
          <w:rFonts w:ascii="Arial" w:hAnsi="Arial" w:cs="Arial"/>
          <w:sz w:val="24"/>
          <w:szCs w:val="24"/>
        </w:rPr>
        <w:t>Dependencia de los recursos federales. Una deuda pública con una tendencia al alza. Hoy el tamaño de la deuda pública directa del estado representa el 21% de sus ingresos federales en 2015 y los compromisos de deuda fueron 11% del total de los ingresos estatales durante el mismo año.</w:t>
      </w:r>
    </w:p>
    <w:p w:rsidR="00E23519" w:rsidRPr="008464D7" w:rsidRDefault="00E23519" w:rsidP="00E23519">
      <w:pPr>
        <w:pStyle w:val="Prrafodelista"/>
        <w:numPr>
          <w:ilvl w:val="0"/>
          <w:numId w:val="24"/>
        </w:numPr>
        <w:spacing w:after="0" w:line="240" w:lineRule="auto"/>
        <w:jc w:val="both"/>
        <w:rPr>
          <w:rFonts w:ascii="Arial" w:hAnsi="Arial" w:cs="Arial"/>
          <w:sz w:val="24"/>
          <w:szCs w:val="24"/>
        </w:rPr>
      </w:pPr>
      <w:r w:rsidRPr="008464D7">
        <w:rPr>
          <w:rFonts w:ascii="Arial" w:hAnsi="Arial" w:cs="Arial"/>
          <w:sz w:val="24"/>
          <w:szCs w:val="24"/>
        </w:rPr>
        <w:t>Un incremento del gasto público para atender actividades no productivas.</w:t>
      </w:r>
    </w:p>
    <w:p w:rsidR="00E23519" w:rsidRPr="008464D7" w:rsidRDefault="00E23519" w:rsidP="00E23519">
      <w:pPr>
        <w:pStyle w:val="Prrafodelista"/>
        <w:numPr>
          <w:ilvl w:val="0"/>
          <w:numId w:val="24"/>
        </w:numPr>
        <w:spacing w:after="0" w:line="240" w:lineRule="auto"/>
        <w:jc w:val="both"/>
        <w:rPr>
          <w:rFonts w:ascii="Arial" w:hAnsi="Arial" w:cs="Arial"/>
          <w:sz w:val="24"/>
          <w:szCs w:val="24"/>
        </w:rPr>
      </w:pPr>
      <w:r w:rsidRPr="008464D7">
        <w:rPr>
          <w:rFonts w:ascii="Arial" w:hAnsi="Arial" w:cs="Arial"/>
          <w:sz w:val="24"/>
          <w:szCs w:val="24"/>
        </w:rPr>
        <w:t>Una estructura administrativa muy grande y con baja productividad.</w:t>
      </w:r>
    </w:p>
    <w:p w:rsidR="00E23519" w:rsidRPr="008464D7" w:rsidRDefault="00E23519" w:rsidP="00E23519">
      <w:pPr>
        <w:pStyle w:val="Prrafodelista"/>
        <w:numPr>
          <w:ilvl w:val="0"/>
          <w:numId w:val="24"/>
        </w:numPr>
        <w:spacing w:after="0" w:line="240" w:lineRule="auto"/>
        <w:jc w:val="both"/>
        <w:rPr>
          <w:rFonts w:ascii="Arial" w:hAnsi="Arial" w:cs="Arial"/>
          <w:sz w:val="24"/>
          <w:szCs w:val="24"/>
        </w:rPr>
      </w:pPr>
      <w:r w:rsidRPr="008464D7">
        <w:rPr>
          <w:rFonts w:ascii="Arial" w:hAnsi="Arial" w:cs="Arial"/>
          <w:sz w:val="24"/>
          <w:szCs w:val="24"/>
        </w:rPr>
        <w:t>Opacidad en compras y adquisiciones públicas.</w:t>
      </w:r>
    </w:p>
    <w:p w:rsidR="00E23519" w:rsidRPr="008464D7" w:rsidRDefault="00E23519" w:rsidP="00E23519">
      <w:pPr>
        <w:pStyle w:val="Prrafodelista"/>
        <w:numPr>
          <w:ilvl w:val="0"/>
          <w:numId w:val="24"/>
        </w:numPr>
        <w:spacing w:after="0" w:line="240" w:lineRule="auto"/>
        <w:jc w:val="both"/>
        <w:rPr>
          <w:rFonts w:ascii="Arial" w:hAnsi="Arial" w:cs="Arial"/>
          <w:sz w:val="24"/>
          <w:szCs w:val="24"/>
        </w:rPr>
      </w:pPr>
      <w:r w:rsidRPr="008464D7">
        <w:rPr>
          <w:rFonts w:ascii="Arial" w:hAnsi="Arial" w:cs="Arial"/>
          <w:sz w:val="24"/>
          <w:szCs w:val="24"/>
        </w:rPr>
        <w:t>Un sistema con débil rendición de cuentas que tolera la corrupción y los malos manejos de los recursos de la administración pública.</w:t>
      </w:r>
    </w:p>
    <w:p w:rsidR="00E23519" w:rsidRPr="008464D7" w:rsidRDefault="00E23519" w:rsidP="00E23519">
      <w:pPr>
        <w:spacing w:after="0" w:line="240" w:lineRule="auto"/>
        <w:jc w:val="both"/>
        <w:rPr>
          <w:rFonts w:ascii="Arial" w:hAnsi="Arial" w:cs="Arial"/>
          <w:sz w:val="24"/>
          <w:szCs w:val="24"/>
        </w:rPr>
      </w:pPr>
    </w:p>
    <w:p w:rsidR="00E23519" w:rsidRPr="008464D7" w:rsidRDefault="00E23519" w:rsidP="00E23519">
      <w:pPr>
        <w:spacing w:after="0" w:line="240" w:lineRule="auto"/>
        <w:jc w:val="both"/>
        <w:rPr>
          <w:rFonts w:ascii="Arial" w:hAnsi="Arial" w:cs="Arial"/>
          <w:sz w:val="24"/>
          <w:szCs w:val="24"/>
        </w:rPr>
      </w:pPr>
    </w:p>
    <w:p w:rsidR="00E23519" w:rsidRDefault="00E23519" w:rsidP="00E23519">
      <w:pPr>
        <w:pStyle w:val="Prrafodelista"/>
        <w:numPr>
          <w:ilvl w:val="0"/>
          <w:numId w:val="27"/>
        </w:numPr>
        <w:spacing w:line="240" w:lineRule="auto"/>
        <w:jc w:val="both"/>
        <w:rPr>
          <w:rFonts w:ascii="Arial" w:hAnsi="Arial" w:cs="Arial"/>
          <w:i/>
          <w:sz w:val="24"/>
          <w:szCs w:val="24"/>
          <w:u w:val="single"/>
        </w:rPr>
      </w:pPr>
      <w:r w:rsidRPr="008464D7">
        <w:rPr>
          <w:rFonts w:ascii="Arial" w:hAnsi="Arial" w:cs="Arial"/>
          <w:i/>
          <w:sz w:val="24"/>
          <w:szCs w:val="24"/>
          <w:u w:val="single"/>
        </w:rPr>
        <w:t xml:space="preserve">Dependencia de los recursos federales. </w:t>
      </w:r>
    </w:p>
    <w:p w:rsidR="00E23519" w:rsidRPr="008464D7" w:rsidRDefault="00E23519" w:rsidP="00E23519">
      <w:pPr>
        <w:pStyle w:val="Prrafodelista"/>
        <w:spacing w:line="240" w:lineRule="auto"/>
        <w:jc w:val="both"/>
        <w:rPr>
          <w:rFonts w:ascii="Arial" w:hAnsi="Arial" w:cs="Arial"/>
          <w:i/>
          <w:sz w:val="24"/>
          <w:szCs w:val="24"/>
          <w:u w:val="single"/>
        </w:rPr>
      </w:pPr>
    </w:p>
    <w:p w:rsidR="00E23519" w:rsidRDefault="00E23519" w:rsidP="00E23519">
      <w:pPr>
        <w:spacing w:line="240" w:lineRule="auto"/>
        <w:jc w:val="both"/>
        <w:rPr>
          <w:rFonts w:ascii="Arial" w:hAnsi="Arial" w:cs="Arial"/>
          <w:sz w:val="24"/>
          <w:szCs w:val="24"/>
        </w:rPr>
      </w:pPr>
      <w:r w:rsidRPr="008464D7">
        <w:rPr>
          <w:rFonts w:ascii="Arial" w:hAnsi="Arial" w:cs="Arial"/>
          <w:sz w:val="24"/>
          <w:szCs w:val="24"/>
        </w:rPr>
        <w:t>Las transferencias federales han sido la principal fuente de recursos con la que Colima ha contado para su desarrollo. Éstas han representado alrededor de 90% en los ejercicios fiscales más recientes.</w:t>
      </w:r>
    </w:p>
    <w:p w:rsidR="00E23519" w:rsidRDefault="00E23519" w:rsidP="00E23519">
      <w:pPr>
        <w:pStyle w:val="Prrafodelista"/>
        <w:numPr>
          <w:ilvl w:val="0"/>
          <w:numId w:val="28"/>
        </w:numPr>
        <w:spacing w:line="240" w:lineRule="auto"/>
        <w:jc w:val="both"/>
        <w:rPr>
          <w:rFonts w:ascii="Arial" w:hAnsi="Arial" w:cs="Arial"/>
          <w:i/>
          <w:sz w:val="24"/>
          <w:szCs w:val="24"/>
          <w:u w:val="single"/>
        </w:rPr>
      </w:pPr>
      <w:r w:rsidRPr="008464D7">
        <w:rPr>
          <w:rFonts w:ascii="Arial" w:hAnsi="Arial" w:cs="Arial"/>
          <w:i/>
          <w:sz w:val="24"/>
          <w:szCs w:val="24"/>
          <w:u w:val="single"/>
        </w:rPr>
        <w:t>La recaudación estatal se mantiene baja, a pesar de mejoras en los últimos años.</w:t>
      </w:r>
    </w:p>
    <w:p w:rsidR="00E23519" w:rsidRPr="008464D7" w:rsidRDefault="00E23519" w:rsidP="00E23519">
      <w:pPr>
        <w:pStyle w:val="Prrafodelista"/>
        <w:spacing w:line="240" w:lineRule="auto"/>
        <w:jc w:val="both"/>
        <w:rPr>
          <w:rFonts w:ascii="Arial" w:hAnsi="Arial" w:cs="Arial"/>
          <w:i/>
          <w:sz w:val="24"/>
          <w:szCs w:val="24"/>
          <w:u w:val="single"/>
        </w:rPr>
      </w:pPr>
    </w:p>
    <w:p w:rsidR="00E23519" w:rsidRPr="008464D7" w:rsidRDefault="00E23519" w:rsidP="00E23519">
      <w:pPr>
        <w:spacing w:after="0" w:line="240" w:lineRule="auto"/>
        <w:jc w:val="both"/>
        <w:rPr>
          <w:rFonts w:ascii="Arial" w:hAnsi="Arial" w:cs="Arial"/>
          <w:sz w:val="24"/>
          <w:szCs w:val="24"/>
        </w:rPr>
      </w:pPr>
      <w:r w:rsidRPr="008464D7">
        <w:rPr>
          <w:rFonts w:ascii="Arial" w:hAnsi="Arial" w:cs="Arial"/>
          <w:sz w:val="24"/>
          <w:szCs w:val="24"/>
        </w:rPr>
        <w:t>Los ingresos propios del estado han pasado de 5.0% en 2006 a 7.5% en 2015; no obstante, siguen siendo bajos. Los ingresos tributarios observaron un crecimiento promedio mayor que los no tributarios, 16.3% y 15.6%, respectivamente, de 2006 a 2015. Por su parte, los ingresos no tributarios tienen un mayor peso dentro de la estructura de los ingresos propios, ya que corresponden a 57% de éstos para 2015.</w:t>
      </w:r>
    </w:p>
    <w:p w:rsidR="00E23519" w:rsidRPr="008464D7" w:rsidRDefault="00E23519" w:rsidP="00E23519">
      <w:pPr>
        <w:spacing w:line="240" w:lineRule="auto"/>
        <w:jc w:val="both"/>
        <w:rPr>
          <w:rFonts w:ascii="Arial" w:hAnsi="Arial" w:cs="Arial"/>
          <w:sz w:val="28"/>
          <w:szCs w:val="28"/>
        </w:rPr>
      </w:pPr>
    </w:p>
    <w:p w:rsidR="00E23519" w:rsidRPr="008464D7" w:rsidRDefault="00E23519" w:rsidP="00E23519">
      <w:pPr>
        <w:spacing w:line="240" w:lineRule="auto"/>
        <w:jc w:val="center"/>
        <w:rPr>
          <w:rFonts w:ascii="Arial" w:hAnsi="Arial" w:cs="Arial"/>
          <w:sz w:val="24"/>
          <w:szCs w:val="24"/>
        </w:rPr>
      </w:pPr>
      <w:r w:rsidRPr="00366CF1">
        <w:rPr>
          <w:noProof/>
        </w:rPr>
        <w:lastRenderedPageBreak/>
        <w:drawing>
          <wp:inline distT="0" distB="0" distL="0" distR="0" wp14:anchorId="69174F7B" wp14:editId="3E510184">
            <wp:extent cx="3821430" cy="2865755"/>
            <wp:effectExtent l="0" t="0" r="762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21430" cy="2865755"/>
                    </a:xfrm>
                    <a:prstGeom prst="rect">
                      <a:avLst/>
                    </a:prstGeom>
                    <a:noFill/>
                    <a:ln>
                      <a:noFill/>
                    </a:ln>
                  </pic:spPr>
                </pic:pic>
              </a:graphicData>
            </a:graphic>
          </wp:inline>
        </w:drawing>
      </w:r>
    </w:p>
    <w:p w:rsidR="00E23519" w:rsidRPr="008464D7" w:rsidRDefault="00E23519" w:rsidP="00E23519">
      <w:pPr>
        <w:spacing w:line="240" w:lineRule="auto"/>
        <w:rPr>
          <w:rFonts w:ascii="Arial" w:hAnsi="Arial" w:cs="Arial"/>
          <w:sz w:val="24"/>
          <w:szCs w:val="24"/>
        </w:rPr>
      </w:pPr>
      <w:r w:rsidRPr="008464D7">
        <w:rPr>
          <w:noProof/>
        </w:rPr>
        <w:drawing>
          <wp:inline distT="0" distB="0" distL="0" distR="0" wp14:anchorId="44B40B01" wp14:editId="4A170E56">
            <wp:extent cx="5501005" cy="2286000"/>
            <wp:effectExtent l="0" t="0" r="444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501005" cy="2286000"/>
                    </a:xfrm>
                    <a:prstGeom prst="rect">
                      <a:avLst/>
                    </a:prstGeom>
                    <a:noFill/>
                    <a:ln>
                      <a:noFill/>
                    </a:ln>
                  </pic:spPr>
                </pic:pic>
              </a:graphicData>
            </a:graphic>
          </wp:inline>
        </w:drawing>
      </w:r>
    </w:p>
    <w:p w:rsidR="00E23519" w:rsidRPr="008464D7" w:rsidRDefault="00E23519" w:rsidP="00E23519">
      <w:pPr>
        <w:spacing w:line="240" w:lineRule="auto"/>
        <w:jc w:val="both"/>
        <w:rPr>
          <w:rFonts w:ascii="Arial" w:hAnsi="Arial" w:cs="Arial"/>
          <w:sz w:val="24"/>
          <w:szCs w:val="24"/>
        </w:rPr>
      </w:pPr>
      <w:r w:rsidRPr="008464D7">
        <w:rPr>
          <w:rFonts w:ascii="Arial" w:hAnsi="Arial" w:cs="Arial"/>
          <w:sz w:val="24"/>
          <w:szCs w:val="24"/>
        </w:rPr>
        <w:t>Con respecto al PIB estatal, los ingresos propios del estado equivalen a 1.29% para 2014.</w:t>
      </w:r>
    </w:p>
    <w:p w:rsidR="00E23519" w:rsidRPr="008464D7" w:rsidRDefault="00E23519" w:rsidP="00E23519">
      <w:pPr>
        <w:spacing w:line="240" w:lineRule="auto"/>
        <w:jc w:val="both"/>
        <w:rPr>
          <w:rFonts w:ascii="Arial" w:hAnsi="Arial" w:cs="Arial"/>
          <w:sz w:val="24"/>
          <w:szCs w:val="24"/>
        </w:rPr>
      </w:pPr>
      <w:r w:rsidRPr="008464D7">
        <w:rPr>
          <w:rFonts w:ascii="Arial" w:hAnsi="Arial" w:cs="Arial"/>
          <w:sz w:val="24"/>
          <w:szCs w:val="24"/>
        </w:rPr>
        <w:t xml:space="preserve">El entorno económico global en los años recientes ha sido adverso, caracterizándose por una elevada volatilidad financiera, el deterioro de los mercados internacionales y la disminución en los precios internacionales de las materias primas, particularmente del petróleo. La persistente incertidumbre económica global ha incidido negativamente en la economía y en las finanzas públicas de México, y como consecuencia de ello, las autoridades económicas del país han profundizado las medidas de política monetaria y fiscal, mediante </w:t>
      </w:r>
      <w:r w:rsidRPr="008464D7">
        <w:rPr>
          <w:rFonts w:ascii="Arial" w:hAnsi="Arial" w:cs="Arial"/>
          <w:sz w:val="24"/>
          <w:szCs w:val="24"/>
        </w:rPr>
        <w:lastRenderedPageBreak/>
        <w:t>incrementos a las tasas de interés y recortes al gasto público, con el objetivo de minimizar el impacto externo en el entorno económico nacional.</w:t>
      </w:r>
    </w:p>
    <w:p w:rsidR="00E23519" w:rsidRPr="008464D7" w:rsidRDefault="00E23519" w:rsidP="00E23519">
      <w:pPr>
        <w:spacing w:line="240" w:lineRule="auto"/>
        <w:jc w:val="both"/>
        <w:rPr>
          <w:rFonts w:ascii="Arial" w:hAnsi="Arial" w:cs="Arial"/>
          <w:sz w:val="24"/>
          <w:szCs w:val="24"/>
        </w:rPr>
      </w:pPr>
      <w:r w:rsidRPr="008464D7">
        <w:rPr>
          <w:rFonts w:ascii="Arial" w:hAnsi="Arial" w:cs="Arial"/>
          <w:sz w:val="24"/>
          <w:szCs w:val="24"/>
        </w:rPr>
        <w:t>Este panorama económico es muy relevante para Colima, dada su dependencia de recursos federales. Así, la coyuntura económica global y nacional ha repercutido negativamente en la disponibilidad de recursos para financiar el desarrollo de Colima, principalmente disminuyendo transferencias federales, menores inversiones del Gobierno Federal en la entidad y un mayor costo financiero de la deuda pública.</w:t>
      </w:r>
    </w:p>
    <w:p w:rsidR="00E23519" w:rsidRPr="008464D7" w:rsidRDefault="00E23519" w:rsidP="00E23519">
      <w:pPr>
        <w:spacing w:line="240" w:lineRule="auto"/>
        <w:jc w:val="both"/>
        <w:rPr>
          <w:rFonts w:ascii="Arial" w:hAnsi="Arial" w:cs="Arial"/>
          <w:sz w:val="24"/>
          <w:szCs w:val="24"/>
        </w:rPr>
      </w:pPr>
      <w:r w:rsidRPr="008464D7">
        <w:rPr>
          <w:rFonts w:ascii="Arial" w:hAnsi="Arial" w:cs="Arial"/>
          <w:b/>
          <w:sz w:val="24"/>
          <w:szCs w:val="24"/>
        </w:rPr>
        <w:t>Deuda pública al alza.</w:t>
      </w:r>
      <w:r w:rsidRPr="008464D7">
        <w:rPr>
          <w:rFonts w:ascii="Arial" w:hAnsi="Arial" w:cs="Arial"/>
          <w:sz w:val="24"/>
          <w:szCs w:val="24"/>
        </w:rPr>
        <w:t xml:space="preserve"> La deuda pública de Colima representa 21% de sus ingresos federales en 2015 y los compromisos de deuda fueron 11% del total de los ingresos estatales durante el mismo año. </w:t>
      </w:r>
    </w:p>
    <w:p w:rsidR="00E23519" w:rsidRPr="008464D7" w:rsidRDefault="00E23519" w:rsidP="00E23519">
      <w:pPr>
        <w:spacing w:line="240" w:lineRule="auto"/>
        <w:rPr>
          <w:rFonts w:ascii="Arial" w:hAnsi="Arial" w:cs="Arial"/>
          <w:sz w:val="24"/>
          <w:szCs w:val="24"/>
        </w:rPr>
      </w:pPr>
      <w:r w:rsidRPr="008464D7">
        <w:rPr>
          <w:rFonts w:ascii="Arial" w:hAnsi="Arial" w:cs="Arial"/>
          <w:sz w:val="24"/>
          <w:szCs w:val="24"/>
        </w:rPr>
        <w:t>Entre 2011 y 2015, el saldo de la deuda pública colimense ha aumentado.</w:t>
      </w:r>
    </w:p>
    <w:p w:rsidR="00E23519" w:rsidRPr="008464D7" w:rsidRDefault="00E23519" w:rsidP="00E23519">
      <w:pPr>
        <w:spacing w:line="240" w:lineRule="auto"/>
        <w:jc w:val="center"/>
        <w:rPr>
          <w:rFonts w:ascii="Arial" w:hAnsi="Arial" w:cs="Arial"/>
          <w:sz w:val="24"/>
          <w:szCs w:val="24"/>
        </w:rPr>
      </w:pPr>
      <w:r w:rsidRPr="008464D7">
        <w:rPr>
          <w:noProof/>
        </w:rPr>
        <w:drawing>
          <wp:inline distT="0" distB="0" distL="0" distR="0" wp14:anchorId="718DE570" wp14:editId="6BA7DE9D">
            <wp:extent cx="3930650" cy="2492375"/>
            <wp:effectExtent l="0" t="0" r="0" b="317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930650" cy="2492375"/>
                    </a:xfrm>
                    <a:prstGeom prst="rect">
                      <a:avLst/>
                    </a:prstGeom>
                    <a:noFill/>
                    <a:ln>
                      <a:noFill/>
                    </a:ln>
                  </pic:spPr>
                </pic:pic>
              </a:graphicData>
            </a:graphic>
          </wp:inline>
        </w:drawing>
      </w:r>
    </w:p>
    <w:p w:rsidR="00E23519" w:rsidRPr="008464D7" w:rsidRDefault="00E23519" w:rsidP="00E23519">
      <w:pPr>
        <w:spacing w:line="240" w:lineRule="auto"/>
        <w:jc w:val="both"/>
        <w:rPr>
          <w:rFonts w:ascii="Arial" w:hAnsi="Arial" w:cs="Arial"/>
          <w:sz w:val="24"/>
          <w:szCs w:val="24"/>
        </w:rPr>
      </w:pPr>
      <w:r w:rsidRPr="008464D7">
        <w:rPr>
          <w:rFonts w:ascii="Arial" w:hAnsi="Arial" w:cs="Arial"/>
          <w:sz w:val="24"/>
          <w:szCs w:val="24"/>
        </w:rPr>
        <w:t>La composición de las erogaciones por la deuda pública en 2015 fue de 89.5% de amortización, 10.5% de intereses y el resto 0.02% corresponden a Adeudos de Ejercicios Fiscales Anteriores (ADEFAS).</w:t>
      </w:r>
    </w:p>
    <w:p w:rsidR="00E23519" w:rsidRPr="008464D7" w:rsidRDefault="00E23519" w:rsidP="00E23519">
      <w:pPr>
        <w:spacing w:line="240" w:lineRule="auto"/>
        <w:jc w:val="both"/>
        <w:rPr>
          <w:rFonts w:ascii="Arial" w:hAnsi="Arial" w:cs="Arial"/>
          <w:sz w:val="24"/>
          <w:szCs w:val="24"/>
        </w:rPr>
      </w:pPr>
      <w:r w:rsidRPr="008464D7">
        <w:rPr>
          <w:rFonts w:ascii="Arial" w:hAnsi="Arial" w:cs="Arial"/>
          <w:b/>
          <w:sz w:val="24"/>
          <w:szCs w:val="24"/>
        </w:rPr>
        <w:t>Aumento del gasto operativo</w:t>
      </w:r>
      <w:r w:rsidRPr="008464D7">
        <w:rPr>
          <w:rFonts w:ascii="Arial" w:hAnsi="Arial" w:cs="Arial"/>
          <w:sz w:val="24"/>
          <w:szCs w:val="24"/>
        </w:rPr>
        <w:t>. Ante este panorama, ingresos propios limitados y deuda pública en crecimiento, la eficiencia del gasto en la administración pública estatal es fundamental. Sin embargo, el gasto operativo ha tenido un crecimiento de 12% durante los últimos años, por lo que hoy representa 19% de los egresos totales del estado. Además, hay una tendencia creciente del gasto en servicios personales desde 2009</w:t>
      </w:r>
      <w:r>
        <w:rPr>
          <w:rFonts w:ascii="Arial" w:hAnsi="Arial" w:cs="Arial"/>
          <w:sz w:val="24"/>
          <w:szCs w:val="24"/>
        </w:rPr>
        <w:t>.</w:t>
      </w:r>
    </w:p>
    <w:p w:rsidR="00E23519" w:rsidRPr="008464D7" w:rsidRDefault="00E23519" w:rsidP="00E23519">
      <w:pPr>
        <w:pStyle w:val="Prrafodelista"/>
        <w:numPr>
          <w:ilvl w:val="0"/>
          <w:numId w:val="29"/>
        </w:numPr>
        <w:rPr>
          <w:rFonts w:ascii="Arial" w:hAnsi="Arial" w:cs="Arial"/>
          <w:i/>
          <w:sz w:val="24"/>
          <w:szCs w:val="24"/>
          <w:u w:val="single"/>
        </w:rPr>
      </w:pPr>
      <w:r w:rsidRPr="008464D7">
        <w:rPr>
          <w:rFonts w:ascii="Arial" w:hAnsi="Arial" w:cs="Arial"/>
          <w:i/>
          <w:sz w:val="24"/>
          <w:szCs w:val="24"/>
          <w:u w:val="single"/>
        </w:rPr>
        <w:t>El gasto operativo y el gasto en servicios personales han aumentado.</w:t>
      </w:r>
    </w:p>
    <w:p w:rsidR="00E23519" w:rsidRPr="008464D7" w:rsidRDefault="00E23519" w:rsidP="00E23519">
      <w:pPr>
        <w:spacing w:line="240" w:lineRule="auto"/>
        <w:jc w:val="both"/>
        <w:rPr>
          <w:rFonts w:ascii="Arial" w:hAnsi="Arial" w:cs="Arial"/>
          <w:sz w:val="24"/>
          <w:szCs w:val="24"/>
        </w:rPr>
      </w:pPr>
      <w:r w:rsidRPr="008464D7">
        <w:rPr>
          <w:rFonts w:ascii="Arial" w:hAnsi="Arial" w:cs="Arial"/>
          <w:sz w:val="24"/>
          <w:szCs w:val="24"/>
        </w:rPr>
        <w:lastRenderedPageBreak/>
        <w:t>Si sumamos el gasto operativo y los compromisos de deuda, el gobierno del estado tiene nula capacidad de acción con respecto a una tercera parte de su presupuesto cada año. A esto hay que agregar el sistema público de pensiones de los trabajadores al servicio del estado, el cual, en los últimos años, ha estado recibiendo subsidios presupuestarios para poder atender sus compromisos con los jubilados y pensionados.</w:t>
      </w:r>
    </w:p>
    <w:p w:rsidR="00E23519" w:rsidRPr="008464D7" w:rsidRDefault="00E23519" w:rsidP="00E23519">
      <w:pPr>
        <w:spacing w:line="240" w:lineRule="auto"/>
        <w:jc w:val="both"/>
        <w:rPr>
          <w:rFonts w:ascii="Arial" w:hAnsi="Arial" w:cs="Arial"/>
          <w:sz w:val="24"/>
          <w:szCs w:val="24"/>
        </w:rPr>
      </w:pPr>
      <w:r w:rsidRPr="008464D7">
        <w:rPr>
          <w:rFonts w:ascii="Arial" w:hAnsi="Arial" w:cs="Arial"/>
          <w:sz w:val="24"/>
          <w:szCs w:val="24"/>
        </w:rPr>
        <w:t>Los servicios personales muestran una tasa media de crecimiento de 15.9% mientras que el ingreso total apenas alcanza una tasa de 13.6%, es decir, muestra un incremento mucho más rápido que los ingresos que recaudó el estado entre 201O y 2015. Los servicios personales representan 74.2% del gasto operativo y 12.9% de los ingresos totales del estado.</w:t>
      </w:r>
    </w:p>
    <w:p w:rsidR="00E23519" w:rsidRPr="008464D7" w:rsidRDefault="00E23519" w:rsidP="00E23519">
      <w:pPr>
        <w:spacing w:line="240" w:lineRule="auto"/>
        <w:jc w:val="center"/>
        <w:rPr>
          <w:rFonts w:ascii="Arial" w:hAnsi="Arial" w:cs="Arial"/>
          <w:sz w:val="24"/>
          <w:szCs w:val="24"/>
        </w:rPr>
      </w:pPr>
      <w:r w:rsidRPr="008464D7">
        <w:rPr>
          <w:noProof/>
        </w:rPr>
        <w:drawing>
          <wp:inline distT="0" distB="0" distL="0" distR="0" wp14:anchorId="221420A7" wp14:editId="793564A1">
            <wp:extent cx="3148965" cy="2912806"/>
            <wp:effectExtent l="0" t="0" r="0" b="190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51553" cy="2915200"/>
                    </a:xfrm>
                    <a:prstGeom prst="rect">
                      <a:avLst/>
                    </a:prstGeom>
                    <a:noFill/>
                    <a:ln>
                      <a:noFill/>
                    </a:ln>
                  </pic:spPr>
                </pic:pic>
              </a:graphicData>
            </a:graphic>
          </wp:inline>
        </w:drawing>
      </w:r>
    </w:p>
    <w:p w:rsidR="00E23519" w:rsidRDefault="00E23519" w:rsidP="00E23519">
      <w:pPr>
        <w:spacing w:line="240" w:lineRule="auto"/>
        <w:jc w:val="both"/>
        <w:rPr>
          <w:rFonts w:ascii="Arial" w:hAnsi="Arial" w:cs="Arial"/>
          <w:sz w:val="24"/>
          <w:szCs w:val="24"/>
        </w:rPr>
      </w:pPr>
      <w:r w:rsidRPr="008464D7">
        <w:rPr>
          <w:rFonts w:ascii="Arial" w:hAnsi="Arial" w:cs="Arial"/>
          <w:sz w:val="24"/>
          <w:szCs w:val="24"/>
        </w:rPr>
        <w:t>La débil recaudación propia, aunada a un incremento del gasto público para atender actividades no productivas, ha propiciado un endeudamiento desordenado de la hacienda del estado y, con ello, el debilitamiento de la posición financiera y de la sostenibilidad fiscal estatal. En este sentido, el problema que han enfrentado las finanzas públicas de Colima, es la brecha que ha existido entre la capacidad fiscal efectiva y las crecientes necesidades de gasto público. Por ejemplo, los ingresos propios representaron 8.6% del gasto corriente de Colima en 201O, tal proporción se elevó a 10.8% para 2015. Por su parte, la capacidad de financiar con ingresos propios los servicios personales en 2010 fue de 66%, mientras que, en 2015, con este tipo de ingresos se financiaba, 57.8%.</w:t>
      </w:r>
    </w:p>
    <w:p w:rsidR="00E23519" w:rsidRDefault="00E23519" w:rsidP="00E23519">
      <w:pPr>
        <w:spacing w:line="240" w:lineRule="auto"/>
        <w:jc w:val="both"/>
        <w:rPr>
          <w:rFonts w:ascii="Arial" w:hAnsi="Arial" w:cs="Arial"/>
          <w:sz w:val="24"/>
          <w:szCs w:val="24"/>
        </w:rPr>
      </w:pPr>
    </w:p>
    <w:p w:rsidR="00E23519" w:rsidRDefault="00E23519" w:rsidP="00E23519">
      <w:pPr>
        <w:spacing w:line="240" w:lineRule="auto"/>
        <w:jc w:val="center"/>
        <w:rPr>
          <w:rFonts w:ascii="Arial" w:hAnsi="Arial" w:cs="Arial"/>
          <w:sz w:val="24"/>
          <w:szCs w:val="24"/>
        </w:rPr>
      </w:pPr>
      <w:r w:rsidRPr="008464D7">
        <w:rPr>
          <w:noProof/>
        </w:rPr>
        <w:lastRenderedPageBreak/>
        <w:drawing>
          <wp:inline distT="0" distB="0" distL="0" distR="0" wp14:anchorId="10627D03" wp14:editId="2D628DC5">
            <wp:extent cx="3148965" cy="2566035"/>
            <wp:effectExtent l="0" t="0" r="0" b="571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48965" cy="2566035"/>
                    </a:xfrm>
                    <a:prstGeom prst="rect">
                      <a:avLst/>
                    </a:prstGeom>
                    <a:noFill/>
                    <a:ln>
                      <a:noFill/>
                    </a:ln>
                  </pic:spPr>
                </pic:pic>
              </a:graphicData>
            </a:graphic>
          </wp:inline>
        </w:drawing>
      </w:r>
    </w:p>
    <w:p w:rsidR="00E23519" w:rsidRPr="008464D7" w:rsidRDefault="00E23519" w:rsidP="00E23519">
      <w:pPr>
        <w:spacing w:line="240" w:lineRule="auto"/>
        <w:jc w:val="center"/>
        <w:rPr>
          <w:rFonts w:ascii="Arial" w:hAnsi="Arial" w:cs="Arial"/>
          <w:sz w:val="24"/>
          <w:szCs w:val="24"/>
        </w:rPr>
      </w:pPr>
    </w:p>
    <w:p w:rsidR="00E23519" w:rsidRDefault="00E23519" w:rsidP="00E23519">
      <w:pPr>
        <w:spacing w:line="240" w:lineRule="auto"/>
        <w:jc w:val="both"/>
        <w:rPr>
          <w:rFonts w:ascii="Arial" w:hAnsi="Arial" w:cs="Arial"/>
          <w:sz w:val="24"/>
          <w:szCs w:val="24"/>
        </w:rPr>
      </w:pPr>
      <w:r w:rsidRPr="008464D7">
        <w:rPr>
          <w:rFonts w:ascii="Arial" w:hAnsi="Arial" w:cs="Arial"/>
          <w:sz w:val="24"/>
          <w:szCs w:val="24"/>
        </w:rPr>
        <w:t>Así, uno   de   los   mayores   desafíos   para el cumplimiento de los objetivos establecidos en la planeación para el desarrollo 2016-2021, será contar con los recursos necesarios para financiar, de manera responsable, los programas y políticas, sin comprometer la viabilidad de la hacienda pública estatal.</w:t>
      </w:r>
    </w:p>
    <w:p w:rsidR="00E23519" w:rsidRDefault="00E23519" w:rsidP="00E23519">
      <w:pPr>
        <w:pStyle w:val="Prrafodelista"/>
        <w:numPr>
          <w:ilvl w:val="0"/>
          <w:numId w:val="30"/>
        </w:numPr>
        <w:spacing w:line="240" w:lineRule="auto"/>
        <w:rPr>
          <w:rFonts w:ascii="Arial" w:hAnsi="Arial" w:cs="Arial"/>
          <w:i/>
          <w:sz w:val="24"/>
          <w:szCs w:val="24"/>
          <w:u w:val="single"/>
        </w:rPr>
      </w:pPr>
      <w:r w:rsidRPr="008464D7">
        <w:rPr>
          <w:rFonts w:ascii="Arial" w:hAnsi="Arial" w:cs="Arial"/>
          <w:i/>
          <w:sz w:val="24"/>
          <w:szCs w:val="24"/>
          <w:u w:val="single"/>
        </w:rPr>
        <w:t>El gasto en servicios personales es mayor que el gasto en obra pública en Colima.</w:t>
      </w:r>
    </w:p>
    <w:p w:rsidR="00E23519" w:rsidRPr="008464D7" w:rsidRDefault="00E23519" w:rsidP="00E23519">
      <w:pPr>
        <w:pStyle w:val="Prrafodelista"/>
        <w:spacing w:line="240" w:lineRule="auto"/>
        <w:rPr>
          <w:rFonts w:ascii="Arial" w:hAnsi="Arial" w:cs="Arial"/>
          <w:i/>
          <w:sz w:val="24"/>
          <w:szCs w:val="24"/>
          <w:u w:val="single"/>
        </w:rPr>
      </w:pPr>
    </w:p>
    <w:p w:rsidR="00E23519" w:rsidRPr="008464D7" w:rsidRDefault="00E23519" w:rsidP="00E23519">
      <w:pPr>
        <w:spacing w:line="240" w:lineRule="auto"/>
        <w:jc w:val="both"/>
        <w:rPr>
          <w:rFonts w:ascii="Arial" w:hAnsi="Arial" w:cs="Arial"/>
          <w:sz w:val="24"/>
          <w:szCs w:val="24"/>
        </w:rPr>
      </w:pPr>
      <w:r w:rsidRPr="008464D7">
        <w:rPr>
          <w:rFonts w:ascii="Arial" w:hAnsi="Arial" w:cs="Arial"/>
          <w:sz w:val="24"/>
          <w:szCs w:val="24"/>
        </w:rPr>
        <w:t>Mientras que los servicios personales mostraron un crecimiento en el periodo 2010-2015, la obra pública tuvo   un decrecimiento   promedio de -13.9% y, para 2015, apenas representó 2.5% del gasto total; es decir, el gobierno estatal gastó más en sueldos y salarios que en infraestructura.</w:t>
      </w:r>
    </w:p>
    <w:p w:rsidR="00E23519" w:rsidRPr="008464D7" w:rsidRDefault="00E23519" w:rsidP="00E23519">
      <w:pPr>
        <w:spacing w:line="240" w:lineRule="auto"/>
        <w:jc w:val="center"/>
        <w:rPr>
          <w:rFonts w:ascii="Arial" w:hAnsi="Arial" w:cs="Arial"/>
          <w:sz w:val="24"/>
          <w:szCs w:val="24"/>
        </w:rPr>
      </w:pPr>
    </w:p>
    <w:p w:rsidR="00E23519" w:rsidRPr="008464D7" w:rsidRDefault="00E23519" w:rsidP="00E23519">
      <w:pPr>
        <w:spacing w:line="240" w:lineRule="auto"/>
        <w:jc w:val="center"/>
        <w:rPr>
          <w:rFonts w:ascii="Arial" w:hAnsi="Arial" w:cs="Arial"/>
          <w:sz w:val="24"/>
          <w:szCs w:val="24"/>
        </w:rPr>
      </w:pPr>
      <w:r w:rsidRPr="008464D7">
        <w:rPr>
          <w:noProof/>
        </w:rPr>
        <w:lastRenderedPageBreak/>
        <w:drawing>
          <wp:inline distT="0" distB="0" distL="0" distR="0" wp14:anchorId="38E58274" wp14:editId="57CA6558">
            <wp:extent cx="3145808" cy="3282287"/>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148965" cy="3285581"/>
                    </a:xfrm>
                    <a:prstGeom prst="rect">
                      <a:avLst/>
                    </a:prstGeom>
                    <a:noFill/>
                    <a:ln>
                      <a:noFill/>
                    </a:ln>
                  </pic:spPr>
                </pic:pic>
              </a:graphicData>
            </a:graphic>
          </wp:inline>
        </w:drawing>
      </w:r>
    </w:p>
    <w:p w:rsidR="00E23519" w:rsidRPr="008464D7" w:rsidRDefault="00E23519" w:rsidP="00E23519">
      <w:pPr>
        <w:jc w:val="both"/>
        <w:rPr>
          <w:rFonts w:ascii="Arial" w:hAnsi="Arial" w:cs="Arial"/>
          <w:b/>
          <w:sz w:val="24"/>
          <w:szCs w:val="24"/>
        </w:rPr>
      </w:pPr>
      <w:r w:rsidRPr="008464D7">
        <w:rPr>
          <w:rFonts w:ascii="Arial" w:hAnsi="Arial" w:cs="Arial"/>
          <w:b/>
          <w:sz w:val="24"/>
          <w:szCs w:val="24"/>
        </w:rPr>
        <w:t>b.  Administración pública estatal</w:t>
      </w:r>
    </w:p>
    <w:p w:rsidR="00E23519" w:rsidRPr="008464D7" w:rsidRDefault="00E23519" w:rsidP="00E23519">
      <w:pPr>
        <w:pStyle w:val="Prrafodelista"/>
        <w:numPr>
          <w:ilvl w:val="0"/>
          <w:numId w:val="31"/>
        </w:numPr>
        <w:rPr>
          <w:rFonts w:ascii="Arial" w:hAnsi="Arial" w:cs="Arial"/>
          <w:i/>
          <w:sz w:val="24"/>
          <w:szCs w:val="24"/>
          <w:u w:val="single"/>
        </w:rPr>
      </w:pPr>
      <w:r w:rsidRPr="008464D7">
        <w:rPr>
          <w:rFonts w:ascii="Arial" w:hAnsi="Arial" w:cs="Arial"/>
          <w:i/>
          <w:sz w:val="24"/>
          <w:szCs w:val="24"/>
          <w:u w:val="single"/>
        </w:rPr>
        <w:t>El nuevo gobierno recibió una estructura administrativa grande y con baja productividad.</w:t>
      </w:r>
    </w:p>
    <w:p w:rsidR="00E23519" w:rsidRPr="008464D7" w:rsidRDefault="00E23519" w:rsidP="00E23519">
      <w:pPr>
        <w:spacing w:line="240" w:lineRule="auto"/>
        <w:jc w:val="both"/>
        <w:rPr>
          <w:rFonts w:ascii="Arial" w:hAnsi="Arial" w:cs="Arial"/>
          <w:sz w:val="24"/>
          <w:szCs w:val="24"/>
        </w:rPr>
      </w:pPr>
      <w:r w:rsidRPr="008464D7">
        <w:rPr>
          <w:rFonts w:ascii="Arial" w:hAnsi="Arial" w:cs="Arial"/>
          <w:sz w:val="24"/>
          <w:szCs w:val="24"/>
        </w:rPr>
        <w:t>La ineficacia del aparato gubernamental estatal se traduce en que el gobierno tiene poca capacidad para influir positivamente en áreas como la política social, la protección civil, la planeación y ejecución de proyectos.</w:t>
      </w:r>
    </w:p>
    <w:p w:rsidR="00E23519" w:rsidRPr="008464D7" w:rsidRDefault="00E23519" w:rsidP="00E23519">
      <w:pPr>
        <w:spacing w:line="240" w:lineRule="auto"/>
        <w:jc w:val="both"/>
        <w:rPr>
          <w:rFonts w:ascii="Arial" w:hAnsi="Arial" w:cs="Arial"/>
          <w:sz w:val="24"/>
          <w:szCs w:val="24"/>
        </w:rPr>
      </w:pPr>
      <w:r w:rsidRPr="008464D7">
        <w:rPr>
          <w:rFonts w:ascii="Arial" w:hAnsi="Arial" w:cs="Arial"/>
          <w:sz w:val="24"/>
          <w:szCs w:val="24"/>
        </w:rPr>
        <w:t>En las 18 dependencias del gobierno estatal, la plantilla laboral es de alrededor de 5,000 trabajadores, entre sindicalizados y de confianza, además existe un número no determinado de empleados bajo contrato u otras modalidades. Por lo que esta administración recibe una plantilla excesiva, desordenada en los puestos y funciones que desempeñan los trabajadores estatales.</w:t>
      </w:r>
    </w:p>
    <w:p w:rsidR="00E23519" w:rsidRPr="008464D7" w:rsidRDefault="00E23519" w:rsidP="00E23519">
      <w:pPr>
        <w:spacing w:line="240" w:lineRule="auto"/>
        <w:jc w:val="both"/>
        <w:rPr>
          <w:rFonts w:ascii="Arial" w:hAnsi="Arial" w:cs="Arial"/>
          <w:sz w:val="24"/>
          <w:szCs w:val="24"/>
        </w:rPr>
      </w:pPr>
      <w:r w:rsidRPr="008464D7">
        <w:rPr>
          <w:rFonts w:ascii="Arial" w:hAnsi="Arial" w:cs="Arial"/>
          <w:sz w:val="24"/>
          <w:szCs w:val="24"/>
        </w:rPr>
        <w:t>La administración pública estatal tiene los siguientes problemas estructurales:</w:t>
      </w:r>
    </w:p>
    <w:p w:rsidR="00E23519" w:rsidRDefault="00E23519" w:rsidP="00E23519">
      <w:pPr>
        <w:pStyle w:val="Prrafodelista"/>
        <w:numPr>
          <w:ilvl w:val="0"/>
          <w:numId w:val="40"/>
        </w:numPr>
        <w:spacing w:after="0"/>
        <w:jc w:val="both"/>
        <w:rPr>
          <w:rFonts w:ascii="Arial" w:hAnsi="Arial" w:cs="Arial"/>
          <w:sz w:val="24"/>
          <w:szCs w:val="24"/>
        </w:rPr>
      </w:pPr>
      <w:r w:rsidRPr="008464D7">
        <w:rPr>
          <w:rFonts w:ascii="Arial" w:hAnsi="Arial" w:cs="Arial"/>
          <w:sz w:val="24"/>
          <w:szCs w:val="24"/>
        </w:rPr>
        <w:t>Un marco normativo y regulatorio obsoleto dentro de cada dependencia.</w:t>
      </w:r>
    </w:p>
    <w:p w:rsidR="00E23519" w:rsidRPr="008464D7" w:rsidRDefault="00E23519" w:rsidP="00E23519">
      <w:pPr>
        <w:pStyle w:val="Prrafodelista"/>
        <w:spacing w:after="0"/>
        <w:jc w:val="both"/>
        <w:rPr>
          <w:rFonts w:ascii="Arial" w:hAnsi="Arial" w:cs="Arial"/>
          <w:sz w:val="24"/>
          <w:szCs w:val="24"/>
        </w:rPr>
      </w:pPr>
    </w:p>
    <w:p w:rsidR="00E23519" w:rsidRDefault="00E23519" w:rsidP="00E23519">
      <w:pPr>
        <w:pStyle w:val="Prrafodelista"/>
        <w:numPr>
          <w:ilvl w:val="0"/>
          <w:numId w:val="40"/>
        </w:numPr>
        <w:spacing w:after="0"/>
        <w:jc w:val="both"/>
        <w:rPr>
          <w:rFonts w:ascii="Arial" w:hAnsi="Arial" w:cs="Arial"/>
          <w:sz w:val="24"/>
          <w:szCs w:val="24"/>
        </w:rPr>
      </w:pPr>
      <w:r w:rsidRPr="008464D7">
        <w:rPr>
          <w:rFonts w:ascii="Arial" w:hAnsi="Arial" w:cs="Arial"/>
          <w:sz w:val="24"/>
          <w:szCs w:val="24"/>
        </w:rPr>
        <w:t>Falta de incentivos de capacitación y profesionalización dentro de la administración pública estatal.</w:t>
      </w:r>
    </w:p>
    <w:p w:rsidR="00E23519" w:rsidRDefault="00E23519" w:rsidP="00E23519">
      <w:pPr>
        <w:pStyle w:val="Prrafodelista"/>
        <w:spacing w:after="0"/>
        <w:jc w:val="both"/>
        <w:rPr>
          <w:rFonts w:ascii="Arial" w:hAnsi="Arial" w:cs="Arial"/>
          <w:sz w:val="24"/>
          <w:szCs w:val="24"/>
        </w:rPr>
      </w:pPr>
    </w:p>
    <w:p w:rsidR="00E23519" w:rsidRPr="00366CF1" w:rsidRDefault="00E23519" w:rsidP="00E23519">
      <w:pPr>
        <w:pStyle w:val="Prrafodelista"/>
        <w:spacing w:after="0"/>
        <w:jc w:val="both"/>
        <w:rPr>
          <w:rFonts w:ascii="Arial" w:hAnsi="Arial" w:cs="Arial"/>
          <w:sz w:val="16"/>
          <w:szCs w:val="16"/>
        </w:rPr>
      </w:pPr>
    </w:p>
    <w:p w:rsidR="00E23519" w:rsidRDefault="00E23519" w:rsidP="00E23519">
      <w:pPr>
        <w:pStyle w:val="Prrafodelista"/>
        <w:numPr>
          <w:ilvl w:val="0"/>
          <w:numId w:val="40"/>
        </w:numPr>
        <w:spacing w:after="0"/>
        <w:jc w:val="both"/>
        <w:rPr>
          <w:rFonts w:ascii="Arial" w:hAnsi="Arial" w:cs="Arial"/>
          <w:sz w:val="24"/>
          <w:szCs w:val="24"/>
        </w:rPr>
      </w:pPr>
      <w:r w:rsidRPr="008464D7">
        <w:rPr>
          <w:rFonts w:ascii="Arial" w:hAnsi="Arial" w:cs="Arial"/>
          <w:sz w:val="24"/>
          <w:szCs w:val="24"/>
        </w:rPr>
        <w:lastRenderedPageBreak/>
        <w:t>La falta de una Ley de Servicio Profesional de la Carrera que establezca como bases el mérito y la igualdad de oportunidades en el ingreso y el ascenso de los servidores públicos. Sólo el ámbito de procuración de justicia cuenta con una ley de este tipo.</w:t>
      </w:r>
    </w:p>
    <w:p w:rsidR="00E23519" w:rsidRPr="00A74F64" w:rsidRDefault="00E23519" w:rsidP="00E23519">
      <w:pPr>
        <w:pStyle w:val="Prrafodelista"/>
        <w:rPr>
          <w:rFonts w:ascii="Arial" w:hAnsi="Arial" w:cs="Arial"/>
          <w:sz w:val="24"/>
          <w:szCs w:val="24"/>
        </w:rPr>
      </w:pPr>
    </w:p>
    <w:p w:rsidR="00E23519" w:rsidRDefault="00E23519" w:rsidP="00E23519">
      <w:pPr>
        <w:pStyle w:val="Prrafodelista"/>
        <w:numPr>
          <w:ilvl w:val="0"/>
          <w:numId w:val="40"/>
        </w:numPr>
        <w:spacing w:after="0"/>
        <w:jc w:val="both"/>
        <w:rPr>
          <w:rFonts w:ascii="Arial" w:hAnsi="Arial" w:cs="Arial"/>
          <w:sz w:val="24"/>
          <w:szCs w:val="24"/>
        </w:rPr>
      </w:pPr>
      <w:r w:rsidRPr="008464D7">
        <w:rPr>
          <w:rFonts w:ascii="Arial" w:hAnsi="Arial" w:cs="Arial"/>
          <w:sz w:val="24"/>
          <w:szCs w:val="24"/>
        </w:rPr>
        <w:t>Infraestructura tecnológica limitada y subutilización de las tecnologías de la información para hacer más eficiente la actividad gubernamental y la interacción con los ciudadanos.</w:t>
      </w:r>
    </w:p>
    <w:p w:rsidR="00E23519" w:rsidRPr="00A74F64" w:rsidRDefault="00E23519" w:rsidP="00E23519">
      <w:pPr>
        <w:pStyle w:val="Prrafodelista"/>
        <w:rPr>
          <w:rFonts w:ascii="Arial" w:hAnsi="Arial" w:cs="Arial"/>
          <w:sz w:val="24"/>
          <w:szCs w:val="24"/>
        </w:rPr>
      </w:pPr>
    </w:p>
    <w:p w:rsidR="00E23519" w:rsidRDefault="00E23519" w:rsidP="00E23519">
      <w:pPr>
        <w:pStyle w:val="Prrafodelista"/>
        <w:numPr>
          <w:ilvl w:val="0"/>
          <w:numId w:val="40"/>
        </w:numPr>
        <w:spacing w:after="0"/>
        <w:jc w:val="both"/>
        <w:rPr>
          <w:rFonts w:ascii="Arial" w:hAnsi="Arial" w:cs="Arial"/>
          <w:sz w:val="24"/>
          <w:szCs w:val="24"/>
        </w:rPr>
      </w:pPr>
      <w:r w:rsidRPr="008464D7">
        <w:rPr>
          <w:rFonts w:ascii="Arial" w:hAnsi="Arial" w:cs="Arial"/>
          <w:sz w:val="24"/>
          <w:szCs w:val="24"/>
        </w:rPr>
        <w:t>Se carece de lineamientos, políticas o procedimientos que establezcan la obligación de evaluar el control interno, así como de los sistemas de tecnologías de información que aseguren la integridad y confiabilidad de la información.</w:t>
      </w:r>
    </w:p>
    <w:p w:rsidR="00E23519" w:rsidRPr="00A74F64" w:rsidRDefault="00E23519" w:rsidP="00E23519">
      <w:pPr>
        <w:pStyle w:val="Prrafodelista"/>
        <w:rPr>
          <w:rFonts w:ascii="Arial" w:hAnsi="Arial" w:cs="Arial"/>
          <w:sz w:val="24"/>
          <w:szCs w:val="24"/>
        </w:rPr>
      </w:pPr>
    </w:p>
    <w:p w:rsidR="00E23519" w:rsidRDefault="00E23519" w:rsidP="00E23519">
      <w:pPr>
        <w:pStyle w:val="Prrafodelista"/>
        <w:numPr>
          <w:ilvl w:val="0"/>
          <w:numId w:val="40"/>
        </w:numPr>
        <w:spacing w:after="0"/>
        <w:jc w:val="both"/>
        <w:rPr>
          <w:rFonts w:ascii="Arial" w:hAnsi="Arial" w:cs="Arial"/>
          <w:sz w:val="24"/>
          <w:szCs w:val="24"/>
        </w:rPr>
      </w:pPr>
      <w:r w:rsidRPr="008464D7">
        <w:rPr>
          <w:rFonts w:ascii="Arial" w:hAnsi="Arial" w:cs="Arial"/>
          <w:sz w:val="24"/>
          <w:szCs w:val="24"/>
        </w:rPr>
        <w:t>Se carece de un Código de conducta actualizado y de un Código de ética.</w:t>
      </w:r>
    </w:p>
    <w:p w:rsidR="00E23519" w:rsidRPr="00A74F64" w:rsidRDefault="00E23519" w:rsidP="00E23519">
      <w:pPr>
        <w:pStyle w:val="Prrafodelista"/>
        <w:rPr>
          <w:rFonts w:ascii="Arial" w:hAnsi="Arial" w:cs="Arial"/>
          <w:sz w:val="24"/>
          <w:szCs w:val="24"/>
        </w:rPr>
      </w:pPr>
    </w:p>
    <w:p w:rsidR="00E23519" w:rsidRPr="008464D7" w:rsidRDefault="00E23519" w:rsidP="00E23519">
      <w:pPr>
        <w:pStyle w:val="Prrafodelista"/>
        <w:numPr>
          <w:ilvl w:val="0"/>
          <w:numId w:val="40"/>
        </w:numPr>
        <w:jc w:val="both"/>
        <w:rPr>
          <w:rFonts w:ascii="Arial" w:hAnsi="Arial" w:cs="Arial"/>
          <w:sz w:val="24"/>
          <w:szCs w:val="24"/>
        </w:rPr>
      </w:pPr>
      <w:r w:rsidRPr="008464D7">
        <w:rPr>
          <w:rFonts w:ascii="Arial" w:hAnsi="Arial" w:cs="Arial"/>
          <w:sz w:val="24"/>
          <w:szCs w:val="24"/>
        </w:rPr>
        <w:t>Falta de una metodología para el proceso de administración de riesgos.</w:t>
      </w:r>
    </w:p>
    <w:p w:rsidR="00E23519" w:rsidRPr="008464D7" w:rsidRDefault="00E23519" w:rsidP="00E23519">
      <w:pPr>
        <w:spacing w:line="240" w:lineRule="auto"/>
        <w:jc w:val="both"/>
        <w:rPr>
          <w:rFonts w:ascii="Arial" w:hAnsi="Arial" w:cs="Arial"/>
          <w:sz w:val="24"/>
          <w:szCs w:val="24"/>
        </w:rPr>
      </w:pPr>
      <w:r w:rsidRPr="008464D7">
        <w:rPr>
          <w:rFonts w:ascii="Arial" w:hAnsi="Arial" w:cs="Arial"/>
          <w:sz w:val="24"/>
          <w:szCs w:val="24"/>
        </w:rPr>
        <w:t>Colima carece de mecanismos institucionales de vigilancia y control interno eficientes para asegurar el uso adecuado de los recursos financieros y materiales, así como de sistemas de transparencia y rendición de cuentas adecuados para darle seguimiento a la gestión de los recursos públicos, lo que ha generado espacios para la opacidad y discrecionalidad en el ejercicio del gasto público, así como prácticas de corrupción.</w:t>
      </w:r>
    </w:p>
    <w:p w:rsidR="00E23519" w:rsidRPr="008464D7" w:rsidRDefault="00E23519" w:rsidP="00E23519">
      <w:pPr>
        <w:pStyle w:val="Prrafodelista"/>
        <w:numPr>
          <w:ilvl w:val="0"/>
          <w:numId w:val="32"/>
        </w:numPr>
        <w:spacing w:line="240" w:lineRule="auto"/>
        <w:rPr>
          <w:rFonts w:ascii="Arial" w:hAnsi="Arial" w:cs="Arial"/>
          <w:i/>
          <w:sz w:val="24"/>
          <w:szCs w:val="24"/>
          <w:u w:val="single"/>
        </w:rPr>
      </w:pPr>
      <w:r w:rsidRPr="008464D7">
        <w:rPr>
          <w:rFonts w:ascii="Arial" w:hAnsi="Arial" w:cs="Arial"/>
          <w:i/>
          <w:sz w:val="24"/>
          <w:szCs w:val="24"/>
          <w:u w:val="single"/>
        </w:rPr>
        <w:t>El gobierno estatal tiene deficiencias en el manejo de los recursos públicos federales.</w:t>
      </w:r>
    </w:p>
    <w:p w:rsidR="00E23519" w:rsidRPr="008464D7" w:rsidRDefault="00E23519" w:rsidP="00E23519">
      <w:pPr>
        <w:spacing w:line="240" w:lineRule="auto"/>
        <w:jc w:val="both"/>
        <w:rPr>
          <w:rFonts w:ascii="Arial" w:hAnsi="Arial" w:cs="Arial"/>
          <w:sz w:val="24"/>
          <w:szCs w:val="24"/>
        </w:rPr>
      </w:pPr>
      <w:r w:rsidRPr="008464D7">
        <w:rPr>
          <w:rFonts w:ascii="Arial" w:hAnsi="Arial" w:cs="Arial"/>
          <w:sz w:val="24"/>
          <w:szCs w:val="24"/>
        </w:rPr>
        <w:t>Con respecto a la fiscalización de la cuenta pública 2014, la Auditoría Superior de la Federación (ASF) realizó 22 auditorías que generaron 66 acciones promovidas (25 fueron recomendaciones, 11 solicitudes de aclaración, 13 promociones de responsabilidad administrativa sancionatoria y 17 pliegos de observaciones). Según su manejo del gasto federalizado, Colima está en la posición 18 del país y entre las principales deficiencias que la ASF detectó en Colima están:</w:t>
      </w:r>
    </w:p>
    <w:p w:rsidR="00E23519" w:rsidRPr="008464D7" w:rsidRDefault="00E23519" w:rsidP="00E23519">
      <w:pPr>
        <w:pStyle w:val="Prrafodelista"/>
        <w:numPr>
          <w:ilvl w:val="0"/>
          <w:numId w:val="41"/>
        </w:numPr>
        <w:spacing w:after="0" w:line="360" w:lineRule="auto"/>
        <w:jc w:val="both"/>
        <w:rPr>
          <w:rFonts w:ascii="Arial" w:hAnsi="Arial" w:cs="Arial"/>
          <w:sz w:val="24"/>
          <w:szCs w:val="24"/>
        </w:rPr>
      </w:pPr>
      <w:r w:rsidRPr="008464D7">
        <w:rPr>
          <w:rFonts w:ascii="Arial" w:hAnsi="Arial" w:cs="Arial"/>
          <w:sz w:val="24"/>
          <w:szCs w:val="24"/>
        </w:rPr>
        <w:t>Marco normativo insuficiente o ambiguo en algunos fondos y programas.</w:t>
      </w:r>
    </w:p>
    <w:p w:rsidR="00E23519" w:rsidRPr="008464D7" w:rsidRDefault="00E23519" w:rsidP="00E23519">
      <w:pPr>
        <w:pStyle w:val="Prrafodelista"/>
        <w:numPr>
          <w:ilvl w:val="0"/>
          <w:numId w:val="41"/>
        </w:numPr>
        <w:spacing w:after="0" w:line="240" w:lineRule="auto"/>
        <w:jc w:val="both"/>
        <w:rPr>
          <w:rFonts w:ascii="Arial" w:hAnsi="Arial" w:cs="Arial"/>
          <w:sz w:val="24"/>
          <w:szCs w:val="24"/>
        </w:rPr>
      </w:pPr>
      <w:r w:rsidRPr="008464D7">
        <w:rPr>
          <w:rFonts w:ascii="Arial" w:hAnsi="Arial" w:cs="Arial"/>
          <w:sz w:val="24"/>
          <w:szCs w:val="24"/>
        </w:rPr>
        <w:t>Sistemas de control internos deficientes. Subejercicios del gasto federalizado.</w:t>
      </w:r>
    </w:p>
    <w:p w:rsidR="00E23519" w:rsidRPr="008464D7" w:rsidRDefault="00E23519" w:rsidP="00E23519">
      <w:pPr>
        <w:pStyle w:val="Prrafodelista"/>
        <w:numPr>
          <w:ilvl w:val="0"/>
          <w:numId w:val="41"/>
        </w:numPr>
        <w:spacing w:after="0" w:line="360" w:lineRule="auto"/>
        <w:jc w:val="both"/>
        <w:rPr>
          <w:rFonts w:ascii="Arial" w:hAnsi="Arial" w:cs="Arial"/>
          <w:sz w:val="24"/>
          <w:szCs w:val="24"/>
        </w:rPr>
      </w:pPr>
      <w:r w:rsidRPr="008464D7">
        <w:rPr>
          <w:rFonts w:ascii="Arial" w:hAnsi="Arial" w:cs="Arial"/>
          <w:sz w:val="24"/>
          <w:szCs w:val="24"/>
        </w:rPr>
        <w:t>Falta de transparencia en la administración de los recursos.</w:t>
      </w:r>
    </w:p>
    <w:p w:rsidR="00E23519" w:rsidRPr="008464D7" w:rsidRDefault="00E23519" w:rsidP="00E23519">
      <w:pPr>
        <w:pStyle w:val="Prrafodelista"/>
        <w:numPr>
          <w:ilvl w:val="0"/>
          <w:numId w:val="41"/>
        </w:numPr>
        <w:spacing w:after="0" w:line="360" w:lineRule="auto"/>
        <w:jc w:val="both"/>
        <w:rPr>
          <w:rFonts w:ascii="Arial" w:hAnsi="Arial" w:cs="Arial"/>
          <w:sz w:val="24"/>
          <w:szCs w:val="24"/>
        </w:rPr>
      </w:pPr>
      <w:r w:rsidRPr="008464D7">
        <w:rPr>
          <w:rFonts w:ascii="Arial" w:hAnsi="Arial" w:cs="Arial"/>
          <w:sz w:val="24"/>
          <w:szCs w:val="24"/>
        </w:rPr>
        <w:lastRenderedPageBreak/>
        <w:t>Uso de los recursos para fines diferentes a los que estaban destinados los fondos y programas;</w:t>
      </w:r>
      <w:r>
        <w:rPr>
          <w:rFonts w:ascii="Arial" w:hAnsi="Arial" w:cs="Arial"/>
          <w:sz w:val="24"/>
          <w:szCs w:val="24"/>
        </w:rPr>
        <w:t xml:space="preserve"> </w:t>
      </w:r>
      <w:r w:rsidRPr="008464D7">
        <w:rPr>
          <w:rFonts w:ascii="Arial" w:hAnsi="Arial" w:cs="Arial"/>
          <w:sz w:val="24"/>
          <w:szCs w:val="24"/>
        </w:rPr>
        <w:t>e</w:t>
      </w:r>
    </w:p>
    <w:p w:rsidR="00E23519" w:rsidRPr="008464D7" w:rsidRDefault="00E23519" w:rsidP="00E23519">
      <w:pPr>
        <w:pStyle w:val="Prrafodelista"/>
        <w:numPr>
          <w:ilvl w:val="0"/>
          <w:numId w:val="41"/>
        </w:numPr>
        <w:spacing w:line="360" w:lineRule="auto"/>
        <w:jc w:val="both"/>
        <w:rPr>
          <w:rFonts w:ascii="Arial" w:hAnsi="Arial" w:cs="Arial"/>
          <w:sz w:val="24"/>
          <w:szCs w:val="24"/>
        </w:rPr>
      </w:pPr>
      <w:r w:rsidRPr="008464D7">
        <w:rPr>
          <w:rFonts w:ascii="Arial" w:hAnsi="Arial" w:cs="Arial"/>
          <w:sz w:val="24"/>
          <w:szCs w:val="24"/>
        </w:rPr>
        <w:t>Incumplimiento de metas y objetivos de los fondos y programas.</w:t>
      </w:r>
    </w:p>
    <w:p w:rsidR="00E23519" w:rsidRPr="008464D7" w:rsidRDefault="00E23519" w:rsidP="00E23519">
      <w:pPr>
        <w:spacing w:line="240" w:lineRule="auto"/>
        <w:jc w:val="both"/>
        <w:rPr>
          <w:rFonts w:ascii="Arial" w:hAnsi="Arial" w:cs="Arial"/>
          <w:sz w:val="24"/>
          <w:szCs w:val="24"/>
        </w:rPr>
      </w:pPr>
      <w:r w:rsidRPr="008464D7">
        <w:rPr>
          <w:rFonts w:ascii="Arial" w:hAnsi="Arial" w:cs="Arial"/>
          <w:sz w:val="24"/>
          <w:szCs w:val="24"/>
        </w:rPr>
        <w:t>Para 2014 el monto observado fue de 396.1 MDP y correspondió a los siguientes conceptos:</w:t>
      </w:r>
    </w:p>
    <w:p w:rsidR="00E23519" w:rsidRDefault="00E23519" w:rsidP="00E23519">
      <w:pPr>
        <w:pStyle w:val="Prrafodelista"/>
        <w:numPr>
          <w:ilvl w:val="0"/>
          <w:numId w:val="42"/>
        </w:numPr>
        <w:spacing w:after="0" w:line="240" w:lineRule="auto"/>
        <w:jc w:val="both"/>
        <w:rPr>
          <w:rFonts w:ascii="Arial" w:hAnsi="Arial" w:cs="Arial"/>
          <w:sz w:val="24"/>
          <w:szCs w:val="24"/>
        </w:rPr>
      </w:pPr>
      <w:r w:rsidRPr="008464D7">
        <w:rPr>
          <w:rFonts w:ascii="Arial" w:hAnsi="Arial" w:cs="Arial"/>
          <w:sz w:val="24"/>
          <w:szCs w:val="24"/>
        </w:rPr>
        <w:t>Pagos   improcedentes   o   en   exceso por 120.3 MDP, se observó al Fondo de Aportaciones para la Educación Básica y Normal (FAEB) y el Fondo de Aportaciones para los Servicios de Salud (FASSA).</w:t>
      </w:r>
    </w:p>
    <w:p w:rsidR="00E23519" w:rsidRDefault="00E23519" w:rsidP="00E23519">
      <w:pPr>
        <w:pStyle w:val="Prrafodelista"/>
        <w:spacing w:after="0" w:line="240" w:lineRule="auto"/>
        <w:jc w:val="both"/>
        <w:rPr>
          <w:rFonts w:ascii="Arial" w:hAnsi="Arial" w:cs="Arial"/>
          <w:sz w:val="24"/>
          <w:szCs w:val="24"/>
        </w:rPr>
      </w:pPr>
    </w:p>
    <w:p w:rsidR="00E23519" w:rsidRDefault="00E23519" w:rsidP="00E23519">
      <w:pPr>
        <w:pStyle w:val="Prrafodelista"/>
        <w:numPr>
          <w:ilvl w:val="0"/>
          <w:numId w:val="42"/>
        </w:numPr>
        <w:spacing w:after="0" w:line="240" w:lineRule="auto"/>
        <w:jc w:val="both"/>
        <w:rPr>
          <w:rFonts w:ascii="Arial" w:hAnsi="Arial" w:cs="Arial"/>
          <w:sz w:val="24"/>
          <w:szCs w:val="24"/>
        </w:rPr>
      </w:pPr>
      <w:r w:rsidRPr="008464D7">
        <w:rPr>
          <w:rFonts w:ascii="Arial" w:hAnsi="Arial" w:cs="Arial"/>
          <w:sz w:val="24"/>
          <w:szCs w:val="24"/>
        </w:rPr>
        <w:t>Transferencias de recursos a otras cuentas bancarias por 117.9 MDP, se observó al Programa Escuelas de Tiempo Completo (PETC), el Fondo de Aportaciones para la Seguridad Pública (FASP), el Fondo de Aportaciones para la Infraestructura Social Estatal (FISE) y el Fondo de Aportaciones Múltiples(FAM).</w:t>
      </w:r>
    </w:p>
    <w:p w:rsidR="00E23519" w:rsidRPr="00A74F64" w:rsidRDefault="00E23519" w:rsidP="00E23519">
      <w:pPr>
        <w:pStyle w:val="Prrafodelista"/>
        <w:rPr>
          <w:rFonts w:ascii="Arial" w:hAnsi="Arial" w:cs="Arial"/>
          <w:sz w:val="24"/>
          <w:szCs w:val="24"/>
        </w:rPr>
      </w:pPr>
    </w:p>
    <w:p w:rsidR="00E23519" w:rsidRDefault="00E23519" w:rsidP="00E23519">
      <w:pPr>
        <w:pStyle w:val="Prrafodelista"/>
        <w:numPr>
          <w:ilvl w:val="0"/>
          <w:numId w:val="42"/>
        </w:numPr>
        <w:spacing w:after="0" w:line="240" w:lineRule="auto"/>
        <w:jc w:val="both"/>
        <w:rPr>
          <w:rFonts w:ascii="Arial" w:hAnsi="Arial" w:cs="Arial"/>
          <w:sz w:val="24"/>
          <w:szCs w:val="24"/>
        </w:rPr>
      </w:pPr>
      <w:r w:rsidRPr="008464D7">
        <w:rPr>
          <w:rFonts w:ascii="Arial" w:hAnsi="Arial" w:cs="Arial"/>
          <w:sz w:val="24"/>
          <w:szCs w:val="24"/>
        </w:rPr>
        <w:t>Falta de documentación comprobatoria del gasto por 83.3 MDP (Apoyo a Centro de Organizaciones de Educación, FISE y subsidios federales para organismos descentralizados).</w:t>
      </w:r>
    </w:p>
    <w:p w:rsidR="00E23519" w:rsidRPr="00A74F64" w:rsidRDefault="00E23519" w:rsidP="00E23519">
      <w:pPr>
        <w:pStyle w:val="Prrafodelista"/>
        <w:rPr>
          <w:rFonts w:ascii="Arial" w:hAnsi="Arial" w:cs="Arial"/>
          <w:sz w:val="24"/>
          <w:szCs w:val="24"/>
        </w:rPr>
      </w:pPr>
    </w:p>
    <w:p w:rsidR="00E23519" w:rsidRDefault="00E23519" w:rsidP="00E23519">
      <w:pPr>
        <w:pStyle w:val="Prrafodelista"/>
        <w:numPr>
          <w:ilvl w:val="0"/>
          <w:numId w:val="42"/>
        </w:numPr>
        <w:spacing w:after="0" w:line="240" w:lineRule="auto"/>
        <w:jc w:val="both"/>
        <w:rPr>
          <w:rFonts w:ascii="Arial" w:hAnsi="Arial" w:cs="Arial"/>
          <w:sz w:val="24"/>
          <w:szCs w:val="24"/>
        </w:rPr>
      </w:pPr>
      <w:r w:rsidRPr="00A74F64">
        <w:rPr>
          <w:rFonts w:ascii="Arial" w:hAnsi="Arial" w:cs="Arial"/>
          <w:sz w:val="24"/>
          <w:szCs w:val="24"/>
        </w:rPr>
        <w:t>Recursos no devengados o no ejercidos por 62.7 MDP, se observó al FAM, apoyos para saneamiento financiero y la atención a problemas estructurales de las UPES, al Programa de apoyo para fortalecer la calidad en los servicios de salud, al Seguro popular, al Programa de Inclusión Social (PROSPERA) y al (FASP).</w:t>
      </w:r>
    </w:p>
    <w:p w:rsidR="00E23519" w:rsidRPr="00A74F64" w:rsidRDefault="00E23519" w:rsidP="00E23519">
      <w:pPr>
        <w:pStyle w:val="Prrafodelista"/>
        <w:rPr>
          <w:rFonts w:ascii="Arial" w:hAnsi="Arial" w:cs="Arial"/>
          <w:sz w:val="24"/>
          <w:szCs w:val="24"/>
        </w:rPr>
      </w:pPr>
    </w:p>
    <w:p w:rsidR="00E23519" w:rsidRPr="008464D7" w:rsidRDefault="00E23519" w:rsidP="00E23519">
      <w:pPr>
        <w:pStyle w:val="Prrafodelista"/>
        <w:numPr>
          <w:ilvl w:val="0"/>
          <w:numId w:val="42"/>
        </w:numPr>
        <w:spacing w:after="0" w:line="240" w:lineRule="auto"/>
        <w:jc w:val="both"/>
        <w:rPr>
          <w:rFonts w:ascii="Arial" w:hAnsi="Arial" w:cs="Arial"/>
          <w:sz w:val="24"/>
          <w:szCs w:val="24"/>
        </w:rPr>
      </w:pPr>
      <w:r w:rsidRPr="008464D7">
        <w:rPr>
          <w:rFonts w:ascii="Arial" w:hAnsi="Arial" w:cs="Arial"/>
          <w:sz w:val="24"/>
          <w:szCs w:val="24"/>
        </w:rPr>
        <w:t>Otras irregularidades por 11.9 MDP.</w:t>
      </w:r>
    </w:p>
    <w:p w:rsidR="00E23519" w:rsidRPr="008464D7" w:rsidRDefault="00E23519" w:rsidP="00E23519">
      <w:pPr>
        <w:spacing w:after="0" w:line="240" w:lineRule="auto"/>
        <w:ind w:left="708"/>
        <w:jc w:val="both"/>
        <w:rPr>
          <w:rFonts w:ascii="Arial" w:hAnsi="Arial" w:cs="Arial"/>
          <w:sz w:val="24"/>
          <w:szCs w:val="24"/>
        </w:rPr>
      </w:pPr>
    </w:p>
    <w:p w:rsidR="00E23519" w:rsidRPr="008464D7" w:rsidRDefault="00E23519" w:rsidP="00E23519">
      <w:pPr>
        <w:jc w:val="both"/>
        <w:rPr>
          <w:rFonts w:ascii="Arial" w:hAnsi="Arial" w:cs="Arial"/>
          <w:b/>
          <w:sz w:val="24"/>
          <w:szCs w:val="24"/>
        </w:rPr>
      </w:pPr>
      <w:r w:rsidRPr="008464D7">
        <w:rPr>
          <w:rFonts w:ascii="Arial" w:hAnsi="Arial" w:cs="Arial"/>
          <w:b/>
          <w:sz w:val="24"/>
          <w:szCs w:val="24"/>
        </w:rPr>
        <w:t>c. Corrupción, transparencia, rendición de cuentas y evaluación del desempeño</w:t>
      </w:r>
    </w:p>
    <w:p w:rsidR="00E23519" w:rsidRPr="008464D7" w:rsidRDefault="00E23519" w:rsidP="00E23519">
      <w:pPr>
        <w:spacing w:line="240" w:lineRule="auto"/>
        <w:jc w:val="both"/>
        <w:rPr>
          <w:rFonts w:ascii="Arial" w:hAnsi="Arial" w:cs="Arial"/>
          <w:sz w:val="24"/>
          <w:szCs w:val="24"/>
        </w:rPr>
      </w:pPr>
      <w:r w:rsidRPr="008464D7">
        <w:rPr>
          <w:rFonts w:ascii="Arial" w:hAnsi="Arial" w:cs="Arial"/>
          <w:sz w:val="24"/>
          <w:szCs w:val="24"/>
        </w:rPr>
        <w:t>La Encuesta Nacional de Calidad e Impacto Gubernamental (ENCIG) realizada por el INEGI, muestra que, durante el 2015, la corrupción se ubicó en el segundo lugar de los problemas que preocupan más a los mexicanos, con 50.9%, sólo por detrás de inseguridad y delincuencia que alcanzó 66.4%.</w:t>
      </w:r>
    </w:p>
    <w:p w:rsidR="00E23519" w:rsidRPr="008464D7" w:rsidRDefault="00E23519" w:rsidP="00E23519">
      <w:pPr>
        <w:spacing w:line="240" w:lineRule="auto"/>
        <w:jc w:val="both"/>
        <w:rPr>
          <w:rFonts w:ascii="Arial" w:hAnsi="Arial" w:cs="Arial"/>
          <w:sz w:val="24"/>
          <w:szCs w:val="24"/>
        </w:rPr>
      </w:pPr>
      <w:r w:rsidRPr="008464D7">
        <w:rPr>
          <w:rFonts w:ascii="Arial" w:hAnsi="Arial" w:cs="Arial"/>
          <w:sz w:val="24"/>
          <w:szCs w:val="24"/>
        </w:rPr>
        <w:t>La alta percepción de corrupción está asociada con los rezagos en transparencia y rendición de cuentas.</w:t>
      </w:r>
    </w:p>
    <w:p w:rsidR="00E23519" w:rsidRDefault="00E23519" w:rsidP="00E23519">
      <w:pPr>
        <w:spacing w:after="0" w:line="240" w:lineRule="auto"/>
        <w:jc w:val="both"/>
        <w:rPr>
          <w:rFonts w:ascii="Arial" w:hAnsi="Arial" w:cs="Arial"/>
          <w:sz w:val="24"/>
          <w:szCs w:val="24"/>
        </w:rPr>
      </w:pPr>
    </w:p>
    <w:p w:rsidR="00E23519" w:rsidRDefault="00E23519" w:rsidP="00E23519">
      <w:pPr>
        <w:spacing w:after="0" w:line="240" w:lineRule="auto"/>
        <w:jc w:val="both"/>
        <w:rPr>
          <w:rFonts w:ascii="Arial" w:hAnsi="Arial" w:cs="Arial"/>
          <w:sz w:val="24"/>
          <w:szCs w:val="24"/>
        </w:rPr>
      </w:pPr>
      <w:r w:rsidRPr="008464D7">
        <w:rPr>
          <w:rFonts w:ascii="Arial" w:hAnsi="Arial" w:cs="Arial"/>
          <w:sz w:val="24"/>
          <w:szCs w:val="24"/>
        </w:rPr>
        <w:lastRenderedPageBreak/>
        <w:t>En Colima, la percepción   de corrupción   es generalizada, a pesar de que, comparativamente, el estado tiene la menor tasa de incidencia de corrupción en 2015. Según el INEGI, en Colima se llevaron a cabo 9,230 actos de corrupción por cada 100,000 habitantes, mientras que, en el estado de México, la entidad peor evaluada, la tasa fue de 62, 160. La tasa de prevalencia de actos de corrupción no es tan alentadora. Así durante el 2015 en Colima hubo 7,551 víctimas de corrupción por cada 100,000 habitantes.</w:t>
      </w:r>
    </w:p>
    <w:p w:rsidR="00E23519" w:rsidRPr="008464D7" w:rsidRDefault="00E23519" w:rsidP="00E23519">
      <w:pPr>
        <w:spacing w:after="0" w:line="240" w:lineRule="auto"/>
        <w:jc w:val="both"/>
        <w:rPr>
          <w:rFonts w:ascii="Arial" w:hAnsi="Arial" w:cs="Arial"/>
          <w:sz w:val="24"/>
          <w:szCs w:val="24"/>
        </w:rPr>
      </w:pPr>
    </w:p>
    <w:p w:rsidR="00E23519" w:rsidRPr="008464D7" w:rsidRDefault="00E23519" w:rsidP="00E23519">
      <w:pPr>
        <w:spacing w:line="240" w:lineRule="auto"/>
        <w:jc w:val="both"/>
        <w:rPr>
          <w:rFonts w:ascii="Arial" w:hAnsi="Arial" w:cs="Arial"/>
          <w:sz w:val="24"/>
          <w:szCs w:val="24"/>
        </w:rPr>
      </w:pPr>
      <w:r w:rsidRPr="008464D7">
        <w:rPr>
          <w:rFonts w:ascii="Arial" w:hAnsi="Arial" w:cs="Arial"/>
          <w:sz w:val="24"/>
          <w:szCs w:val="24"/>
        </w:rPr>
        <w:t xml:space="preserve">En el ámbito nacional se estima que la tasa de prevalencia de corrupción fue de 12,590 víctimas por cada 100,000 habitantes; mientras que la incidencia fue de 30,097 actos de corrupción por cada 100,000 habitantes. </w:t>
      </w:r>
    </w:p>
    <w:p w:rsidR="00E23519" w:rsidRPr="008464D7" w:rsidRDefault="00E23519" w:rsidP="00E23519">
      <w:pPr>
        <w:spacing w:line="240" w:lineRule="auto"/>
        <w:jc w:val="both"/>
        <w:rPr>
          <w:rFonts w:ascii="Arial" w:hAnsi="Arial" w:cs="Arial"/>
          <w:sz w:val="24"/>
          <w:szCs w:val="24"/>
        </w:rPr>
      </w:pPr>
      <w:r w:rsidRPr="008464D7">
        <w:rPr>
          <w:rFonts w:ascii="Arial" w:hAnsi="Arial" w:cs="Arial"/>
          <w:b/>
          <w:sz w:val="24"/>
          <w:szCs w:val="24"/>
        </w:rPr>
        <w:t>Transparencia.</w:t>
      </w:r>
      <w:r w:rsidRPr="008464D7">
        <w:rPr>
          <w:rFonts w:ascii="Arial" w:hAnsi="Arial" w:cs="Arial"/>
          <w:sz w:val="24"/>
          <w:szCs w:val="24"/>
        </w:rPr>
        <w:t xml:space="preserve"> De acuerdo a la Métrica de la Transparencia 2014, publicada por el Centro de Investigación y Docencia Económicas (CIDE), Colima está en la posición 18 nacional en esta materia, por debajo de estados como Jalisco, Aguascalientes y Puebla. Entre las áreas de oportunidad están la calidad de la información que se publica en las páginas webs de las dependencias u organismos de la administración pública estatal, el proceso de respuesta a las solicitudes de información pública y el afianzar las funciones de las unidades de acceso a la información.</w:t>
      </w:r>
    </w:p>
    <w:p w:rsidR="00E23519" w:rsidRPr="008464D7" w:rsidRDefault="00E23519" w:rsidP="00E23519">
      <w:pPr>
        <w:spacing w:line="240" w:lineRule="auto"/>
        <w:jc w:val="both"/>
        <w:rPr>
          <w:rFonts w:ascii="Arial" w:hAnsi="Arial" w:cs="Arial"/>
          <w:sz w:val="24"/>
          <w:szCs w:val="24"/>
        </w:rPr>
      </w:pPr>
      <w:r w:rsidRPr="008464D7">
        <w:rPr>
          <w:rFonts w:ascii="Arial" w:hAnsi="Arial" w:cs="Arial"/>
          <w:sz w:val="24"/>
          <w:szCs w:val="24"/>
        </w:rPr>
        <w:t>En materia normativa el estado se encuentra con la calificación 0.878 por encima del promedio nacional que es de 0.799</w:t>
      </w:r>
    </w:p>
    <w:p w:rsidR="00E23519" w:rsidRPr="008464D7" w:rsidRDefault="00E23519" w:rsidP="00E23519">
      <w:pPr>
        <w:spacing w:line="240" w:lineRule="auto"/>
        <w:jc w:val="both"/>
        <w:rPr>
          <w:rFonts w:ascii="Arial" w:hAnsi="Arial" w:cs="Arial"/>
          <w:sz w:val="24"/>
          <w:szCs w:val="24"/>
        </w:rPr>
      </w:pPr>
      <w:r w:rsidRPr="008464D7">
        <w:rPr>
          <w:rFonts w:ascii="Arial" w:hAnsi="Arial" w:cs="Arial"/>
          <w:sz w:val="24"/>
          <w:szCs w:val="24"/>
        </w:rPr>
        <w:t>En los portales de internet Colima refleja dos calificaciones menores con respecto al promedio nacional en los órganos autónomos de 0.622 y los municipios de 0.804 cifras por debajo de la media nacional de 0.845.</w:t>
      </w:r>
    </w:p>
    <w:p w:rsidR="00E23519" w:rsidRPr="008464D7" w:rsidRDefault="00E23519" w:rsidP="00E23519">
      <w:pPr>
        <w:spacing w:line="240" w:lineRule="auto"/>
        <w:jc w:val="center"/>
        <w:rPr>
          <w:rFonts w:ascii="Arial" w:hAnsi="Arial" w:cs="Arial"/>
          <w:sz w:val="24"/>
          <w:szCs w:val="24"/>
        </w:rPr>
      </w:pPr>
      <w:r w:rsidRPr="008464D7">
        <w:rPr>
          <w:noProof/>
        </w:rPr>
        <w:lastRenderedPageBreak/>
        <w:drawing>
          <wp:inline distT="0" distB="0" distL="0" distR="0" wp14:anchorId="0A9ECC92" wp14:editId="091AAA39">
            <wp:extent cx="3148965" cy="293497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48965" cy="2934970"/>
                    </a:xfrm>
                    <a:prstGeom prst="rect">
                      <a:avLst/>
                    </a:prstGeom>
                    <a:noFill/>
                    <a:ln>
                      <a:noFill/>
                    </a:ln>
                  </pic:spPr>
                </pic:pic>
              </a:graphicData>
            </a:graphic>
          </wp:inline>
        </w:drawing>
      </w:r>
    </w:p>
    <w:p w:rsidR="00E23519" w:rsidRPr="008464D7" w:rsidRDefault="00E23519" w:rsidP="00E23519">
      <w:pPr>
        <w:spacing w:line="240" w:lineRule="auto"/>
        <w:jc w:val="both"/>
        <w:rPr>
          <w:rFonts w:ascii="Arial" w:hAnsi="Arial" w:cs="Arial"/>
          <w:sz w:val="24"/>
          <w:szCs w:val="24"/>
        </w:rPr>
      </w:pPr>
      <w:r w:rsidRPr="008464D7">
        <w:rPr>
          <w:rFonts w:ascii="Arial" w:hAnsi="Arial" w:cs="Arial"/>
          <w:sz w:val="24"/>
          <w:szCs w:val="24"/>
        </w:rPr>
        <w:t>Por su parte, el promedio nacional del subíndice usuario simulado corresponde a 0.632 puntos, mientras que Colima se encuentra por debajo de Quintana Roo, Guanajuato y Nuevo León con 0.593 puntos.</w:t>
      </w:r>
    </w:p>
    <w:p w:rsidR="00E23519" w:rsidRPr="008464D7" w:rsidRDefault="00E23519" w:rsidP="00E23519">
      <w:pPr>
        <w:spacing w:line="240" w:lineRule="auto"/>
        <w:jc w:val="both"/>
        <w:rPr>
          <w:rFonts w:ascii="Arial" w:hAnsi="Arial" w:cs="Arial"/>
          <w:sz w:val="24"/>
          <w:szCs w:val="24"/>
        </w:rPr>
      </w:pPr>
      <w:r w:rsidRPr="008464D7">
        <w:rPr>
          <w:rFonts w:ascii="Arial" w:hAnsi="Arial" w:cs="Arial"/>
          <w:sz w:val="24"/>
          <w:szCs w:val="24"/>
        </w:rPr>
        <w:t>El subíndice de las capacidades institucionales de los órganos garantes, Colima reportó 0.70 puntos, 0.05 puntos por encima del promedio nacional.</w:t>
      </w:r>
    </w:p>
    <w:p w:rsidR="00E23519" w:rsidRPr="008464D7" w:rsidRDefault="00E23519" w:rsidP="00E23519">
      <w:pPr>
        <w:spacing w:line="240" w:lineRule="auto"/>
        <w:jc w:val="both"/>
        <w:rPr>
          <w:rFonts w:ascii="Arial" w:hAnsi="Arial" w:cs="Arial"/>
          <w:sz w:val="24"/>
          <w:szCs w:val="24"/>
        </w:rPr>
      </w:pPr>
      <w:r w:rsidRPr="008464D7">
        <w:rPr>
          <w:rFonts w:ascii="Arial" w:hAnsi="Arial" w:cs="Arial"/>
          <w:sz w:val="24"/>
          <w:szCs w:val="24"/>
        </w:rPr>
        <w:t>En el Índice de Transparencia y Disponibilidad de la Información Fiscal de las Entidades Federativas, (ITDIF) 2015, elaborado por A-Regional, Colima disminuyó su puntuación y se ubicó en el lugar 22 de los estados del país, por debajo del promedio nacional. Esto se debe a la falta de actualización de la información en estadísticas fiscales y de evaluación de resultados.</w:t>
      </w:r>
    </w:p>
    <w:p w:rsidR="00E23519" w:rsidRPr="008464D7" w:rsidRDefault="00E23519" w:rsidP="00E23519">
      <w:pPr>
        <w:spacing w:line="240" w:lineRule="auto"/>
        <w:jc w:val="both"/>
        <w:rPr>
          <w:rFonts w:ascii="Arial" w:hAnsi="Arial" w:cs="Arial"/>
          <w:sz w:val="24"/>
          <w:szCs w:val="24"/>
        </w:rPr>
      </w:pPr>
      <w:r w:rsidRPr="008464D7">
        <w:rPr>
          <w:rFonts w:ascii="Arial" w:hAnsi="Arial" w:cs="Arial"/>
          <w:sz w:val="24"/>
          <w:szCs w:val="24"/>
        </w:rPr>
        <w:t>De acuerdo a los resultados generales del Índice de Información Presupuestal Estatal, realizado por el Instituto Mexicano para la Competitividad (IMCO), el cual mide la calidad de la información presupuestal de las entidades federativas y verifica el cumplimiento de las obligaciones de contabilidad gubernamental, Colima ocupa el octavo lugar nacional con 92% de cumplimiento, obteniendo una calificación cercana a la satisfactoria en comparación con el promedio nacional.</w:t>
      </w:r>
    </w:p>
    <w:p w:rsidR="00E23519" w:rsidRPr="008464D7" w:rsidRDefault="00E23519" w:rsidP="00E23519">
      <w:pPr>
        <w:spacing w:line="240" w:lineRule="auto"/>
        <w:jc w:val="both"/>
        <w:rPr>
          <w:rFonts w:ascii="Arial" w:hAnsi="Arial" w:cs="Arial"/>
          <w:sz w:val="24"/>
          <w:szCs w:val="24"/>
        </w:rPr>
      </w:pPr>
      <w:r w:rsidRPr="008464D7">
        <w:rPr>
          <w:rFonts w:ascii="Arial" w:hAnsi="Arial" w:cs="Arial"/>
          <w:sz w:val="24"/>
          <w:szCs w:val="24"/>
        </w:rPr>
        <w:t>Por su parte, de acuerdo a la evaluación general 2015 del Índice del Derecho de Acceso a la Información en México, publicado por el centro de análisis e investigación Fundar, que mide las leyes de transparencia y acceso a la información con relación a las mejores prácticas nacionales e internacionales, Colima obtiene una nota positiva ocupando el tercer lugar nacional.</w:t>
      </w:r>
    </w:p>
    <w:p w:rsidR="00E23519" w:rsidRPr="008464D7" w:rsidRDefault="00E23519" w:rsidP="00E23519">
      <w:pPr>
        <w:spacing w:line="240" w:lineRule="auto"/>
        <w:jc w:val="both"/>
        <w:rPr>
          <w:rFonts w:ascii="Arial" w:hAnsi="Arial" w:cs="Arial"/>
          <w:sz w:val="24"/>
          <w:szCs w:val="24"/>
        </w:rPr>
      </w:pPr>
      <w:r w:rsidRPr="008464D7">
        <w:rPr>
          <w:noProof/>
        </w:rPr>
        <w:lastRenderedPageBreak/>
        <w:drawing>
          <wp:inline distT="0" distB="0" distL="0" distR="0" wp14:anchorId="5F01147D" wp14:editId="477BD9B3">
            <wp:extent cx="5501005" cy="2035175"/>
            <wp:effectExtent l="0" t="0" r="4445" b="317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501005" cy="2035175"/>
                    </a:xfrm>
                    <a:prstGeom prst="rect">
                      <a:avLst/>
                    </a:prstGeom>
                    <a:noFill/>
                    <a:ln>
                      <a:noFill/>
                    </a:ln>
                  </pic:spPr>
                </pic:pic>
              </a:graphicData>
            </a:graphic>
          </wp:inline>
        </w:drawing>
      </w:r>
    </w:p>
    <w:p w:rsidR="00E23519" w:rsidRPr="008464D7" w:rsidRDefault="00E23519" w:rsidP="00E23519">
      <w:pPr>
        <w:spacing w:line="240" w:lineRule="auto"/>
        <w:jc w:val="both"/>
        <w:rPr>
          <w:rFonts w:ascii="Arial" w:hAnsi="Arial" w:cs="Arial"/>
          <w:sz w:val="24"/>
          <w:szCs w:val="24"/>
        </w:rPr>
      </w:pPr>
    </w:p>
    <w:p w:rsidR="00E23519" w:rsidRPr="008464D7" w:rsidRDefault="00E23519" w:rsidP="00E23519">
      <w:pPr>
        <w:spacing w:line="240" w:lineRule="auto"/>
        <w:jc w:val="both"/>
        <w:rPr>
          <w:rFonts w:ascii="Arial" w:hAnsi="Arial" w:cs="Arial"/>
          <w:sz w:val="24"/>
          <w:szCs w:val="24"/>
        </w:rPr>
      </w:pPr>
      <w:r w:rsidRPr="008464D7">
        <w:rPr>
          <w:noProof/>
        </w:rPr>
        <w:drawing>
          <wp:inline distT="0" distB="0" distL="0" distR="0" wp14:anchorId="755B7D25" wp14:editId="51DCDB78">
            <wp:extent cx="5501005" cy="2588260"/>
            <wp:effectExtent l="0" t="0" r="4445" b="254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501005" cy="2588260"/>
                    </a:xfrm>
                    <a:prstGeom prst="rect">
                      <a:avLst/>
                    </a:prstGeom>
                    <a:noFill/>
                    <a:ln>
                      <a:noFill/>
                    </a:ln>
                  </pic:spPr>
                </pic:pic>
              </a:graphicData>
            </a:graphic>
          </wp:inline>
        </w:drawing>
      </w:r>
    </w:p>
    <w:p w:rsidR="00E23519" w:rsidRPr="008464D7" w:rsidRDefault="00E23519" w:rsidP="00E23519">
      <w:pPr>
        <w:spacing w:line="240" w:lineRule="auto"/>
        <w:jc w:val="both"/>
        <w:rPr>
          <w:rFonts w:ascii="Arial" w:hAnsi="Arial" w:cs="Arial"/>
          <w:sz w:val="24"/>
          <w:szCs w:val="24"/>
        </w:rPr>
      </w:pPr>
      <w:r w:rsidRPr="008464D7">
        <w:rPr>
          <w:rFonts w:ascii="Arial" w:hAnsi="Arial" w:cs="Arial"/>
          <w:b/>
          <w:sz w:val="24"/>
          <w:szCs w:val="24"/>
        </w:rPr>
        <w:t>Presupuesto Basado en Resultados.</w:t>
      </w:r>
      <w:r w:rsidRPr="008464D7">
        <w:rPr>
          <w:rFonts w:ascii="Arial" w:hAnsi="Arial" w:cs="Arial"/>
          <w:sz w:val="24"/>
          <w:szCs w:val="24"/>
        </w:rPr>
        <w:t xml:space="preserve"> Con respecto al presupuesto basado en resultados, Colima   ocupa   los   últimos   lugares   del    país (posición 27 nacional) por su avance en esta materia, según la Secretaría de Hacienda y Crédito Público. El grado de avance para el estado es de apenas 59%. Las áreas con una evaluación más baja son transparencia (54.2%). capacitación (50%), planeación (35.8%)   y evaluación (45.8%).</w:t>
      </w:r>
    </w:p>
    <w:p w:rsidR="00E23519" w:rsidRPr="008464D7" w:rsidRDefault="00E23519" w:rsidP="00E23519">
      <w:pPr>
        <w:spacing w:line="240" w:lineRule="auto"/>
        <w:jc w:val="both"/>
        <w:rPr>
          <w:rFonts w:ascii="Arial" w:hAnsi="Arial" w:cs="Arial"/>
          <w:sz w:val="24"/>
          <w:szCs w:val="24"/>
        </w:rPr>
      </w:pPr>
      <w:r w:rsidRPr="008464D7">
        <w:rPr>
          <w:rFonts w:ascii="Arial" w:hAnsi="Arial" w:cs="Arial"/>
          <w:b/>
          <w:sz w:val="24"/>
          <w:szCs w:val="24"/>
        </w:rPr>
        <w:t>Sistema de monitoreo y evaluación.</w:t>
      </w:r>
      <w:r w:rsidRPr="008464D7">
        <w:rPr>
          <w:rFonts w:ascii="Arial" w:hAnsi="Arial" w:cs="Arial"/>
          <w:sz w:val="24"/>
          <w:szCs w:val="24"/>
        </w:rPr>
        <w:t xml:space="preserve"> Según la información provista por el CONEVAL, en el diagnóstico del avance en monitoreo y evaluación de las entidades federativas 2015, Colima se encuentra en una posición intermedia y ligeramente por encima del promedio nacional. Entre 2011 y 2013 su posición no cambió y en el 2015 se deterioró, llegando al lugar 18 nacional.</w:t>
      </w:r>
    </w:p>
    <w:p w:rsidR="00E23519" w:rsidRPr="008464D7" w:rsidRDefault="00E23519" w:rsidP="00E23519">
      <w:pPr>
        <w:spacing w:line="240" w:lineRule="auto"/>
        <w:jc w:val="both"/>
        <w:rPr>
          <w:rFonts w:ascii="Arial" w:hAnsi="Arial" w:cs="Arial"/>
          <w:sz w:val="24"/>
          <w:szCs w:val="24"/>
        </w:rPr>
      </w:pPr>
      <w:r w:rsidRPr="008464D7">
        <w:rPr>
          <w:rFonts w:ascii="Arial" w:hAnsi="Arial" w:cs="Arial"/>
          <w:sz w:val="24"/>
          <w:szCs w:val="24"/>
        </w:rPr>
        <w:lastRenderedPageBreak/>
        <w:t>Al interior del Índice, el desempeño de Colima en la parte normativa ha presentado avances más dinámicos que en el componente práctico.</w:t>
      </w:r>
    </w:p>
    <w:p w:rsidR="00E23519" w:rsidRPr="008464D7" w:rsidRDefault="00E23519" w:rsidP="00E23519">
      <w:pPr>
        <w:spacing w:line="240" w:lineRule="auto"/>
        <w:jc w:val="both"/>
        <w:rPr>
          <w:rFonts w:ascii="Arial" w:hAnsi="Arial" w:cs="Arial"/>
          <w:sz w:val="24"/>
          <w:szCs w:val="24"/>
        </w:rPr>
      </w:pPr>
      <w:r w:rsidRPr="008464D7">
        <w:rPr>
          <w:rFonts w:ascii="Arial" w:hAnsi="Arial" w:cs="Arial"/>
          <w:sz w:val="24"/>
          <w:szCs w:val="24"/>
        </w:rPr>
        <w:t>En el periodo 2011 - 2015, registró un aumento en el índice global de 16.6 puntos porcentuales y en los años 2013 y 2015 observó un aumento en ambos componentes. El aumento en el componente normativo fue de 4.7 puntos porcentuales, derivado a la creación de lineamientos para la elaboración de reglas de operación y para la conformación del padrón único. El componente práctico aumentó 2.8 puntos porcentuales debido a la construcción de un padrón único de beneficiarios y a la planeación de las evaluaciones.</w:t>
      </w:r>
    </w:p>
    <w:p w:rsidR="00E23519" w:rsidRPr="008464D7" w:rsidRDefault="00E23519" w:rsidP="00E23519">
      <w:pPr>
        <w:spacing w:line="240" w:lineRule="auto"/>
        <w:jc w:val="center"/>
        <w:rPr>
          <w:rFonts w:ascii="Arial" w:hAnsi="Arial" w:cs="Arial"/>
          <w:sz w:val="24"/>
          <w:szCs w:val="24"/>
        </w:rPr>
      </w:pPr>
      <w:r w:rsidRPr="008464D7">
        <w:rPr>
          <w:noProof/>
        </w:rPr>
        <w:drawing>
          <wp:inline distT="0" distB="0" distL="0" distR="0" wp14:anchorId="20DC5B25" wp14:editId="40A15808">
            <wp:extent cx="3702050" cy="2647315"/>
            <wp:effectExtent l="0" t="0" r="0" b="63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702050" cy="2647315"/>
                    </a:xfrm>
                    <a:prstGeom prst="rect">
                      <a:avLst/>
                    </a:prstGeom>
                    <a:noFill/>
                    <a:ln>
                      <a:noFill/>
                    </a:ln>
                  </pic:spPr>
                </pic:pic>
              </a:graphicData>
            </a:graphic>
          </wp:inline>
        </w:drawing>
      </w:r>
    </w:p>
    <w:p w:rsidR="00E23519" w:rsidRPr="008464D7" w:rsidRDefault="00E23519" w:rsidP="00E23519">
      <w:pPr>
        <w:spacing w:line="240" w:lineRule="auto"/>
        <w:jc w:val="both"/>
        <w:rPr>
          <w:rFonts w:ascii="Arial" w:hAnsi="Arial" w:cs="Arial"/>
          <w:sz w:val="24"/>
          <w:szCs w:val="24"/>
        </w:rPr>
      </w:pPr>
      <w:r w:rsidRPr="008464D7">
        <w:rPr>
          <w:rFonts w:ascii="Arial" w:hAnsi="Arial" w:cs="Arial"/>
          <w:sz w:val="24"/>
          <w:szCs w:val="24"/>
        </w:rPr>
        <w:t>De acuerdo con el mismo análisis del CONEVAL las áreas de oportunidad en el sistema de monitoreo y evaluación de Colima son:</w:t>
      </w:r>
    </w:p>
    <w:p w:rsidR="00E23519" w:rsidRPr="008464D7" w:rsidRDefault="00E23519" w:rsidP="00E23519">
      <w:pPr>
        <w:pStyle w:val="Prrafodelista"/>
        <w:numPr>
          <w:ilvl w:val="0"/>
          <w:numId w:val="5"/>
        </w:numPr>
        <w:spacing w:after="0" w:line="240" w:lineRule="auto"/>
        <w:jc w:val="both"/>
        <w:rPr>
          <w:rFonts w:ascii="Arial" w:hAnsi="Arial" w:cs="Arial"/>
          <w:sz w:val="24"/>
          <w:szCs w:val="24"/>
        </w:rPr>
      </w:pPr>
      <w:r w:rsidRPr="008464D7">
        <w:rPr>
          <w:rFonts w:ascii="Arial" w:hAnsi="Arial" w:cs="Arial"/>
          <w:sz w:val="24"/>
          <w:szCs w:val="24"/>
        </w:rPr>
        <w:t>Después de 4 años de la realización del ejercicio del diagnóstico, no se han llevado a cabo evaluaciones a programas de desarrollo social.</w:t>
      </w:r>
    </w:p>
    <w:p w:rsidR="00E23519" w:rsidRPr="008464D7" w:rsidRDefault="00E23519" w:rsidP="00E23519">
      <w:pPr>
        <w:spacing w:after="0" w:line="240" w:lineRule="auto"/>
        <w:jc w:val="both"/>
        <w:rPr>
          <w:rFonts w:ascii="Arial" w:hAnsi="Arial" w:cs="Arial"/>
          <w:sz w:val="24"/>
          <w:szCs w:val="24"/>
        </w:rPr>
      </w:pPr>
    </w:p>
    <w:p w:rsidR="00E23519" w:rsidRPr="008464D7" w:rsidRDefault="00E23519" w:rsidP="00E23519">
      <w:pPr>
        <w:pStyle w:val="Prrafodelista"/>
        <w:numPr>
          <w:ilvl w:val="0"/>
          <w:numId w:val="5"/>
        </w:numPr>
        <w:spacing w:after="0" w:line="240" w:lineRule="auto"/>
        <w:jc w:val="both"/>
        <w:rPr>
          <w:rFonts w:ascii="Arial" w:hAnsi="Arial" w:cs="Arial"/>
          <w:sz w:val="24"/>
          <w:szCs w:val="24"/>
        </w:rPr>
      </w:pPr>
      <w:r w:rsidRPr="008464D7">
        <w:rPr>
          <w:rFonts w:ascii="Arial" w:hAnsi="Arial" w:cs="Arial"/>
          <w:sz w:val="24"/>
          <w:szCs w:val="24"/>
        </w:rPr>
        <w:t>Es escasa la información sobre estudios, diagnósticos e investigaciones sobre programas de desarrollo social. Falta de homologación entre los programas estatales en su presentaciones y difusiones de padrones de beneficiarios, reglas de operación e información del presupuesto que se les asigna.</w:t>
      </w:r>
    </w:p>
    <w:p w:rsidR="00E23519" w:rsidRPr="008464D7" w:rsidRDefault="00E23519" w:rsidP="00E23519">
      <w:pPr>
        <w:spacing w:line="240" w:lineRule="auto"/>
        <w:rPr>
          <w:rFonts w:ascii="Arial" w:hAnsi="Arial" w:cs="Arial"/>
          <w:sz w:val="24"/>
          <w:szCs w:val="24"/>
        </w:rPr>
      </w:pPr>
    </w:p>
    <w:p w:rsidR="00E23519" w:rsidRPr="008464D7" w:rsidRDefault="00E23519" w:rsidP="00E23519">
      <w:pPr>
        <w:spacing w:after="0" w:line="240" w:lineRule="auto"/>
        <w:rPr>
          <w:rFonts w:ascii="Arial" w:hAnsi="Arial" w:cs="Arial"/>
          <w:b/>
          <w:sz w:val="24"/>
          <w:szCs w:val="24"/>
        </w:rPr>
      </w:pPr>
      <w:r w:rsidRPr="008464D7">
        <w:rPr>
          <w:rFonts w:ascii="Arial" w:eastAsia="Times New Roman" w:hAnsi="Arial" w:cs="Arial"/>
          <w:b/>
          <w:color w:val="000000"/>
          <w:sz w:val="24"/>
          <w:szCs w:val="24"/>
          <w:lang w:eastAsia="es-ES"/>
        </w:rPr>
        <w:t xml:space="preserve">2.4.2. </w:t>
      </w:r>
      <w:r w:rsidRPr="008464D7">
        <w:rPr>
          <w:rFonts w:ascii="Arial" w:hAnsi="Arial" w:cs="Arial"/>
          <w:b/>
          <w:sz w:val="24"/>
          <w:szCs w:val="24"/>
        </w:rPr>
        <w:t>Resultados de los Ingresos y de los Egresos en formatos emitidos por el Consejo Nacional de Armonización Contable (CONAC)</w:t>
      </w:r>
    </w:p>
    <w:p w:rsidR="00E23519" w:rsidRDefault="00E23519" w:rsidP="00E23519">
      <w:pPr>
        <w:spacing w:after="0" w:line="240" w:lineRule="auto"/>
        <w:rPr>
          <w:rFonts w:ascii="Arial" w:hAnsi="Arial" w:cs="Arial"/>
          <w:b/>
        </w:rPr>
      </w:pPr>
      <w:r w:rsidRPr="008464D7">
        <w:rPr>
          <w:rFonts w:ascii="Arial" w:hAnsi="Arial" w:cs="Arial"/>
          <w:b/>
        </w:rPr>
        <w:t>Formato 7 c) LDF</w:t>
      </w:r>
    </w:p>
    <w:p w:rsidR="00E23519" w:rsidRDefault="00E23519" w:rsidP="00E23519">
      <w:pPr>
        <w:spacing w:after="0" w:line="240" w:lineRule="auto"/>
        <w:rPr>
          <w:rFonts w:ascii="Arial" w:hAnsi="Arial" w:cs="Arial"/>
          <w:b/>
        </w:rPr>
      </w:pPr>
    </w:p>
    <w:p w:rsidR="00E23519" w:rsidRPr="008464D7" w:rsidRDefault="00E23519" w:rsidP="00E23519">
      <w:pPr>
        <w:spacing w:line="240" w:lineRule="auto"/>
        <w:rPr>
          <w:rFonts w:ascii="Arial" w:hAnsi="Arial" w:cs="Arial"/>
          <w:sz w:val="24"/>
          <w:szCs w:val="24"/>
        </w:rPr>
      </w:pPr>
      <w:r w:rsidRPr="008464D7">
        <w:rPr>
          <w:noProof/>
          <w:szCs w:val="24"/>
        </w:rPr>
        <w:drawing>
          <wp:inline distT="0" distB="0" distL="0" distR="0" wp14:anchorId="08BB1096" wp14:editId="0B7810A1">
            <wp:extent cx="5612130" cy="5940402"/>
            <wp:effectExtent l="19050" t="0" r="7620" b="0"/>
            <wp:docPr id="73"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cstate="print"/>
                    <a:srcRect/>
                    <a:stretch>
                      <a:fillRect/>
                    </a:stretch>
                  </pic:blipFill>
                  <pic:spPr bwMode="auto">
                    <a:xfrm>
                      <a:off x="0" y="0"/>
                      <a:ext cx="5612130" cy="5940402"/>
                    </a:xfrm>
                    <a:prstGeom prst="rect">
                      <a:avLst/>
                    </a:prstGeom>
                    <a:noFill/>
                    <a:ln w="9525">
                      <a:noFill/>
                      <a:miter lim="800000"/>
                      <a:headEnd/>
                      <a:tailEnd/>
                    </a:ln>
                  </pic:spPr>
                </pic:pic>
              </a:graphicData>
            </a:graphic>
          </wp:inline>
        </w:drawing>
      </w:r>
    </w:p>
    <w:p w:rsidR="00E23519" w:rsidRPr="008464D7" w:rsidRDefault="00E23519" w:rsidP="00E23519">
      <w:pPr>
        <w:spacing w:line="240" w:lineRule="auto"/>
        <w:rPr>
          <w:rFonts w:ascii="Arial" w:hAnsi="Arial" w:cs="Arial"/>
          <w:sz w:val="24"/>
          <w:szCs w:val="24"/>
        </w:rPr>
      </w:pPr>
      <w:r w:rsidRPr="00D743F3">
        <w:rPr>
          <w:noProof/>
        </w:rPr>
        <w:lastRenderedPageBreak/>
        <w:drawing>
          <wp:inline distT="0" distB="0" distL="0" distR="0" wp14:anchorId="1822A491" wp14:editId="04100B5F">
            <wp:extent cx="5612130" cy="3837565"/>
            <wp:effectExtent l="0" t="0" r="762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12130" cy="3837565"/>
                    </a:xfrm>
                    <a:prstGeom prst="rect">
                      <a:avLst/>
                    </a:prstGeom>
                    <a:noFill/>
                    <a:ln>
                      <a:noFill/>
                    </a:ln>
                  </pic:spPr>
                </pic:pic>
              </a:graphicData>
            </a:graphic>
          </wp:inline>
        </w:drawing>
      </w:r>
    </w:p>
    <w:p w:rsidR="00214289" w:rsidRDefault="00214289" w:rsidP="00E23519">
      <w:pPr>
        <w:spacing w:line="240" w:lineRule="auto"/>
        <w:rPr>
          <w:rFonts w:ascii="Arial" w:hAnsi="Arial" w:cs="Arial"/>
          <w:b/>
          <w:sz w:val="24"/>
          <w:szCs w:val="24"/>
        </w:rPr>
      </w:pPr>
    </w:p>
    <w:p w:rsidR="00F578EE" w:rsidRDefault="00F578EE" w:rsidP="00E23519">
      <w:pPr>
        <w:spacing w:line="240" w:lineRule="auto"/>
        <w:rPr>
          <w:rFonts w:ascii="Arial" w:hAnsi="Arial" w:cs="Arial"/>
          <w:b/>
          <w:sz w:val="24"/>
          <w:szCs w:val="24"/>
        </w:rPr>
      </w:pPr>
    </w:p>
    <w:p w:rsidR="00E23519" w:rsidRPr="008464D7" w:rsidRDefault="00E23519" w:rsidP="00E23519">
      <w:pPr>
        <w:spacing w:line="240" w:lineRule="auto"/>
        <w:rPr>
          <w:rFonts w:ascii="Arial" w:hAnsi="Arial" w:cs="Arial"/>
          <w:b/>
          <w:sz w:val="24"/>
          <w:szCs w:val="24"/>
        </w:rPr>
      </w:pPr>
      <w:r w:rsidRPr="008464D7">
        <w:rPr>
          <w:rFonts w:ascii="Arial" w:hAnsi="Arial" w:cs="Arial"/>
          <w:b/>
          <w:sz w:val="24"/>
          <w:szCs w:val="24"/>
        </w:rPr>
        <w:t>2.5. RESUMEN DE ESTUDIO ACTUARIAL DE LAS PENSIONES DE LOS TRABAJADORES.</w:t>
      </w:r>
    </w:p>
    <w:p w:rsidR="00E23519" w:rsidRPr="00F02905" w:rsidRDefault="00E23519" w:rsidP="00E23519">
      <w:pPr>
        <w:spacing w:line="240" w:lineRule="auto"/>
        <w:jc w:val="both"/>
        <w:rPr>
          <w:rFonts w:ascii="Arial" w:hAnsi="Arial" w:cs="Arial"/>
          <w:sz w:val="24"/>
          <w:szCs w:val="24"/>
        </w:rPr>
      </w:pPr>
      <w:r w:rsidRPr="00F02905">
        <w:rPr>
          <w:rFonts w:ascii="Arial" w:hAnsi="Arial" w:cs="Arial"/>
          <w:sz w:val="24"/>
          <w:szCs w:val="24"/>
        </w:rPr>
        <w:t>En acatamiento en lo establecido en el artículo 5º de la Ley de Disciplina Financiera de las entidades Federativas y los Municipios, a continuación, se presenta el formato 8) Informe sobre Estudios Actuariales - LDF aprobado por el CONAC</w:t>
      </w:r>
    </w:p>
    <w:p w:rsidR="00E23519" w:rsidRPr="00F02905" w:rsidRDefault="00E23519" w:rsidP="00E23519">
      <w:pPr>
        <w:spacing w:line="240" w:lineRule="auto"/>
        <w:jc w:val="both"/>
        <w:rPr>
          <w:rFonts w:ascii="Arial" w:hAnsi="Arial" w:cs="Arial"/>
          <w:sz w:val="24"/>
          <w:szCs w:val="24"/>
        </w:rPr>
      </w:pPr>
      <w:r w:rsidRPr="00F02905">
        <w:rPr>
          <w:rFonts w:ascii="Arial" w:hAnsi="Arial" w:cs="Arial"/>
          <w:sz w:val="24"/>
          <w:szCs w:val="24"/>
        </w:rPr>
        <w:t>El Estudio incluye la población afiliada, la edad promedio, las características de las prestaciones otorgadas por la Ley Aplicable, el monto de reservas de pensiones, así como el periodo de suficiencia y el Balance Actuarial en valor presente.</w:t>
      </w:r>
    </w:p>
    <w:p w:rsidR="00E23519" w:rsidRDefault="00E23519" w:rsidP="00E23519">
      <w:pPr>
        <w:pStyle w:val="Texto"/>
        <w:spacing w:after="0" w:line="240" w:lineRule="auto"/>
        <w:rPr>
          <w:b/>
          <w:color w:val="FF0000"/>
          <w:sz w:val="28"/>
          <w:szCs w:val="28"/>
        </w:rPr>
      </w:pPr>
    </w:p>
    <w:p w:rsidR="00F578EE" w:rsidRDefault="00F578EE" w:rsidP="00E23519">
      <w:pPr>
        <w:pStyle w:val="Texto"/>
        <w:spacing w:after="0" w:line="240" w:lineRule="auto"/>
        <w:rPr>
          <w:b/>
          <w:color w:val="FF0000"/>
          <w:sz w:val="28"/>
          <w:szCs w:val="28"/>
        </w:rPr>
      </w:pPr>
    </w:p>
    <w:p w:rsidR="00F578EE" w:rsidRDefault="00F578EE" w:rsidP="00E23519">
      <w:pPr>
        <w:pStyle w:val="Texto"/>
        <w:spacing w:after="0" w:line="240" w:lineRule="auto"/>
        <w:rPr>
          <w:b/>
          <w:color w:val="FF0000"/>
          <w:sz w:val="28"/>
          <w:szCs w:val="28"/>
        </w:rPr>
      </w:pPr>
    </w:p>
    <w:p w:rsidR="00F578EE" w:rsidRDefault="00F578EE" w:rsidP="00E23519">
      <w:pPr>
        <w:pStyle w:val="Texto"/>
        <w:spacing w:after="0" w:line="240" w:lineRule="auto"/>
        <w:rPr>
          <w:b/>
          <w:color w:val="FF0000"/>
          <w:sz w:val="28"/>
          <w:szCs w:val="28"/>
        </w:rPr>
      </w:pPr>
    </w:p>
    <w:p w:rsidR="00F578EE" w:rsidRPr="008464D7" w:rsidRDefault="00F578EE" w:rsidP="00E23519">
      <w:pPr>
        <w:pStyle w:val="Texto"/>
        <w:spacing w:after="0" w:line="240" w:lineRule="auto"/>
        <w:rPr>
          <w:b/>
          <w:color w:val="FF0000"/>
          <w:sz w:val="28"/>
          <w:szCs w:val="28"/>
        </w:rPr>
      </w:pPr>
    </w:p>
    <w:p w:rsidR="00E23519" w:rsidRPr="008464D7" w:rsidRDefault="00E23519" w:rsidP="00E23519">
      <w:pPr>
        <w:pStyle w:val="Texto"/>
        <w:spacing w:after="0" w:line="240" w:lineRule="auto"/>
        <w:rPr>
          <w:b/>
          <w:sz w:val="20"/>
        </w:rPr>
      </w:pPr>
      <w:r w:rsidRPr="008464D7">
        <w:rPr>
          <w:b/>
          <w:sz w:val="20"/>
        </w:rPr>
        <w:t>Formato 8) Informe Sobre Estudios Actuariales- LDF</w:t>
      </w:r>
    </w:p>
    <w:p w:rsidR="00E23519" w:rsidRPr="008464D7" w:rsidRDefault="00E23519" w:rsidP="00E23519">
      <w:pPr>
        <w:pStyle w:val="Texto"/>
        <w:spacing w:after="0" w:line="240" w:lineRule="auto"/>
        <w:ind w:firstLine="0"/>
        <w:rPr>
          <w:sz w:val="20"/>
          <w:u w:val="single"/>
        </w:rPr>
      </w:pPr>
      <w:r w:rsidRPr="008464D7">
        <w:rPr>
          <w:noProof/>
          <w:lang w:val="es-MX" w:eastAsia="es-MX"/>
        </w:rPr>
        <w:drawing>
          <wp:inline distT="0" distB="0" distL="0" distR="0" wp14:anchorId="7690F3EE" wp14:editId="31EAE90C">
            <wp:extent cx="5947410" cy="454126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65732" cy="4555254"/>
                    </a:xfrm>
                    <a:prstGeom prst="rect">
                      <a:avLst/>
                    </a:prstGeom>
                    <a:noFill/>
                    <a:ln>
                      <a:noFill/>
                    </a:ln>
                  </pic:spPr>
                </pic:pic>
              </a:graphicData>
            </a:graphic>
          </wp:inline>
        </w:drawing>
      </w:r>
    </w:p>
    <w:p w:rsidR="00E23519" w:rsidRPr="008464D7" w:rsidRDefault="00E23519" w:rsidP="00E23519">
      <w:pPr>
        <w:pStyle w:val="Texto"/>
        <w:spacing w:after="0" w:line="240" w:lineRule="auto"/>
        <w:ind w:firstLine="0"/>
        <w:rPr>
          <w:sz w:val="20"/>
          <w:u w:val="single"/>
          <w:lang w:val="es-MX"/>
        </w:rPr>
      </w:pPr>
      <w:r w:rsidRPr="008464D7">
        <w:rPr>
          <w:noProof/>
          <w:lang w:val="es-MX" w:eastAsia="es-MX"/>
        </w:rPr>
        <w:lastRenderedPageBreak/>
        <w:drawing>
          <wp:inline distT="0" distB="0" distL="0" distR="0" wp14:anchorId="1BFB474E" wp14:editId="11EB3BED">
            <wp:extent cx="5847549" cy="4840515"/>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870838" cy="4859793"/>
                    </a:xfrm>
                    <a:prstGeom prst="rect">
                      <a:avLst/>
                    </a:prstGeom>
                    <a:noFill/>
                    <a:ln>
                      <a:noFill/>
                    </a:ln>
                  </pic:spPr>
                </pic:pic>
              </a:graphicData>
            </a:graphic>
          </wp:inline>
        </w:drawing>
      </w:r>
    </w:p>
    <w:p w:rsidR="00E23519" w:rsidRPr="008464D7" w:rsidRDefault="00E23519" w:rsidP="00E23519">
      <w:pPr>
        <w:pStyle w:val="Texto"/>
        <w:spacing w:after="0" w:line="240" w:lineRule="auto"/>
        <w:ind w:firstLine="0"/>
        <w:rPr>
          <w:sz w:val="20"/>
          <w:u w:val="single"/>
        </w:rPr>
      </w:pPr>
    </w:p>
    <w:p w:rsidR="00E23519" w:rsidRPr="00F02905" w:rsidRDefault="00E23519" w:rsidP="00E23519">
      <w:pPr>
        <w:spacing w:line="240" w:lineRule="auto"/>
        <w:jc w:val="both"/>
        <w:rPr>
          <w:rFonts w:ascii="Arial" w:hAnsi="Arial" w:cs="Arial"/>
          <w:sz w:val="24"/>
          <w:szCs w:val="24"/>
        </w:rPr>
      </w:pPr>
      <w:r w:rsidRPr="00F02905">
        <w:rPr>
          <w:rFonts w:ascii="Arial" w:hAnsi="Arial" w:cs="Arial"/>
          <w:sz w:val="24"/>
          <w:szCs w:val="24"/>
        </w:rPr>
        <w:t>El resultado del estudio actuarial con corte al 31 de octubre de 2016, destaca lo siguiente:</w:t>
      </w:r>
    </w:p>
    <w:p w:rsidR="00E23519" w:rsidRPr="008464D7" w:rsidRDefault="00E23519" w:rsidP="00E23519">
      <w:pPr>
        <w:spacing w:line="240" w:lineRule="auto"/>
        <w:jc w:val="both"/>
        <w:rPr>
          <w:rFonts w:ascii="Arial" w:hAnsi="Arial" w:cs="Arial"/>
          <w:sz w:val="24"/>
          <w:szCs w:val="24"/>
        </w:rPr>
      </w:pPr>
      <w:r w:rsidRPr="008464D7">
        <w:rPr>
          <w:rFonts w:ascii="Arial" w:hAnsi="Arial" w:cs="Arial"/>
          <w:sz w:val="24"/>
          <w:szCs w:val="24"/>
        </w:rPr>
        <w:t xml:space="preserve">Debido a que las prestaciones económicas que otorga la Ley de Pensiones del Estado de Colima, dependen de alguna contingencia, es necesario utilizar técnicas actuariales que por medio de hipótesis de muerte, invalidez, y rotación, así como de rendimientos bancarios, incrementos saláriales, etc., nos permitan encontrar los ingresos, egresos y saldos del fondo de Prestaciones Económicas, durante los próximos 100 años (170 años para pasivos contingentes), de la manera más aproximada posible. </w:t>
      </w:r>
    </w:p>
    <w:p w:rsidR="00E23519" w:rsidRPr="008464D7" w:rsidRDefault="00E23519" w:rsidP="00E23519">
      <w:pPr>
        <w:spacing w:line="240" w:lineRule="auto"/>
        <w:jc w:val="both"/>
        <w:rPr>
          <w:rFonts w:ascii="Arial" w:hAnsi="Arial" w:cs="Arial"/>
          <w:sz w:val="24"/>
          <w:szCs w:val="24"/>
        </w:rPr>
      </w:pPr>
      <w:r w:rsidRPr="008464D7">
        <w:rPr>
          <w:rFonts w:ascii="Arial" w:hAnsi="Arial" w:cs="Arial"/>
          <w:sz w:val="24"/>
          <w:szCs w:val="24"/>
        </w:rPr>
        <w:t xml:space="preserve">El cálculo actuarial es la única técnica que determina el costo actual y futuro de las obligaciones del área de prestaciones económicas, proporcionando una amplia </w:t>
      </w:r>
      <w:r w:rsidRPr="008464D7">
        <w:rPr>
          <w:rFonts w:ascii="Arial" w:hAnsi="Arial" w:cs="Arial"/>
          <w:sz w:val="24"/>
          <w:szCs w:val="24"/>
        </w:rPr>
        <w:lastRenderedPageBreak/>
        <w:t>información que deberá considerarse como fundamental para definir el rumbo del Esquema de Seguridad Social, de la manera más aproximada posible.</w:t>
      </w:r>
    </w:p>
    <w:p w:rsidR="00E23519" w:rsidRPr="008464D7" w:rsidRDefault="00E23519" w:rsidP="00E23519">
      <w:pPr>
        <w:spacing w:line="240" w:lineRule="auto"/>
        <w:jc w:val="both"/>
        <w:rPr>
          <w:rFonts w:ascii="Arial" w:hAnsi="Arial" w:cs="Arial"/>
          <w:sz w:val="24"/>
          <w:szCs w:val="24"/>
        </w:rPr>
      </w:pPr>
      <w:r w:rsidRPr="008464D7">
        <w:rPr>
          <w:rFonts w:ascii="Arial" w:hAnsi="Arial" w:cs="Arial"/>
          <w:sz w:val="24"/>
          <w:szCs w:val="24"/>
        </w:rPr>
        <w:t>La Ley de Disciplina Financiera de las Entidades Federativas y los Municipios indica, en su artículo 5, que la iniciativa de Ley de Ingresos y el proyecto de Presupuesto de Egresos de las Entidades Federativas deben de elaborarse conforme a lo dispuesto en la Ley General de Contabilidad Gubernamental y en las normas del Consejo Nacional de Armonización Contable (CONAC). Además de lo anterior, para que proceda la aprobación del paquete económico por parte del Congreso Estatal, dicho paquete deberá incluir, entre otras cosas, lo siguiente:</w:t>
      </w:r>
    </w:p>
    <w:p w:rsidR="00E23519" w:rsidRPr="008464D7" w:rsidRDefault="00E23519" w:rsidP="00E23519">
      <w:pPr>
        <w:spacing w:line="240" w:lineRule="auto"/>
        <w:jc w:val="both"/>
        <w:rPr>
          <w:rFonts w:ascii="Arial" w:hAnsi="Arial" w:cs="Arial"/>
          <w:i/>
          <w:sz w:val="24"/>
          <w:szCs w:val="24"/>
        </w:rPr>
      </w:pPr>
      <w:r w:rsidRPr="008464D7">
        <w:rPr>
          <w:rFonts w:ascii="Arial" w:hAnsi="Arial" w:cs="Arial"/>
          <w:i/>
          <w:sz w:val="24"/>
          <w:szCs w:val="24"/>
        </w:rPr>
        <w:t xml:space="preserve"> “IV. Un estudio actuarial de las pensiones de sus trabajadores, el cual como mínimo deberá actualizarse cada tres años. El estudio deberá incluir la población afiliada, la edad promedio, las características de las prestaciones otorgadas por la Ley aplicable, el monto de reservas de pensiones, así como el periodo de suficiencia y el balance actuarial en valor presente.”</w:t>
      </w:r>
    </w:p>
    <w:p w:rsidR="00E23519" w:rsidRPr="008464D7" w:rsidRDefault="00E23519" w:rsidP="00E23519">
      <w:pPr>
        <w:spacing w:line="240" w:lineRule="auto"/>
        <w:jc w:val="both"/>
        <w:rPr>
          <w:rFonts w:ascii="Arial" w:hAnsi="Arial" w:cs="Arial"/>
          <w:sz w:val="24"/>
          <w:szCs w:val="24"/>
        </w:rPr>
      </w:pPr>
      <w:r w:rsidRPr="008464D7">
        <w:rPr>
          <w:rFonts w:ascii="Arial" w:hAnsi="Arial" w:cs="Arial"/>
          <w:sz w:val="24"/>
          <w:szCs w:val="24"/>
        </w:rPr>
        <w:t xml:space="preserve">El sistema de pensiones y prestaciones contingentes del Estado de Colima otorga, en términos generales, jubilaciones a los 30 años de antigüedad para los hombres y 28 años de antigüedad para las mujeres con tope de 16 salarios mínimos y pensiones por vejez a los 60 años de edad con al menos 15 años de servicio. Otros beneficios dentro del sistema de pensiones son: pensiones por invalidez (con al menos 15 años de antigüedad), incapacidad, viudez por causas de trabajo (con al menos 15 años de antigüedad). </w:t>
      </w:r>
    </w:p>
    <w:p w:rsidR="00E23519" w:rsidRPr="008464D7" w:rsidRDefault="00E23519" w:rsidP="00E23519">
      <w:pPr>
        <w:spacing w:line="240" w:lineRule="auto"/>
        <w:jc w:val="both"/>
        <w:rPr>
          <w:rFonts w:ascii="Arial" w:hAnsi="Arial" w:cs="Arial"/>
          <w:sz w:val="24"/>
          <w:szCs w:val="24"/>
        </w:rPr>
      </w:pPr>
      <w:r w:rsidRPr="008464D7">
        <w:rPr>
          <w:rFonts w:ascii="Arial" w:hAnsi="Arial" w:cs="Arial"/>
          <w:sz w:val="24"/>
          <w:szCs w:val="24"/>
        </w:rPr>
        <w:t>De los resultados de la valuación actuarial, con corte al 31 de octubre de 2016 y considerando una tasa real de rendimiento del 3.0%, podemos concluir lo siguiente:</w:t>
      </w:r>
    </w:p>
    <w:p w:rsidR="00E23519" w:rsidRPr="008464D7" w:rsidRDefault="00E23519" w:rsidP="00E23519">
      <w:pPr>
        <w:spacing w:line="240" w:lineRule="auto"/>
        <w:jc w:val="both"/>
        <w:rPr>
          <w:rFonts w:ascii="Arial" w:hAnsi="Arial" w:cs="Arial"/>
          <w:sz w:val="24"/>
          <w:szCs w:val="24"/>
        </w:rPr>
      </w:pPr>
      <w:r w:rsidRPr="008464D7">
        <w:rPr>
          <w:rFonts w:ascii="Arial" w:hAnsi="Arial" w:cs="Arial"/>
          <w:sz w:val="24"/>
          <w:szCs w:val="24"/>
        </w:rPr>
        <w:t xml:space="preserve"> </w:t>
      </w:r>
      <w:r w:rsidRPr="008464D7">
        <w:rPr>
          <w:rFonts w:ascii="Arial" w:hAnsi="Arial" w:cs="Arial"/>
          <w:sz w:val="24"/>
          <w:szCs w:val="24"/>
        </w:rPr>
        <w:sym w:font="Symbol" w:char="F0B7"/>
      </w:r>
      <w:r w:rsidRPr="008464D7">
        <w:rPr>
          <w:rFonts w:ascii="Arial" w:hAnsi="Arial" w:cs="Arial"/>
          <w:sz w:val="24"/>
          <w:szCs w:val="24"/>
        </w:rPr>
        <w:t xml:space="preserve"> No se cuenta con reserva alguna para hacer frente a las obligaciones al sistema de pensiones.</w:t>
      </w:r>
    </w:p>
    <w:p w:rsidR="00E23519" w:rsidRPr="008464D7" w:rsidRDefault="00E23519" w:rsidP="00E23519">
      <w:pPr>
        <w:spacing w:line="240" w:lineRule="auto"/>
        <w:jc w:val="both"/>
        <w:rPr>
          <w:rFonts w:ascii="Arial" w:hAnsi="Arial" w:cs="Arial"/>
          <w:sz w:val="24"/>
          <w:szCs w:val="24"/>
        </w:rPr>
      </w:pPr>
      <w:r w:rsidRPr="008464D7">
        <w:rPr>
          <w:rFonts w:ascii="Arial" w:hAnsi="Arial" w:cs="Arial"/>
          <w:sz w:val="24"/>
          <w:szCs w:val="24"/>
        </w:rPr>
        <w:t xml:space="preserve"> </w:t>
      </w:r>
      <w:r w:rsidRPr="008464D7">
        <w:rPr>
          <w:rFonts w:ascii="Arial" w:hAnsi="Arial" w:cs="Arial"/>
          <w:sz w:val="24"/>
          <w:szCs w:val="24"/>
        </w:rPr>
        <w:sym w:font="Symbol" w:char="F0B7"/>
      </w:r>
      <w:r w:rsidRPr="008464D7">
        <w:rPr>
          <w:rFonts w:ascii="Arial" w:hAnsi="Arial" w:cs="Arial"/>
          <w:sz w:val="24"/>
          <w:szCs w:val="24"/>
        </w:rPr>
        <w:t xml:space="preserve"> El valor presente de obligaciones es de $63,199 millones</w:t>
      </w:r>
    </w:p>
    <w:p w:rsidR="00E23519" w:rsidRPr="008464D7" w:rsidRDefault="00E23519" w:rsidP="00E23519">
      <w:pPr>
        <w:spacing w:line="240" w:lineRule="auto"/>
        <w:jc w:val="both"/>
        <w:rPr>
          <w:rFonts w:ascii="Arial" w:hAnsi="Arial" w:cs="Arial"/>
          <w:sz w:val="24"/>
          <w:szCs w:val="24"/>
        </w:rPr>
      </w:pPr>
      <w:r w:rsidRPr="008464D7">
        <w:rPr>
          <w:rFonts w:ascii="Arial" w:hAnsi="Arial" w:cs="Arial"/>
          <w:sz w:val="24"/>
          <w:szCs w:val="24"/>
        </w:rPr>
        <w:sym w:font="Symbol" w:char="F0B7"/>
      </w:r>
      <w:r w:rsidRPr="008464D7">
        <w:rPr>
          <w:rFonts w:ascii="Arial" w:hAnsi="Arial" w:cs="Arial"/>
          <w:sz w:val="24"/>
          <w:szCs w:val="24"/>
        </w:rPr>
        <w:t xml:space="preserve"> El déficit actuarial sería de $63,199 millones. </w:t>
      </w:r>
    </w:p>
    <w:p w:rsidR="00E23519" w:rsidRPr="008464D7" w:rsidRDefault="00E23519" w:rsidP="00E23519">
      <w:pPr>
        <w:spacing w:line="240" w:lineRule="auto"/>
        <w:jc w:val="both"/>
        <w:rPr>
          <w:rFonts w:ascii="Arial" w:hAnsi="Arial" w:cs="Arial"/>
          <w:sz w:val="24"/>
          <w:szCs w:val="24"/>
        </w:rPr>
      </w:pPr>
      <w:r w:rsidRPr="008464D7">
        <w:rPr>
          <w:rFonts w:ascii="Arial" w:hAnsi="Arial" w:cs="Arial"/>
          <w:sz w:val="24"/>
          <w:szCs w:val="24"/>
        </w:rPr>
        <w:sym w:font="Symbol" w:char="F0B7"/>
      </w:r>
      <w:r w:rsidRPr="008464D7">
        <w:rPr>
          <w:rFonts w:ascii="Arial" w:hAnsi="Arial" w:cs="Arial"/>
          <w:sz w:val="24"/>
          <w:szCs w:val="24"/>
        </w:rPr>
        <w:t xml:space="preserve"> El periodo de descapitalización es a partir de 2017. </w:t>
      </w:r>
    </w:p>
    <w:p w:rsidR="00E23519" w:rsidRPr="008464D7" w:rsidRDefault="00E23519" w:rsidP="00E23519">
      <w:pPr>
        <w:spacing w:line="240" w:lineRule="auto"/>
        <w:jc w:val="both"/>
        <w:rPr>
          <w:rFonts w:ascii="Arial" w:hAnsi="Arial" w:cs="Arial"/>
          <w:sz w:val="24"/>
          <w:szCs w:val="24"/>
        </w:rPr>
      </w:pPr>
      <w:r w:rsidRPr="008464D7">
        <w:rPr>
          <w:rFonts w:ascii="Arial" w:hAnsi="Arial" w:cs="Arial"/>
          <w:sz w:val="24"/>
          <w:szCs w:val="24"/>
        </w:rPr>
        <w:sym w:font="Symbol" w:char="F0B7"/>
      </w:r>
      <w:r w:rsidRPr="008464D7">
        <w:rPr>
          <w:rFonts w:ascii="Arial" w:hAnsi="Arial" w:cs="Arial"/>
          <w:sz w:val="24"/>
          <w:szCs w:val="24"/>
        </w:rPr>
        <w:t xml:space="preserve"> Dado la anterior, para hacer frente a las obligaciones actuales y futuras del sistema de pensiones, se requiere una aportación del 76.37% de la nómina integrada del personal activo.</w:t>
      </w:r>
    </w:p>
    <w:p w:rsidR="00E23519" w:rsidRPr="008464D7" w:rsidRDefault="00E23519" w:rsidP="00E23519">
      <w:pPr>
        <w:spacing w:line="240" w:lineRule="auto"/>
        <w:jc w:val="both"/>
        <w:rPr>
          <w:rFonts w:ascii="Arial" w:hAnsi="Arial" w:cs="Arial"/>
          <w:sz w:val="24"/>
          <w:szCs w:val="24"/>
        </w:rPr>
      </w:pPr>
      <w:r w:rsidRPr="008464D7">
        <w:rPr>
          <w:rFonts w:ascii="Arial" w:hAnsi="Arial" w:cs="Arial"/>
          <w:sz w:val="24"/>
          <w:szCs w:val="24"/>
        </w:rPr>
        <w:t>A continuación se presenta el flujo de egresos, ingresos y saldos así como la gráfica de egresos e ingresos comparada contra la nómina integrada del personal activo:</w:t>
      </w:r>
    </w:p>
    <w:p w:rsidR="00E23519" w:rsidRPr="008464D7" w:rsidRDefault="00E23519" w:rsidP="00E23519">
      <w:pPr>
        <w:spacing w:line="240" w:lineRule="auto"/>
        <w:jc w:val="both"/>
        <w:rPr>
          <w:rFonts w:ascii="Arial" w:hAnsi="Arial" w:cs="Arial"/>
          <w:sz w:val="24"/>
          <w:szCs w:val="24"/>
          <w:lang w:val="es-ES"/>
        </w:rPr>
      </w:pPr>
      <w:r w:rsidRPr="008464D7">
        <w:rPr>
          <w:rFonts w:ascii="Arial" w:hAnsi="Arial" w:cs="Arial"/>
          <w:noProof/>
          <w:sz w:val="24"/>
          <w:szCs w:val="24"/>
        </w:rPr>
        <w:lastRenderedPageBreak/>
        <w:drawing>
          <wp:inline distT="0" distB="0" distL="0" distR="0" wp14:anchorId="0866BC9B" wp14:editId="685E410D">
            <wp:extent cx="5848350" cy="4762500"/>
            <wp:effectExtent l="1905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srcRect/>
                    <a:stretch>
                      <a:fillRect/>
                    </a:stretch>
                  </pic:blipFill>
                  <pic:spPr bwMode="auto">
                    <a:xfrm>
                      <a:off x="0" y="0"/>
                      <a:ext cx="5849461" cy="4763405"/>
                    </a:xfrm>
                    <a:prstGeom prst="rect">
                      <a:avLst/>
                    </a:prstGeom>
                    <a:noFill/>
                    <a:ln w="9525">
                      <a:noFill/>
                      <a:miter lim="800000"/>
                      <a:headEnd/>
                      <a:tailEnd/>
                    </a:ln>
                  </pic:spPr>
                </pic:pic>
              </a:graphicData>
            </a:graphic>
          </wp:inline>
        </w:drawing>
      </w:r>
    </w:p>
    <w:p w:rsidR="00E23519" w:rsidRPr="008464D7" w:rsidRDefault="00E23519" w:rsidP="00E23519">
      <w:pPr>
        <w:spacing w:line="240" w:lineRule="auto"/>
        <w:jc w:val="both"/>
        <w:rPr>
          <w:rFonts w:ascii="Arial" w:hAnsi="Arial" w:cs="Arial"/>
          <w:sz w:val="24"/>
          <w:szCs w:val="24"/>
          <w:lang w:val="es-ES"/>
        </w:rPr>
      </w:pPr>
    </w:p>
    <w:p w:rsidR="00E23519" w:rsidRPr="008464D7" w:rsidRDefault="00E23519" w:rsidP="00E23519">
      <w:pPr>
        <w:spacing w:line="240" w:lineRule="auto"/>
        <w:jc w:val="both"/>
        <w:rPr>
          <w:rFonts w:ascii="Arial" w:hAnsi="Arial" w:cs="Arial"/>
          <w:sz w:val="24"/>
          <w:szCs w:val="24"/>
          <w:lang w:val="es-ES"/>
        </w:rPr>
      </w:pPr>
    </w:p>
    <w:p w:rsidR="00E23519" w:rsidRPr="008464D7" w:rsidRDefault="00E23519" w:rsidP="00E23519">
      <w:pPr>
        <w:spacing w:line="240" w:lineRule="auto"/>
        <w:jc w:val="both"/>
        <w:rPr>
          <w:rFonts w:ascii="Arial" w:hAnsi="Arial" w:cs="Arial"/>
          <w:sz w:val="24"/>
          <w:szCs w:val="24"/>
          <w:lang w:val="es-ES"/>
        </w:rPr>
      </w:pPr>
    </w:p>
    <w:p w:rsidR="00E23519" w:rsidRPr="008464D7" w:rsidRDefault="00E23519" w:rsidP="00E23519">
      <w:pPr>
        <w:spacing w:line="240" w:lineRule="auto"/>
        <w:jc w:val="both"/>
        <w:rPr>
          <w:rFonts w:ascii="Arial" w:hAnsi="Arial" w:cs="Arial"/>
          <w:sz w:val="24"/>
          <w:szCs w:val="24"/>
          <w:lang w:val="es-ES"/>
        </w:rPr>
      </w:pPr>
    </w:p>
    <w:p w:rsidR="00E23519" w:rsidRPr="008464D7" w:rsidRDefault="00E23519" w:rsidP="00E23519">
      <w:pPr>
        <w:spacing w:line="240" w:lineRule="auto"/>
        <w:jc w:val="both"/>
        <w:rPr>
          <w:rFonts w:ascii="Arial" w:hAnsi="Arial" w:cs="Arial"/>
          <w:sz w:val="24"/>
          <w:szCs w:val="24"/>
          <w:lang w:val="es-ES"/>
        </w:rPr>
      </w:pPr>
    </w:p>
    <w:p w:rsidR="00E23519" w:rsidRPr="008464D7" w:rsidRDefault="00E23519" w:rsidP="00E23519">
      <w:pPr>
        <w:spacing w:line="240" w:lineRule="auto"/>
        <w:jc w:val="both"/>
        <w:rPr>
          <w:rFonts w:ascii="Arial" w:hAnsi="Arial" w:cs="Arial"/>
          <w:sz w:val="24"/>
          <w:szCs w:val="24"/>
          <w:lang w:val="es-ES"/>
        </w:rPr>
      </w:pPr>
    </w:p>
    <w:p w:rsidR="00E23519" w:rsidRPr="008464D7" w:rsidRDefault="00E23519" w:rsidP="00E23519">
      <w:pPr>
        <w:spacing w:line="240" w:lineRule="auto"/>
        <w:jc w:val="both"/>
        <w:rPr>
          <w:rFonts w:ascii="Arial" w:hAnsi="Arial" w:cs="Arial"/>
          <w:sz w:val="24"/>
          <w:szCs w:val="24"/>
          <w:lang w:val="es-ES"/>
        </w:rPr>
      </w:pPr>
    </w:p>
    <w:p w:rsidR="00E23519" w:rsidRPr="008464D7" w:rsidRDefault="00E23519" w:rsidP="00E23519">
      <w:pPr>
        <w:spacing w:line="240" w:lineRule="auto"/>
        <w:jc w:val="both"/>
        <w:rPr>
          <w:rFonts w:ascii="Arial" w:hAnsi="Arial" w:cs="Arial"/>
          <w:sz w:val="24"/>
          <w:szCs w:val="24"/>
          <w:lang w:val="es-ES"/>
        </w:rPr>
      </w:pPr>
      <w:r w:rsidRPr="008464D7">
        <w:rPr>
          <w:rFonts w:ascii="Arial" w:hAnsi="Arial" w:cs="Arial"/>
          <w:noProof/>
          <w:sz w:val="24"/>
          <w:szCs w:val="24"/>
        </w:rPr>
        <w:lastRenderedPageBreak/>
        <w:drawing>
          <wp:inline distT="0" distB="0" distL="0" distR="0" wp14:anchorId="02F27927" wp14:editId="2B1E7016">
            <wp:extent cx="5612130" cy="3585772"/>
            <wp:effectExtent l="19050" t="0" r="7620" b="0"/>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srcRect/>
                    <a:stretch>
                      <a:fillRect/>
                    </a:stretch>
                  </pic:blipFill>
                  <pic:spPr bwMode="auto">
                    <a:xfrm>
                      <a:off x="0" y="0"/>
                      <a:ext cx="5612130" cy="3585772"/>
                    </a:xfrm>
                    <a:prstGeom prst="rect">
                      <a:avLst/>
                    </a:prstGeom>
                    <a:noFill/>
                    <a:ln w="9525">
                      <a:noFill/>
                      <a:miter lim="800000"/>
                      <a:headEnd/>
                      <a:tailEnd/>
                    </a:ln>
                  </pic:spPr>
                </pic:pic>
              </a:graphicData>
            </a:graphic>
          </wp:inline>
        </w:drawing>
      </w:r>
    </w:p>
    <w:p w:rsidR="00E23519" w:rsidRPr="008464D7" w:rsidRDefault="00E23519" w:rsidP="00E23519">
      <w:pPr>
        <w:spacing w:line="240" w:lineRule="auto"/>
        <w:jc w:val="both"/>
        <w:rPr>
          <w:rFonts w:ascii="Arial" w:hAnsi="Arial" w:cs="Arial"/>
          <w:sz w:val="24"/>
          <w:szCs w:val="24"/>
        </w:rPr>
      </w:pPr>
      <w:r w:rsidRPr="008464D7">
        <w:rPr>
          <w:rFonts w:ascii="Arial" w:hAnsi="Arial" w:cs="Arial"/>
          <w:sz w:val="24"/>
          <w:szCs w:val="24"/>
        </w:rPr>
        <w:t>A continuación, se presenta un resumen de los recursos ejercidos en materia de pensiones y jubilaciones durante el periodo 2012 – 2015, así como las erogaciones que se han ejercidos para dichos conceptos en el ejercicio fiscal 2016, y los estimados 2017.</w:t>
      </w:r>
    </w:p>
    <w:p w:rsidR="00E23519" w:rsidRPr="008464D7" w:rsidRDefault="00E23519" w:rsidP="00E23519">
      <w:pPr>
        <w:spacing w:line="240" w:lineRule="auto"/>
        <w:jc w:val="both"/>
        <w:rPr>
          <w:rFonts w:ascii="Arial" w:hAnsi="Arial" w:cs="Arial"/>
          <w:sz w:val="24"/>
          <w:szCs w:val="24"/>
        </w:rPr>
      </w:pPr>
      <w:r w:rsidRPr="00D743F3">
        <w:rPr>
          <w:noProof/>
        </w:rPr>
        <w:drawing>
          <wp:inline distT="0" distB="0" distL="0" distR="0" wp14:anchorId="49BEC832" wp14:editId="37130C98">
            <wp:extent cx="5612130" cy="1730778"/>
            <wp:effectExtent l="0" t="0" r="7620" b="317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12130" cy="1730778"/>
                    </a:xfrm>
                    <a:prstGeom prst="rect">
                      <a:avLst/>
                    </a:prstGeom>
                    <a:noFill/>
                    <a:ln>
                      <a:noFill/>
                    </a:ln>
                  </pic:spPr>
                </pic:pic>
              </a:graphicData>
            </a:graphic>
          </wp:inline>
        </w:drawing>
      </w:r>
    </w:p>
    <w:p w:rsidR="00E23519" w:rsidRPr="008464D7" w:rsidRDefault="00E23519" w:rsidP="00E23519">
      <w:pPr>
        <w:pStyle w:val="Texto"/>
        <w:spacing w:after="0" w:line="240" w:lineRule="auto"/>
        <w:ind w:firstLine="0"/>
        <w:jc w:val="center"/>
        <w:rPr>
          <w:b/>
          <w:sz w:val="24"/>
          <w:szCs w:val="24"/>
          <w:lang w:val="es-MX"/>
        </w:rPr>
      </w:pPr>
    </w:p>
    <w:p w:rsidR="00E23519" w:rsidRPr="008464D7" w:rsidRDefault="00E23519" w:rsidP="00E23519">
      <w:pPr>
        <w:pStyle w:val="Texto"/>
        <w:spacing w:after="0" w:line="240" w:lineRule="auto"/>
        <w:ind w:firstLine="0"/>
        <w:jc w:val="center"/>
        <w:rPr>
          <w:b/>
          <w:sz w:val="24"/>
          <w:szCs w:val="24"/>
          <w:lang w:val="es-MX"/>
        </w:rPr>
      </w:pPr>
    </w:p>
    <w:p w:rsidR="00E23519" w:rsidRPr="008464D7" w:rsidRDefault="00E23519" w:rsidP="00E23519">
      <w:pPr>
        <w:pStyle w:val="Texto"/>
        <w:spacing w:after="0" w:line="240" w:lineRule="auto"/>
        <w:ind w:firstLine="0"/>
        <w:jc w:val="center"/>
        <w:rPr>
          <w:b/>
          <w:sz w:val="24"/>
          <w:szCs w:val="24"/>
          <w:lang w:val="es-MX"/>
        </w:rPr>
      </w:pPr>
    </w:p>
    <w:p w:rsidR="00E23519" w:rsidRDefault="00E23519" w:rsidP="00E23519">
      <w:pPr>
        <w:pStyle w:val="Texto"/>
        <w:spacing w:after="0" w:line="240" w:lineRule="auto"/>
        <w:ind w:firstLine="0"/>
        <w:jc w:val="center"/>
        <w:rPr>
          <w:b/>
          <w:sz w:val="24"/>
          <w:szCs w:val="24"/>
          <w:lang w:val="es-MX"/>
        </w:rPr>
      </w:pPr>
    </w:p>
    <w:p w:rsidR="00F578EE" w:rsidRPr="008464D7" w:rsidRDefault="00F578EE" w:rsidP="00E23519">
      <w:pPr>
        <w:pStyle w:val="Texto"/>
        <w:spacing w:after="0" w:line="240" w:lineRule="auto"/>
        <w:ind w:firstLine="0"/>
        <w:jc w:val="center"/>
        <w:rPr>
          <w:b/>
          <w:sz w:val="24"/>
          <w:szCs w:val="24"/>
          <w:lang w:val="es-MX"/>
        </w:rPr>
      </w:pPr>
    </w:p>
    <w:p w:rsidR="00E23519" w:rsidRPr="008464D7" w:rsidRDefault="00E23519" w:rsidP="00E23519">
      <w:pPr>
        <w:pStyle w:val="Texto"/>
        <w:spacing w:after="0" w:line="240" w:lineRule="auto"/>
        <w:ind w:firstLine="0"/>
        <w:jc w:val="left"/>
        <w:rPr>
          <w:b/>
          <w:sz w:val="24"/>
          <w:szCs w:val="24"/>
        </w:rPr>
      </w:pPr>
      <w:r w:rsidRPr="008464D7">
        <w:rPr>
          <w:b/>
          <w:sz w:val="24"/>
          <w:szCs w:val="24"/>
          <w:lang w:val="es-MX"/>
        </w:rPr>
        <w:lastRenderedPageBreak/>
        <w:t>2.6.</w:t>
      </w:r>
      <w:r w:rsidRPr="008464D7">
        <w:rPr>
          <w:sz w:val="24"/>
          <w:szCs w:val="24"/>
          <w:lang w:val="es-MX"/>
        </w:rPr>
        <w:t xml:space="preserve"> </w:t>
      </w:r>
      <w:r w:rsidRPr="008464D7">
        <w:rPr>
          <w:b/>
          <w:sz w:val="24"/>
          <w:szCs w:val="24"/>
        </w:rPr>
        <w:t>EL BALANCE PRESUPUESTARIO Y SU JUSTIFICACIÓN.</w:t>
      </w:r>
    </w:p>
    <w:p w:rsidR="00E23519" w:rsidRPr="008464D7" w:rsidRDefault="00E23519" w:rsidP="00E23519">
      <w:pPr>
        <w:pStyle w:val="Texto"/>
        <w:spacing w:after="0" w:line="240" w:lineRule="auto"/>
        <w:ind w:left="360" w:firstLine="0"/>
        <w:jc w:val="center"/>
        <w:rPr>
          <w:b/>
          <w:sz w:val="24"/>
          <w:szCs w:val="24"/>
        </w:rPr>
      </w:pPr>
    </w:p>
    <w:p w:rsidR="00E23519" w:rsidRPr="008464D7" w:rsidRDefault="00E23519" w:rsidP="00E23519">
      <w:pPr>
        <w:pStyle w:val="Texto"/>
        <w:spacing w:after="0" w:line="240" w:lineRule="auto"/>
        <w:ind w:firstLine="0"/>
        <w:rPr>
          <w:sz w:val="24"/>
          <w:szCs w:val="24"/>
        </w:rPr>
      </w:pPr>
      <w:r w:rsidRPr="008464D7">
        <w:rPr>
          <w:sz w:val="24"/>
          <w:szCs w:val="24"/>
        </w:rPr>
        <w:t>De acuerdo a lo previsto en el artículo 2 fracción II y III de la Ley de Disciplina Financiera de Entidades Federativas y los Municipios se define al Balance Presupuestario y al Balance Presupuestario de Recursos Disponibles de la manera siguiente:</w:t>
      </w:r>
    </w:p>
    <w:p w:rsidR="00E23519" w:rsidRPr="008464D7" w:rsidRDefault="00E23519" w:rsidP="00E23519">
      <w:pPr>
        <w:pStyle w:val="Texto"/>
        <w:spacing w:after="0" w:line="240" w:lineRule="auto"/>
        <w:ind w:firstLine="0"/>
        <w:rPr>
          <w:b/>
          <w:color w:val="000000"/>
          <w:sz w:val="24"/>
          <w:szCs w:val="24"/>
        </w:rPr>
      </w:pPr>
    </w:p>
    <w:p w:rsidR="00E23519" w:rsidRPr="008464D7" w:rsidRDefault="00E23519" w:rsidP="00E23519">
      <w:pPr>
        <w:pStyle w:val="Texto"/>
        <w:spacing w:after="0" w:line="240" w:lineRule="auto"/>
        <w:ind w:firstLine="0"/>
        <w:rPr>
          <w:i/>
          <w:color w:val="000000"/>
          <w:sz w:val="24"/>
          <w:szCs w:val="24"/>
        </w:rPr>
      </w:pPr>
      <w:r w:rsidRPr="008464D7">
        <w:rPr>
          <w:b/>
          <w:i/>
          <w:color w:val="000000"/>
          <w:sz w:val="24"/>
          <w:szCs w:val="24"/>
        </w:rPr>
        <w:t>“…II. Balance presupuestario</w:t>
      </w:r>
      <w:r w:rsidRPr="008464D7">
        <w:rPr>
          <w:i/>
          <w:color w:val="000000"/>
          <w:sz w:val="24"/>
          <w:szCs w:val="24"/>
        </w:rPr>
        <w:t>: la diferencia entre los Ingresos totales incluidos en la Ley de Ingresos, y los Gastos totales considerados en el Presupuesto de Egresos, con excepción de la amortización de la deuda;</w:t>
      </w:r>
    </w:p>
    <w:p w:rsidR="00E23519" w:rsidRPr="008464D7" w:rsidRDefault="00E23519" w:rsidP="00E23519">
      <w:pPr>
        <w:pStyle w:val="Texto"/>
        <w:spacing w:after="0" w:line="240" w:lineRule="auto"/>
        <w:rPr>
          <w:i/>
          <w:color w:val="000000"/>
          <w:sz w:val="24"/>
          <w:szCs w:val="24"/>
        </w:rPr>
      </w:pPr>
    </w:p>
    <w:p w:rsidR="00E23519" w:rsidRPr="008464D7" w:rsidRDefault="00E23519" w:rsidP="00E23519">
      <w:pPr>
        <w:spacing w:line="240" w:lineRule="auto"/>
        <w:jc w:val="both"/>
        <w:rPr>
          <w:rFonts w:ascii="Arial" w:hAnsi="Arial" w:cs="Arial"/>
          <w:i/>
          <w:sz w:val="24"/>
          <w:szCs w:val="24"/>
        </w:rPr>
      </w:pPr>
      <w:r w:rsidRPr="008464D7">
        <w:rPr>
          <w:rFonts w:ascii="Arial" w:hAnsi="Arial" w:cs="Arial"/>
          <w:b/>
          <w:i/>
          <w:sz w:val="24"/>
          <w:szCs w:val="24"/>
        </w:rPr>
        <w:t>III. Balance presupuestario de recursos disponibles:</w:t>
      </w:r>
      <w:r w:rsidRPr="008464D7">
        <w:rPr>
          <w:rFonts w:ascii="Arial" w:hAnsi="Arial" w:cs="Arial"/>
          <w:i/>
          <w:sz w:val="24"/>
          <w:szCs w:val="24"/>
        </w:rPr>
        <w:t xml:space="preserve"> la diferencia entre los Ingresos de libre disposición, incluidos en la Ley de Ingresos, más el Financiamiento Neto y los Gastos no etiquetados considerados en el Presupuesto de Egresos, con excepción de la amortización de la deuda…”</w:t>
      </w:r>
    </w:p>
    <w:p w:rsidR="00E23519" w:rsidRPr="008464D7" w:rsidRDefault="00E23519" w:rsidP="00E23519">
      <w:pPr>
        <w:spacing w:line="240" w:lineRule="auto"/>
        <w:jc w:val="both"/>
        <w:rPr>
          <w:rFonts w:ascii="Arial" w:hAnsi="Arial" w:cs="Arial"/>
          <w:sz w:val="24"/>
          <w:szCs w:val="24"/>
        </w:rPr>
      </w:pPr>
      <w:r w:rsidRPr="008464D7">
        <w:rPr>
          <w:rFonts w:ascii="Arial" w:hAnsi="Arial" w:cs="Arial"/>
          <w:sz w:val="24"/>
          <w:szCs w:val="24"/>
        </w:rPr>
        <w:t>Diferentes situaciones pueden generar desbalances fiscales:</w:t>
      </w:r>
    </w:p>
    <w:p w:rsidR="00E23519" w:rsidRPr="008464D7" w:rsidRDefault="00E23519" w:rsidP="00E23519">
      <w:pPr>
        <w:pStyle w:val="Texto"/>
        <w:spacing w:after="0" w:line="240" w:lineRule="auto"/>
        <w:ind w:firstLine="0"/>
        <w:rPr>
          <w:sz w:val="24"/>
          <w:szCs w:val="24"/>
        </w:rPr>
      </w:pPr>
      <w:r w:rsidRPr="008464D7">
        <w:rPr>
          <w:sz w:val="24"/>
          <w:szCs w:val="24"/>
        </w:rPr>
        <w:t xml:space="preserve">No atender debidamente a lo que está ocurriendo en el escenario económico puede afectar la estabilidad fiscal en la forma de desbalances entre ingresos y gastos; y cuando estos desbalances son significativos y frecuentes en el tiempo se crea un ambiente de indisciplina fiscal. </w:t>
      </w:r>
    </w:p>
    <w:p w:rsidR="00E23519" w:rsidRPr="008464D7" w:rsidRDefault="00E23519" w:rsidP="00E23519">
      <w:pPr>
        <w:pStyle w:val="Texto"/>
        <w:spacing w:after="0" w:line="240" w:lineRule="auto"/>
        <w:ind w:firstLine="0"/>
        <w:rPr>
          <w:sz w:val="24"/>
          <w:szCs w:val="24"/>
        </w:rPr>
      </w:pPr>
    </w:p>
    <w:p w:rsidR="00E23519" w:rsidRPr="008464D7" w:rsidRDefault="00E23519" w:rsidP="00E23519">
      <w:pPr>
        <w:pStyle w:val="Texto"/>
        <w:spacing w:after="0" w:line="240" w:lineRule="auto"/>
        <w:ind w:firstLine="0"/>
        <w:rPr>
          <w:i/>
          <w:sz w:val="24"/>
          <w:szCs w:val="24"/>
        </w:rPr>
      </w:pPr>
      <w:r w:rsidRPr="008464D7">
        <w:rPr>
          <w:b/>
          <w:i/>
          <w:color w:val="000000"/>
          <w:sz w:val="24"/>
          <w:szCs w:val="24"/>
        </w:rPr>
        <w:t>“</w:t>
      </w:r>
      <w:r w:rsidRPr="008464D7">
        <w:rPr>
          <w:i/>
          <w:sz w:val="24"/>
          <w:szCs w:val="24"/>
        </w:rPr>
        <w:t>El deterioro de los presupuestos como instrumento de la política fiscal y de asignación de los recursos públicos refleja la incapacidad del gobierno y del sistema político para adaptar sus demandas y sus prioridades a las disponibilidades permanentes de ingresos públicos.” Gestión para Resultados en el Desarrollo en Gobiernos Subnacionales. BID 2011.)</w:t>
      </w:r>
    </w:p>
    <w:p w:rsidR="00E23519" w:rsidRPr="008464D7" w:rsidRDefault="00E23519" w:rsidP="00E23519">
      <w:pPr>
        <w:pStyle w:val="Texto"/>
        <w:spacing w:after="0" w:line="240" w:lineRule="auto"/>
        <w:ind w:firstLine="0"/>
        <w:rPr>
          <w:rFonts w:asciiTheme="minorHAnsi" w:eastAsiaTheme="minorHAnsi" w:hAnsiTheme="minorHAnsi" w:cstheme="minorBidi"/>
          <w:b/>
          <w:i/>
          <w:sz w:val="24"/>
          <w:szCs w:val="24"/>
          <w:lang w:eastAsia="en-US"/>
        </w:rPr>
      </w:pPr>
    </w:p>
    <w:p w:rsidR="00E23519" w:rsidRPr="008464D7" w:rsidRDefault="00E23519" w:rsidP="00E23519">
      <w:pPr>
        <w:pStyle w:val="Texto"/>
        <w:spacing w:after="0" w:line="240" w:lineRule="auto"/>
        <w:ind w:firstLine="0"/>
        <w:rPr>
          <w:sz w:val="24"/>
          <w:szCs w:val="24"/>
        </w:rPr>
      </w:pPr>
      <w:r w:rsidRPr="008464D7">
        <w:rPr>
          <w:sz w:val="24"/>
          <w:szCs w:val="24"/>
        </w:rPr>
        <w:t>Si los presupuestos encuentran dificultades para adecuarse a las condiciones económicas menos favorables que provocan la disminución de los ingresos públicos, y no se efectúan todos los ajustes en el gasto que requiere la búsqueda de equilibrio;</w:t>
      </w:r>
    </w:p>
    <w:p w:rsidR="00E23519" w:rsidRPr="008464D7" w:rsidRDefault="00E23519" w:rsidP="00E23519">
      <w:pPr>
        <w:pStyle w:val="Texto"/>
        <w:spacing w:after="0" w:line="240" w:lineRule="auto"/>
        <w:ind w:firstLine="0"/>
        <w:rPr>
          <w:sz w:val="24"/>
          <w:szCs w:val="24"/>
        </w:rPr>
      </w:pPr>
    </w:p>
    <w:p w:rsidR="00E23519" w:rsidRPr="008464D7" w:rsidRDefault="00E23519" w:rsidP="00E23519">
      <w:pPr>
        <w:pStyle w:val="Texto"/>
        <w:spacing w:after="0" w:line="240" w:lineRule="auto"/>
        <w:ind w:firstLine="0"/>
        <w:rPr>
          <w:sz w:val="24"/>
          <w:szCs w:val="24"/>
        </w:rPr>
      </w:pPr>
      <w:r w:rsidRPr="008464D7">
        <w:rPr>
          <w:sz w:val="24"/>
          <w:szCs w:val="24"/>
        </w:rPr>
        <w:t>Cuando las estimaciones presupuestarias de ingresos son demasiado optimistas en realidades de menor crecimiento o de decrecimiento económico, lo que deriva en ingresos efectivos que no cubren los gastos comprometidos;</w:t>
      </w:r>
    </w:p>
    <w:p w:rsidR="00E23519" w:rsidRPr="008464D7" w:rsidRDefault="00E23519" w:rsidP="00E23519">
      <w:pPr>
        <w:pStyle w:val="Texto"/>
        <w:spacing w:after="0" w:line="240" w:lineRule="auto"/>
        <w:ind w:firstLine="0"/>
        <w:rPr>
          <w:sz w:val="24"/>
          <w:szCs w:val="24"/>
        </w:rPr>
      </w:pPr>
    </w:p>
    <w:p w:rsidR="00E23519" w:rsidRPr="008464D7" w:rsidRDefault="00E23519" w:rsidP="00E23519">
      <w:pPr>
        <w:pStyle w:val="Texto"/>
        <w:spacing w:after="0" w:line="240" w:lineRule="auto"/>
        <w:ind w:firstLine="0"/>
        <w:rPr>
          <w:sz w:val="24"/>
          <w:szCs w:val="24"/>
        </w:rPr>
      </w:pPr>
      <w:r w:rsidRPr="008464D7">
        <w:rPr>
          <w:sz w:val="24"/>
          <w:szCs w:val="24"/>
        </w:rPr>
        <w:t xml:space="preserve">Cuando situaciones consideradas transitorias se transforman en permanentes, y se instalan desequilibrios entre los ingresos y los gastos más </w:t>
      </w:r>
      <w:r>
        <w:rPr>
          <w:sz w:val="24"/>
          <w:szCs w:val="24"/>
        </w:rPr>
        <w:t>profundos y persistentes; si, aú</w:t>
      </w:r>
      <w:r w:rsidRPr="008464D7">
        <w:rPr>
          <w:sz w:val="24"/>
          <w:szCs w:val="24"/>
        </w:rPr>
        <w:t xml:space="preserve">n en contextos económicos expansivos y por tanto con ingresos crecientes, </w:t>
      </w:r>
      <w:r w:rsidRPr="008464D7">
        <w:rPr>
          <w:sz w:val="24"/>
          <w:szCs w:val="24"/>
        </w:rPr>
        <w:lastRenderedPageBreak/>
        <w:t>incrementos de gastos originados en demandas sociales y políticas no son consistentes en el tiempo con los ingresos.</w:t>
      </w:r>
    </w:p>
    <w:p w:rsidR="00E23519" w:rsidRPr="008464D7" w:rsidRDefault="00E23519" w:rsidP="00E23519">
      <w:pPr>
        <w:pStyle w:val="Texto"/>
        <w:spacing w:after="0" w:line="240" w:lineRule="auto"/>
        <w:ind w:firstLine="0"/>
        <w:rPr>
          <w:sz w:val="24"/>
          <w:szCs w:val="24"/>
        </w:rPr>
      </w:pPr>
    </w:p>
    <w:p w:rsidR="00E23519" w:rsidRPr="008464D7" w:rsidRDefault="00E23519" w:rsidP="00E23519">
      <w:pPr>
        <w:spacing w:line="240" w:lineRule="auto"/>
        <w:jc w:val="both"/>
        <w:rPr>
          <w:rFonts w:ascii="Arial" w:hAnsi="Arial" w:cs="Arial"/>
          <w:sz w:val="24"/>
          <w:szCs w:val="24"/>
        </w:rPr>
      </w:pPr>
      <w:r w:rsidRPr="008464D7">
        <w:rPr>
          <w:rFonts w:ascii="Arial" w:hAnsi="Arial" w:cs="Arial"/>
          <w:sz w:val="24"/>
          <w:szCs w:val="24"/>
        </w:rPr>
        <w:t>Otras situaciones ocurren cuando hechos económicos y políticos no previstos en la formulación del presupuesto, que comúnmente se realizan con meses de anticipación al inicio del año fiscal, terminan afectando al presupuesto, lo que puede derivar en un número importante de modificaciones durante su ejecución. Si estas situaciones adquieren cierta regularidad, pasan a ser costumbre y se aprecian como algo “normal”, también se trata de indisciplina fiscal, ya que los presupuestos pierden predictibilidad y validez como instrumento para la gestión del gobierno.</w:t>
      </w:r>
    </w:p>
    <w:p w:rsidR="00E23519" w:rsidRPr="008464D7" w:rsidRDefault="00E23519" w:rsidP="00E23519">
      <w:pPr>
        <w:pStyle w:val="Texto"/>
        <w:spacing w:after="0" w:line="240" w:lineRule="auto"/>
        <w:ind w:firstLine="0"/>
        <w:rPr>
          <w:sz w:val="24"/>
          <w:szCs w:val="24"/>
        </w:rPr>
      </w:pPr>
      <w:r w:rsidRPr="008464D7">
        <w:rPr>
          <w:sz w:val="24"/>
          <w:szCs w:val="24"/>
        </w:rPr>
        <w:t>Se torna muy importante buscar, primeramente, que los presupuestos cumplan su rol básico de asignar los recursos siguiendo un orden y respetando sus normas esenciales, en una senda de disciplina fiscal,</w:t>
      </w:r>
      <w:r w:rsidRPr="008464D7">
        <w:rPr>
          <w:color w:val="FF0000"/>
          <w:sz w:val="24"/>
          <w:szCs w:val="24"/>
        </w:rPr>
        <w:t xml:space="preserve"> </w:t>
      </w:r>
      <w:r w:rsidRPr="008464D7">
        <w:rPr>
          <w:sz w:val="24"/>
          <w:szCs w:val="24"/>
        </w:rPr>
        <w:t xml:space="preserve">para a través de este comportamiento constituirse en un instrumento de gestión. </w:t>
      </w:r>
    </w:p>
    <w:p w:rsidR="00E23519" w:rsidRPr="008464D7" w:rsidRDefault="00E23519" w:rsidP="00E23519">
      <w:pPr>
        <w:pStyle w:val="Texto"/>
        <w:spacing w:after="0" w:line="240" w:lineRule="auto"/>
        <w:ind w:firstLine="0"/>
        <w:rPr>
          <w:sz w:val="24"/>
          <w:szCs w:val="24"/>
        </w:rPr>
      </w:pPr>
    </w:p>
    <w:p w:rsidR="00E23519" w:rsidRPr="008464D7" w:rsidRDefault="00E23519" w:rsidP="00E23519">
      <w:pPr>
        <w:pStyle w:val="Texto"/>
        <w:spacing w:after="0" w:line="240" w:lineRule="auto"/>
        <w:ind w:firstLine="0"/>
        <w:rPr>
          <w:sz w:val="24"/>
          <w:szCs w:val="24"/>
        </w:rPr>
      </w:pPr>
      <w:r w:rsidRPr="008464D7">
        <w:rPr>
          <w:sz w:val="24"/>
          <w:szCs w:val="24"/>
        </w:rPr>
        <w:t>Más deseable y exigente aún es poner atención a la gobernabilidad fiscal, entendida como la capacidad de los gobiernos para llevar a cabo su política fiscal de modo sostenible y creíble en el tiempo.</w:t>
      </w:r>
    </w:p>
    <w:p w:rsidR="00E23519" w:rsidRPr="008464D7" w:rsidRDefault="00E23519" w:rsidP="00E23519">
      <w:pPr>
        <w:pStyle w:val="Texto"/>
        <w:spacing w:after="0" w:line="240" w:lineRule="auto"/>
        <w:ind w:firstLine="0"/>
        <w:rPr>
          <w:sz w:val="24"/>
          <w:szCs w:val="24"/>
        </w:rPr>
      </w:pPr>
    </w:p>
    <w:p w:rsidR="00E23519" w:rsidRPr="008464D7" w:rsidRDefault="00E23519" w:rsidP="00E23519">
      <w:pPr>
        <w:pStyle w:val="Texto"/>
        <w:spacing w:after="0" w:line="240" w:lineRule="auto"/>
        <w:ind w:firstLine="0"/>
        <w:rPr>
          <w:sz w:val="24"/>
          <w:szCs w:val="24"/>
        </w:rPr>
      </w:pPr>
      <w:r w:rsidRPr="008464D7">
        <w:rPr>
          <w:sz w:val="24"/>
          <w:szCs w:val="24"/>
        </w:rPr>
        <w:t xml:space="preserve">En otras palabras, el presupuesto por resultados que impulsa la presente administración, requiere de disciplina fiscal expresada como la capacidad básica para formular presupuestos razonablemente balanceados y para respetarlos durante el año. Es decir, que el marco de recursos en el que se debe integrar la información de desempeño a los procesos de toma de decisiones y en el que se deben introducir las condiciones y las exigencias para contribuir a mejorar la calidad del gasto deben ser creíbles y entregar señales que orienten y motiven, en particular a los ejecutores de gasto, a optimizar los recursos asignados para que se preocupen por el desempeño de sus programas y proyectos. </w:t>
      </w:r>
    </w:p>
    <w:p w:rsidR="00E23519" w:rsidRPr="008464D7" w:rsidRDefault="00E23519" w:rsidP="00E23519">
      <w:pPr>
        <w:pStyle w:val="Texto"/>
        <w:spacing w:after="0" w:line="240" w:lineRule="auto"/>
        <w:ind w:firstLine="0"/>
        <w:rPr>
          <w:sz w:val="24"/>
          <w:szCs w:val="24"/>
        </w:rPr>
      </w:pPr>
    </w:p>
    <w:p w:rsidR="00E23519" w:rsidRPr="008464D7" w:rsidRDefault="00E23519" w:rsidP="00E23519">
      <w:pPr>
        <w:pStyle w:val="Texto"/>
        <w:spacing w:after="0" w:line="240" w:lineRule="auto"/>
        <w:ind w:firstLine="0"/>
        <w:rPr>
          <w:sz w:val="24"/>
          <w:szCs w:val="24"/>
        </w:rPr>
      </w:pPr>
      <w:r w:rsidRPr="008464D7">
        <w:rPr>
          <w:sz w:val="24"/>
          <w:szCs w:val="24"/>
        </w:rPr>
        <w:t>De acuerdo a lo previsto en el artículo 7º de la Ley de Disciplina Financiera de las Entidades Federativas y los Municipios, los riesgos que pueden incurrir en el Balance Presupuestario de Recursos Disponible Negativo son:</w:t>
      </w:r>
    </w:p>
    <w:p w:rsidR="00E23519" w:rsidRPr="008464D7" w:rsidRDefault="00E23519" w:rsidP="00E23519">
      <w:pPr>
        <w:pStyle w:val="Texto"/>
        <w:spacing w:after="0" w:line="240" w:lineRule="auto"/>
        <w:ind w:firstLine="0"/>
        <w:rPr>
          <w:sz w:val="24"/>
          <w:szCs w:val="24"/>
        </w:rPr>
      </w:pPr>
    </w:p>
    <w:p w:rsidR="00E23519" w:rsidRPr="008464D7" w:rsidRDefault="00E23519" w:rsidP="00E23519">
      <w:pPr>
        <w:pStyle w:val="Texto"/>
        <w:spacing w:after="0" w:line="240" w:lineRule="auto"/>
        <w:ind w:left="708" w:firstLine="0"/>
        <w:rPr>
          <w:sz w:val="24"/>
          <w:szCs w:val="24"/>
        </w:rPr>
      </w:pPr>
      <w:r w:rsidRPr="008464D7">
        <w:rPr>
          <w:sz w:val="24"/>
          <w:szCs w:val="24"/>
        </w:rPr>
        <w:t>a). Cuando se presente una caída en el Producto Interno Bruto nacional en términos reales, y lo anterior origine una caída en las participaciones federales con respecto a lo aprobado en el Presupuesto de Egresos de la Federación, y ésta no logre compensarse con los recursos que, en su caso, se reciban del Fondo de Estabilización de los Ingresos de la Entidad Federativa en los términos del artículo 19 de la Ley Federal de Presupuesto y Responsabilidad Hacendaria;</w:t>
      </w:r>
    </w:p>
    <w:p w:rsidR="00E23519" w:rsidRPr="008464D7" w:rsidRDefault="00E23519" w:rsidP="00E23519">
      <w:pPr>
        <w:pStyle w:val="Texto"/>
        <w:spacing w:after="0" w:line="240" w:lineRule="auto"/>
        <w:ind w:left="288" w:firstLine="0"/>
        <w:rPr>
          <w:sz w:val="24"/>
          <w:szCs w:val="24"/>
        </w:rPr>
      </w:pPr>
    </w:p>
    <w:p w:rsidR="00E23519" w:rsidRPr="008464D7" w:rsidRDefault="00E23519" w:rsidP="00E23519">
      <w:pPr>
        <w:pStyle w:val="Texto"/>
        <w:spacing w:after="0" w:line="240" w:lineRule="auto"/>
        <w:ind w:left="708" w:firstLine="0"/>
        <w:rPr>
          <w:sz w:val="24"/>
          <w:szCs w:val="24"/>
        </w:rPr>
      </w:pPr>
      <w:r w:rsidRPr="008464D7">
        <w:rPr>
          <w:sz w:val="24"/>
          <w:szCs w:val="24"/>
        </w:rPr>
        <w:lastRenderedPageBreak/>
        <w:t>b). Cuando sea necesario cubrir el costo de la reconstrucción provocada por los desastres naturales declarados en los términos de la Ley General de Protección Civil, o</w:t>
      </w:r>
    </w:p>
    <w:p w:rsidR="00E23519" w:rsidRPr="008464D7" w:rsidRDefault="00E23519" w:rsidP="00E23519">
      <w:pPr>
        <w:pStyle w:val="Texto"/>
        <w:spacing w:after="0" w:line="240" w:lineRule="auto"/>
        <w:ind w:firstLine="0"/>
        <w:rPr>
          <w:sz w:val="24"/>
          <w:szCs w:val="24"/>
        </w:rPr>
      </w:pPr>
    </w:p>
    <w:p w:rsidR="00E23519" w:rsidRPr="008464D7" w:rsidRDefault="00E23519" w:rsidP="00E23519">
      <w:pPr>
        <w:pStyle w:val="Texto"/>
        <w:spacing w:after="0" w:line="240" w:lineRule="auto"/>
        <w:ind w:left="708" w:firstLine="0"/>
        <w:rPr>
          <w:sz w:val="24"/>
          <w:szCs w:val="24"/>
        </w:rPr>
      </w:pPr>
      <w:r w:rsidRPr="008464D7">
        <w:rPr>
          <w:sz w:val="24"/>
          <w:szCs w:val="24"/>
        </w:rPr>
        <w:t>c). Cuando se tenga la necesidad de prever un costo mayor al 2 por ciento del Gasto no etiquetado observado en el Presupuesto de Egresos del ejercicio fiscal inmediato anterior, derivado de la implementación de ordenamientos jurídicos o medidas de política fiscal que, en ejercicios fiscales posteriores, contribuyan a mejorar ampliamente el Balance presupuestario de recursos disponibles negativo, ya sea porque generen mayores ingresos o menores gastos permanentes; es decir, que el valor presente neto de dicha medida supere ampliamente el costo de la misma en el ejercicio fiscal que se implemente.</w:t>
      </w:r>
    </w:p>
    <w:p w:rsidR="00E23519" w:rsidRPr="008464D7" w:rsidRDefault="00E23519" w:rsidP="00E23519">
      <w:pPr>
        <w:pStyle w:val="Texto"/>
        <w:spacing w:after="0" w:line="240" w:lineRule="auto"/>
        <w:ind w:firstLine="0"/>
        <w:rPr>
          <w:sz w:val="24"/>
          <w:szCs w:val="24"/>
        </w:rPr>
      </w:pPr>
    </w:p>
    <w:p w:rsidR="00E23519" w:rsidRPr="008464D7" w:rsidRDefault="00E23519" w:rsidP="00E23519">
      <w:pPr>
        <w:pStyle w:val="Texto"/>
        <w:spacing w:after="0" w:line="240" w:lineRule="auto"/>
        <w:ind w:firstLine="0"/>
        <w:rPr>
          <w:sz w:val="24"/>
          <w:szCs w:val="24"/>
        </w:rPr>
      </w:pPr>
      <w:r w:rsidRPr="008464D7">
        <w:rPr>
          <w:sz w:val="24"/>
          <w:szCs w:val="24"/>
        </w:rPr>
        <w:t xml:space="preserve">De acuerdo a lo previsto en los Criterios para la elaboración y presentación homogénea de la información financiera y de los formatos a que hace referencia la Ley de Disciplina Financiera de las Entidades Federativas y los Municipios, emitidos por el CONAC; el formato </w:t>
      </w:r>
      <w:r w:rsidRPr="008464D7">
        <w:rPr>
          <w:b/>
          <w:sz w:val="24"/>
          <w:szCs w:val="24"/>
        </w:rPr>
        <w:t xml:space="preserve">4 </w:t>
      </w:r>
      <w:r w:rsidRPr="008464D7">
        <w:rPr>
          <w:i/>
          <w:sz w:val="24"/>
          <w:szCs w:val="24"/>
        </w:rPr>
        <w:t>Balance Presupuestario – LDF</w:t>
      </w:r>
      <w:r w:rsidRPr="008464D7">
        <w:rPr>
          <w:sz w:val="24"/>
          <w:szCs w:val="24"/>
        </w:rPr>
        <w:t xml:space="preserve"> se presentará en el ejercicio 2017 de forma trimestral, acumulando cada periodo del mismo, con la desagregación de la información financiera ocurrida entre el inicio y el final del periodo, así como de manera anual en la Cuenta Pública</w:t>
      </w:r>
    </w:p>
    <w:p w:rsidR="00E23519" w:rsidRPr="008464D7" w:rsidRDefault="00E23519" w:rsidP="00E23519">
      <w:pPr>
        <w:pStyle w:val="Texto"/>
        <w:spacing w:after="0" w:line="240" w:lineRule="auto"/>
        <w:ind w:firstLine="0"/>
        <w:jc w:val="left"/>
        <w:rPr>
          <w:b/>
          <w:sz w:val="28"/>
          <w:szCs w:val="28"/>
        </w:rPr>
      </w:pPr>
    </w:p>
    <w:p w:rsidR="00E23519" w:rsidRPr="008464D7" w:rsidRDefault="00E23519" w:rsidP="00E23519">
      <w:pPr>
        <w:pStyle w:val="Texto"/>
        <w:spacing w:after="0" w:line="240" w:lineRule="auto"/>
        <w:ind w:firstLine="0"/>
        <w:jc w:val="left"/>
        <w:rPr>
          <w:b/>
          <w:sz w:val="24"/>
          <w:szCs w:val="24"/>
        </w:rPr>
      </w:pPr>
      <w:r w:rsidRPr="008464D7">
        <w:rPr>
          <w:b/>
          <w:sz w:val="24"/>
          <w:szCs w:val="24"/>
        </w:rPr>
        <w:t>2.7. PREVISIÓN DE RECURSOS PARA EL FONDO DE DESASTRES NATURALES.</w:t>
      </w:r>
    </w:p>
    <w:p w:rsidR="00E23519" w:rsidRPr="008464D7" w:rsidRDefault="00E23519" w:rsidP="00E23519">
      <w:pPr>
        <w:pStyle w:val="Texto"/>
        <w:spacing w:after="0" w:line="240" w:lineRule="auto"/>
        <w:ind w:left="720" w:firstLine="0"/>
        <w:rPr>
          <w:b/>
          <w:sz w:val="24"/>
          <w:szCs w:val="24"/>
        </w:rPr>
      </w:pPr>
    </w:p>
    <w:p w:rsidR="00E23519" w:rsidRPr="008464D7" w:rsidRDefault="00E23519" w:rsidP="00E23519">
      <w:pPr>
        <w:spacing w:line="240" w:lineRule="auto"/>
        <w:rPr>
          <w:rFonts w:ascii="Arial" w:hAnsi="Arial" w:cs="Arial"/>
          <w:b/>
          <w:sz w:val="24"/>
          <w:szCs w:val="24"/>
        </w:rPr>
      </w:pPr>
      <w:r w:rsidRPr="008464D7">
        <w:rPr>
          <w:rFonts w:ascii="Arial" w:hAnsi="Arial" w:cs="Arial"/>
          <w:b/>
          <w:sz w:val="24"/>
          <w:szCs w:val="24"/>
        </w:rPr>
        <w:t>Riesgos y desastres naturales: una cuestión global ante el cambio climático</w:t>
      </w:r>
    </w:p>
    <w:p w:rsidR="00E23519" w:rsidRPr="008464D7" w:rsidRDefault="00E23519" w:rsidP="00E23519">
      <w:pPr>
        <w:spacing w:line="240" w:lineRule="auto"/>
        <w:jc w:val="both"/>
        <w:rPr>
          <w:rFonts w:ascii="Arial" w:hAnsi="Arial" w:cs="Arial"/>
          <w:sz w:val="24"/>
          <w:szCs w:val="24"/>
        </w:rPr>
      </w:pPr>
      <w:r w:rsidRPr="008464D7">
        <w:rPr>
          <w:rFonts w:ascii="Arial" w:hAnsi="Arial" w:cs="Arial"/>
          <w:sz w:val="24"/>
          <w:szCs w:val="24"/>
        </w:rPr>
        <w:t xml:space="preserve">Las consecuencias de fenómenos naturales y otros problemas medioambientales originados por el </w:t>
      </w:r>
      <w:r w:rsidRPr="008464D7">
        <w:rPr>
          <w:rFonts w:ascii="Arial" w:hAnsi="Arial" w:cs="Arial"/>
          <w:b/>
          <w:sz w:val="24"/>
          <w:szCs w:val="24"/>
        </w:rPr>
        <w:t>cambio climático</w:t>
      </w:r>
      <w:r w:rsidRPr="008464D7">
        <w:rPr>
          <w:rFonts w:ascii="Arial" w:hAnsi="Arial" w:cs="Arial"/>
          <w:sz w:val="24"/>
          <w:szCs w:val="24"/>
        </w:rPr>
        <w:t xml:space="preserve"> ya han trascendido fronteras de países y regiones, y han llegado a tornarse en inminentes riesgos o desastres susceptibles de afectar a la humanidad en su conjunto, o a vastos sectores poblacionales.</w:t>
      </w:r>
    </w:p>
    <w:p w:rsidR="00E23519" w:rsidRPr="008464D7" w:rsidRDefault="00E23519" w:rsidP="00E23519">
      <w:pPr>
        <w:pStyle w:val="Texto"/>
        <w:spacing w:after="0" w:line="240" w:lineRule="auto"/>
        <w:ind w:hanging="11"/>
        <w:rPr>
          <w:i/>
          <w:sz w:val="24"/>
          <w:szCs w:val="24"/>
        </w:rPr>
      </w:pPr>
      <w:r w:rsidRPr="008464D7">
        <w:rPr>
          <w:i/>
          <w:sz w:val="24"/>
          <w:szCs w:val="24"/>
        </w:rPr>
        <w:t xml:space="preserve">“El calentamiento global con el consecuente cambio climático ha colocado a la humanidad ante un incierto escenario. En la actualidad trae serios efectos que se traducen en perturbaciones en el delicado equilibrio y la productividad de los ecosistemas, las cuales impactan el aprovechamiento de los recursos naturales y la actividad económica. Ese fenómeno ha intensificado la fuerza de los huracanes y ciclones, provocando graves inundaciones con secuelas devastadoras que se traducen en la pérdida de vidas humanas y daños irreparables a las diversas actividades productivas, tanto en el campo como en las ciudades. Por tal motivo, son más los éxodos grupos humanos en la búsqueda de rehacer formas de vida y </w:t>
      </w:r>
      <w:r w:rsidRPr="008464D7">
        <w:rPr>
          <w:i/>
          <w:sz w:val="24"/>
          <w:szCs w:val="24"/>
        </w:rPr>
        <w:lastRenderedPageBreak/>
        <w:t>patrimonio, o crisis alimentarias agudas y hasta hambrunas, derivadas de la dislocación de la actividad económica.”</w:t>
      </w:r>
      <w:r w:rsidRPr="008464D7">
        <w:rPr>
          <w:rStyle w:val="Refdenotaalpie"/>
          <w:i/>
          <w:sz w:val="24"/>
          <w:szCs w:val="24"/>
        </w:rPr>
        <w:footnoteReference w:id="2"/>
      </w:r>
      <w:r w:rsidRPr="008464D7">
        <w:rPr>
          <w:i/>
          <w:sz w:val="24"/>
          <w:szCs w:val="24"/>
        </w:rPr>
        <w:t xml:space="preserve"> </w:t>
      </w:r>
    </w:p>
    <w:p w:rsidR="00E23519" w:rsidRPr="008464D7" w:rsidRDefault="00E23519" w:rsidP="00E23519">
      <w:pPr>
        <w:pStyle w:val="Texto"/>
        <w:spacing w:after="0" w:line="240" w:lineRule="auto"/>
        <w:ind w:left="720" w:firstLine="0"/>
        <w:rPr>
          <w:b/>
          <w:sz w:val="16"/>
          <w:szCs w:val="16"/>
        </w:rPr>
      </w:pPr>
    </w:p>
    <w:p w:rsidR="00E23519" w:rsidRPr="008464D7" w:rsidRDefault="00E23519" w:rsidP="00E23519">
      <w:pPr>
        <w:spacing w:line="240" w:lineRule="auto"/>
        <w:jc w:val="both"/>
        <w:rPr>
          <w:rFonts w:ascii="Arial" w:hAnsi="Arial" w:cs="Arial"/>
          <w:sz w:val="24"/>
          <w:szCs w:val="24"/>
        </w:rPr>
      </w:pPr>
      <w:r w:rsidRPr="008464D7">
        <w:rPr>
          <w:rFonts w:ascii="Arial" w:hAnsi="Arial" w:cs="Arial"/>
          <w:sz w:val="24"/>
          <w:szCs w:val="24"/>
        </w:rPr>
        <w:t>En nuestro país los desastres naturales son sucesos periódicos, cada vez más fuertes y ampliándose a la mayor parte del territorio. Fenómenos que hasta hace poco eran considerados típicos o regulares, han variado en intensidad por el cambio del clima a nivel global, aumentando la fragilidad del entorno natural, provocando mermas drásticas en producción y productividad en actividades esenciales como la pesca, la agricultura, la ganadería y la silvicultura.</w:t>
      </w:r>
    </w:p>
    <w:p w:rsidR="00E23519" w:rsidRPr="008464D7" w:rsidRDefault="00E23519" w:rsidP="00E23519">
      <w:pPr>
        <w:spacing w:line="240" w:lineRule="auto"/>
        <w:jc w:val="both"/>
        <w:rPr>
          <w:rFonts w:ascii="Arial" w:hAnsi="Arial" w:cs="Arial"/>
          <w:sz w:val="24"/>
          <w:szCs w:val="24"/>
        </w:rPr>
      </w:pPr>
      <w:r w:rsidRPr="008464D7">
        <w:rPr>
          <w:rFonts w:ascii="Arial" w:hAnsi="Arial" w:cs="Arial"/>
          <w:sz w:val="24"/>
          <w:szCs w:val="24"/>
        </w:rPr>
        <w:t>Datos recientes dan cuenta de la incidencia anual de más de cuarenta frentes fríos en buena parte de las entidades federativas; de precipitaciones que saturan y rebasan arroyos, ríos, sistemas hidrológicos y diversos cuerpos de agua, ocasionando serios daños en ciudades y en actividades productivas en la industria, los servicios y el sector agropecuario; otras veces, en las mismas o en otras zonas del país, ocurren incendios forestales que destruyen la cubierta vegetal; o bien los huracanes que se centran con mayor énfasis en las zonas costeras al inicio del verano, tanto del lado del Pacífico como por el Atlántico, produciendo la destrucción de la infraestructura social y productiva, especialmente en el campo. Igual sucede a lo largo de las costas, como lo han señalado el Centro Nacional de Prevención de Desastres (CENAPRED) y la Comisión Nacional del Agua (CONAGUA).</w:t>
      </w:r>
    </w:p>
    <w:p w:rsidR="00E23519" w:rsidRPr="008464D7" w:rsidRDefault="00E23519" w:rsidP="00E23519">
      <w:pPr>
        <w:spacing w:line="240" w:lineRule="auto"/>
        <w:jc w:val="both"/>
        <w:rPr>
          <w:rFonts w:ascii="Arial" w:hAnsi="Arial" w:cs="Arial"/>
          <w:sz w:val="24"/>
          <w:szCs w:val="24"/>
        </w:rPr>
      </w:pPr>
      <w:r w:rsidRPr="008464D7">
        <w:rPr>
          <w:rFonts w:ascii="Arial" w:hAnsi="Arial" w:cs="Arial"/>
          <w:sz w:val="24"/>
          <w:szCs w:val="24"/>
        </w:rPr>
        <w:t xml:space="preserve"> Casi la totalidad de ellas enfrentan algún tipo de fragilidad por huracanes o ciclones. Los mismos organismos informan de la forma en que han aumentado en intensidad y número las tormentas en los últimos años, lo que a cada momento pone a Insuficiencia de recursos y falta de prevención en momentos cruciales como los que ha vivido el país.</w:t>
      </w:r>
    </w:p>
    <w:p w:rsidR="00E23519" w:rsidRPr="008464D7" w:rsidRDefault="00E23519" w:rsidP="00E23519">
      <w:pPr>
        <w:spacing w:line="240" w:lineRule="auto"/>
        <w:jc w:val="both"/>
        <w:rPr>
          <w:rFonts w:ascii="Arial" w:hAnsi="Arial" w:cs="Arial"/>
          <w:sz w:val="24"/>
          <w:szCs w:val="24"/>
        </w:rPr>
      </w:pPr>
      <w:r w:rsidRPr="008464D7">
        <w:rPr>
          <w:rFonts w:ascii="Arial" w:hAnsi="Arial" w:cs="Arial"/>
          <w:sz w:val="24"/>
          <w:szCs w:val="24"/>
        </w:rPr>
        <w:t>Es a partir de estos acontecimientos que nuestro país comienza a tomar plena conciencia de la importancia que tiene la prevención y en concreto la protección civil. Es así que comienzan los trabajos para la creación del Fondo de Desastres porque los acontecimientos han puesto a prueba la infraestructura productiva y social del país y, evidencia con mucho el desorden urbano y territorial que permite la construcción de asentamientos, infraestructura o viviendas en lugares indebidos; son éstas muestras de indolencia o de una falta de aprendizaje para evitar que muchos fenómenos naturales desemboquen en situaciones catastróficas.</w:t>
      </w:r>
    </w:p>
    <w:p w:rsidR="00E23519" w:rsidRPr="008464D7" w:rsidRDefault="00E23519" w:rsidP="00E23519">
      <w:pPr>
        <w:spacing w:line="240" w:lineRule="auto"/>
        <w:jc w:val="both"/>
        <w:rPr>
          <w:rFonts w:ascii="Arial" w:hAnsi="Arial" w:cs="Arial"/>
          <w:sz w:val="24"/>
          <w:szCs w:val="24"/>
        </w:rPr>
      </w:pPr>
      <w:r w:rsidRPr="008464D7">
        <w:rPr>
          <w:rFonts w:ascii="Arial" w:hAnsi="Arial" w:cs="Arial"/>
          <w:sz w:val="24"/>
          <w:szCs w:val="24"/>
        </w:rPr>
        <w:t>En este contexto cobra especial relevancia el tema de referencia en la planificación del desarrollo y en las previsiones presupuestarias para atenderlo.</w:t>
      </w:r>
    </w:p>
    <w:p w:rsidR="00E23519" w:rsidRPr="008464D7" w:rsidRDefault="00E23519" w:rsidP="00E23519">
      <w:pPr>
        <w:spacing w:line="240" w:lineRule="auto"/>
        <w:jc w:val="both"/>
        <w:rPr>
          <w:rFonts w:ascii="Arial" w:hAnsi="Arial" w:cs="Arial"/>
          <w:sz w:val="24"/>
          <w:szCs w:val="24"/>
        </w:rPr>
      </w:pPr>
      <w:r w:rsidRPr="008464D7">
        <w:rPr>
          <w:rFonts w:ascii="Arial" w:hAnsi="Arial" w:cs="Arial"/>
          <w:sz w:val="24"/>
          <w:szCs w:val="24"/>
        </w:rPr>
        <w:lastRenderedPageBreak/>
        <w:t xml:space="preserve">Según el Atlas Nacional de Riesgos, </w:t>
      </w:r>
      <w:r w:rsidRPr="008464D7">
        <w:rPr>
          <w:rFonts w:ascii="Arial" w:eastAsia="Times New Roman" w:hAnsi="Arial" w:cs="Arial"/>
          <w:sz w:val="24"/>
          <w:szCs w:val="24"/>
        </w:rPr>
        <w:t>la geografía de Colima, genera diferentes tipos de riesgos a la población que van desde las costas al sur hasta las faldas del volcán.</w:t>
      </w:r>
    </w:p>
    <w:p w:rsidR="00E23519" w:rsidRPr="008464D7" w:rsidRDefault="00E23519" w:rsidP="00E23519">
      <w:pPr>
        <w:pStyle w:val="Texto"/>
        <w:spacing w:after="0" w:line="240" w:lineRule="auto"/>
        <w:ind w:firstLine="0"/>
        <w:rPr>
          <w:b/>
          <w:sz w:val="24"/>
          <w:szCs w:val="24"/>
        </w:rPr>
      </w:pPr>
      <w:r w:rsidRPr="008464D7">
        <w:rPr>
          <w:sz w:val="24"/>
          <w:szCs w:val="24"/>
          <w:lang w:eastAsia="es-MX"/>
        </w:rPr>
        <w:t xml:space="preserve">Por su propia naturaleza y ubicación se encuentra expuesta a diversas contingencias y riesgos derivados de fenómenos naturales: </w:t>
      </w:r>
    </w:p>
    <w:p w:rsidR="00E23519" w:rsidRDefault="00E23519" w:rsidP="00E23519">
      <w:pPr>
        <w:pStyle w:val="Prrafodelista"/>
        <w:numPr>
          <w:ilvl w:val="0"/>
          <w:numId w:val="33"/>
        </w:numPr>
        <w:shd w:val="clear" w:color="auto" w:fill="FFFFFF"/>
        <w:spacing w:before="100" w:beforeAutospacing="1" w:after="100" w:afterAutospacing="1" w:line="240" w:lineRule="auto"/>
        <w:jc w:val="both"/>
        <w:rPr>
          <w:rFonts w:ascii="Arial" w:eastAsia="Times New Roman" w:hAnsi="Arial" w:cs="Arial"/>
          <w:bCs/>
          <w:sz w:val="24"/>
          <w:szCs w:val="24"/>
        </w:rPr>
      </w:pPr>
      <w:r w:rsidRPr="008464D7">
        <w:rPr>
          <w:rFonts w:ascii="Arial" w:eastAsia="Times New Roman" w:hAnsi="Arial" w:cs="Arial"/>
          <w:bCs/>
          <w:sz w:val="24"/>
          <w:szCs w:val="24"/>
        </w:rPr>
        <w:t>Fenómenos Geológicos.</w:t>
      </w:r>
    </w:p>
    <w:p w:rsidR="00E23519" w:rsidRPr="008464D7" w:rsidRDefault="00E23519" w:rsidP="00E23519">
      <w:pPr>
        <w:pStyle w:val="Prrafodelista"/>
        <w:shd w:val="clear" w:color="auto" w:fill="FFFFFF"/>
        <w:spacing w:before="100" w:beforeAutospacing="1" w:after="100" w:afterAutospacing="1" w:line="240" w:lineRule="auto"/>
        <w:jc w:val="both"/>
        <w:rPr>
          <w:rFonts w:ascii="Arial" w:eastAsia="Times New Roman" w:hAnsi="Arial" w:cs="Arial"/>
          <w:bCs/>
          <w:sz w:val="24"/>
          <w:szCs w:val="24"/>
        </w:rPr>
      </w:pPr>
    </w:p>
    <w:p w:rsidR="00E23519" w:rsidRDefault="00E23519" w:rsidP="00E23519">
      <w:pPr>
        <w:pStyle w:val="Prrafodelista"/>
        <w:numPr>
          <w:ilvl w:val="0"/>
          <w:numId w:val="33"/>
        </w:numPr>
        <w:shd w:val="clear" w:color="auto" w:fill="FFFFFF"/>
        <w:spacing w:before="100" w:beforeAutospacing="1" w:after="100" w:afterAutospacing="1" w:line="240" w:lineRule="auto"/>
        <w:jc w:val="both"/>
        <w:rPr>
          <w:rFonts w:ascii="Arial" w:eastAsia="Times New Roman" w:hAnsi="Arial" w:cs="Arial"/>
          <w:bCs/>
          <w:sz w:val="24"/>
          <w:szCs w:val="24"/>
        </w:rPr>
      </w:pPr>
      <w:r w:rsidRPr="008464D7">
        <w:rPr>
          <w:rFonts w:ascii="Arial" w:eastAsia="Times New Roman" w:hAnsi="Arial" w:cs="Arial"/>
          <w:bCs/>
          <w:sz w:val="24"/>
          <w:szCs w:val="24"/>
        </w:rPr>
        <w:t>Fenómenos Hidrometeorológicos</w:t>
      </w:r>
      <w:r>
        <w:rPr>
          <w:rFonts w:ascii="Arial" w:eastAsia="Times New Roman" w:hAnsi="Arial" w:cs="Arial"/>
          <w:bCs/>
          <w:sz w:val="24"/>
          <w:szCs w:val="24"/>
        </w:rPr>
        <w:t>.</w:t>
      </w:r>
    </w:p>
    <w:p w:rsidR="00E23519" w:rsidRPr="004020F0" w:rsidRDefault="00E23519" w:rsidP="00E23519">
      <w:pPr>
        <w:pStyle w:val="Prrafodelista"/>
        <w:rPr>
          <w:rFonts w:ascii="Arial" w:eastAsia="Times New Roman" w:hAnsi="Arial" w:cs="Arial"/>
          <w:bCs/>
          <w:sz w:val="24"/>
          <w:szCs w:val="24"/>
        </w:rPr>
      </w:pPr>
    </w:p>
    <w:p w:rsidR="00E23519" w:rsidRPr="008464D7" w:rsidRDefault="00E23519" w:rsidP="00E23519">
      <w:pPr>
        <w:pStyle w:val="Prrafodelista"/>
        <w:numPr>
          <w:ilvl w:val="0"/>
          <w:numId w:val="33"/>
        </w:numPr>
        <w:shd w:val="clear" w:color="auto" w:fill="FFFFFF"/>
        <w:spacing w:before="100" w:beforeAutospacing="1" w:after="100" w:afterAutospacing="1" w:line="240" w:lineRule="auto"/>
        <w:jc w:val="both"/>
        <w:rPr>
          <w:rFonts w:ascii="Arial" w:eastAsia="Times New Roman" w:hAnsi="Arial" w:cs="Arial"/>
          <w:bCs/>
          <w:sz w:val="24"/>
          <w:szCs w:val="24"/>
        </w:rPr>
      </w:pPr>
      <w:r w:rsidRPr="008464D7">
        <w:rPr>
          <w:rFonts w:ascii="Arial" w:eastAsia="Times New Roman" w:hAnsi="Arial" w:cs="Arial"/>
          <w:bCs/>
          <w:sz w:val="24"/>
          <w:szCs w:val="24"/>
        </w:rPr>
        <w:t>Fenómenos Químicos-Tecnológicos.</w:t>
      </w:r>
    </w:p>
    <w:p w:rsidR="00E23519" w:rsidRDefault="00E23519" w:rsidP="00E23519">
      <w:pPr>
        <w:pStyle w:val="Prrafodelista"/>
        <w:shd w:val="clear" w:color="auto" w:fill="FFFFFF"/>
        <w:spacing w:before="100" w:beforeAutospacing="1" w:after="100" w:afterAutospacing="1" w:line="240" w:lineRule="auto"/>
        <w:jc w:val="both"/>
        <w:rPr>
          <w:rFonts w:ascii="Arial" w:eastAsia="Times New Roman" w:hAnsi="Arial" w:cs="Arial"/>
          <w:bCs/>
          <w:sz w:val="24"/>
          <w:szCs w:val="24"/>
        </w:rPr>
      </w:pPr>
    </w:p>
    <w:p w:rsidR="00E23519" w:rsidRPr="008464D7" w:rsidRDefault="00E23519" w:rsidP="00E23519">
      <w:pPr>
        <w:pStyle w:val="Prrafodelista"/>
        <w:numPr>
          <w:ilvl w:val="0"/>
          <w:numId w:val="33"/>
        </w:numPr>
        <w:shd w:val="clear" w:color="auto" w:fill="FFFFFF"/>
        <w:spacing w:before="100" w:beforeAutospacing="1" w:after="100" w:afterAutospacing="1" w:line="240" w:lineRule="auto"/>
        <w:jc w:val="both"/>
        <w:rPr>
          <w:rFonts w:ascii="Arial" w:eastAsia="Times New Roman" w:hAnsi="Arial" w:cs="Arial"/>
          <w:bCs/>
          <w:sz w:val="24"/>
          <w:szCs w:val="24"/>
        </w:rPr>
      </w:pPr>
      <w:r w:rsidRPr="008464D7">
        <w:rPr>
          <w:rFonts w:ascii="Arial" w:eastAsia="Times New Roman" w:hAnsi="Arial" w:cs="Arial"/>
          <w:bCs/>
          <w:sz w:val="24"/>
          <w:szCs w:val="24"/>
        </w:rPr>
        <w:t>Fenómenos Sanitario-Ecológicos.</w:t>
      </w:r>
    </w:p>
    <w:p w:rsidR="00E23519" w:rsidRDefault="00E23519" w:rsidP="00E23519">
      <w:pPr>
        <w:pStyle w:val="Prrafodelista"/>
        <w:shd w:val="clear" w:color="auto" w:fill="FFFFFF"/>
        <w:spacing w:before="100" w:beforeAutospacing="1" w:after="100" w:afterAutospacing="1" w:line="240" w:lineRule="auto"/>
        <w:jc w:val="both"/>
        <w:rPr>
          <w:rFonts w:ascii="Arial" w:eastAsia="Times New Roman" w:hAnsi="Arial" w:cs="Arial"/>
          <w:bCs/>
          <w:sz w:val="24"/>
          <w:szCs w:val="24"/>
        </w:rPr>
      </w:pPr>
    </w:p>
    <w:p w:rsidR="00E23519" w:rsidRPr="008464D7" w:rsidRDefault="00E23519" w:rsidP="00E23519">
      <w:pPr>
        <w:pStyle w:val="Prrafodelista"/>
        <w:numPr>
          <w:ilvl w:val="0"/>
          <w:numId w:val="33"/>
        </w:numPr>
        <w:shd w:val="clear" w:color="auto" w:fill="FFFFFF"/>
        <w:spacing w:before="100" w:beforeAutospacing="1" w:after="100" w:afterAutospacing="1" w:line="240" w:lineRule="auto"/>
        <w:jc w:val="both"/>
        <w:rPr>
          <w:rFonts w:ascii="Arial" w:eastAsia="Times New Roman" w:hAnsi="Arial" w:cs="Arial"/>
          <w:bCs/>
          <w:sz w:val="24"/>
          <w:szCs w:val="24"/>
        </w:rPr>
      </w:pPr>
      <w:r w:rsidRPr="008464D7">
        <w:rPr>
          <w:rFonts w:ascii="Arial" w:eastAsia="Times New Roman" w:hAnsi="Arial" w:cs="Arial"/>
          <w:bCs/>
          <w:sz w:val="24"/>
          <w:szCs w:val="24"/>
        </w:rPr>
        <w:t>Fenómenos Socio-Organizativos.</w:t>
      </w:r>
    </w:p>
    <w:p w:rsidR="00E23519" w:rsidRPr="004020F0" w:rsidRDefault="00E23519" w:rsidP="00E23519">
      <w:pPr>
        <w:pStyle w:val="Prrafodelista"/>
        <w:shd w:val="clear" w:color="auto" w:fill="FFFFFF"/>
        <w:spacing w:before="100" w:beforeAutospacing="1" w:after="100" w:afterAutospacing="1" w:line="240" w:lineRule="auto"/>
        <w:jc w:val="both"/>
        <w:rPr>
          <w:rFonts w:ascii="Arial" w:eastAsia="Times New Roman" w:hAnsi="Arial" w:cs="Arial"/>
          <w:bCs/>
          <w:sz w:val="24"/>
          <w:szCs w:val="24"/>
        </w:rPr>
      </w:pPr>
    </w:p>
    <w:p w:rsidR="00E23519" w:rsidRPr="008464D7" w:rsidRDefault="00E23519" w:rsidP="00E23519">
      <w:pPr>
        <w:pStyle w:val="Prrafodelista"/>
        <w:numPr>
          <w:ilvl w:val="0"/>
          <w:numId w:val="33"/>
        </w:numPr>
        <w:shd w:val="clear" w:color="auto" w:fill="FFFFFF"/>
        <w:spacing w:before="100" w:beforeAutospacing="1" w:after="100" w:afterAutospacing="1" w:line="240" w:lineRule="auto"/>
        <w:jc w:val="both"/>
        <w:rPr>
          <w:rFonts w:ascii="Arial" w:eastAsia="Times New Roman" w:hAnsi="Arial" w:cs="Arial"/>
          <w:bCs/>
          <w:sz w:val="24"/>
          <w:szCs w:val="24"/>
        </w:rPr>
      </w:pPr>
      <w:r w:rsidRPr="008464D7">
        <w:rPr>
          <w:rFonts w:ascii="Arial" w:eastAsia="Times New Roman" w:hAnsi="Arial" w:cs="Arial"/>
          <w:sz w:val="24"/>
          <w:szCs w:val="24"/>
        </w:rPr>
        <w:t>La vulnerabilidad es la propensión de los sistemas expuestos a ser afectados, es decir el grado de pérdidas esperadas. Clasificable como vulnerabilidad física y social.</w:t>
      </w:r>
    </w:p>
    <w:p w:rsidR="00E23519" w:rsidRPr="004020F0" w:rsidRDefault="00E23519" w:rsidP="00E23519">
      <w:pPr>
        <w:pStyle w:val="Prrafodelista"/>
        <w:shd w:val="clear" w:color="auto" w:fill="FFFFFF"/>
        <w:spacing w:before="100" w:beforeAutospacing="1" w:after="100" w:afterAutospacing="1" w:line="240" w:lineRule="auto"/>
        <w:jc w:val="both"/>
        <w:rPr>
          <w:rFonts w:ascii="Arial" w:eastAsia="Times New Roman" w:hAnsi="Arial" w:cs="Arial"/>
          <w:bCs/>
          <w:sz w:val="24"/>
          <w:szCs w:val="24"/>
        </w:rPr>
      </w:pPr>
    </w:p>
    <w:p w:rsidR="00E23519" w:rsidRPr="008464D7" w:rsidRDefault="00E23519" w:rsidP="00E23519">
      <w:pPr>
        <w:pStyle w:val="Prrafodelista"/>
        <w:numPr>
          <w:ilvl w:val="0"/>
          <w:numId w:val="33"/>
        </w:numPr>
        <w:shd w:val="clear" w:color="auto" w:fill="FFFFFF"/>
        <w:spacing w:before="100" w:beforeAutospacing="1" w:after="100" w:afterAutospacing="1" w:line="240" w:lineRule="auto"/>
        <w:jc w:val="both"/>
        <w:rPr>
          <w:rFonts w:ascii="Arial" w:eastAsia="Times New Roman" w:hAnsi="Arial" w:cs="Arial"/>
          <w:bCs/>
          <w:sz w:val="24"/>
          <w:szCs w:val="24"/>
        </w:rPr>
      </w:pPr>
      <w:r w:rsidRPr="008464D7">
        <w:rPr>
          <w:rFonts w:ascii="Arial" w:eastAsia="Times New Roman" w:hAnsi="Arial" w:cs="Arial"/>
          <w:sz w:val="24"/>
          <w:szCs w:val="24"/>
        </w:rPr>
        <w:t>Exposición se considera al número de vidas, bienes, productos, infraestructura local, estratégica y equipamiento urbano que son factibles de ser afectados.</w:t>
      </w:r>
    </w:p>
    <w:p w:rsidR="00E23519" w:rsidRPr="008464D7" w:rsidRDefault="00E23519" w:rsidP="00E23519">
      <w:pPr>
        <w:pStyle w:val="NormalWeb"/>
        <w:shd w:val="clear" w:color="auto" w:fill="FFFFFF"/>
        <w:spacing w:before="0" w:beforeAutospacing="0" w:after="254" w:afterAutospacing="0"/>
        <w:ind w:left="567"/>
        <w:jc w:val="both"/>
        <w:rPr>
          <w:rFonts w:ascii="Arial" w:hAnsi="Arial" w:cs="Arial"/>
          <w:b/>
          <w:sz w:val="22"/>
          <w:szCs w:val="22"/>
        </w:rPr>
      </w:pPr>
      <w:r w:rsidRPr="008464D7">
        <w:rPr>
          <w:rFonts w:ascii="Arial" w:hAnsi="Arial" w:cs="Arial"/>
          <w:sz w:val="22"/>
          <w:szCs w:val="22"/>
        </w:rPr>
        <w:t>“Los desastres perjudican y su efecto puede ser devastador, sobre todo a las personas pobres y vulnerables. En este contexto, la incorporación de la gestión de riesgos de desastres en la planificación del desarrollo puede revertir la actual tendencia del aumento de los impactos de estos sucesos</w:t>
      </w:r>
      <w:r w:rsidRPr="008464D7">
        <w:rPr>
          <w:rFonts w:ascii="Arial" w:hAnsi="Arial" w:cs="Arial"/>
          <w:b/>
          <w:sz w:val="22"/>
          <w:szCs w:val="22"/>
        </w:rPr>
        <w:t>.</w:t>
      </w:r>
      <w:r w:rsidRPr="008464D7">
        <w:rPr>
          <w:rStyle w:val="apple-converted-space"/>
          <w:rFonts w:ascii="Arial" w:hAnsi="Arial" w:cs="Arial"/>
          <w:b/>
          <w:bCs/>
          <w:sz w:val="22"/>
          <w:szCs w:val="22"/>
        </w:rPr>
        <w:t>”</w:t>
      </w:r>
      <w:r w:rsidRPr="008464D7">
        <w:rPr>
          <w:rFonts w:ascii="Arial" w:hAnsi="Arial" w:cs="Arial"/>
          <w:b/>
          <w:sz w:val="22"/>
          <w:szCs w:val="22"/>
        </w:rPr>
        <w:t xml:space="preserve"> </w:t>
      </w:r>
    </w:p>
    <w:p w:rsidR="00E23519" w:rsidRPr="008464D7" w:rsidRDefault="00E23519" w:rsidP="00E23519">
      <w:pPr>
        <w:pStyle w:val="NormalWeb"/>
        <w:shd w:val="clear" w:color="auto" w:fill="FFFFFF"/>
        <w:spacing w:before="0" w:beforeAutospacing="0" w:after="254" w:afterAutospacing="0"/>
        <w:ind w:left="-284"/>
        <w:jc w:val="both"/>
        <w:rPr>
          <w:rFonts w:ascii="Arial" w:hAnsi="Arial" w:cs="Arial"/>
          <w:b/>
        </w:rPr>
      </w:pPr>
      <w:r w:rsidRPr="008464D7">
        <w:rPr>
          <w:rFonts w:ascii="Arial" w:hAnsi="Arial" w:cs="Arial"/>
        </w:rPr>
        <w:t>Si los gobiernos actúan de manera decidida, se pueden salvar vidas y bienes. Sin embargo, muchas entidades en desarrollo no cuentan con las herramientas, la experiencia ni los instrumentos para incorporar las posibles consecuencias de los fenómenos naturales adversos en sus decisiones de inversión.</w:t>
      </w:r>
    </w:p>
    <w:p w:rsidR="00E23519" w:rsidRPr="008464D7" w:rsidRDefault="00E23519" w:rsidP="00E23519">
      <w:pPr>
        <w:pStyle w:val="Texto"/>
        <w:spacing w:after="0" w:line="240" w:lineRule="auto"/>
        <w:ind w:left="-284" w:firstLine="0"/>
        <w:rPr>
          <w:sz w:val="24"/>
          <w:szCs w:val="24"/>
        </w:rPr>
      </w:pPr>
      <w:r w:rsidRPr="008464D7">
        <w:rPr>
          <w:sz w:val="24"/>
          <w:szCs w:val="24"/>
        </w:rPr>
        <w:t>La Ley de Protección Civil del Estado de Colima precisa que:</w:t>
      </w:r>
    </w:p>
    <w:p w:rsidR="00E23519" w:rsidRPr="008464D7" w:rsidRDefault="00E23519" w:rsidP="00E23519">
      <w:pPr>
        <w:pStyle w:val="Texto"/>
        <w:spacing w:after="0" w:line="240" w:lineRule="auto"/>
        <w:ind w:left="-284"/>
        <w:rPr>
          <w:sz w:val="24"/>
          <w:szCs w:val="24"/>
        </w:rPr>
      </w:pPr>
    </w:p>
    <w:p w:rsidR="00E23519" w:rsidRPr="008464D7" w:rsidRDefault="00E23519" w:rsidP="00E23519">
      <w:pPr>
        <w:pStyle w:val="Texto"/>
        <w:spacing w:after="0" w:line="240" w:lineRule="auto"/>
        <w:ind w:left="-284" w:firstLine="0"/>
        <w:rPr>
          <w:i/>
          <w:sz w:val="24"/>
          <w:szCs w:val="24"/>
        </w:rPr>
      </w:pPr>
      <w:r w:rsidRPr="008464D7">
        <w:rPr>
          <w:i/>
          <w:sz w:val="24"/>
          <w:szCs w:val="24"/>
        </w:rPr>
        <w:t>“La materia de protección civil es considerada dentro de nuestra Constitución…como una competencia concurrente entre los distintos órdenes de gobierno: Federal, entidades federativas y municipios.”</w:t>
      </w:r>
    </w:p>
    <w:p w:rsidR="00E23519" w:rsidRPr="008464D7" w:rsidRDefault="00E23519" w:rsidP="00E23519">
      <w:pPr>
        <w:pStyle w:val="Texto"/>
        <w:spacing w:after="0" w:line="240" w:lineRule="auto"/>
        <w:ind w:left="-284"/>
        <w:rPr>
          <w:sz w:val="24"/>
          <w:szCs w:val="24"/>
        </w:rPr>
      </w:pPr>
    </w:p>
    <w:p w:rsidR="00E23519" w:rsidRPr="008464D7" w:rsidRDefault="00E23519" w:rsidP="00E23519">
      <w:pPr>
        <w:pStyle w:val="Texto"/>
        <w:spacing w:after="0" w:line="240" w:lineRule="auto"/>
        <w:ind w:left="-284" w:firstLine="0"/>
        <w:rPr>
          <w:sz w:val="24"/>
          <w:szCs w:val="24"/>
        </w:rPr>
      </w:pPr>
      <w:r w:rsidRPr="008464D7">
        <w:rPr>
          <w:sz w:val="24"/>
          <w:szCs w:val="24"/>
        </w:rPr>
        <w:lastRenderedPageBreak/>
        <w:t xml:space="preserve">Tal ordenamiento establece las bases y mecanismos de coordinación y colaboración de dichas instancias públicas para generar una gestión integral de riesgos sustentada en una cultura de prevención en este tema. </w:t>
      </w:r>
    </w:p>
    <w:p w:rsidR="00E23519" w:rsidRPr="008464D7" w:rsidRDefault="00E23519" w:rsidP="00E23519">
      <w:pPr>
        <w:pStyle w:val="Texto"/>
        <w:spacing w:after="0" w:line="240" w:lineRule="auto"/>
        <w:ind w:left="-284" w:firstLine="0"/>
        <w:rPr>
          <w:sz w:val="24"/>
          <w:szCs w:val="24"/>
        </w:rPr>
      </w:pPr>
    </w:p>
    <w:p w:rsidR="00E23519" w:rsidRPr="008464D7" w:rsidRDefault="00E23519" w:rsidP="00E23519">
      <w:pPr>
        <w:pStyle w:val="Texto"/>
        <w:spacing w:after="0" w:line="240" w:lineRule="auto"/>
        <w:ind w:left="-284" w:firstLine="0"/>
        <w:rPr>
          <w:color w:val="000000"/>
          <w:sz w:val="24"/>
          <w:szCs w:val="24"/>
        </w:rPr>
      </w:pPr>
      <w:r w:rsidRPr="008464D7">
        <w:rPr>
          <w:sz w:val="24"/>
          <w:szCs w:val="24"/>
        </w:rPr>
        <w:t xml:space="preserve">En otro aspecto, </w:t>
      </w:r>
      <w:r w:rsidRPr="008464D7">
        <w:rPr>
          <w:color w:val="000000"/>
          <w:sz w:val="24"/>
          <w:szCs w:val="24"/>
        </w:rPr>
        <w:t xml:space="preserve">la Ley de Disciplina Financiera de las Entidades Federativas y los Municipios establece en su Artículo 9 </w:t>
      </w:r>
      <w:r w:rsidRPr="008464D7">
        <w:rPr>
          <w:i/>
          <w:color w:val="000000"/>
          <w:sz w:val="24"/>
          <w:szCs w:val="24"/>
        </w:rPr>
        <w:t>“El Presupuesto de Egresos de las Entidades Federativas deberá prever recursos para atender a la población afectada y los daños causados a la infraestructura pública estatal ocasionados por la ocurrencia de desastres naturales, así como para llevar a cabo acciones para prevenir y mitigar su impacto a las finanzas estatales. El monto de dichos recursos deberá estar determinado por cada Entidad Federativa, el cual como mínimo deberá corresponder al 10 por ciento de la aportación realizada por la Entidad Federativa para la reconstrucción de la infraestructura de la Entidad Federativa dañada que en promedio se registre durante los últimos 5 ejercicios, actualizados por el Índice Nacional de Precios al Consumidor, medido a través de las autorizaciones de recursos aprobadas por el Fondo de Desastres Naturales, y deberá ser aportado a un fideicomiso público que se constituya específicamente para dicho fin.</w:t>
      </w:r>
      <w:r w:rsidRPr="008464D7">
        <w:rPr>
          <w:color w:val="000000"/>
          <w:sz w:val="24"/>
          <w:szCs w:val="24"/>
        </w:rPr>
        <w:t>”</w:t>
      </w:r>
    </w:p>
    <w:p w:rsidR="00E23519" w:rsidRPr="008464D7" w:rsidRDefault="00E23519" w:rsidP="00E23519">
      <w:pPr>
        <w:pStyle w:val="Texto"/>
        <w:spacing w:after="0" w:line="240" w:lineRule="auto"/>
        <w:ind w:left="-284" w:hanging="284"/>
        <w:rPr>
          <w:color w:val="000000"/>
          <w:sz w:val="24"/>
          <w:szCs w:val="24"/>
        </w:rPr>
      </w:pPr>
    </w:p>
    <w:p w:rsidR="00E23519" w:rsidRPr="008464D7" w:rsidRDefault="00E23519" w:rsidP="00E23519">
      <w:pPr>
        <w:pStyle w:val="Texto"/>
        <w:spacing w:after="0" w:line="240" w:lineRule="auto"/>
        <w:ind w:left="-284" w:hanging="284"/>
        <w:rPr>
          <w:color w:val="000000"/>
          <w:sz w:val="24"/>
          <w:szCs w:val="24"/>
        </w:rPr>
      </w:pPr>
      <w:r w:rsidRPr="008464D7">
        <w:rPr>
          <w:color w:val="000000"/>
          <w:sz w:val="24"/>
          <w:szCs w:val="24"/>
        </w:rPr>
        <w:t xml:space="preserve">    Los recursos aportados deberán ser destinados, en primer término, para financiar las obras y acciones de reconstrucción de la infraestructura estatal aprobadas en el marco de las reglas generales del Fondo de Desastres Naturales, como la contraparte de la Entidad Federativa a los programas de reconstrucción acordados con la Federación.</w:t>
      </w:r>
    </w:p>
    <w:p w:rsidR="00E23519" w:rsidRPr="008464D7" w:rsidRDefault="00E23519" w:rsidP="00E23519">
      <w:pPr>
        <w:pStyle w:val="Texto"/>
        <w:spacing w:after="0" w:line="240" w:lineRule="auto"/>
        <w:ind w:left="-284" w:hanging="284"/>
        <w:rPr>
          <w:color w:val="000000"/>
          <w:sz w:val="24"/>
          <w:szCs w:val="24"/>
        </w:rPr>
      </w:pPr>
    </w:p>
    <w:p w:rsidR="00E23519" w:rsidRPr="008464D7" w:rsidRDefault="00E23519" w:rsidP="00E23519">
      <w:pPr>
        <w:pStyle w:val="Texto"/>
        <w:spacing w:after="0" w:line="240" w:lineRule="auto"/>
        <w:ind w:left="-284" w:firstLine="0"/>
        <w:rPr>
          <w:color w:val="000000"/>
          <w:sz w:val="24"/>
          <w:szCs w:val="24"/>
        </w:rPr>
      </w:pPr>
      <w:r w:rsidRPr="008464D7">
        <w:rPr>
          <w:color w:val="000000"/>
          <w:sz w:val="24"/>
          <w:szCs w:val="24"/>
        </w:rPr>
        <w:t>En caso de que el saldo de los recursos del fideicomiso a que se refiere el primer párrafo de este artículo, acumule un monto que sea superior al costo promedio de reconstrucción de la infraestructura estatal dañada de los últimos 5 años de la Entidad Federativa, medido a través de las autorizaciones de recursos aprobadas por el Fondo de Desastres Naturales, la Entidad Federativa podrá utilizar el remanente que le corresponda para acciones de prevención y mitigación, los cuales podrán ser aplicados para financiar la contraparte de la Entidad Federativa de los proyectos preventivos, conforme a lo establecido en las reglas de operación del Fondo para la Prevención de Desastres Naturales.”</w:t>
      </w:r>
    </w:p>
    <w:p w:rsidR="00E23519" w:rsidRPr="008464D7" w:rsidRDefault="00E23519" w:rsidP="00E23519">
      <w:pPr>
        <w:pStyle w:val="Texto"/>
        <w:spacing w:after="0" w:line="240" w:lineRule="auto"/>
        <w:ind w:left="-284" w:firstLine="0"/>
        <w:rPr>
          <w:color w:val="000000"/>
          <w:sz w:val="24"/>
          <w:szCs w:val="24"/>
        </w:rPr>
      </w:pPr>
    </w:p>
    <w:p w:rsidR="00E23519" w:rsidRPr="008464D7" w:rsidRDefault="00E23519" w:rsidP="00E23519">
      <w:pPr>
        <w:pStyle w:val="Texto"/>
        <w:spacing w:after="0" w:line="240" w:lineRule="auto"/>
        <w:ind w:left="-284" w:firstLine="0"/>
        <w:rPr>
          <w:color w:val="000000"/>
          <w:sz w:val="24"/>
          <w:szCs w:val="24"/>
        </w:rPr>
      </w:pPr>
      <w:r w:rsidRPr="008464D7">
        <w:rPr>
          <w:color w:val="000000"/>
          <w:sz w:val="24"/>
          <w:szCs w:val="24"/>
        </w:rPr>
        <w:t>Asimismo, la Ley de Disciplina Financiera de las Entidades Federativas y los Municipios LDFEFM en su Transitorio Quinto prevé que</w:t>
      </w:r>
      <w:r w:rsidRPr="008464D7">
        <w:rPr>
          <w:b/>
          <w:color w:val="000000"/>
          <w:sz w:val="24"/>
          <w:szCs w:val="24"/>
        </w:rPr>
        <w:t>. - “</w:t>
      </w:r>
      <w:r w:rsidRPr="00BF486B">
        <w:rPr>
          <w:i/>
          <w:color w:val="000000"/>
          <w:sz w:val="24"/>
          <w:szCs w:val="24"/>
        </w:rPr>
        <w:t>El porcentaje a que hace referencia el artículo 9 de la Ley de Disciplina Financiera de las Entidades Federativas y los Municipios, relativo al nivel de aportación al fideicomiso para realizar acciones preventivas o atender daños ocasionados por desastres naturales, corresponderá a un 2.5 por ciento para el año 2017, 5.0 por ciento para el año 2018, 7.5 por ciento para el año 2019 y, a partir del año 2020 se observará el porcentaje establecido en el artículo citado</w:t>
      </w:r>
      <w:r w:rsidRPr="008464D7">
        <w:rPr>
          <w:color w:val="000000"/>
          <w:sz w:val="24"/>
          <w:szCs w:val="24"/>
        </w:rPr>
        <w:t>.”</w:t>
      </w:r>
    </w:p>
    <w:p w:rsidR="00E23519" w:rsidRPr="008464D7" w:rsidRDefault="00E23519" w:rsidP="00E23519">
      <w:pPr>
        <w:pStyle w:val="Texto"/>
        <w:spacing w:after="0" w:line="240" w:lineRule="auto"/>
        <w:ind w:left="-284" w:firstLine="0"/>
        <w:rPr>
          <w:color w:val="000000"/>
          <w:sz w:val="24"/>
          <w:szCs w:val="24"/>
        </w:rPr>
      </w:pPr>
      <w:r w:rsidRPr="008464D7">
        <w:rPr>
          <w:color w:val="000000"/>
          <w:sz w:val="24"/>
          <w:szCs w:val="24"/>
        </w:rPr>
        <w:lastRenderedPageBreak/>
        <w:t>A continuación, se presenta información que incluye los recursos que ha aportado la Federación y el estado para financiar obras y acciones de reconstrucción de la infraestructura estatal por desastres naturales en el marco del FONDEN.</w:t>
      </w:r>
    </w:p>
    <w:p w:rsidR="00E23519" w:rsidRPr="008464D7" w:rsidRDefault="00E23519" w:rsidP="00E23519">
      <w:pPr>
        <w:pStyle w:val="Texto"/>
        <w:spacing w:after="0" w:line="240" w:lineRule="auto"/>
        <w:ind w:left="-284" w:firstLine="0"/>
        <w:rPr>
          <w:color w:val="000000"/>
          <w:sz w:val="24"/>
          <w:szCs w:val="24"/>
        </w:rPr>
      </w:pPr>
    </w:p>
    <w:p w:rsidR="00E23519" w:rsidRPr="008464D7" w:rsidRDefault="00E23519" w:rsidP="00E23519">
      <w:pPr>
        <w:pStyle w:val="Texto"/>
        <w:spacing w:after="0" w:line="240" w:lineRule="auto"/>
        <w:ind w:left="-284" w:firstLine="0"/>
        <w:jc w:val="center"/>
        <w:rPr>
          <w:color w:val="000000"/>
          <w:sz w:val="24"/>
          <w:szCs w:val="24"/>
        </w:rPr>
      </w:pPr>
      <w:r w:rsidRPr="008464D7">
        <w:rPr>
          <w:noProof/>
          <w:lang w:val="es-MX" w:eastAsia="es-MX"/>
        </w:rPr>
        <w:drawing>
          <wp:inline distT="0" distB="0" distL="0" distR="0" wp14:anchorId="70D6E24E" wp14:editId="7EB4C849">
            <wp:extent cx="5585076" cy="157403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675522" cy="1599520"/>
                    </a:xfrm>
                    <a:prstGeom prst="rect">
                      <a:avLst/>
                    </a:prstGeom>
                    <a:noFill/>
                    <a:ln>
                      <a:noFill/>
                    </a:ln>
                  </pic:spPr>
                </pic:pic>
              </a:graphicData>
            </a:graphic>
          </wp:inline>
        </w:drawing>
      </w:r>
    </w:p>
    <w:p w:rsidR="00E23519" w:rsidRPr="008464D7" w:rsidRDefault="00E23519" w:rsidP="00E23519">
      <w:pPr>
        <w:pStyle w:val="Texto"/>
        <w:spacing w:after="0" w:line="240" w:lineRule="auto"/>
        <w:ind w:left="-284" w:firstLine="0"/>
        <w:rPr>
          <w:color w:val="000000"/>
          <w:sz w:val="24"/>
          <w:szCs w:val="24"/>
        </w:rPr>
      </w:pPr>
    </w:p>
    <w:p w:rsidR="00E23519" w:rsidRPr="008464D7" w:rsidRDefault="00E23519" w:rsidP="00E23519">
      <w:pPr>
        <w:pStyle w:val="Texto"/>
        <w:spacing w:after="0" w:line="240" w:lineRule="auto"/>
        <w:ind w:left="-284" w:firstLine="0"/>
        <w:rPr>
          <w:sz w:val="24"/>
          <w:szCs w:val="24"/>
        </w:rPr>
      </w:pPr>
      <w:r w:rsidRPr="008464D7">
        <w:rPr>
          <w:sz w:val="24"/>
          <w:szCs w:val="24"/>
        </w:rPr>
        <w:t>Para el ejercicio fiscal 2017 se estimó una cantidad de 26.4 millones de pesos en la partida 79101 denominada Fondo de Desastres Naturales que representa la aportación estatal al FONDEN para atender a la población y a la infraestructura dañada en caso de desastres naturales.</w:t>
      </w:r>
    </w:p>
    <w:p w:rsidR="00E23519" w:rsidRPr="008464D7" w:rsidRDefault="00E23519" w:rsidP="00E23519">
      <w:pPr>
        <w:pStyle w:val="Texto"/>
        <w:spacing w:after="0" w:line="240" w:lineRule="auto"/>
        <w:ind w:left="-284" w:firstLine="0"/>
        <w:rPr>
          <w:sz w:val="24"/>
          <w:szCs w:val="24"/>
        </w:rPr>
      </w:pPr>
    </w:p>
    <w:p w:rsidR="00E23519" w:rsidRPr="008464D7" w:rsidRDefault="00E23519" w:rsidP="00E23519">
      <w:pPr>
        <w:pStyle w:val="Texto"/>
        <w:spacing w:after="0" w:line="240" w:lineRule="auto"/>
        <w:ind w:left="-284" w:firstLine="0"/>
        <w:rPr>
          <w:color w:val="000000"/>
          <w:sz w:val="24"/>
          <w:szCs w:val="24"/>
        </w:rPr>
      </w:pPr>
      <w:r w:rsidRPr="008464D7">
        <w:rPr>
          <w:sz w:val="24"/>
          <w:szCs w:val="24"/>
        </w:rPr>
        <w:t>En línea con lo anterior, Colima se posiciona a la vanguardia en el tema, al suscribir coordinadamente con los estados de Oaxaca e Hidalgo un convenio con BANOBRAS, por medio del “Fideicomiso para la Contratación Conjunta de Seguros Catastróficos u Otros Instrumentos de Transferencias de Riesgos, para Entidades Federativas y Municipios”.</w:t>
      </w:r>
    </w:p>
    <w:p w:rsidR="00E23519" w:rsidRPr="008464D7" w:rsidRDefault="00E23519" w:rsidP="00E23519">
      <w:pPr>
        <w:pStyle w:val="Texto"/>
        <w:spacing w:after="0" w:line="240" w:lineRule="auto"/>
        <w:ind w:left="-284" w:firstLine="0"/>
        <w:rPr>
          <w:color w:val="000000"/>
          <w:sz w:val="24"/>
          <w:szCs w:val="24"/>
        </w:rPr>
      </w:pPr>
    </w:p>
    <w:p w:rsidR="00E23519" w:rsidRPr="008464D7" w:rsidRDefault="00E23519" w:rsidP="00E23519">
      <w:pPr>
        <w:pStyle w:val="Texto"/>
        <w:spacing w:after="0" w:line="240" w:lineRule="auto"/>
        <w:ind w:left="-284" w:firstLine="0"/>
        <w:rPr>
          <w:sz w:val="24"/>
          <w:szCs w:val="24"/>
        </w:rPr>
      </w:pPr>
      <w:r w:rsidRPr="008464D7">
        <w:rPr>
          <w:sz w:val="24"/>
          <w:szCs w:val="24"/>
        </w:rPr>
        <w:t>Dicho instrumento conjunto permitirá obtener mejores condiciones de aseguramiento y beneficios en el costo de la prima al conformar un portafolio común, implementando así un mecanismo eficiente que fortalezca las finanzas públicas estatales, por lo cual se considera un instrumento financiero idóneo para la contratación consolidada de seguros.</w:t>
      </w:r>
    </w:p>
    <w:p w:rsidR="00E23519" w:rsidRPr="008464D7" w:rsidRDefault="00E23519" w:rsidP="00E23519">
      <w:pPr>
        <w:pStyle w:val="Texto"/>
        <w:spacing w:after="0" w:line="240" w:lineRule="auto"/>
        <w:ind w:left="-284" w:firstLine="0"/>
        <w:rPr>
          <w:sz w:val="24"/>
          <w:szCs w:val="24"/>
        </w:rPr>
      </w:pPr>
    </w:p>
    <w:p w:rsidR="00E23519" w:rsidRPr="008464D7" w:rsidRDefault="00E23519" w:rsidP="00E23519">
      <w:pPr>
        <w:pStyle w:val="Texto"/>
        <w:spacing w:after="0" w:line="240" w:lineRule="auto"/>
        <w:ind w:left="-284" w:firstLine="0"/>
        <w:rPr>
          <w:color w:val="222222"/>
          <w:sz w:val="24"/>
          <w:szCs w:val="24"/>
        </w:rPr>
      </w:pPr>
      <w:r w:rsidRPr="008464D7">
        <w:rPr>
          <w:color w:val="222222"/>
          <w:sz w:val="24"/>
          <w:szCs w:val="24"/>
        </w:rPr>
        <w:t>Derivado de la suscripción del referido convenio, los estados firmantes crearon un Comité Técnico para la Contratación Conjunta de Seguros Catastróficos u otros Instrumentos de Transferencia de Riesgos para Entidades Federativas.</w:t>
      </w:r>
    </w:p>
    <w:p w:rsidR="00E23519" w:rsidRPr="008464D7" w:rsidRDefault="00E23519" w:rsidP="00E23519">
      <w:pPr>
        <w:pStyle w:val="Texto"/>
        <w:spacing w:after="0" w:line="240" w:lineRule="auto"/>
        <w:ind w:left="-284" w:firstLine="0"/>
        <w:rPr>
          <w:color w:val="222222"/>
          <w:sz w:val="24"/>
          <w:szCs w:val="24"/>
        </w:rPr>
      </w:pPr>
    </w:p>
    <w:p w:rsidR="00E23519" w:rsidRPr="008464D7" w:rsidRDefault="00E23519" w:rsidP="00E23519">
      <w:pPr>
        <w:pStyle w:val="Texto"/>
        <w:spacing w:after="0" w:line="240" w:lineRule="auto"/>
        <w:ind w:left="-284" w:firstLine="0"/>
        <w:rPr>
          <w:color w:val="222222"/>
          <w:sz w:val="24"/>
          <w:szCs w:val="24"/>
        </w:rPr>
      </w:pPr>
      <w:r w:rsidRPr="008464D7">
        <w:rPr>
          <w:color w:val="222222"/>
          <w:sz w:val="24"/>
          <w:szCs w:val="24"/>
        </w:rPr>
        <w:t xml:space="preserve">Esta iniciativa, convierte a Colima en una de las entidades pioneras en la adquisición de seguros catastróficos. </w:t>
      </w:r>
    </w:p>
    <w:p w:rsidR="00E23519" w:rsidRPr="008464D7" w:rsidRDefault="00E23519" w:rsidP="00E23519">
      <w:pPr>
        <w:pStyle w:val="Texto"/>
        <w:spacing w:after="0" w:line="240" w:lineRule="auto"/>
        <w:ind w:left="-284" w:firstLine="0"/>
        <w:rPr>
          <w:color w:val="222222"/>
          <w:sz w:val="24"/>
          <w:szCs w:val="24"/>
        </w:rPr>
      </w:pPr>
    </w:p>
    <w:p w:rsidR="00E23519" w:rsidRPr="008464D7" w:rsidRDefault="00E23519" w:rsidP="00E23519">
      <w:pPr>
        <w:pStyle w:val="Texto"/>
        <w:spacing w:after="0" w:line="240" w:lineRule="auto"/>
        <w:ind w:left="-284" w:firstLine="0"/>
        <w:rPr>
          <w:color w:val="222222"/>
          <w:sz w:val="24"/>
          <w:szCs w:val="24"/>
        </w:rPr>
      </w:pPr>
      <w:r w:rsidRPr="008464D7">
        <w:rPr>
          <w:color w:val="222222"/>
          <w:sz w:val="24"/>
          <w:szCs w:val="24"/>
        </w:rPr>
        <w:t>Con ello, las tres entidades federativas precitadas obtendrán beneficios financieros y ubicaran de manera clara los activos públicos que deben ser cubiertos por daños, y como en toda compra, el volumen permite abaratar el costo.</w:t>
      </w:r>
    </w:p>
    <w:p w:rsidR="00E23519" w:rsidRPr="008464D7" w:rsidRDefault="00E23519" w:rsidP="00E23519">
      <w:pPr>
        <w:pStyle w:val="Texto"/>
        <w:spacing w:after="0" w:line="240" w:lineRule="auto"/>
        <w:ind w:left="-284" w:firstLine="0"/>
        <w:rPr>
          <w:color w:val="222222"/>
          <w:sz w:val="24"/>
          <w:szCs w:val="24"/>
        </w:rPr>
      </w:pPr>
      <w:r w:rsidRPr="008464D7">
        <w:rPr>
          <w:color w:val="222222"/>
          <w:sz w:val="24"/>
          <w:szCs w:val="24"/>
        </w:rPr>
        <w:lastRenderedPageBreak/>
        <w:t>Por primera vez el Estado de Colima cuenta con una estrategia integral</w:t>
      </w:r>
      <w:r w:rsidRPr="008464D7">
        <w:rPr>
          <w:rStyle w:val="Textoennegrita"/>
          <w:color w:val="222222"/>
          <w:sz w:val="24"/>
          <w:szCs w:val="24"/>
        </w:rPr>
        <w:t xml:space="preserve"> </w:t>
      </w:r>
      <w:r w:rsidRPr="008464D7">
        <w:rPr>
          <w:color w:val="222222"/>
          <w:sz w:val="24"/>
          <w:szCs w:val="24"/>
        </w:rPr>
        <w:t xml:space="preserve">de riesgos (EGIR), la cual es un proceso de planeación y previsión recomendado por el Fondo Nacional de Desastres, para dar viabilidad financiera a los mecanismos de apoyo establecidos en materia de riesgos y desastres naturales. </w:t>
      </w:r>
    </w:p>
    <w:p w:rsidR="00E23519" w:rsidRPr="008464D7" w:rsidRDefault="00E23519" w:rsidP="00E23519">
      <w:pPr>
        <w:pStyle w:val="Texto"/>
        <w:spacing w:after="0" w:line="240" w:lineRule="auto"/>
        <w:ind w:left="-284" w:firstLine="0"/>
        <w:rPr>
          <w:color w:val="222222"/>
          <w:sz w:val="24"/>
          <w:szCs w:val="24"/>
        </w:rPr>
      </w:pPr>
    </w:p>
    <w:p w:rsidR="00E23519" w:rsidRPr="008464D7" w:rsidRDefault="00E23519" w:rsidP="00E23519">
      <w:pPr>
        <w:pStyle w:val="Texto"/>
        <w:spacing w:after="0" w:line="240" w:lineRule="auto"/>
        <w:ind w:left="-284" w:firstLine="0"/>
        <w:rPr>
          <w:color w:val="222222"/>
          <w:sz w:val="24"/>
          <w:szCs w:val="24"/>
        </w:rPr>
      </w:pPr>
      <w:r w:rsidRPr="008464D7">
        <w:rPr>
          <w:color w:val="222222"/>
          <w:sz w:val="24"/>
          <w:szCs w:val="24"/>
        </w:rPr>
        <w:t>Con este seguro se disminuirá la presión financiera que pudiera generarse para los estados ante eventuales desastres naturales.</w:t>
      </w:r>
    </w:p>
    <w:p w:rsidR="00E23519" w:rsidRPr="008464D7" w:rsidRDefault="00E23519" w:rsidP="00E23519">
      <w:pPr>
        <w:pStyle w:val="Texto"/>
        <w:spacing w:after="0" w:line="240" w:lineRule="auto"/>
        <w:ind w:left="-284" w:firstLine="0"/>
        <w:rPr>
          <w:color w:val="222222"/>
          <w:sz w:val="24"/>
          <w:szCs w:val="24"/>
        </w:rPr>
      </w:pPr>
    </w:p>
    <w:p w:rsidR="00E23519" w:rsidRPr="008464D7" w:rsidRDefault="00E23519" w:rsidP="00E23519">
      <w:pPr>
        <w:pStyle w:val="Texto"/>
        <w:spacing w:after="0" w:line="240" w:lineRule="auto"/>
        <w:ind w:left="-284" w:firstLine="0"/>
        <w:rPr>
          <w:color w:val="222222"/>
          <w:sz w:val="24"/>
          <w:szCs w:val="24"/>
        </w:rPr>
      </w:pPr>
      <w:r w:rsidRPr="008464D7">
        <w:rPr>
          <w:color w:val="222222"/>
          <w:sz w:val="24"/>
          <w:szCs w:val="24"/>
        </w:rPr>
        <w:t>Asimismo, cumplirá el objetivo de hacer frente en materia económica a las pérdidas que se pudieran tener en caso de que algún fenómeno natural impactará Colima.</w:t>
      </w:r>
    </w:p>
    <w:p w:rsidR="00E23519" w:rsidRPr="008464D7" w:rsidRDefault="00E23519" w:rsidP="00E23519">
      <w:pPr>
        <w:pStyle w:val="Texto"/>
        <w:spacing w:after="0" w:line="240" w:lineRule="auto"/>
        <w:ind w:left="-284" w:firstLine="0"/>
        <w:rPr>
          <w:color w:val="222222"/>
          <w:sz w:val="24"/>
          <w:szCs w:val="24"/>
        </w:rPr>
      </w:pPr>
    </w:p>
    <w:p w:rsidR="00E23519" w:rsidRPr="008464D7" w:rsidRDefault="00E23519" w:rsidP="00E23519">
      <w:pPr>
        <w:pStyle w:val="Texto"/>
        <w:spacing w:after="0" w:line="240" w:lineRule="auto"/>
        <w:ind w:left="-284" w:firstLine="0"/>
        <w:rPr>
          <w:color w:val="222222"/>
          <w:sz w:val="24"/>
          <w:szCs w:val="24"/>
        </w:rPr>
      </w:pPr>
      <w:r w:rsidRPr="008464D7">
        <w:rPr>
          <w:color w:val="222222"/>
          <w:sz w:val="24"/>
          <w:szCs w:val="24"/>
        </w:rPr>
        <w:t>Con ello se garantizaría una póliza máxima de gastos para el estado de 150 millones de pesos.</w:t>
      </w:r>
    </w:p>
    <w:p w:rsidR="00E23519" w:rsidRPr="008464D7" w:rsidRDefault="00E23519" w:rsidP="00E23519">
      <w:pPr>
        <w:pStyle w:val="Texto"/>
        <w:spacing w:after="0" w:line="240" w:lineRule="auto"/>
        <w:ind w:left="-284" w:firstLine="0"/>
        <w:rPr>
          <w:color w:val="222222"/>
          <w:sz w:val="24"/>
          <w:szCs w:val="24"/>
        </w:rPr>
      </w:pPr>
    </w:p>
    <w:p w:rsidR="00E23519" w:rsidRPr="008464D7" w:rsidRDefault="00E23519" w:rsidP="00E23519">
      <w:pPr>
        <w:pStyle w:val="Texto"/>
        <w:spacing w:after="0" w:line="240" w:lineRule="auto"/>
        <w:ind w:left="-284" w:firstLine="0"/>
        <w:rPr>
          <w:color w:val="222222"/>
          <w:sz w:val="24"/>
          <w:szCs w:val="24"/>
        </w:rPr>
      </w:pPr>
      <w:r w:rsidRPr="008464D7">
        <w:rPr>
          <w:color w:val="222222"/>
          <w:sz w:val="24"/>
          <w:szCs w:val="24"/>
        </w:rPr>
        <w:t>En años anteriores en promedio los daños que se han tenido han ascendido a alrededor de 120 millones de pesos y con el seguro se garantiza que no se tendrá la presión financiera en caso de necesitarlo.</w:t>
      </w:r>
    </w:p>
    <w:p w:rsidR="00E23519" w:rsidRPr="008464D7" w:rsidRDefault="00E23519" w:rsidP="00E23519">
      <w:pPr>
        <w:pStyle w:val="Texto"/>
        <w:spacing w:after="0" w:line="240" w:lineRule="auto"/>
        <w:ind w:left="-284" w:firstLine="0"/>
        <w:rPr>
          <w:color w:val="222222"/>
          <w:sz w:val="24"/>
          <w:szCs w:val="24"/>
        </w:rPr>
      </w:pPr>
    </w:p>
    <w:p w:rsidR="00E23519" w:rsidRPr="008464D7" w:rsidRDefault="00E23519" w:rsidP="00E23519">
      <w:pPr>
        <w:pStyle w:val="Texto"/>
        <w:spacing w:after="0" w:line="240" w:lineRule="auto"/>
        <w:ind w:left="-284" w:firstLine="0"/>
        <w:rPr>
          <w:color w:val="222222"/>
          <w:sz w:val="24"/>
          <w:szCs w:val="24"/>
        </w:rPr>
      </w:pPr>
      <w:r w:rsidRPr="008464D7">
        <w:rPr>
          <w:color w:val="222222"/>
          <w:sz w:val="24"/>
          <w:szCs w:val="24"/>
        </w:rPr>
        <w:t>Un dato al respecto fue lo ocurrido en octubre de 2015 con el huracán “Patricia” cuyas pérdidas costaron más de 100 millones de pesos y en casos anteriores, derivado de los sismos y otros huracanes que afectaron el territorio, obligaron al gobierno a contratar deuda pública para poder hacer frente a los daños.</w:t>
      </w:r>
    </w:p>
    <w:p w:rsidR="00E23519" w:rsidRPr="008464D7" w:rsidRDefault="00E23519" w:rsidP="00E23519">
      <w:pPr>
        <w:pStyle w:val="Texto"/>
        <w:spacing w:after="0" w:line="240" w:lineRule="auto"/>
        <w:ind w:left="-284" w:firstLine="0"/>
        <w:rPr>
          <w:color w:val="222222"/>
          <w:sz w:val="24"/>
          <w:szCs w:val="24"/>
        </w:rPr>
      </w:pPr>
    </w:p>
    <w:p w:rsidR="00E23519" w:rsidRPr="008464D7" w:rsidRDefault="00E23519" w:rsidP="00E23519">
      <w:pPr>
        <w:pStyle w:val="Texto"/>
        <w:spacing w:after="0" w:line="240" w:lineRule="auto"/>
        <w:ind w:left="-284" w:firstLine="0"/>
        <w:rPr>
          <w:color w:val="222222"/>
          <w:sz w:val="24"/>
          <w:szCs w:val="24"/>
        </w:rPr>
      </w:pPr>
      <w:r w:rsidRPr="008464D7">
        <w:rPr>
          <w:color w:val="222222"/>
          <w:sz w:val="24"/>
          <w:szCs w:val="24"/>
        </w:rPr>
        <w:t>El seguro catastrófico cubrirá los daños a las obras de infraestructura en el Estado como puentes, caminos, entre otros.</w:t>
      </w:r>
    </w:p>
    <w:p w:rsidR="00E23519" w:rsidRPr="008464D7" w:rsidRDefault="00E23519" w:rsidP="00E23519">
      <w:pPr>
        <w:pStyle w:val="Texto"/>
        <w:spacing w:after="0" w:line="240" w:lineRule="auto"/>
        <w:ind w:left="-284" w:firstLine="0"/>
        <w:rPr>
          <w:color w:val="222222"/>
          <w:sz w:val="24"/>
          <w:szCs w:val="24"/>
        </w:rPr>
      </w:pPr>
    </w:p>
    <w:p w:rsidR="00E23519" w:rsidRPr="008464D7" w:rsidRDefault="00E23519" w:rsidP="00E23519">
      <w:pPr>
        <w:pStyle w:val="Texto"/>
        <w:spacing w:after="0" w:line="240" w:lineRule="auto"/>
        <w:ind w:left="-284" w:firstLine="0"/>
        <w:rPr>
          <w:b/>
          <w:sz w:val="24"/>
          <w:szCs w:val="24"/>
        </w:rPr>
      </w:pPr>
      <w:r w:rsidRPr="008464D7">
        <w:rPr>
          <w:b/>
          <w:color w:val="222222"/>
          <w:sz w:val="24"/>
          <w:szCs w:val="24"/>
          <w:lang w:val="es-MX" w:eastAsia="es-MX"/>
        </w:rPr>
        <w:t xml:space="preserve">2.8. </w:t>
      </w:r>
      <w:r w:rsidRPr="008464D7">
        <w:rPr>
          <w:b/>
          <w:sz w:val="24"/>
          <w:szCs w:val="24"/>
        </w:rPr>
        <w:t>INCLUSIÓN DE UNA SECCIÓN ESPECÍFICA DE LAS EROGACIONES CORRESPONDIENTES AL GASTO EN SERVICIOS PERSONALES.</w:t>
      </w:r>
    </w:p>
    <w:p w:rsidR="00E23519" w:rsidRPr="008464D7" w:rsidRDefault="00E23519" w:rsidP="00E23519">
      <w:pPr>
        <w:pStyle w:val="Texto"/>
        <w:spacing w:after="0" w:line="240" w:lineRule="auto"/>
        <w:ind w:left="-284" w:firstLine="0"/>
        <w:jc w:val="center"/>
        <w:rPr>
          <w:sz w:val="24"/>
          <w:szCs w:val="24"/>
        </w:rPr>
      </w:pPr>
    </w:p>
    <w:p w:rsidR="00E23519" w:rsidRPr="008464D7" w:rsidRDefault="00E23519" w:rsidP="00E23519">
      <w:pPr>
        <w:pStyle w:val="Texto"/>
        <w:spacing w:after="0" w:line="240" w:lineRule="auto"/>
        <w:ind w:left="288" w:firstLine="0"/>
        <w:rPr>
          <w:b/>
          <w:sz w:val="24"/>
          <w:szCs w:val="24"/>
        </w:rPr>
      </w:pPr>
      <w:r w:rsidRPr="008464D7">
        <w:rPr>
          <w:b/>
          <w:sz w:val="24"/>
          <w:szCs w:val="24"/>
        </w:rPr>
        <w:t>Servicios Personales</w:t>
      </w:r>
    </w:p>
    <w:p w:rsidR="00E23519" w:rsidRPr="008464D7" w:rsidRDefault="00E23519" w:rsidP="00E23519">
      <w:pPr>
        <w:pStyle w:val="Texto"/>
        <w:spacing w:after="0" w:line="240" w:lineRule="auto"/>
        <w:ind w:left="288" w:firstLine="0"/>
        <w:rPr>
          <w:sz w:val="24"/>
          <w:szCs w:val="24"/>
        </w:rPr>
      </w:pPr>
    </w:p>
    <w:p w:rsidR="00E23519" w:rsidRPr="008464D7" w:rsidRDefault="00E23519" w:rsidP="00E23519">
      <w:pPr>
        <w:pStyle w:val="Texto"/>
        <w:spacing w:after="0" w:line="240" w:lineRule="auto"/>
        <w:ind w:firstLine="0"/>
        <w:rPr>
          <w:sz w:val="24"/>
          <w:szCs w:val="24"/>
        </w:rPr>
      </w:pPr>
      <w:r w:rsidRPr="008464D7">
        <w:rPr>
          <w:sz w:val="24"/>
          <w:szCs w:val="24"/>
        </w:rPr>
        <w:t>Los servicios personales se refieren a las remuneraciones del personal operativo y de mando al servicio de los Poderes y Entes Autónomos, de las Dependencias y Entidades; corresponden a sueldos, salarios, dietas, honorarios asimilables al salario, prestaciones y gastos de seguridad social, obligaciones laborales y otras prestaciones derivadas de una relación laboral, de carácter permanente o transitorio.</w:t>
      </w:r>
    </w:p>
    <w:p w:rsidR="00E23519" w:rsidRPr="008464D7" w:rsidRDefault="00E23519" w:rsidP="00E23519">
      <w:pPr>
        <w:pStyle w:val="Texto"/>
        <w:spacing w:after="0" w:line="240" w:lineRule="auto"/>
        <w:ind w:left="288" w:firstLine="0"/>
        <w:rPr>
          <w:sz w:val="24"/>
          <w:szCs w:val="24"/>
        </w:rPr>
      </w:pPr>
    </w:p>
    <w:p w:rsidR="00E23519" w:rsidRPr="008464D7" w:rsidRDefault="00E23519" w:rsidP="00E23519">
      <w:pPr>
        <w:pStyle w:val="Texto"/>
        <w:spacing w:after="0" w:line="240" w:lineRule="auto"/>
        <w:ind w:firstLine="0"/>
        <w:rPr>
          <w:sz w:val="24"/>
          <w:szCs w:val="24"/>
        </w:rPr>
      </w:pPr>
      <w:r w:rsidRPr="008464D7">
        <w:rPr>
          <w:sz w:val="24"/>
          <w:szCs w:val="24"/>
        </w:rPr>
        <w:t xml:space="preserve">La importancia del gasto en servicios personales como agregado presupuestario, y desde el punto de vista de la clasificación económica, radica en la cobertura que llevan a cabo las diferentes dependencias gubernamentales de las percepciones </w:t>
      </w:r>
      <w:r w:rsidRPr="008464D7">
        <w:rPr>
          <w:sz w:val="24"/>
          <w:szCs w:val="24"/>
        </w:rPr>
        <w:lastRenderedPageBreak/>
        <w:t xml:space="preserve">para el personal, incluyendo la operación de programas prioritarios de los sectores de salud, educativo, de seguridad pública, entre otros. </w:t>
      </w:r>
    </w:p>
    <w:p w:rsidR="00E23519" w:rsidRPr="008464D7" w:rsidRDefault="00E23519" w:rsidP="00E23519">
      <w:pPr>
        <w:pStyle w:val="Texto"/>
        <w:spacing w:after="0" w:line="240" w:lineRule="auto"/>
        <w:ind w:left="288" w:firstLine="0"/>
        <w:rPr>
          <w:sz w:val="24"/>
          <w:szCs w:val="24"/>
        </w:rPr>
      </w:pPr>
    </w:p>
    <w:p w:rsidR="00E23519" w:rsidRPr="008464D7" w:rsidRDefault="00E23519" w:rsidP="00E23519">
      <w:pPr>
        <w:pStyle w:val="Texto"/>
        <w:spacing w:after="0" w:line="240" w:lineRule="auto"/>
        <w:ind w:firstLine="0"/>
        <w:rPr>
          <w:sz w:val="24"/>
          <w:szCs w:val="24"/>
        </w:rPr>
      </w:pPr>
      <w:r w:rsidRPr="008464D7">
        <w:rPr>
          <w:sz w:val="24"/>
          <w:szCs w:val="24"/>
        </w:rPr>
        <w:t xml:space="preserve">El control de las erogaciones en servicios personales debe ser utilizado como una herramienta de la política de gasto orientada a la responsabilidad fiscal, que cobra mayor relevancia en contextos caracterizados por menores ingresos disponibles. </w:t>
      </w:r>
    </w:p>
    <w:p w:rsidR="00E23519" w:rsidRPr="008464D7" w:rsidRDefault="00E23519" w:rsidP="00E23519">
      <w:pPr>
        <w:pStyle w:val="Texto"/>
        <w:spacing w:after="0" w:line="240" w:lineRule="auto"/>
        <w:ind w:left="288" w:firstLine="0"/>
        <w:rPr>
          <w:sz w:val="24"/>
          <w:szCs w:val="24"/>
        </w:rPr>
      </w:pPr>
    </w:p>
    <w:p w:rsidR="00E23519" w:rsidRPr="008464D7" w:rsidRDefault="00E23519" w:rsidP="00E23519">
      <w:pPr>
        <w:pStyle w:val="Texto"/>
        <w:spacing w:after="0" w:line="240" w:lineRule="auto"/>
        <w:ind w:firstLine="0"/>
        <w:rPr>
          <w:sz w:val="24"/>
          <w:szCs w:val="24"/>
        </w:rPr>
      </w:pPr>
      <w:r w:rsidRPr="008464D7">
        <w:rPr>
          <w:sz w:val="24"/>
          <w:szCs w:val="24"/>
        </w:rPr>
        <w:t>El proyecto de presupuesto de egresos del Estado para el ejercicio fiscal 2017, incluye en su iniciativa de Decreto, una sección específica de las erogaciones correspondientes al gasto en servicios personales, en donde se incluyen diversos postulados que atienden lo previsto en la normatividad vigente en la materia.</w:t>
      </w:r>
    </w:p>
    <w:p w:rsidR="00E23519" w:rsidRPr="008464D7" w:rsidRDefault="00E23519" w:rsidP="00E23519">
      <w:pPr>
        <w:pStyle w:val="Texto"/>
        <w:spacing w:after="0" w:line="240" w:lineRule="auto"/>
        <w:ind w:left="142" w:firstLine="0"/>
        <w:rPr>
          <w:sz w:val="24"/>
          <w:szCs w:val="24"/>
        </w:rPr>
      </w:pPr>
    </w:p>
    <w:p w:rsidR="00E23519" w:rsidRPr="008464D7" w:rsidRDefault="00E23519" w:rsidP="00E23519">
      <w:pPr>
        <w:pStyle w:val="Texto"/>
        <w:spacing w:after="0" w:line="240" w:lineRule="auto"/>
        <w:ind w:firstLine="0"/>
        <w:rPr>
          <w:sz w:val="24"/>
          <w:szCs w:val="24"/>
        </w:rPr>
      </w:pPr>
      <w:r w:rsidRPr="008464D7">
        <w:rPr>
          <w:sz w:val="24"/>
          <w:szCs w:val="24"/>
        </w:rPr>
        <w:t>Entre los aspectos que se incluyen se encuentran los siguientes:</w:t>
      </w:r>
    </w:p>
    <w:p w:rsidR="00E23519" w:rsidRPr="008464D7" w:rsidRDefault="00E23519" w:rsidP="00E23519">
      <w:pPr>
        <w:pStyle w:val="Texto"/>
        <w:spacing w:after="0" w:line="240" w:lineRule="auto"/>
        <w:ind w:firstLine="0"/>
        <w:rPr>
          <w:sz w:val="24"/>
          <w:szCs w:val="24"/>
        </w:rPr>
      </w:pPr>
    </w:p>
    <w:p w:rsidR="00E23519" w:rsidRPr="008464D7" w:rsidRDefault="00E23519" w:rsidP="00E23519">
      <w:pPr>
        <w:pStyle w:val="NormalWeb"/>
        <w:shd w:val="clear" w:color="auto" w:fill="FFFFFF"/>
        <w:spacing w:before="0" w:beforeAutospacing="0" w:after="227" w:afterAutospacing="0"/>
        <w:jc w:val="both"/>
        <w:rPr>
          <w:rFonts w:ascii="Arial" w:hAnsi="Arial" w:cs="Arial"/>
          <w:color w:val="222222"/>
        </w:rPr>
      </w:pPr>
      <w:r w:rsidRPr="008464D7">
        <w:rPr>
          <w:rFonts w:ascii="Arial" w:hAnsi="Arial" w:cs="Arial"/>
          <w:color w:val="000000"/>
        </w:rPr>
        <w:t xml:space="preserve">Las remuneraciones de los servidores públicos, desglosando las percepciones ordinarias y extraordinarias, e incluyendo las erogaciones por concepto de obligaciones de carácter fiscal y de seguridad social inherentes a dichas remuneraciones, y las previsiones salariales y económicas para cubrir los incrementos salariales, la creación de plazas y otras medidas económicas de índole laboral. </w:t>
      </w:r>
    </w:p>
    <w:p w:rsidR="00E23519" w:rsidRPr="008464D7" w:rsidRDefault="00E23519" w:rsidP="00E23519">
      <w:pPr>
        <w:pStyle w:val="Texto"/>
        <w:spacing w:after="0" w:line="240" w:lineRule="auto"/>
        <w:ind w:firstLine="0"/>
        <w:rPr>
          <w:sz w:val="24"/>
          <w:szCs w:val="24"/>
        </w:rPr>
      </w:pPr>
      <w:r w:rsidRPr="008464D7">
        <w:rPr>
          <w:sz w:val="24"/>
          <w:szCs w:val="24"/>
        </w:rPr>
        <w:t>Asimismo, se incorpora como un anexo el Tabulador de sueldos del Poder Ejecutivo del Estado, así como el Tabulador del Magisterio Federalizado.</w:t>
      </w:r>
    </w:p>
    <w:p w:rsidR="00E23519" w:rsidRPr="008464D7" w:rsidRDefault="00E23519" w:rsidP="00E23519">
      <w:pPr>
        <w:pStyle w:val="Texto"/>
        <w:spacing w:after="0" w:line="240" w:lineRule="auto"/>
        <w:ind w:firstLine="0"/>
        <w:rPr>
          <w:b/>
          <w:sz w:val="24"/>
          <w:szCs w:val="24"/>
        </w:rPr>
      </w:pPr>
    </w:p>
    <w:p w:rsidR="00E23519" w:rsidRPr="008464D7" w:rsidRDefault="00E23519" w:rsidP="00E23519">
      <w:pPr>
        <w:pStyle w:val="Texto"/>
        <w:spacing w:after="0" w:line="240" w:lineRule="auto"/>
        <w:ind w:firstLine="0"/>
        <w:rPr>
          <w:sz w:val="24"/>
          <w:szCs w:val="24"/>
        </w:rPr>
      </w:pPr>
      <w:r w:rsidRPr="008464D7">
        <w:rPr>
          <w:b/>
          <w:sz w:val="24"/>
          <w:szCs w:val="24"/>
        </w:rPr>
        <w:t>2.9. RECURSOS PARA CUBRIR LOS ADEUDOS DEL EJERCICIO FISCAL ANTERIOR ADEFAS.</w:t>
      </w:r>
    </w:p>
    <w:p w:rsidR="00E23519" w:rsidRPr="008464D7" w:rsidRDefault="00E23519" w:rsidP="00E23519">
      <w:pPr>
        <w:pStyle w:val="ANOTACION"/>
        <w:spacing w:after="80" w:line="240" w:lineRule="auto"/>
        <w:jc w:val="both"/>
        <w:rPr>
          <w:rFonts w:ascii="Arial" w:hAnsi="Arial" w:cs="Arial"/>
          <w:b w:val="0"/>
          <w:sz w:val="24"/>
          <w:szCs w:val="24"/>
          <w:lang w:val="es-MX"/>
        </w:rPr>
      </w:pPr>
      <w:r w:rsidRPr="008464D7">
        <w:rPr>
          <w:rFonts w:ascii="Arial" w:hAnsi="Arial" w:cs="Arial"/>
          <w:b w:val="0"/>
          <w:sz w:val="24"/>
          <w:szCs w:val="24"/>
        </w:rPr>
        <w:t xml:space="preserve">Según lo previsto en el </w:t>
      </w:r>
      <w:r w:rsidRPr="008464D7">
        <w:rPr>
          <w:rFonts w:ascii="Arial" w:hAnsi="Arial" w:cs="Arial"/>
          <w:b w:val="0"/>
          <w:sz w:val="24"/>
          <w:szCs w:val="24"/>
          <w:lang w:val="es-MX"/>
        </w:rPr>
        <w:t>Clasificador por Objeto del Gasto, las ADEFAS se definen como las asignaciones destinadas a cubrir las erogaciones devengadas y pendientes de liquidar al cierre del ejercicio fiscal anterior, derivadas de la contratación de bienes y servicios requeridos en el desempeño de las funciones de los entes públicos, para las cuales existió asignación presupuestal con saldo disponible al cierre del ejercicio fiscal en que se devengaron.</w:t>
      </w:r>
    </w:p>
    <w:p w:rsidR="00E23519" w:rsidRPr="008464D7" w:rsidRDefault="00E23519" w:rsidP="00E23519">
      <w:pPr>
        <w:pStyle w:val="Texto"/>
        <w:spacing w:after="0" w:line="240" w:lineRule="auto"/>
        <w:ind w:firstLine="0"/>
        <w:rPr>
          <w:sz w:val="24"/>
          <w:szCs w:val="24"/>
        </w:rPr>
      </w:pPr>
    </w:p>
    <w:p w:rsidR="00E23519" w:rsidRPr="008464D7" w:rsidRDefault="00E23519" w:rsidP="00E23519">
      <w:pPr>
        <w:pStyle w:val="Texto"/>
        <w:spacing w:after="0" w:line="240" w:lineRule="auto"/>
        <w:ind w:firstLine="0"/>
        <w:rPr>
          <w:sz w:val="24"/>
          <w:szCs w:val="24"/>
        </w:rPr>
      </w:pPr>
      <w:r w:rsidRPr="008464D7">
        <w:rPr>
          <w:sz w:val="24"/>
          <w:szCs w:val="24"/>
        </w:rPr>
        <w:t xml:space="preserve">Para estimar los recursos de ADEFAS, se atendió lo previsto en el artículo 12 de la Ley de Disciplina Financiera de las Entidades Federativas y los Municipios y a su Transitorio Séptimo, </w:t>
      </w:r>
      <w:r w:rsidRPr="008464D7">
        <w:rPr>
          <w:color w:val="000000"/>
          <w:sz w:val="24"/>
          <w:szCs w:val="24"/>
        </w:rPr>
        <w:t>que señala:</w:t>
      </w:r>
      <w:r w:rsidRPr="008464D7">
        <w:rPr>
          <w:b/>
          <w:color w:val="000000"/>
          <w:sz w:val="24"/>
          <w:szCs w:val="24"/>
        </w:rPr>
        <w:t xml:space="preserve"> “</w:t>
      </w:r>
      <w:r w:rsidRPr="00BC4A36">
        <w:rPr>
          <w:i/>
          <w:color w:val="000000"/>
          <w:sz w:val="24"/>
          <w:szCs w:val="24"/>
        </w:rPr>
        <w:t>Artículo 12</w:t>
      </w:r>
      <w:r w:rsidRPr="00BC4A36">
        <w:rPr>
          <w:b/>
          <w:i/>
          <w:color w:val="000000"/>
          <w:sz w:val="24"/>
          <w:szCs w:val="24"/>
        </w:rPr>
        <w:t xml:space="preserve"> </w:t>
      </w:r>
      <w:r w:rsidRPr="00BC4A36">
        <w:rPr>
          <w:i/>
          <w:sz w:val="24"/>
          <w:szCs w:val="24"/>
        </w:rPr>
        <w:t>Los recursos para cubrir adeudos del ejercicio fiscal anterior, previstos en el proyecto de Presupuesto de Egresos, podrán ser hasta por el 2 por ciento de los Ingresos totales de la respectiva Entidad Federativa</w:t>
      </w:r>
      <w:r w:rsidRPr="008464D7">
        <w:rPr>
          <w:sz w:val="24"/>
          <w:szCs w:val="24"/>
        </w:rPr>
        <w:t>.”</w:t>
      </w:r>
    </w:p>
    <w:p w:rsidR="00E23519" w:rsidRPr="008464D7" w:rsidRDefault="00E23519" w:rsidP="00E23519">
      <w:pPr>
        <w:pStyle w:val="Texto"/>
        <w:spacing w:after="0" w:line="240" w:lineRule="auto"/>
        <w:rPr>
          <w:sz w:val="24"/>
          <w:szCs w:val="24"/>
        </w:rPr>
      </w:pPr>
    </w:p>
    <w:p w:rsidR="00E23519" w:rsidRPr="008464D7" w:rsidRDefault="00E23519" w:rsidP="00E23519">
      <w:pPr>
        <w:pStyle w:val="Texto"/>
        <w:spacing w:after="0" w:line="240" w:lineRule="auto"/>
        <w:ind w:firstLine="0"/>
        <w:rPr>
          <w:color w:val="000000"/>
          <w:sz w:val="24"/>
          <w:szCs w:val="24"/>
        </w:rPr>
      </w:pPr>
      <w:r w:rsidRPr="008464D7">
        <w:rPr>
          <w:color w:val="000000"/>
          <w:sz w:val="24"/>
          <w:szCs w:val="24"/>
        </w:rPr>
        <w:lastRenderedPageBreak/>
        <w:t xml:space="preserve">El Transitorio Séptimo de dicho ordenamiento prevé: </w:t>
      </w:r>
      <w:r w:rsidRPr="008464D7">
        <w:rPr>
          <w:b/>
          <w:color w:val="000000"/>
          <w:sz w:val="24"/>
          <w:szCs w:val="24"/>
        </w:rPr>
        <w:t>“</w:t>
      </w:r>
      <w:r w:rsidRPr="00BC4A36">
        <w:rPr>
          <w:i/>
          <w:color w:val="000000"/>
          <w:sz w:val="24"/>
          <w:szCs w:val="24"/>
        </w:rPr>
        <w:t xml:space="preserve">El porcentaje a que hace referencia el artículo 12 de la Ley de Disciplina Financiera de las Entidades Federativas y los Municipios, relativo a los adeudos del ejercicio fiscal anterior de las Entidades Federativas, </w:t>
      </w:r>
      <w:r w:rsidRPr="00BC4A36">
        <w:rPr>
          <w:b/>
          <w:i/>
          <w:sz w:val="24"/>
          <w:szCs w:val="24"/>
        </w:rPr>
        <w:t>será del 5 por ciento para el ejercicio 2017</w:t>
      </w:r>
      <w:r w:rsidRPr="00BC4A36">
        <w:rPr>
          <w:i/>
          <w:color w:val="000000"/>
          <w:sz w:val="24"/>
          <w:szCs w:val="24"/>
        </w:rPr>
        <w:t>, 4 por ciento para el 2018, 3 por ciento para el 2019 y, a partir del 2020 se observará el porcentaje establecido en el artículo citado</w:t>
      </w:r>
      <w:r w:rsidRPr="008464D7">
        <w:rPr>
          <w:color w:val="000000"/>
          <w:sz w:val="24"/>
          <w:szCs w:val="24"/>
        </w:rPr>
        <w:t>.”</w:t>
      </w:r>
    </w:p>
    <w:p w:rsidR="00E23519" w:rsidRPr="008464D7" w:rsidRDefault="00E23519" w:rsidP="00E23519">
      <w:pPr>
        <w:pStyle w:val="Texto"/>
        <w:spacing w:after="0" w:line="240" w:lineRule="auto"/>
        <w:rPr>
          <w:color w:val="000000"/>
          <w:sz w:val="24"/>
          <w:szCs w:val="24"/>
        </w:rPr>
      </w:pPr>
    </w:p>
    <w:p w:rsidR="00E23519" w:rsidRPr="008464D7" w:rsidRDefault="00E23519" w:rsidP="00E23519">
      <w:pPr>
        <w:pStyle w:val="Texto"/>
        <w:spacing w:after="0" w:line="240" w:lineRule="auto"/>
        <w:ind w:firstLine="0"/>
        <w:rPr>
          <w:color w:val="000000"/>
          <w:sz w:val="24"/>
          <w:szCs w:val="24"/>
        </w:rPr>
      </w:pPr>
      <w:r w:rsidRPr="008464D7">
        <w:rPr>
          <w:color w:val="000000"/>
          <w:sz w:val="24"/>
          <w:szCs w:val="24"/>
        </w:rPr>
        <w:t xml:space="preserve">En esa tesitura, para 2017 el porcentaje de las ADEFAS presupuestadas representan </w:t>
      </w:r>
      <w:r>
        <w:rPr>
          <w:sz w:val="24"/>
          <w:szCs w:val="24"/>
        </w:rPr>
        <w:t>el 3.5</w:t>
      </w:r>
      <w:r w:rsidRPr="008464D7">
        <w:rPr>
          <w:sz w:val="24"/>
          <w:szCs w:val="24"/>
        </w:rPr>
        <w:t xml:space="preserve"> por ciento de los ingresos totales </w:t>
      </w:r>
      <w:r>
        <w:rPr>
          <w:color w:val="000000"/>
          <w:sz w:val="24"/>
          <w:szCs w:val="24"/>
        </w:rPr>
        <w:t xml:space="preserve">monto inferior al 5 por ciento </w:t>
      </w:r>
      <w:r w:rsidRPr="008464D7">
        <w:rPr>
          <w:color w:val="000000"/>
          <w:sz w:val="24"/>
          <w:szCs w:val="24"/>
        </w:rPr>
        <w:t>máximo permitido por la LDF para 2017 como se muestra en el siguiente cuadro:</w:t>
      </w:r>
    </w:p>
    <w:p w:rsidR="00E23519" w:rsidRPr="008464D7" w:rsidRDefault="00E23519" w:rsidP="00E23519">
      <w:pPr>
        <w:pStyle w:val="Texto"/>
        <w:spacing w:after="0" w:line="240" w:lineRule="auto"/>
        <w:ind w:firstLine="0"/>
        <w:rPr>
          <w:color w:val="000000"/>
          <w:sz w:val="24"/>
          <w:szCs w:val="24"/>
        </w:rPr>
      </w:pPr>
    </w:p>
    <w:p w:rsidR="00E23519" w:rsidRPr="008464D7" w:rsidRDefault="00E23519" w:rsidP="00E23519">
      <w:pPr>
        <w:pStyle w:val="Texto"/>
        <w:spacing w:after="0" w:line="240" w:lineRule="auto"/>
        <w:ind w:firstLine="0"/>
        <w:jc w:val="center"/>
        <w:rPr>
          <w:color w:val="000000"/>
          <w:sz w:val="24"/>
          <w:szCs w:val="24"/>
        </w:rPr>
      </w:pPr>
      <w:r w:rsidRPr="00D743F3">
        <w:rPr>
          <w:noProof/>
          <w:lang w:val="es-MX" w:eastAsia="es-MX"/>
        </w:rPr>
        <w:drawing>
          <wp:inline distT="0" distB="0" distL="0" distR="0" wp14:anchorId="7874A5C2" wp14:editId="2E07EC74">
            <wp:extent cx="5612130" cy="2523523"/>
            <wp:effectExtent l="0" t="0" r="762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12130" cy="2523523"/>
                    </a:xfrm>
                    <a:prstGeom prst="rect">
                      <a:avLst/>
                    </a:prstGeom>
                    <a:noFill/>
                    <a:ln>
                      <a:noFill/>
                    </a:ln>
                  </pic:spPr>
                </pic:pic>
              </a:graphicData>
            </a:graphic>
          </wp:inline>
        </w:drawing>
      </w:r>
    </w:p>
    <w:p w:rsidR="00E23519" w:rsidRPr="008464D7" w:rsidRDefault="00E23519" w:rsidP="00E23519">
      <w:pPr>
        <w:pStyle w:val="Texto"/>
        <w:spacing w:after="0" w:line="240" w:lineRule="auto"/>
        <w:ind w:firstLine="0"/>
        <w:rPr>
          <w:color w:val="000000"/>
          <w:sz w:val="24"/>
          <w:szCs w:val="24"/>
        </w:rPr>
      </w:pPr>
    </w:p>
    <w:p w:rsidR="00E23519" w:rsidRPr="008464D7" w:rsidRDefault="00E23519" w:rsidP="00E23519">
      <w:pPr>
        <w:pStyle w:val="Texto"/>
        <w:spacing w:after="0" w:line="240" w:lineRule="auto"/>
        <w:ind w:firstLine="0"/>
        <w:rPr>
          <w:color w:val="000000"/>
          <w:sz w:val="24"/>
          <w:szCs w:val="24"/>
        </w:rPr>
      </w:pPr>
    </w:p>
    <w:p w:rsidR="00E063E1" w:rsidRPr="008464D7" w:rsidRDefault="00E063E1" w:rsidP="00E063E1">
      <w:pPr>
        <w:pStyle w:val="Texto"/>
        <w:spacing w:after="0" w:line="240" w:lineRule="auto"/>
        <w:ind w:firstLine="0"/>
        <w:rPr>
          <w:sz w:val="24"/>
          <w:szCs w:val="24"/>
          <w:lang w:val="es-MX"/>
        </w:rPr>
      </w:pPr>
    </w:p>
    <w:p w:rsidR="00E063E1" w:rsidRPr="008464D7" w:rsidRDefault="00E063E1" w:rsidP="00E063E1">
      <w:pPr>
        <w:pStyle w:val="Texto"/>
        <w:spacing w:after="0" w:line="240" w:lineRule="auto"/>
        <w:ind w:firstLine="0"/>
        <w:rPr>
          <w:sz w:val="24"/>
          <w:szCs w:val="24"/>
          <w:lang w:val="es-MX"/>
        </w:rPr>
      </w:pPr>
    </w:p>
    <w:p w:rsidR="00E063E1" w:rsidRDefault="00E063E1">
      <w:pPr>
        <w:rPr>
          <w:rFonts w:ascii="Arial" w:eastAsia="Times New Roman" w:hAnsi="Arial" w:cs="Arial"/>
          <w:sz w:val="24"/>
          <w:szCs w:val="24"/>
          <w:lang w:eastAsia="es-ES"/>
        </w:rPr>
      </w:pPr>
      <w:r>
        <w:rPr>
          <w:sz w:val="24"/>
          <w:szCs w:val="24"/>
        </w:rPr>
        <w:br w:type="page"/>
      </w:r>
    </w:p>
    <w:p w:rsidR="000C4963" w:rsidRDefault="000C4963" w:rsidP="00812317">
      <w:pPr>
        <w:pStyle w:val="Texto"/>
        <w:spacing w:after="0" w:line="240" w:lineRule="auto"/>
        <w:ind w:firstLine="0"/>
        <w:rPr>
          <w:sz w:val="24"/>
          <w:szCs w:val="24"/>
          <w:lang w:val="es-MX"/>
        </w:rPr>
      </w:pPr>
    </w:p>
    <w:p w:rsidR="00B613BE" w:rsidRDefault="00B613BE" w:rsidP="00812317">
      <w:pPr>
        <w:pStyle w:val="Texto"/>
        <w:spacing w:after="0" w:line="240" w:lineRule="auto"/>
        <w:ind w:firstLine="0"/>
        <w:rPr>
          <w:sz w:val="24"/>
          <w:szCs w:val="24"/>
          <w:lang w:val="es-MX"/>
        </w:rPr>
      </w:pPr>
    </w:p>
    <w:p w:rsidR="00B613BE" w:rsidRDefault="00B613BE" w:rsidP="00812317">
      <w:pPr>
        <w:pStyle w:val="Texto"/>
        <w:spacing w:after="0" w:line="240" w:lineRule="auto"/>
        <w:ind w:firstLine="0"/>
        <w:rPr>
          <w:sz w:val="24"/>
          <w:szCs w:val="24"/>
          <w:lang w:val="es-MX"/>
        </w:rPr>
      </w:pPr>
    </w:p>
    <w:p w:rsidR="00B613BE" w:rsidRDefault="00B613BE" w:rsidP="00812317">
      <w:pPr>
        <w:pStyle w:val="Texto"/>
        <w:spacing w:after="0" w:line="240" w:lineRule="auto"/>
        <w:ind w:firstLine="0"/>
        <w:rPr>
          <w:sz w:val="24"/>
          <w:szCs w:val="24"/>
          <w:lang w:val="es-MX"/>
        </w:rPr>
      </w:pPr>
    </w:p>
    <w:p w:rsidR="00B613BE" w:rsidRDefault="00B613BE" w:rsidP="00812317">
      <w:pPr>
        <w:pStyle w:val="Texto"/>
        <w:spacing w:after="0" w:line="240" w:lineRule="auto"/>
        <w:ind w:firstLine="0"/>
        <w:rPr>
          <w:sz w:val="24"/>
          <w:szCs w:val="24"/>
          <w:lang w:val="es-MX"/>
        </w:rPr>
      </w:pPr>
    </w:p>
    <w:p w:rsidR="00B613BE" w:rsidRDefault="00B613BE" w:rsidP="00812317">
      <w:pPr>
        <w:pStyle w:val="Texto"/>
        <w:spacing w:after="0" w:line="240" w:lineRule="auto"/>
        <w:ind w:firstLine="0"/>
        <w:rPr>
          <w:sz w:val="24"/>
          <w:szCs w:val="24"/>
          <w:lang w:val="es-MX"/>
        </w:rPr>
      </w:pPr>
    </w:p>
    <w:p w:rsidR="00B613BE" w:rsidRDefault="00B613BE" w:rsidP="00812317">
      <w:pPr>
        <w:pStyle w:val="Texto"/>
        <w:spacing w:after="0" w:line="240" w:lineRule="auto"/>
        <w:ind w:firstLine="0"/>
        <w:rPr>
          <w:sz w:val="24"/>
          <w:szCs w:val="24"/>
          <w:lang w:val="es-MX"/>
        </w:rPr>
      </w:pPr>
    </w:p>
    <w:p w:rsidR="00B613BE" w:rsidRDefault="00B613BE" w:rsidP="00812317">
      <w:pPr>
        <w:pStyle w:val="Texto"/>
        <w:spacing w:after="0" w:line="240" w:lineRule="auto"/>
        <w:ind w:firstLine="0"/>
        <w:rPr>
          <w:sz w:val="24"/>
          <w:szCs w:val="24"/>
          <w:lang w:val="es-MX"/>
        </w:rPr>
      </w:pPr>
    </w:p>
    <w:p w:rsidR="003F19B8" w:rsidRDefault="003F19B8" w:rsidP="00812317">
      <w:pPr>
        <w:pStyle w:val="Texto"/>
        <w:spacing w:after="0" w:line="240" w:lineRule="auto"/>
        <w:ind w:firstLine="0"/>
        <w:rPr>
          <w:sz w:val="24"/>
          <w:szCs w:val="24"/>
          <w:lang w:val="es-MX"/>
        </w:rPr>
      </w:pPr>
    </w:p>
    <w:p w:rsidR="003F19B8" w:rsidRDefault="003F19B8" w:rsidP="00812317">
      <w:pPr>
        <w:pStyle w:val="Texto"/>
        <w:spacing w:after="0" w:line="240" w:lineRule="auto"/>
        <w:ind w:firstLine="0"/>
        <w:rPr>
          <w:sz w:val="24"/>
          <w:szCs w:val="24"/>
          <w:lang w:val="es-MX"/>
        </w:rPr>
      </w:pPr>
    </w:p>
    <w:p w:rsidR="003F19B8" w:rsidRDefault="003F19B8" w:rsidP="00812317">
      <w:pPr>
        <w:pStyle w:val="Texto"/>
        <w:spacing w:after="0" w:line="240" w:lineRule="auto"/>
        <w:ind w:firstLine="0"/>
        <w:rPr>
          <w:sz w:val="24"/>
          <w:szCs w:val="24"/>
          <w:lang w:val="es-MX"/>
        </w:rPr>
      </w:pPr>
    </w:p>
    <w:p w:rsidR="00B613BE" w:rsidRDefault="00B613BE" w:rsidP="00812317">
      <w:pPr>
        <w:pStyle w:val="Texto"/>
        <w:spacing w:after="0" w:line="240" w:lineRule="auto"/>
        <w:ind w:firstLine="0"/>
        <w:rPr>
          <w:sz w:val="24"/>
          <w:szCs w:val="24"/>
          <w:lang w:val="es-MX"/>
        </w:rPr>
      </w:pPr>
    </w:p>
    <w:p w:rsidR="00B613BE" w:rsidRDefault="00B613BE" w:rsidP="00812317">
      <w:pPr>
        <w:pStyle w:val="Texto"/>
        <w:spacing w:after="0" w:line="240" w:lineRule="auto"/>
        <w:ind w:firstLine="0"/>
        <w:rPr>
          <w:sz w:val="24"/>
          <w:szCs w:val="24"/>
          <w:lang w:val="es-MX"/>
        </w:rPr>
      </w:pPr>
    </w:p>
    <w:p w:rsidR="00B613BE" w:rsidRDefault="00B613BE" w:rsidP="00812317">
      <w:pPr>
        <w:pStyle w:val="Texto"/>
        <w:spacing w:after="0" w:line="240" w:lineRule="auto"/>
        <w:ind w:firstLine="0"/>
        <w:rPr>
          <w:sz w:val="24"/>
          <w:szCs w:val="24"/>
          <w:lang w:val="es-MX"/>
        </w:rPr>
      </w:pPr>
    </w:p>
    <w:p w:rsidR="00B613BE" w:rsidRPr="00B613BE" w:rsidRDefault="00B613BE" w:rsidP="00812317">
      <w:pPr>
        <w:pStyle w:val="Texto"/>
        <w:spacing w:after="0" w:line="240" w:lineRule="auto"/>
        <w:ind w:firstLine="0"/>
        <w:rPr>
          <w:sz w:val="36"/>
          <w:szCs w:val="36"/>
          <w:lang w:val="es-MX"/>
        </w:rPr>
      </w:pPr>
    </w:p>
    <w:p w:rsidR="00B613BE" w:rsidRPr="00B613BE" w:rsidRDefault="00B613BE" w:rsidP="00812317">
      <w:pPr>
        <w:pStyle w:val="Texto"/>
        <w:spacing w:after="0" w:line="240" w:lineRule="auto"/>
        <w:ind w:firstLine="0"/>
        <w:rPr>
          <w:b/>
          <w:sz w:val="36"/>
          <w:szCs w:val="36"/>
          <w:lang w:val="es-MX"/>
        </w:rPr>
      </w:pPr>
      <w:r w:rsidRPr="00B613BE">
        <w:rPr>
          <w:b/>
          <w:sz w:val="36"/>
          <w:szCs w:val="36"/>
          <w:lang w:val="es-MX"/>
        </w:rPr>
        <w:t>TOMO III</w:t>
      </w:r>
      <w:r>
        <w:rPr>
          <w:b/>
          <w:sz w:val="36"/>
          <w:szCs w:val="36"/>
          <w:lang w:val="es-MX"/>
        </w:rPr>
        <w:t xml:space="preserve">. </w:t>
      </w:r>
      <w:r w:rsidR="003F19B8">
        <w:rPr>
          <w:b/>
          <w:sz w:val="36"/>
          <w:szCs w:val="36"/>
          <w:lang w:val="es-MX"/>
        </w:rPr>
        <w:t>INICIATIVA DE DECRETO DEL PRESUPUESTO DE EGRESOS DEL ESTADO DE COLIMA PARA EL EJERCICIO FISCAL 2017.</w:t>
      </w:r>
    </w:p>
    <w:p w:rsidR="00B613BE" w:rsidRDefault="00B613BE" w:rsidP="00812317">
      <w:pPr>
        <w:pStyle w:val="Texto"/>
        <w:spacing w:after="0" w:line="240" w:lineRule="auto"/>
        <w:ind w:firstLine="0"/>
        <w:rPr>
          <w:sz w:val="24"/>
          <w:szCs w:val="24"/>
          <w:lang w:val="es-MX"/>
        </w:rPr>
      </w:pPr>
    </w:p>
    <w:p w:rsidR="00B613BE" w:rsidRDefault="00B613BE" w:rsidP="00812317">
      <w:pPr>
        <w:pStyle w:val="Texto"/>
        <w:spacing w:after="0" w:line="240" w:lineRule="auto"/>
        <w:ind w:firstLine="0"/>
        <w:rPr>
          <w:sz w:val="24"/>
          <w:szCs w:val="24"/>
          <w:lang w:val="es-MX"/>
        </w:rPr>
      </w:pPr>
    </w:p>
    <w:p w:rsidR="00B613BE" w:rsidRDefault="00B613BE" w:rsidP="00812317">
      <w:pPr>
        <w:pStyle w:val="Texto"/>
        <w:spacing w:after="0" w:line="240" w:lineRule="auto"/>
        <w:ind w:firstLine="0"/>
        <w:rPr>
          <w:sz w:val="24"/>
          <w:szCs w:val="24"/>
          <w:lang w:val="es-MX"/>
        </w:rPr>
      </w:pPr>
    </w:p>
    <w:p w:rsidR="000C4963" w:rsidRDefault="000C4963">
      <w:pPr>
        <w:rPr>
          <w:rFonts w:ascii="Arial" w:eastAsia="Times New Roman" w:hAnsi="Arial" w:cs="Arial"/>
          <w:sz w:val="24"/>
          <w:szCs w:val="24"/>
          <w:lang w:eastAsia="es-ES"/>
        </w:rPr>
      </w:pPr>
      <w:r>
        <w:rPr>
          <w:sz w:val="24"/>
          <w:szCs w:val="24"/>
        </w:rPr>
        <w:br w:type="page"/>
      </w:r>
    </w:p>
    <w:p w:rsidR="00812317" w:rsidRPr="0043270B" w:rsidRDefault="0043270B" w:rsidP="00906AFB">
      <w:pPr>
        <w:pStyle w:val="Texto"/>
        <w:numPr>
          <w:ilvl w:val="0"/>
          <w:numId w:val="6"/>
        </w:numPr>
        <w:pBdr>
          <w:top w:val="single" w:sz="12" w:space="1" w:color="auto"/>
          <w:left w:val="single" w:sz="12" w:space="4" w:color="auto"/>
          <w:bottom w:val="single" w:sz="12" w:space="1" w:color="auto"/>
          <w:right w:val="single" w:sz="12" w:space="4" w:color="auto"/>
        </w:pBdr>
        <w:spacing w:after="0" w:line="240" w:lineRule="auto"/>
        <w:ind w:hanging="720"/>
        <w:rPr>
          <w:b/>
          <w:sz w:val="28"/>
          <w:szCs w:val="28"/>
          <w:lang w:val="es-MX"/>
        </w:rPr>
      </w:pPr>
      <w:r w:rsidRPr="0043270B">
        <w:rPr>
          <w:b/>
          <w:sz w:val="28"/>
          <w:szCs w:val="28"/>
          <w:lang w:val="es-MX"/>
        </w:rPr>
        <w:lastRenderedPageBreak/>
        <w:t>DISPOSICIONES DEL PRESUPUESTO DE EGRESOS</w:t>
      </w:r>
    </w:p>
    <w:p w:rsidR="00812317" w:rsidRDefault="00812317" w:rsidP="00812317">
      <w:pPr>
        <w:pStyle w:val="Texto"/>
        <w:spacing w:after="0" w:line="240" w:lineRule="auto"/>
        <w:ind w:firstLine="0"/>
        <w:rPr>
          <w:sz w:val="24"/>
          <w:szCs w:val="24"/>
          <w:lang w:val="es-MX"/>
        </w:rPr>
      </w:pPr>
    </w:p>
    <w:p w:rsidR="00812317" w:rsidRPr="00CA7C16" w:rsidRDefault="00812317" w:rsidP="00812317">
      <w:pPr>
        <w:spacing w:line="240" w:lineRule="auto"/>
        <w:jc w:val="both"/>
        <w:rPr>
          <w:rFonts w:ascii="Arial" w:hAnsi="Arial" w:cs="Arial"/>
          <w:sz w:val="24"/>
          <w:szCs w:val="24"/>
        </w:rPr>
      </w:pPr>
      <w:r w:rsidRPr="00CA7C16">
        <w:rPr>
          <w:rFonts w:ascii="Arial" w:hAnsi="Arial" w:cs="Arial"/>
          <w:sz w:val="24"/>
          <w:szCs w:val="24"/>
        </w:rPr>
        <w:t>El Estado de Colima vive una nueva etapa en el devenir histórico y enfrenta el desafío de retomar la ruta del crecimiento y el desarrollo sostenidos. En este contexto, es responsabilidad del Gobierno articular las políticas públicas y los programas que permitan impulsar la productividad y recuperar la cohesión social, y</w:t>
      </w:r>
      <w:r>
        <w:rPr>
          <w:rFonts w:ascii="Arial" w:hAnsi="Arial" w:cs="Arial"/>
          <w:sz w:val="24"/>
          <w:szCs w:val="24"/>
        </w:rPr>
        <w:t xml:space="preserve"> el crecimiento con mayor equidad.</w:t>
      </w:r>
    </w:p>
    <w:p w:rsidR="00812317" w:rsidRPr="001E3334" w:rsidRDefault="0043270B" w:rsidP="00812317">
      <w:pPr>
        <w:spacing w:line="240" w:lineRule="auto"/>
        <w:jc w:val="both"/>
        <w:rPr>
          <w:rFonts w:ascii="Arial" w:hAnsi="Arial" w:cs="Arial"/>
          <w:sz w:val="24"/>
          <w:szCs w:val="24"/>
        </w:rPr>
      </w:pPr>
      <w:r>
        <w:rPr>
          <w:rFonts w:ascii="Arial" w:hAnsi="Arial" w:cs="Arial"/>
          <w:sz w:val="24"/>
          <w:szCs w:val="24"/>
        </w:rPr>
        <w:t>La realidad exige elaborar un P</w:t>
      </w:r>
      <w:r w:rsidR="00812317" w:rsidRPr="001E3334">
        <w:rPr>
          <w:rFonts w:ascii="Arial" w:hAnsi="Arial" w:cs="Arial"/>
          <w:sz w:val="24"/>
          <w:szCs w:val="24"/>
        </w:rPr>
        <w:t>resupuesto que contribuya a impulsar el crecimiento y brindar una mayor igualdad de oportunidades.</w:t>
      </w:r>
    </w:p>
    <w:p w:rsidR="0043270B" w:rsidRPr="00924AA2" w:rsidRDefault="0043270B" w:rsidP="0043270B">
      <w:pPr>
        <w:spacing w:after="0" w:line="240" w:lineRule="auto"/>
        <w:jc w:val="both"/>
        <w:rPr>
          <w:rFonts w:ascii="Arial" w:eastAsia="Times New Roman" w:hAnsi="Arial" w:cs="Arial"/>
          <w:sz w:val="24"/>
          <w:szCs w:val="24"/>
          <w:lang w:val="es-ES" w:eastAsia="es-ES"/>
        </w:rPr>
      </w:pPr>
      <w:r w:rsidRPr="00924AA2">
        <w:rPr>
          <w:rFonts w:ascii="Arial" w:eastAsia="Times New Roman" w:hAnsi="Arial" w:cs="Arial"/>
          <w:sz w:val="24"/>
          <w:szCs w:val="24"/>
          <w:lang w:val="es-ES" w:eastAsia="es-ES"/>
        </w:rPr>
        <w:t xml:space="preserve">El gasto total del Proyecto de Presupuesto de Egresos del Estado de Colima, para el Ejercicio Fiscal 2017 que se somete </w:t>
      </w:r>
      <w:r w:rsidR="00EA1151">
        <w:rPr>
          <w:rFonts w:ascii="Arial" w:eastAsia="Times New Roman" w:hAnsi="Arial" w:cs="Arial"/>
          <w:sz w:val="24"/>
          <w:szCs w:val="24"/>
          <w:lang w:val="es-ES" w:eastAsia="es-ES"/>
        </w:rPr>
        <w:t xml:space="preserve">al análisis y valoración de la Legislatura Estatal, asciende a la </w:t>
      </w:r>
      <w:r w:rsidRPr="00924AA2">
        <w:rPr>
          <w:rFonts w:ascii="Arial" w:eastAsia="Times New Roman" w:hAnsi="Arial" w:cs="Arial"/>
          <w:sz w:val="24"/>
          <w:szCs w:val="24"/>
          <w:lang w:val="es-ES" w:eastAsia="es-ES"/>
        </w:rPr>
        <w:t xml:space="preserve">cantidad de </w:t>
      </w:r>
      <w:r w:rsidR="00272C89">
        <w:rPr>
          <w:rFonts w:ascii="Arial" w:eastAsia="Times New Roman" w:hAnsi="Arial" w:cs="Arial"/>
          <w:sz w:val="24"/>
          <w:szCs w:val="24"/>
          <w:lang w:val="es-ES" w:eastAsia="es-ES"/>
        </w:rPr>
        <w:t>$</w:t>
      </w:r>
      <w:r w:rsidR="00B25A81" w:rsidRPr="00B25A81">
        <w:rPr>
          <w:rFonts w:ascii="Arial" w:eastAsia="Times New Roman" w:hAnsi="Arial" w:cs="Arial"/>
          <w:b/>
          <w:bCs/>
          <w:sz w:val="24"/>
          <w:szCs w:val="24"/>
        </w:rPr>
        <w:t>15,517,525,000</w:t>
      </w:r>
      <w:r w:rsidRPr="00924AA2">
        <w:rPr>
          <w:rFonts w:ascii="Arial" w:eastAsia="Times New Roman" w:hAnsi="Arial" w:cs="Arial"/>
          <w:b/>
          <w:bCs/>
          <w:sz w:val="24"/>
          <w:szCs w:val="24"/>
        </w:rPr>
        <w:t xml:space="preserve">, </w:t>
      </w:r>
      <w:r>
        <w:rPr>
          <w:rFonts w:ascii="Arial" w:eastAsia="Times New Roman" w:hAnsi="Arial" w:cs="Arial"/>
          <w:sz w:val="24"/>
          <w:szCs w:val="24"/>
          <w:lang w:val="es-ES" w:eastAsia="es-ES"/>
        </w:rPr>
        <w:t xml:space="preserve">monto superior en </w:t>
      </w:r>
      <w:r w:rsidR="000608AB">
        <w:rPr>
          <w:rFonts w:ascii="Arial" w:eastAsia="Times New Roman" w:hAnsi="Arial" w:cs="Arial"/>
          <w:b/>
          <w:sz w:val="24"/>
          <w:szCs w:val="24"/>
          <w:lang w:val="es-ES" w:eastAsia="es-ES"/>
        </w:rPr>
        <w:t>16.3</w:t>
      </w:r>
      <w:r w:rsidRPr="00924AA2">
        <w:rPr>
          <w:rFonts w:ascii="Arial" w:eastAsia="Times New Roman" w:hAnsi="Arial" w:cs="Arial"/>
          <w:sz w:val="24"/>
          <w:szCs w:val="24"/>
          <w:lang w:val="es-ES" w:eastAsia="es-ES"/>
        </w:rPr>
        <w:t xml:space="preserve"> por ciento al aprobado para el Ejercicio Fiscal 2016.</w:t>
      </w:r>
    </w:p>
    <w:p w:rsidR="00EA1151" w:rsidRDefault="00EA1151" w:rsidP="00EA1151">
      <w:pPr>
        <w:spacing w:after="0" w:line="240" w:lineRule="auto"/>
        <w:jc w:val="both"/>
        <w:rPr>
          <w:rFonts w:ascii="Arial" w:hAnsi="Arial" w:cs="Arial"/>
          <w:sz w:val="24"/>
          <w:szCs w:val="24"/>
        </w:rPr>
      </w:pPr>
    </w:p>
    <w:p w:rsidR="00EA1151" w:rsidRPr="00EA1151" w:rsidRDefault="00EA1151" w:rsidP="00EA1151">
      <w:pPr>
        <w:spacing w:after="0" w:line="240" w:lineRule="auto"/>
        <w:jc w:val="both"/>
        <w:rPr>
          <w:rFonts w:ascii="Arial" w:hAnsi="Arial" w:cs="Arial"/>
          <w:b/>
          <w:sz w:val="24"/>
          <w:szCs w:val="24"/>
        </w:rPr>
      </w:pPr>
      <w:r>
        <w:rPr>
          <w:rFonts w:ascii="Arial" w:hAnsi="Arial" w:cs="Arial"/>
          <w:sz w:val="24"/>
          <w:szCs w:val="24"/>
        </w:rPr>
        <w:t xml:space="preserve">Por todo lo </w:t>
      </w:r>
      <w:r w:rsidRPr="00EA1151">
        <w:rPr>
          <w:rFonts w:ascii="Arial" w:hAnsi="Arial" w:cs="Arial"/>
          <w:sz w:val="24"/>
          <w:szCs w:val="24"/>
        </w:rPr>
        <w:t>expuesto</w:t>
      </w:r>
      <w:r>
        <w:rPr>
          <w:rFonts w:ascii="Arial" w:hAnsi="Arial" w:cs="Arial"/>
          <w:sz w:val="24"/>
          <w:szCs w:val="24"/>
        </w:rPr>
        <w:t xml:space="preserve"> y fundado</w:t>
      </w:r>
      <w:r w:rsidRPr="00EA1151">
        <w:rPr>
          <w:rFonts w:ascii="Arial" w:hAnsi="Arial" w:cs="Arial"/>
          <w:sz w:val="24"/>
          <w:szCs w:val="24"/>
        </w:rPr>
        <w:t>, someto a la consideración de esa Honorable Asamblea, la siguiente Iniciativa con Proyecto de:</w:t>
      </w:r>
    </w:p>
    <w:p w:rsidR="00EA1151" w:rsidRPr="00EA1151" w:rsidRDefault="00EA1151" w:rsidP="00EA1151">
      <w:pPr>
        <w:pStyle w:val="Textoindependiente2"/>
        <w:spacing w:after="0" w:line="240" w:lineRule="auto"/>
        <w:jc w:val="both"/>
        <w:rPr>
          <w:rFonts w:ascii="Arial" w:hAnsi="Arial" w:cs="Arial"/>
        </w:rPr>
      </w:pPr>
    </w:p>
    <w:p w:rsidR="00EA1151" w:rsidRPr="00EA1151" w:rsidRDefault="00EA1151" w:rsidP="00EA1151">
      <w:pPr>
        <w:pStyle w:val="Textoindependiente2"/>
        <w:spacing w:after="0" w:line="240" w:lineRule="auto"/>
        <w:jc w:val="center"/>
        <w:rPr>
          <w:rFonts w:ascii="Arial" w:hAnsi="Arial" w:cs="Arial"/>
          <w:b/>
        </w:rPr>
      </w:pPr>
      <w:r w:rsidRPr="00EA1151">
        <w:rPr>
          <w:rFonts w:ascii="Arial" w:hAnsi="Arial" w:cs="Arial"/>
          <w:b/>
        </w:rPr>
        <w:t>DECRETO</w:t>
      </w:r>
    </w:p>
    <w:p w:rsidR="00EA1151" w:rsidRPr="00EA1151" w:rsidRDefault="00EA1151" w:rsidP="00EA1151">
      <w:pPr>
        <w:pStyle w:val="Textoindependiente2"/>
        <w:spacing w:after="0" w:line="240" w:lineRule="auto"/>
        <w:jc w:val="both"/>
        <w:rPr>
          <w:rFonts w:ascii="Arial" w:hAnsi="Arial" w:cs="Arial"/>
        </w:rPr>
      </w:pPr>
    </w:p>
    <w:p w:rsidR="00EA1151" w:rsidRPr="00EA1151" w:rsidRDefault="00EA1151" w:rsidP="00EA1151">
      <w:pPr>
        <w:pStyle w:val="Textoindependiente2"/>
        <w:spacing w:after="0" w:line="240" w:lineRule="auto"/>
        <w:jc w:val="both"/>
        <w:rPr>
          <w:rFonts w:ascii="Arial" w:hAnsi="Arial" w:cs="Arial"/>
        </w:rPr>
      </w:pPr>
      <w:r w:rsidRPr="00EA1151">
        <w:rPr>
          <w:rFonts w:ascii="Arial" w:hAnsi="Arial" w:cs="Arial"/>
          <w:b/>
        </w:rPr>
        <w:t>ÚNICO</w:t>
      </w:r>
      <w:r w:rsidRPr="00EA1151">
        <w:rPr>
          <w:rFonts w:ascii="Arial" w:hAnsi="Arial" w:cs="Arial"/>
        </w:rPr>
        <w:t>. Se</w:t>
      </w:r>
      <w:r w:rsidRPr="00EA1151">
        <w:rPr>
          <w:rFonts w:ascii="Arial" w:hAnsi="Arial" w:cs="Arial"/>
          <w:b/>
        </w:rPr>
        <w:t xml:space="preserve"> </w:t>
      </w:r>
      <w:r>
        <w:rPr>
          <w:rFonts w:ascii="Arial" w:hAnsi="Arial" w:cs="Arial"/>
        </w:rPr>
        <w:t xml:space="preserve">aprueba el Presupuesto de Egresos del Estado de Colima para el ejercicio fiscal 2017, </w:t>
      </w:r>
      <w:r w:rsidRPr="00EA1151">
        <w:rPr>
          <w:rFonts w:ascii="Arial" w:hAnsi="Arial" w:cs="Arial"/>
        </w:rPr>
        <w:t xml:space="preserve">en los siguientes términos: </w:t>
      </w:r>
    </w:p>
    <w:p w:rsidR="00812317" w:rsidRDefault="00812317" w:rsidP="00812317">
      <w:pPr>
        <w:spacing w:after="0" w:line="240" w:lineRule="auto"/>
        <w:jc w:val="both"/>
        <w:rPr>
          <w:rFonts w:ascii="Arial" w:eastAsia="Times New Roman" w:hAnsi="Arial" w:cs="Arial"/>
          <w:color w:val="000000" w:themeColor="text1"/>
          <w:sz w:val="24"/>
          <w:szCs w:val="24"/>
          <w:lang w:val="es-ES" w:eastAsia="es-ES"/>
        </w:rPr>
      </w:pPr>
    </w:p>
    <w:p w:rsidR="00EA1151" w:rsidRPr="008D3031" w:rsidRDefault="00812317" w:rsidP="00812317">
      <w:pPr>
        <w:autoSpaceDE w:val="0"/>
        <w:autoSpaceDN w:val="0"/>
        <w:adjustRightInd w:val="0"/>
        <w:spacing w:after="0" w:line="240" w:lineRule="auto"/>
        <w:jc w:val="center"/>
        <w:rPr>
          <w:rFonts w:ascii="Arial" w:hAnsi="Arial" w:cs="Arial"/>
          <w:b/>
          <w:bCs/>
          <w:sz w:val="28"/>
          <w:szCs w:val="28"/>
        </w:rPr>
      </w:pPr>
      <w:r w:rsidRPr="008D3031">
        <w:rPr>
          <w:rFonts w:ascii="Arial" w:hAnsi="Arial" w:cs="Arial"/>
          <w:b/>
          <w:bCs/>
          <w:sz w:val="28"/>
          <w:szCs w:val="28"/>
        </w:rPr>
        <w:t xml:space="preserve">PRESUPUESTO DE EGRESOS DEL ESTADO DE COLIMA </w:t>
      </w:r>
    </w:p>
    <w:p w:rsidR="00812317" w:rsidRPr="008D3031" w:rsidRDefault="00812317" w:rsidP="00812317">
      <w:pPr>
        <w:autoSpaceDE w:val="0"/>
        <w:autoSpaceDN w:val="0"/>
        <w:adjustRightInd w:val="0"/>
        <w:spacing w:after="0" w:line="240" w:lineRule="auto"/>
        <w:jc w:val="center"/>
        <w:rPr>
          <w:rFonts w:ascii="Arial" w:hAnsi="Arial" w:cs="Arial"/>
          <w:b/>
          <w:bCs/>
          <w:sz w:val="28"/>
          <w:szCs w:val="28"/>
        </w:rPr>
      </w:pPr>
      <w:r w:rsidRPr="008D3031">
        <w:rPr>
          <w:rFonts w:ascii="Arial" w:hAnsi="Arial" w:cs="Arial"/>
          <w:b/>
          <w:bCs/>
          <w:sz w:val="28"/>
          <w:szCs w:val="28"/>
        </w:rPr>
        <w:t>PARA EL EJERCICIO FISCAL 2017</w:t>
      </w:r>
    </w:p>
    <w:p w:rsidR="0012173B" w:rsidRDefault="0012173B" w:rsidP="00812317">
      <w:pPr>
        <w:autoSpaceDE w:val="0"/>
        <w:autoSpaceDN w:val="0"/>
        <w:adjustRightInd w:val="0"/>
        <w:spacing w:after="0" w:line="240" w:lineRule="auto"/>
        <w:jc w:val="center"/>
        <w:rPr>
          <w:rFonts w:ascii="Arial" w:hAnsi="Arial" w:cs="Arial"/>
          <w:b/>
          <w:bCs/>
          <w:sz w:val="24"/>
          <w:szCs w:val="24"/>
        </w:rPr>
      </w:pPr>
    </w:p>
    <w:p w:rsidR="00906AFB" w:rsidRPr="00906AFB" w:rsidRDefault="00906AFB" w:rsidP="00906AFB">
      <w:pPr>
        <w:spacing w:after="0" w:line="240" w:lineRule="auto"/>
        <w:jc w:val="center"/>
        <w:rPr>
          <w:rFonts w:ascii="Arial" w:eastAsia="Calibri" w:hAnsi="Arial" w:cs="Arial"/>
          <w:b/>
          <w:sz w:val="24"/>
          <w:szCs w:val="24"/>
          <w:lang w:val="es-ES" w:eastAsia="en-US"/>
        </w:rPr>
      </w:pPr>
      <w:bookmarkStart w:id="1" w:name="_Toc465292955"/>
      <w:bookmarkStart w:id="2" w:name="_Toc465292883"/>
      <w:r w:rsidRPr="00906AFB">
        <w:rPr>
          <w:rFonts w:ascii="Arial" w:eastAsia="Calibri" w:hAnsi="Arial" w:cs="Arial"/>
          <w:b/>
          <w:sz w:val="24"/>
          <w:szCs w:val="24"/>
          <w:lang w:val="es-ES" w:eastAsia="en-US"/>
        </w:rPr>
        <w:t>TÍTULO PRIMERO</w:t>
      </w:r>
    </w:p>
    <w:p w:rsidR="00906AFB" w:rsidRPr="00906AFB" w:rsidRDefault="00906AFB" w:rsidP="00906AFB">
      <w:pPr>
        <w:spacing w:after="0" w:line="240" w:lineRule="auto"/>
        <w:jc w:val="center"/>
        <w:rPr>
          <w:rFonts w:ascii="Arial" w:eastAsia="Calibri" w:hAnsi="Arial" w:cs="Arial"/>
          <w:b/>
          <w:sz w:val="24"/>
          <w:szCs w:val="24"/>
          <w:lang w:val="es-ES" w:eastAsia="en-US"/>
        </w:rPr>
      </w:pPr>
      <w:r w:rsidRPr="00906AFB">
        <w:rPr>
          <w:rFonts w:ascii="Arial" w:eastAsia="Calibri" w:hAnsi="Arial" w:cs="Arial"/>
          <w:b/>
          <w:sz w:val="24"/>
          <w:szCs w:val="24"/>
          <w:lang w:val="es-ES" w:eastAsia="en-US"/>
        </w:rPr>
        <w:t>DE LAS ASIGNACIONES DEL PRESUPUESTO DE EGRESOS DEL ESTADO</w:t>
      </w:r>
    </w:p>
    <w:p w:rsidR="00906AFB" w:rsidRPr="00906AFB" w:rsidRDefault="00906AFB" w:rsidP="00906AFB">
      <w:pPr>
        <w:spacing w:after="0" w:line="240" w:lineRule="auto"/>
        <w:jc w:val="center"/>
        <w:rPr>
          <w:rFonts w:ascii="Arial" w:eastAsia="Calibri" w:hAnsi="Arial" w:cs="Arial"/>
          <w:sz w:val="24"/>
          <w:szCs w:val="24"/>
          <w:lang w:val="es-ES" w:eastAsia="en-US"/>
        </w:rPr>
      </w:pPr>
    </w:p>
    <w:p w:rsidR="00906AFB" w:rsidRPr="00906AFB" w:rsidRDefault="00906AFB" w:rsidP="00906AFB">
      <w:pPr>
        <w:keepNext/>
        <w:keepLines/>
        <w:spacing w:after="0" w:line="240" w:lineRule="auto"/>
        <w:jc w:val="center"/>
        <w:outlineLvl w:val="0"/>
        <w:rPr>
          <w:rFonts w:ascii="Arial" w:eastAsia="Times New Roman" w:hAnsi="Arial" w:cs="Arial"/>
          <w:b/>
          <w:sz w:val="24"/>
          <w:szCs w:val="24"/>
          <w:lang w:val="es-ES" w:eastAsia="en-US"/>
        </w:rPr>
      </w:pPr>
      <w:r w:rsidRPr="00906AFB">
        <w:rPr>
          <w:rFonts w:ascii="Arial" w:eastAsia="Times New Roman" w:hAnsi="Arial" w:cs="Arial"/>
          <w:b/>
          <w:sz w:val="24"/>
          <w:szCs w:val="24"/>
          <w:lang w:val="es-ES" w:eastAsia="en-US"/>
        </w:rPr>
        <w:t>CAPÍTULO I</w:t>
      </w:r>
    </w:p>
    <w:p w:rsidR="00906AFB" w:rsidRPr="00906AFB" w:rsidRDefault="00906AFB" w:rsidP="00906AFB">
      <w:pPr>
        <w:keepNext/>
        <w:keepLines/>
        <w:spacing w:after="0" w:line="240" w:lineRule="auto"/>
        <w:jc w:val="center"/>
        <w:outlineLvl w:val="0"/>
        <w:rPr>
          <w:rFonts w:ascii="Arial" w:eastAsia="Times New Roman" w:hAnsi="Arial" w:cs="Arial"/>
          <w:b/>
          <w:sz w:val="24"/>
          <w:szCs w:val="24"/>
          <w:lang w:val="es-ES" w:eastAsia="en-US"/>
        </w:rPr>
      </w:pPr>
      <w:r w:rsidRPr="00906AFB">
        <w:rPr>
          <w:rFonts w:ascii="Arial" w:eastAsia="Times New Roman" w:hAnsi="Arial" w:cs="Arial"/>
          <w:b/>
          <w:sz w:val="24"/>
          <w:szCs w:val="24"/>
          <w:lang w:val="es-ES" w:eastAsia="en-US"/>
        </w:rPr>
        <w:t xml:space="preserve"> DISPOSICIONES GENERALES</w:t>
      </w:r>
    </w:p>
    <w:p w:rsidR="00906AFB" w:rsidRPr="00906AFB" w:rsidRDefault="00906AFB" w:rsidP="00906AFB">
      <w:pPr>
        <w:spacing w:after="0" w:line="240" w:lineRule="auto"/>
        <w:jc w:val="both"/>
        <w:rPr>
          <w:rFonts w:ascii="Arial" w:eastAsia="Calibri" w:hAnsi="Arial" w:cs="Arial"/>
          <w:b/>
          <w:sz w:val="24"/>
          <w:szCs w:val="24"/>
          <w:lang w:eastAsia="en-US"/>
        </w:rPr>
      </w:pPr>
    </w:p>
    <w:p w:rsidR="00906AFB" w:rsidRPr="00906AFB" w:rsidRDefault="00906AFB" w:rsidP="00906AFB">
      <w:pPr>
        <w:spacing w:after="0" w:line="240" w:lineRule="auto"/>
        <w:jc w:val="both"/>
        <w:rPr>
          <w:rFonts w:ascii="Arial" w:eastAsia="Calibri" w:hAnsi="Arial" w:cs="Arial"/>
          <w:sz w:val="24"/>
          <w:szCs w:val="24"/>
          <w:lang w:eastAsia="en-US"/>
        </w:rPr>
      </w:pPr>
      <w:r w:rsidRPr="00906AFB">
        <w:rPr>
          <w:rFonts w:ascii="Arial" w:eastAsia="Calibri" w:hAnsi="Arial" w:cs="Arial"/>
          <w:b/>
          <w:sz w:val="24"/>
          <w:szCs w:val="24"/>
          <w:lang w:eastAsia="en-US"/>
        </w:rPr>
        <w:t>Artículo 1</w:t>
      </w:r>
      <w:r w:rsidRPr="00906AFB">
        <w:rPr>
          <w:rFonts w:ascii="Arial" w:eastAsia="Calibri" w:hAnsi="Arial" w:cs="Arial"/>
          <w:sz w:val="24"/>
          <w:szCs w:val="24"/>
          <w:lang w:eastAsia="en-US"/>
        </w:rPr>
        <w:t>. El presente Decreto tiene por objeto regular la asignación, ejercicio, control y evaluación del gasto público del Estado de Colima para el Ejercicio Fiscal 2017.</w:t>
      </w:r>
    </w:p>
    <w:p w:rsidR="00906AFB" w:rsidRPr="00906AFB" w:rsidRDefault="00906AFB" w:rsidP="00906AFB">
      <w:pPr>
        <w:spacing w:after="0" w:line="240" w:lineRule="auto"/>
        <w:jc w:val="both"/>
        <w:rPr>
          <w:rFonts w:ascii="Arial" w:eastAsia="Calibri" w:hAnsi="Arial" w:cs="Arial"/>
          <w:sz w:val="24"/>
          <w:szCs w:val="24"/>
          <w:lang w:eastAsia="en-US"/>
        </w:rPr>
      </w:pPr>
    </w:p>
    <w:p w:rsidR="00906AFB" w:rsidRPr="00906AFB" w:rsidRDefault="00906AFB" w:rsidP="00906AFB">
      <w:pPr>
        <w:spacing w:after="0" w:line="240" w:lineRule="auto"/>
        <w:jc w:val="both"/>
        <w:rPr>
          <w:rFonts w:ascii="Arial" w:eastAsia="Calibri" w:hAnsi="Arial" w:cs="Arial"/>
          <w:sz w:val="24"/>
          <w:szCs w:val="24"/>
          <w:lang w:eastAsia="en-US"/>
        </w:rPr>
      </w:pPr>
      <w:r w:rsidRPr="00906AFB">
        <w:rPr>
          <w:rFonts w:ascii="Arial" w:eastAsia="Calibri" w:hAnsi="Arial" w:cs="Arial"/>
          <w:sz w:val="24"/>
          <w:szCs w:val="24"/>
          <w:lang w:eastAsia="en-US"/>
        </w:rPr>
        <w:t xml:space="preserve">La asignación, ejercicio, control y evaluación del gasto público del Gobierno del Estado de Colima para el Ejercicio 2017, se sujetará a las disposiciones contenidas en el presente Decreto, así como en: la Ley de Presupuesto y Gasto Público del Estado de Colima; Ley que Fija las Bases para las Remuneraciones de los </w:t>
      </w:r>
      <w:r w:rsidRPr="00906AFB">
        <w:rPr>
          <w:rFonts w:ascii="Arial" w:eastAsia="Calibri" w:hAnsi="Arial" w:cs="Arial"/>
          <w:sz w:val="24"/>
          <w:szCs w:val="24"/>
          <w:lang w:eastAsia="en-US"/>
        </w:rPr>
        <w:lastRenderedPageBreak/>
        <w:t>Servidores Públicos del Estado y los Municipios; Ley de Fiscalización Superior del Estado; Ley de Adquisiciones, Arrendamientos y Servicios del Sector Público del Estado de Colima; Ley Estatal de Obras Públicas; Ley de Coordinación Fiscal del Estado; Ley General de Contabilidad Gubernamental; Ley de Disciplina Financiera de las Entidades Federativas y los Municipios; Ley de Coordinación Fiscal; y las demás disposiciones aplicables en la materia.</w:t>
      </w:r>
    </w:p>
    <w:p w:rsidR="00906AFB" w:rsidRPr="00906AFB" w:rsidRDefault="00906AFB" w:rsidP="00906AFB">
      <w:pPr>
        <w:spacing w:after="0" w:line="240" w:lineRule="auto"/>
        <w:jc w:val="both"/>
        <w:rPr>
          <w:rFonts w:ascii="Arial" w:eastAsia="Calibri" w:hAnsi="Arial" w:cs="Arial"/>
          <w:sz w:val="24"/>
          <w:szCs w:val="24"/>
          <w:lang w:eastAsia="en-US"/>
        </w:rPr>
      </w:pPr>
    </w:p>
    <w:p w:rsidR="00906AFB" w:rsidRPr="00906AFB" w:rsidRDefault="00906AFB" w:rsidP="00906AFB">
      <w:pPr>
        <w:spacing w:after="0" w:line="240" w:lineRule="auto"/>
        <w:jc w:val="both"/>
        <w:rPr>
          <w:rFonts w:ascii="Arial" w:eastAsia="Calibri" w:hAnsi="Arial" w:cs="Arial"/>
          <w:sz w:val="24"/>
          <w:szCs w:val="24"/>
          <w:lang w:eastAsia="en-US"/>
        </w:rPr>
      </w:pPr>
      <w:r w:rsidRPr="00906AFB">
        <w:rPr>
          <w:rFonts w:ascii="Arial" w:eastAsia="Calibri" w:hAnsi="Arial" w:cs="Arial"/>
          <w:sz w:val="24"/>
          <w:szCs w:val="24"/>
          <w:lang w:eastAsia="en-US"/>
        </w:rPr>
        <w:t>La Secretaría de Planeación y Finanzas estará facultada para interpretar las disposiciones de este Decreto, para efectos administrativos.</w:t>
      </w:r>
    </w:p>
    <w:p w:rsidR="00906AFB" w:rsidRPr="00906AFB" w:rsidRDefault="00906AFB" w:rsidP="00906AFB">
      <w:pPr>
        <w:spacing w:after="0" w:line="240" w:lineRule="auto"/>
        <w:jc w:val="both"/>
        <w:rPr>
          <w:rFonts w:ascii="Arial" w:eastAsia="Calibri" w:hAnsi="Arial" w:cs="Arial"/>
          <w:sz w:val="24"/>
          <w:szCs w:val="24"/>
          <w:lang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b/>
          <w:sz w:val="24"/>
          <w:szCs w:val="24"/>
          <w:lang w:val="es-ES" w:eastAsia="en-US"/>
        </w:rPr>
        <w:t>Artículo 2</w:t>
      </w:r>
      <w:r w:rsidRPr="00906AFB">
        <w:rPr>
          <w:rFonts w:ascii="Arial" w:eastAsia="Calibri" w:hAnsi="Arial" w:cs="Arial"/>
          <w:sz w:val="24"/>
          <w:szCs w:val="24"/>
          <w:lang w:val="es-ES" w:eastAsia="en-US"/>
        </w:rPr>
        <w:t>.  Para los efectos de este Decreto, en singular o plural, se entenderá por:</w:t>
      </w:r>
    </w:p>
    <w:p w:rsidR="00906AFB" w:rsidRPr="00906AFB" w:rsidRDefault="00906AFB" w:rsidP="00906AFB">
      <w:pPr>
        <w:spacing w:after="0" w:line="240" w:lineRule="auto"/>
        <w:ind w:left="709" w:hanging="709"/>
        <w:jc w:val="both"/>
        <w:rPr>
          <w:rFonts w:ascii="Arial" w:eastAsia="Calibri" w:hAnsi="Arial" w:cs="Arial"/>
          <w:sz w:val="24"/>
          <w:szCs w:val="24"/>
          <w:lang w:val="es-ES" w:eastAsia="en-US"/>
        </w:rPr>
      </w:pPr>
    </w:p>
    <w:p w:rsidR="00906AFB" w:rsidRPr="00906AFB" w:rsidRDefault="00906AFB" w:rsidP="00F859A4">
      <w:pPr>
        <w:numPr>
          <w:ilvl w:val="0"/>
          <w:numId w:val="7"/>
        </w:numPr>
        <w:spacing w:before="120" w:after="0" w:line="240" w:lineRule="auto"/>
        <w:ind w:left="709" w:hanging="709"/>
        <w:contextualSpacing/>
        <w:jc w:val="both"/>
        <w:rPr>
          <w:rFonts w:ascii="Arial" w:eastAsia="Times New Roman" w:hAnsi="Arial" w:cs="Arial"/>
          <w:sz w:val="24"/>
          <w:szCs w:val="24"/>
        </w:rPr>
      </w:pPr>
      <w:r w:rsidRPr="00906AFB">
        <w:rPr>
          <w:rFonts w:ascii="Arial" w:eastAsia="Times New Roman" w:hAnsi="Arial" w:cs="Arial"/>
          <w:b/>
          <w:sz w:val="24"/>
          <w:szCs w:val="24"/>
        </w:rPr>
        <w:t>Adecuaciones Presupuestarias</w:t>
      </w:r>
      <w:r w:rsidRPr="00906AFB">
        <w:rPr>
          <w:rFonts w:ascii="Arial" w:eastAsia="Times New Roman" w:hAnsi="Arial" w:cs="Arial"/>
          <w:sz w:val="24"/>
          <w:szCs w:val="24"/>
        </w:rPr>
        <w:t>: Las modificaciones a los calendarios presupuestales, las ampliaciones y reducciones al Presupuesto de Egresos del Estado mediante movimientos compensados y las liberaciones anticipadas de recursos públicos calendarizados realizadas por el Ejecutivo Estatal a través de la Secretaría, siempre que permitan un mejor cumplimiento de los objetivos y metas de los programas presupuestarios a cargo de los Ejecutores de Gasto;</w:t>
      </w:r>
    </w:p>
    <w:p w:rsidR="00906AFB" w:rsidRPr="00906AFB" w:rsidRDefault="00906AFB" w:rsidP="00906AFB">
      <w:pPr>
        <w:spacing w:after="0" w:line="240" w:lineRule="auto"/>
        <w:ind w:left="709" w:hanging="709"/>
        <w:contextualSpacing/>
        <w:jc w:val="both"/>
        <w:rPr>
          <w:rFonts w:ascii="Arial" w:eastAsia="Times New Roman" w:hAnsi="Arial" w:cs="Arial"/>
          <w:sz w:val="24"/>
          <w:szCs w:val="24"/>
        </w:rPr>
      </w:pPr>
    </w:p>
    <w:p w:rsidR="00906AFB" w:rsidRPr="00906AFB" w:rsidRDefault="00906AFB" w:rsidP="00F859A4">
      <w:pPr>
        <w:numPr>
          <w:ilvl w:val="0"/>
          <w:numId w:val="7"/>
        </w:numPr>
        <w:spacing w:before="120" w:after="0" w:line="240" w:lineRule="auto"/>
        <w:ind w:left="709" w:hanging="709"/>
        <w:contextualSpacing/>
        <w:jc w:val="both"/>
        <w:rPr>
          <w:rFonts w:ascii="Arial" w:eastAsia="Times New Roman" w:hAnsi="Arial" w:cs="Arial"/>
          <w:sz w:val="24"/>
          <w:szCs w:val="24"/>
        </w:rPr>
      </w:pPr>
      <w:r w:rsidRPr="00906AFB">
        <w:rPr>
          <w:rFonts w:ascii="Arial" w:eastAsia="Times New Roman" w:hAnsi="Arial" w:cs="Arial"/>
          <w:b/>
          <w:sz w:val="24"/>
          <w:szCs w:val="24"/>
        </w:rPr>
        <w:t>Adeudos de Ejercicios Fiscales Anteriores (ADEFAS)</w:t>
      </w:r>
      <w:r w:rsidRPr="00906AFB">
        <w:rPr>
          <w:rFonts w:ascii="Arial" w:eastAsia="Times New Roman" w:hAnsi="Arial" w:cs="Arial"/>
          <w:sz w:val="24"/>
          <w:szCs w:val="24"/>
        </w:rPr>
        <w:t>: Las asignaciones destinadas a cubrir las erogaciones devengadas y pendientes de liquidar al cierre del ejercicio fiscal anterior, derivadas de la contratación de bienes y servicios requeridos en el desempeño de las funciones de los entes públicos, para las cuales existió asignación presupuestal con saldo disponible al cierre del ejercicio fiscal en que se devengaron;</w:t>
      </w:r>
    </w:p>
    <w:p w:rsidR="00906AFB" w:rsidRPr="00906AFB" w:rsidRDefault="00906AFB" w:rsidP="00906AFB">
      <w:pPr>
        <w:spacing w:after="0" w:line="240" w:lineRule="auto"/>
        <w:ind w:left="709" w:hanging="709"/>
        <w:contextualSpacing/>
        <w:jc w:val="both"/>
        <w:rPr>
          <w:rFonts w:ascii="Arial" w:eastAsia="Times New Roman" w:hAnsi="Arial" w:cs="Arial"/>
          <w:sz w:val="24"/>
          <w:szCs w:val="24"/>
        </w:rPr>
      </w:pPr>
    </w:p>
    <w:p w:rsidR="00906AFB" w:rsidRPr="00906AFB" w:rsidRDefault="00906AFB" w:rsidP="00F859A4">
      <w:pPr>
        <w:numPr>
          <w:ilvl w:val="0"/>
          <w:numId w:val="7"/>
        </w:numPr>
        <w:spacing w:before="120" w:after="0" w:line="240" w:lineRule="auto"/>
        <w:ind w:left="709" w:hanging="709"/>
        <w:contextualSpacing/>
        <w:jc w:val="both"/>
        <w:rPr>
          <w:rFonts w:ascii="Arial" w:eastAsia="Times New Roman" w:hAnsi="Arial" w:cs="Arial"/>
          <w:sz w:val="24"/>
          <w:szCs w:val="24"/>
        </w:rPr>
      </w:pPr>
      <w:r w:rsidRPr="00906AFB">
        <w:rPr>
          <w:rFonts w:ascii="Arial" w:eastAsia="Times New Roman" w:hAnsi="Arial" w:cs="Arial"/>
          <w:b/>
          <w:sz w:val="24"/>
          <w:szCs w:val="24"/>
        </w:rPr>
        <w:t>Amortización de la Deuda y Disminución de Pasivos</w:t>
      </w:r>
      <w:r w:rsidRPr="00906AFB">
        <w:rPr>
          <w:rFonts w:ascii="Arial" w:eastAsia="Times New Roman" w:hAnsi="Arial" w:cs="Arial"/>
          <w:sz w:val="24"/>
          <w:szCs w:val="24"/>
        </w:rPr>
        <w:t>: La cancelación mediante pago o cualquier forma por la cual se extinga la obligación principal de los pasivos contraídos por el Gobierno del Estado;</w:t>
      </w:r>
    </w:p>
    <w:p w:rsidR="00906AFB" w:rsidRPr="00906AFB" w:rsidRDefault="00906AFB" w:rsidP="00906AFB">
      <w:pPr>
        <w:spacing w:after="0" w:line="240" w:lineRule="auto"/>
        <w:ind w:left="709" w:hanging="709"/>
        <w:contextualSpacing/>
        <w:jc w:val="both"/>
        <w:rPr>
          <w:rFonts w:ascii="Arial" w:eastAsia="Times New Roman" w:hAnsi="Arial" w:cs="Arial"/>
          <w:sz w:val="24"/>
          <w:szCs w:val="24"/>
        </w:rPr>
      </w:pPr>
    </w:p>
    <w:p w:rsidR="00906AFB" w:rsidRPr="00906AFB" w:rsidRDefault="00906AFB" w:rsidP="00F859A4">
      <w:pPr>
        <w:numPr>
          <w:ilvl w:val="0"/>
          <w:numId w:val="7"/>
        </w:numPr>
        <w:spacing w:before="120" w:after="0" w:line="240" w:lineRule="auto"/>
        <w:ind w:left="709" w:hanging="709"/>
        <w:contextualSpacing/>
        <w:jc w:val="both"/>
        <w:rPr>
          <w:rFonts w:ascii="Arial" w:eastAsia="Times New Roman" w:hAnsi="Arial" w:cs="Arial"/>
          <w:sz w:val="24"/>
          <w:szCs w:val="24"/>
        </w:rPr>
      </w:pPr>
      <w:r w:rsidRPr="00906AFB">
        <w:rPr>
          <w:rFonts w:ascii="Arial" w:eastAsia="Times New Roman" w:hAnsi="Arial" w:cs="Arial"/>
          <w:b/>
          <w:sz w:val="24"/>
          <w:szCs w:val="24"/>
        </w:rPr>
        <w:t>Anexo Transversal del Presupuesto</w:t>
      </w:r>
      <w:r w:rsidRPr="00906AFB">
        <w:rPr>
          <w:rFonts w:ascii="Arial" w:eastAsia="Times New Roman" w:hAnsi="Arial" w:cs="Arial"/>
          <w:sz w:val="24"/>
          <w:szCs w:val="24"/>
        </w:rPr>
        <w:t>: Los anexos del Presupuesto donde concurren Programas Presupuestarios, componentes de éstos y/o Unidades Responsables, cuyos recursos son destinados a obras, acciones y servicios vinculados con el desarrollo de los siguientes sectores: Igualdad Sustantiva; Desarrollo de los Jóvenes; Atención a Grupos en Situación de Vulnerabilidad; Mitigación de los Efectos del Cambio Climático; y Atención a Niños, Niñas y Adolescentes;</w:t>
      </w:r>
    </w:p>
    <w:p w:rsidR="00906AFB" w:rsidRPr="00906AFB" w:rsidRDefault="00906AFB" w:rsidP="00906AFB">
      <w:pPr>
        <w:spacing w:after="0" w:line="240" w:lineRule="auto"/>
        <w:ind w:left="709" w:hanging="709"/>
        <w:contextualSpacing/>
        <w:jc w:val="both"/>
        <w:rPr>
          <w:rFonts w:ascii="Arial" w:eastAsia="Times New Roman" w:hAnsi="Arial" w:cs="Arial"/>
          <w:b/>
          <w:sz w:val="24"/>
          <w:szCs w:val="24"/>
        </w:rPr>
      </w:pPr>
    </w:p>
    <w:p w:rsidR="00906AFB" w:rsidRPr="00906AFB" w:rsidRDefault="00906AFB" w:rsidP="00F859A4">
      <w:pPr>
        <w:numPr>
          <w:ilvl w:val="0"/>
          <w:numId w:val="7"/>
        </w:numPr>
        <w:spacing w:before="120" w:after="0" w:line="240" w:lineRule="auto"/>
        <w:ind w:left="709" w:hanging="709"/>
        <w:contextualSpacing/>
        <w:jc w:val="both"/>
        <w:rPr>
          <w:rFonts w:ascii="Arial" w:eastAsia="Times New Roman" w:hAnsi="Arial" w:cs="Arial"/>
          <w:sz w:val="24"/>
          <w:szCs w:val="24"/>
        </w:rPr>
      </w:pPr>
      <w:r w:rsidRPr="00906AFB">
        <w:rPr>
          <w:rFonts w:ascii="Arial" w:eastAsia="Times New Roman" w:hAnsi="Arial" w:cs="Arial"/>
          <w:b/>
          <w:sz w:val="24"/>
          <w:szCs w:val="24"/>
        </w:rPr>
        <w:t>Asignaciones Presupuestales</w:t>
      </w:r>
      <w:r w:rsidRPr="00906AFB">
        <w:rPr>
          <w:rFonts w:ascii="Arial" w:eastAsia="Times New Roman" w:hAnsi="Arial" w:cs="Arial"/>
          <w:sz w:val="24"/>
          <w:szCs w:val="24"/>
        </w:rPr>
        <w:t>: Las previsiones de Gasto Público, aprobado mediante el Presupuesto de Egresos del Estado, a los Ejecutores de Gasto;</w:t>
      </w:r>
    </w:p>
    <w:p w:rsidR="00906AFB" w:rsidRPr="00906AFB" w:rsidRDefault="00906AFB" w:rsidP="00906AFB">
      <w:pPr>
        <w:spacing w:after="0" w:line="240" w:lineRule="auto"/>
        <w:ind w:left="709" w:hanging="709"/>
        <w:contextualSpacing/>
        <w:jc w:val="both"/>
        <w:rPr>
          <w:rFonts w:ascii="Arial" w:eastAsia="Times New Roman" w:hAnsi="Arial" w:cs="Arial"/>
          <w:sz w:val="24"/>
          <w:szCs w:val="24"/>
        </w:rPr>
      </w:pPr>
    </w:p>
    <w:p w:rsidR="00906AFB" w:rsidRPr="00906AFB" w:rsidRDefault="00906AFB" w:rsidP="00F859A4">
      <w:pPr>
        <w:numPr>
          <w:ilvl w:val="0"/>
          <w:numId w:val="7"/>
        </w:numPr>
        <w:spacing w:before="120" w:after="0" w:line="240" w:lineRule="auto"/>
        <w:ind w:left="709" w:hanging="709"/>
        <w:contextualSpacing/>
        <w:jc w:val="both"/>
        <w:rPr>
          <w:rFonts w:ascii="Arial" w:eastAsia="Times New Roman" w:hAnsi="Arial" w:cs="Arial"/>
          <w:sz w:val="24"/>
          <w:szCs w:val="24"/>
        </w:rPr>
      </w:pPr>
      <w:r w:rsidRPr="00906AFB">
        <w:rPr>
          <w:rFonts w:ascii="Arial" w:eastAsia="Times New Roman" w:hAnsi="Arial" w:cs="Arial"/>
          <w:b/>
          <w:sz w:val="24"/>
          <w:szCs w:val="24"/>
        </w:rPr>
        <w:t>Ayudas</w:t>
      </w:r>
      <w:r w:rsidRPr="00906AFB">
        <w:rPr>
          <w:rFonts w:ascii="Arial" w:eastAsia="Times New Roman" w:hAnsi="Arial" w:cs="Arial"/>
          <w:sz w:val="24"/>
          <w:szCs w:val="24"/>
        </w:rPr>
        <w:t>: Las aportaciones de recursos públicos en numerario o en especie otorgadas por el Gobierno del Estado con base en los objetivos y metas de los Programas Presupuestarios;</w:t>
      </w:r>
    </w:p>
    <w:p w:rsidR="00906AFB" w:rsidRPr="00906AFB" w:rsidRDefault="00906AFB" w:rsidP="00906AFB">
      <w:pPr>
        <w:spacing w:after="0" w:line="240" w:lineRule="auto"/>
        <w:ind w:left="709" w:hanging="709"/>
        <w:contextualSpacing/>
        <w:jc w:val="both"/>
        <w:rPr>
          <w:rFonts w:ascii="Arial" w:eastAsia="Times New Roman" w:hAnsi="Arial" w:cs="Arial"/>
          <w:sz w:val="24"/>
          <w:szCs w:val="24"/>
        </w:rPr>
      </w:pPr>
    </w:p>
    <w:p w:rsidR="00906AFB" w:rsidRPr="00906AFB" w:rsidRDefault="00906AFB" w:rsidP="00F859A4">
      <w:pPr>
        <w:numPr>
          <w:ilvl w:val="0"/>
          <w:numId w:val="7"/>
        </w:numPr>
        <w:spacing w:before="120" w:after="0" w:line="240" w:lineRule="auto"/>
        <w:ind w:left="709" w:hanging="709"/>
        <w:contextualSpacing/>
        <w:jc w:val="both"/>
        <w:rPr>
          <w:rFonts w:ascii="Arial" w:eastAsia="Times New Roman" w:hAnsi="Arial" w:cs="Arial"/>
          <w:sz w:val="24"/>
          <w:szCs w:val="24"/>
        </w:rPr>
      </w:pPr>
      <w:r w:rsidRPr="00906AFB">
        <w:rPr>
          <w:rFonts w:ascii="Arial" w:eastAsia="Times New Roman" w:hAnsi="Arial" w:cs="Arial"/>
          <w:b/>
          <w:sz w:val="24"/>
          <w:szCs w:val="24"/>
        </w:rPr>
        <w:t>Balance Presupuestario</w:t>
      </w:r>
      <w:r w:rsidRPr="00906AFB">
        <w:rPr>
          <w:rFonts w:ascii="Arial" w:eastAsia="Times New Roman" w:hAnsi="Arial" w:cs="Arial"/>
          <w:sz w:val="24"/>
          <w:szCs w:val="24"/>
        </w:rPr>
        <w:t>: La diferencia entre los Ingresos totales incluidos en la Ley de Ingresos, y los Gastos totales considerados en el Presupuesto de Egresos, con excepción de la amortización de la deuda;</w:t>
      </w:r>
    </w:p>
    <w:p w:rsidR="00906AFB" w:rsidRPr="00906AFB" w:rsidRDefault="00906AFB" w:rsidP="00906AFB">
      <w:pPr>
        <w:spacing w:after="0" w:line="240" w:lineRule="auto"/>
        <w:ind w:left="709" w:hanging="709"/>
        <w:contextualSpacing/>
        <w:jc w:val="both"/>
        <w:rPr>
          <w:rFonts w:ascii="Arial" w:eastAsia="Times New Roman" w:hAnsi="Arial" w:cs="Arial"/>
          <w:sz w:val="24"/>
          <w:szCs w:val="24"/>
        </w:rPr>
      </w:pPr>
    </w:p>
    <w:p w:rsidR="00906AFB" w:rsidRPr="00906AFB" w:rsidRDefault="00906AFB" w:rsidP="00F859A4">
      <w:pPr>
        <w:numPr>
          <w:ilvl w:val="0"/>
          <w:numId w:val="7"/>
        </w:numPr>
        <w:spacing w:before="120" w:after="0" w:line="240" w:lineRule="auto"/>
        <w:ind w:left="709" w:hanging="709"/>
        <w:contextualSpacing/>
        <w:jc w:val="both"/>
        <w:rPr>
          <w:rFonts w:ascii="Arial" w:eastAsia="Times New Roman" w:hAnsi="Arial" w:cs="Arial"/>
          <w:sz w:val="24"/>
          <w:szCs w:val="24"/>
        </w:rPr>
      </w:pPr>
      <w:r w:rsidRPr="00906AFB">
        <w:rPr>
          <w:rFonts w:ascii="Arial" w:eastAsia="Times New Roman" w:hAnsi="Arial" w:cs="Arial"/>
          <w:b/>
          <w:sz w:val="24"/>
          <w:szCs w:val="24"/>
        </w:rPr>
        <w:t>Balance Presupuestario de Recursos Disponibles</w:t>
      </w:r>
      <w:r w:rsidRPr="00906AFB">
        <w:rPr>
          <w:rFonts w:ascii="Arial" w:eastAsia="Times New Roman" w:hAnsi="Arial" w:cs="Arial"/>
          <w:sz w:val="24"/>
          <w:szCs w:val="24"/>
        </w:rPr>
        <w:t>: La diferencia entre los Ingresos de libre disposición, incluidos en la Ley de Ingresos, más el Financiamiento Neto y los Gastos no etiquetados considerados en el Presupuesto de Egresos, con excepción de la amortización de la deuda;</w:t>
      </w:r>
    </w:p>
    <w:p w:rsidR="00906AFB" w:rsidRPr="00906AFB" w:rsidRDefault="00906AFB" w:rsidP="00906AFB">
      <w:pPr>
        <w:spacing w:after="0" w:line="240" w:lineRule="auto"/>
        <w:ind w:left="709" w:hanging="709"/>
        <w:contextualSpacing/>
        <w:jc w:val="both"/>
        <w:rPr>
          <w:rFonts w:ascii="Arial" w:eastAsia="Times New Roman" w:hAnsi="Arial" w:cs="Arial"/>
          <w:sz w:val="24"/>
          <w:szCs w:val="24"/>
        </w:rPr>
      </w:pPr>
    </w:p>
    <w:p w:rsidR="00906AFB" w:rsidRPr="00906AFB" w:rsidRDefault="00906AFB" w:rsidP="00F859A4">
      <w:pPr>
        <w:numPr>
          <w:ilvl w:val="0"/>
          <w:numId w:val="7"/>
        </w:numPr>
        <w:spacing w:before="120" w:after="0" w:line="240" w:lineRule="auto"/>
        <w:ind w:left="709" w:hanging="709"/>
        <w:contextualSpacing/>
        <w:jc w:val="both"/>
        <w:rPr>
          <w:rFonts w:ascii="Arial" w:eastAsia="Times New Roman" w:hAnsi="Arial" w:cs="Arial"/>
          <w:sz w:val="24"/>
          <w:szCs w:val="24"/>
        </w:rPr>
      </w:pPr>
      <w:r w:rsidRPr="00906AFB">
        <w:rPr>
          <w:rFonts w:ascii="Arial" w:eastAsia="Times New Roman" w:hAnsi="Arial" w:cs="Arial"/>
          <w:b/>
          <w:sz w:val="24"/>
          <w:szCs w:val="24"/>
        </w:rPr>
        <w:t>Capítulo de Gasto</w:t>
      </w:r>
      <w:r w:rsidRPr="00906AFB">
        <w:rPr>
          <w:rFonts w:ascii="Arial" w:eastAsia="Times New Roman" w:hAnsi="Arial" w:cs="Arial"/>
          <w:sz w:val="24"/>
          <w:szCs w:val="24"/>
        </w:rPr>
        <w:t>: Al mayor nivel de agregación que identifica el conjunto homogéneo y ordenado de los bienes y servicios requeridos por los Entes públicos;</w:t>
      </w:r>
    </w:p>
    <w:p w:rsidR="00906AFB" w:rsidRPr="00906AFB" w:rsidRDefault="00906AFB" w:rsidP="00906AFB">
      <w:pPr>
        <w:spacing w:after="0" w:line="240" w:lineRule="auto"/>
        <w:ind w:left="709" w:hanging="709"/>
        <w:contextualSpacing/>
        <w:jc w:val="both"/>
        <w:rPr>
          <w:rFonts w:ascii="Arial" w:eastAsia="Times New Roman" w:hAnsi="Arial" w:cs="Arial"/>
          <w:sz w:val="24"/>
          <w:szCs w:val="24"/>
        </w:rPr>
      </w:pPr>
    </w:p>
    <w:p w:rsidR="00906AFB" w:rsidRPr="00906AFB" w:rsidRDefault="00906AFB" w:rsidP="00F859A4">
      <w:pPr>
        <w:numPr>
          <w:ilvl w:val="0"/>
          <w:numId w:val="7"/>
        </w:numPr>
        <w:spacing w:before="120" w:after="0" w:line="240" w:lineRule="auto"/>
        <w:ind w:left="709" w:hanging="709"/>
        <w:contextualSpacing/>
        <w:jc w:val="both"/>
        <w:rPr>
          <w:rFonts w:ascii="Arial" w:eastAsia="Times New Roman" w:hAnsi="Arial" w:cs="Arial"/>
          <w:sz w:val="24"/>
          <w:szCs w:val="24"/>
        </w:rPr>
      </w:pPr>
      <w:r w:rsidRPr="00906AFB">
        <w:rPr>
          <w:rFonts w:ascii="Arial" w:eastAsia="Times New Roman" w:hAnsi="Arial" w:cs="Arial"/>
          <w:b/>
          <w:sz w:val="24"/>
          <w:szCs w:val="24"/>
        </w:rPr>
        <w:t>Clasificación Funcional del Gasto</w:t>
      </w:r>
      <w:r w:rsidRPr="00906AFB">
        <w:rPr>
          <w:rFonts w:ascii="Arial" w:eastAsia="Times New Roman" w:hAnsi="Arial" w:cs="Arial"/>
          <w:sz w:val="24"/>
          <w:szCs w:val="24"/>
        </w:rPr>
        <w:t>: La que agrupa los gastos según los propósitos u objetivos socioeconómicos que persiguen los diferentes entes públicos. Presenta el gasto público según la naturaleza de los servicios gubernamentales brindados a la población. Con dicha clasificación se identifica el presupuesto destinado a finalidades de: Gobierno, Desarrollo Social, Desarrollo Económico y Otras no Clasificadas en Funciones anteriores; permitiendo determinar los objetivos generales de las políticas públicas y los recursos financieros que se asignan para alcanzarlos;</w:t>
      </w:r>
    </w:p>
    <w:p w:rsidR="00906AFB" w:rsidRPr="00906AFB" w:rsidRDefault="00906AFB" w:rsidP="00906AFB">
      <w:pPr>
        <w:spacing w:after="0" w:line="240" w:lineRule="auto"/>
        <w:ind w:left="709" w:hanging="709"/>
        <w:contextualSpacing/>
        <w:jc w:val="both"/>
        <w:rPr>
          <w:rFonts w:ascii="Arial" w:eastAsia="Times New Roman" w:hAnsi="Arial" w:cs="Arial"/>
          <w:sz w:val="24"/>
          <w:szCs w:val="24"/>
        </w:rPr>
      </w:pPr>
    </w:p>
    <w:p w:rsidR="00906AFB" w:rsidRPr="00906AFB" w:rsidRDefault="00906AFB" w:rsidP="00F859A4">
      <w:pPr>
        <w:numPr>
          <w:ilvl w:val="0"/>
          <w:numId w:val="7"/>
        </w:numPr>
        <w:spacing w:before="120" w:after="0" w:line="240" w:lineRule="auto"/>
        <w:ind w:left="709" w:hanging="709"/>
        <w:contextualSpacing/>
        <w:jc w:val="both"/>
        <w:rPr>
          <w:rFonts w:ascii="Arial" w:eastAsia="Times New Roman" w:hAnsi="Arial" w:cs="Arial"/>
          <w:sz w:val="24"/>
          <w:szCs w:val="24"/>
        </w:rPr>
      </w:pPr>
      <w:r w:rsidRPr="00906AFB">
        <w:rPr>
          <w:rFonts w:ascii="Arial" w:eastAsia="Times New Roman" w:hAnsi="Arial" w:cs="Arial"/>
          <w:b/>
          <w:sz w:val="24"/>
          <w:szCs w:val="24"/>
        </w:rPr>
        <w:t>Clasificación por Objeto del Gasto</w:t>
      </w:r>
      <w:r w:rsidRPr="00906AFB">
        <w:rPr>
          <w:rFonts w:ascii="Arial" w:eastAsia="Times New Roman" w:hAnsi="Arial" w:cs="Arial"/>
          <w:sz w:val="24"/>
          <w:szCs w:val="24"/>
        </w:rPr>
        <w:t>: El instrumento que resume, ordena y presenta los gastos programados en el presupuesto de acuerdo con la naturaleza de los bienes, servicios, activos y pasivos financieros. Alcanza a todas las transacciones que realizan los entes públicos para obtener bienes y servicios que se utilizan en la prestación de servicios públicos y en la realización de transferencias, en el marco del Presupuesto de Egresos, y que permite conocer en qué se gasta;</w:t>
      </w:r>
    </w:p>
    <w:p w:rsidR="00906AFB" w:rsidRPr="00906AFB" w:rsidRDefault="00906AFB" w:rsidP="00906AFB">
      <w:pPr>
        <w:spacing w:after="0" w:line="240" w:lineRule="auto"/>
        <w:ind w:left="709" w:hanging="709"/>
        <w:contextualSpacing/>
        <w:jc w:val="both"/>
        <w:rPr>
          <w:rFonts w:ascii="Arial" w:eastAsia="Times New Roman" w:hAnsi="Arial" w:cs="Arial"/>
          <w:sz w:val="24"/>
          <w:szCs w:val="24"/>
        </w:rPr>
      </w:pPr>
    </w:p>
    <w:p w:rsidR="00906AFB" w:rsidRPr="00906AFB" w:rsidRDefault="00906AFB" w:rsidP="00F859A4">
      <w:pPr>
        <w:numPr>
          <w:ilvl w:val="0"/>
          <w:numId w:val="7"/>
        </w:numPr>
        <w:spacing w:before="120" w:after="0" w:line="240" w:lineRule="auto"/>
        <w:ind w:left="709" w:hanging="709"/>
        <w:contextualSpacing/>
        <w:jc w:val="both"/>
        <w:rPr>
          <w:rFonts w:ascii="Arial" w:eastAsia="Times New Roman" w:hAnsi="Arial" w:cs="Arial"/>
          <w:sz w:val="24"/>
          <w:szCs w:val="24"/>
        </w:rPr>
      </w:pPr>
      <w:r w:rsidRPr="00906AFB">
        <w:rPr>
          <w:rFonts w:ascii="Arial" w:eastAsia="Times New Roman" w:hAnsi="Arial" w:cs="Arial"/>
          <w:b/>
          <w:sz w:val="24"/>
          <w:szCs w:val="24"/>
        </w:rPr>
        <w:t>Clasificación por Fuentes de Financiamiento</w:t>
      </w:r>
      <w:r w:rsidRPr="00906AFB">
        <w:rPr>
          <w:rFonts w:ascii="Arial" w:eastAsia="Times New Roman" w:hAnsi="Arial" w:cs="Arial"/>
          <w:sz w:val="24"/>
          <w:szCs w:val="24"/>
        </w:rPr>
        <w:t>: La clasificación por fuentes de financiamiento consiste en presentar los gastos públicos según los agregados genéricos de los recursos empleados para su financiamiento. Esta clasificación permite identificar las fuentes u orígenes de los ingresos que financian los egresos y precisar la orientación específica de cada fuente a efecto de controlar su aplicación;</w:t>
      </w:r>
    </w:p>
    <w:p w:rsidR="00906AFB" w:rsidRPr="00906AFB" w:rsidRDefault="00906AFB" w:rsidP="00906AFB">
      <w:pPr>
        <w:spacing w:after="0" w:line="240" w:lineRule="auto"/>
        <w:ind w:left="709" w:hanging="709"/>
        <w:contextualSpacing/>
        <w:jc w:val="both"/>
        <w:rPr>
          <w:rFonts w:ascii="Arial" w:eastAsia="Times New Roman" w:hAnsi="Arial" w:cs="Arial"/>
          <w:sz w:val="24"/>
          <w:szCs w:val="24"/>
        </w:rPr>
      </w:pPr>
    </w:p>
    <w:p w:rsidR="00906AFB" w:rsidRPr="00906AFB" w:rsidRDefault="00906AFB" w:rsidP="00F859A4">
      <w:pPr>
        <w:numPr>
          <w:ilvl w:val="0"/>
          <w:numId w:val="7"/>
        </w:numPr>
        <w:spacing w:before="120" w:after="0" w:line="240" w:lineRule="auto"/>
        <w:ind w:left="709" w:hanging="709"/>
        <w:contextualSpacing/>
        <w:jc w:val="both"/>
        <w:rPr>
          <w:rFonts w:ascii="Arial" w:eastAsia="Times New Roman" w:hAnsi="Arial" w:cs="Arial"/>
          <w:sz w:val="24"/>
          <w:szCs w:val="24"/>
        </w:rPr>
      </w:pPr>
      <w:r w:rsidRPr="00906AFB">
        <w:rPr>
          <w:rFonts w:ascii="Arial" w:eastAsia="Times New Roman" w:hAnsi="Arial" w:cs="Arial"/>
          <w:b/>
          <w:sz w:val="24"/>
          <w:szCs w:val="24"/>
        </w:rPr>
        <w:t>Clasificación Económica de los Ingresos, de los Gastos y del Financiamiento de los Entes Públicos</w:t>
      </w:r>
      <w:r w:rsidRPr="00906AFB">
        <w:rPr>
          <w:rFonts w:ascii="Arial" w:eastAsia="Times New Roman" w:hAnsi="Arial" w:cs="Arial"/>
          <w:sz w:val="24"/>
          <w:szCs w:val="24"/>
        </w:rPr>
        <w:t>: La Clasificación Económica de las transacciones de los entes públicos permite ordenar a éstas de acuerdo con su naturaleza económica, con el propósito general de analizar y evaluar el impacto de la política y gestión fiscal y sus componentes sobre la economía en general;</w:t>
      </w:r>
    </w:p>
    <w:p w:rsidR="00906AFB" w:rsidRPr="00906AFB" w:rsidRDefault="00906AFB" w:rsidP="00906AFB">
      <w:pPr>
        <w:spacing w:after="0" w:line="240" w:lineRule="auto"/>
        <w:ind w:left="709" w:hanging="709"/>
        <w:contextualSpacing/>
        <w:jc w:val="both"/>
        <w:rPr>
          <w:rFonts w:ascii="Arial" w:eastAsia="Times New Roman" w:hAnsi="Arial" w:cs="Arial"/>
          <w:sz w:val="24"/>
          <w:szCs w:val="24"/>
        </w:rPr>
      </w:pPr>
    </w:p>
    <w:p w:rsidR="00906AFB" w:rsidRPr="00906AFB" w:rsidRDefault="00906AFB" w:rsidP="00F859A4">
      <w:pPr>
        <w:numPr>
          <w:ilvl w:val="0"/>
          <w:numId w:val="7"/>
        </w:numPr>
        <w:spacing w:before="120" w:after="0" w:line="240" w:lineRule="auto"/>
        <w:ind w:left="709" w:hanging="709"/>
        <w:contextualSpacing/>
        <w:jc w:val="both"/>
        <w:rPr>
          <w:rFonts w:ascii="Arial" w:eastAsia="Times New Roman" w:hAnsi="Arial" w:cs="Arial"/>
          <w:sz w:val="24"/>
          <w:szCs w:val="24"/>
        </w:rPr>
      </w:pPr>
      <w:r w:rsidRPr="00906AFB">
        <w:rPr>
          <w:rFonts w:ascii="Arial" w:eastAsia="Times New Roman" w:hAnsi="Arial" w:cs="Arial"/>
          <w:b/>
          <w:sz w:val="24"/>
          <w:szCs w:val="24"/>
        </w:rPr>
        <w:t>Clasificación Administrativa</w:t>
      </w:r>
      <w:r w:rsidRPr="00906AFB">
        <w:rPr>
          <w:rFonts w:ascii="Arial" w:eastAsia="Times New Roman" w:hAnsi="Arial" w:cs="Arial"/>
          <w:sz w:val="24"/>
          <w:szCs w:val="24"/>
        </w:rPr>
        <w:t>: La que tiene como objetivo identificar el agente que realiza la erogación de los recursos públicos, se desglosa a través de asignaciones denominadas ramos presupuestarios como el de la Administración Pública, de los Poderes, o de los Organismos Autónomos;</w:t>
      </w:r>
    </w:p>
    <w:p w:rsidR="00906AFB" w:rsidRPr="00906AFB" w:rsidRDefault="00906AFB" w:rsidP="00906AFB">
      <w:pPr>
        <w:spacing w:after="0" w:line="240" w:lineRule="auto"/>
        <w:ind w:left="709" w:hanging="709"/>
        <w:contextualSpacing/>
        <w:jc w:val="both"/>
        <w:rPr>
          <w:rFonts w:ascii="Arial" w:eastAsia="Times New Roman" w:hAnsi="Arial" w:cs="Arial"/>
          <w:sz w:val="24"/>
          <w:szCs w:val="24"/>
        </w:rPr>
      </w:pPr>
    </w:p>
    <w:p w:rsidR="00906AFB" w:rsidRPr="00906AFB" w:rsidRDefault="00906AFB" w:rsidP="00F859A4">
      <w:pPr>
        <w:numPr>
          <w:ilvl w:val="0"/>
          <w:numId w:val="7"/>
        </w:numPr>
        <w:spacing w:before="120" w:after="0" w:line="240" w:lineRule="auto"/>
        <w:ind w:left="709" w:hanging="709"/>
        <w:contextualSpacing/>
        <w:jc w:val="both"/>
        <w:rPr>
          <w:rFonts w:ascii="Arial" w:eastAsia="Times New Roman" w:hAnsi="Arial" w:cs="Arial"/>
          <w:sz w:val="24"/>
          <w:szCs w:val="24"/>
        </w:rPr>
      </w:pPr>
      <w:r w:rsidRPr="00906AFB">
        <w:rPr>
          <w:rFonts w:ascii="Arial" w:eastAsia="Times New Roman" w:hAnsi="Arial" w:cs="Arial"/>
          <w:b/>
          <w:sz w:val="24"/>
          <w:szCs w:val="24"/>
        </w:rPr>
        <w:t>Clasificación Programática</w:t>
      </w:r>
      <w:r w:rsidRPr="00906AFB">
        <w:rPr>
          <w:rFonts w:ascii="Arial" w:eastAsia="Times New Roman" w:hAnsi="Arial" w:cs="Arial"/>
          <w:sz w:val="24"/>
          <w:szCs w:val="24"/>
        </w:rPr>
        <w:t>: La técnica presupuestaria que pone especial atención a las actividades que se realizan más que a los bienes y servicios que se adquieren. Contiene un conjunto armónico de programas, proyectos y metas que se deben realizar a corto plazo y permite la racionalización en el uso de recursos al determinar objetivos y metas; asimismo, identifica responsables del Programa presupuestario y establece las acciones concretas para obtener los fines deseados;</w:t>
      </w:r>
    </w:p>
    <w:p w:rsidR="00906AFB" w:rsidRPr="00906AFB" w:rsidRDefault="00906AFB" w:rsidP="00906AFB">
      <w:pPr>
        <w:spacing w:after="0" w:line="240" w:lineRule="auto"/>
        <w:ind w:left="709" w:hanging="709"/>
        <w:contextualSpacing/>
        <w:jc w:val="both"/>
        <w:rPr>
          <w:rFonts w:ascii="Arial" w:eastAsia="Times New Roman" w:hAnsi="Arial" w:cs="Arial"/>
          <w:sz w:val="24"/>
          <w:szCs w:val="24"/>
        </w:rPr>
      </w:pPr>
    </w:p>
    <w:p w:rsidR="00906AFB" w:rsidRPr="00906AFB" w:rsidRDefault="00906AFB" w:rsidP="00F859A4">
      <w:pPr>
        <w:numPr>
          <w:ilvl w:val="0"/>
          <w:numId w:val="7"/>
        </w:numPr>
        <w:spacing w:before="120" w:after="0" w:line="240" w:lineRule="auto"/>
        <w:ind w:left="709" w:hanging="709"/>
        <w:contextualSpacing/>
        <w:jc w:val="both"/>
        <w:rPr>
          <w:rFonts w:ascii="Arial" w:eastAsia="Times New Roman" w:hAnsi="Arial" w:cs="Arial"/>
          <w:sz w:val="24"/>
          <w:szCs w:val="24"/>
        </w:rPr>
      </w:pPr>
      <w:r w:rsidRPr="00906AFB">
        <w:rPr>
          <w:rFonts w:ascii="Arial" w:eastAsia="Times New Roman" w:hAnsi="Arial" w:cs="Arial"/>
          <w:b/>
          <w:sz w:val="24"/>
          <w:szCs w:val="24"/>
        </w:rPr>
        <w:t>Clasificación por Tipo de Gasto</w:t>
      </w:r>
      <w:r w:rsidRPr="00906AFB">
        <w:rPr>
          <w:rFonts w:ascii="Arial" w:eastAsia="Times New Roman" w:hAnsi="Arial" w:cs="Arial"/>
          <w:sz w:val="24"/>
          <w:szCs w:val="24"/>
        </w:rPr>
        <w:t>: La que relaciona las transacciones públicas que generan los grandes agregados de la clasificación económica presentándolos en: Corriente, de Capital, Amortización de la Deuda y Disminución de Pasivos, Pensiones y Jubilaciones y Participaciones;</w:t>
      </w:r>
    </w:p>
    <w:p w:rsidR="00906AFB" w:rsidRPr="00906AFB" w:rsidRDefault="00906AFB" w:rsidP="00906AFB">
      <w:pPr>
        <w:spacing w:after="0" w:line="240" w:lineRule="auto"/>
        <w:ind w:left="709" w:hanging="709"/>
        <w:contextualSpacing/>
        <w:jc w:val="both"/>
        <w:rPr>
          <w:rFonts w:ascii="Arial" w:eastAsia="Times New Roman" w:hAnsi="Arial" w:cs="Arial"/>
          <w:sz w:val="24"/>
          <w:szCs w:val="24"/>
        </w:rPr>
      </w:pPr>
    </w:p>
    <w:p w:rsidR="00906AFB" w:rsidRPr="00906AFB" w:rsidRDefault="00906AFB" w:rsidP="00F859A4">
      <w:pPr>
        <w:numPr>
          <w:ilvl w:val="0"/>
          <w:numId w:val="7"/>
        </w:numPr>
        <w:spacing w:before="120" w:after="0" w:line="240" w:lineRule="auto"/>
        <w:ind w:left="709" w:hanging="709"/>
        <w:contextualSpacing/>
        <w:jc w:val="both"/>
        <w:rPr>
          <w:rFonts w:ascii="Arial" w:eastAsia="Times New Roman" w:hAnsi="Arial" w:cs="Arial"/>
          <w:sz w:val="24"/>
          <w:szCs w:val="24"/>
        </w:rPr>
      </w:pPr>
      <w:r w:rsidRPr="00906AFB">
        <w:rPr>
          <w:rFonts w:ascii="Arial" w:eastAsia="Times New Roman" w:hAnsi="Arial" w:cs="Arial"/>
          <w:b/>
          <w:sz w:val="24"/>
          <w:szCs w:val="24"/>
        </w:rPr>
        <w:t>Criterios Generales de Política Económica</w:t>
      </w:r>
      <w:r w:rsidRPr="00906AFB">
        <w:rPr>
          <w:rFonts w:ascii="Arial" w:eastAsia="Times New Roman" w:hAnsi="Arial" w:cs="Arial"/>
          <w:sz w:val="24"/>
          <w:szCs w:val="24"/>
        </w:rPr>
        <w:t>: El documento enviado por el Ejecutivo Federal al Congreso de la Unión, en los términos del artículo 42, fracción III, inciso a), de la Ley Federal de Presupuesto y Responsabilidad Hacendaria, el cual sirve de base para la elaboración de la Ley de Ingresos y el Presupuesto de Egresos de la Federación;</w:t>
      </w:r>
    </w:p>
    <w:p w:rsidR="00906AFB" w:rsidRPr="00906AFB" w:rsidRDefault="00906AFB" w:rsidP="00906AFB">
      <w:pPr>
        <w:spacing w:after="0" w:line="240" w:lineRule="auto"/>
        <w:ind w:left="709" w:hanging="709"/>
        <w:contextualSpacing/>
        <w:jc w:val="both"/>
        <w:rPr>
          <w:rFonts w:ascii="Arial" w:eastAsia="Times New Roman" w:hAnsi="Arial" w:cs="Arial"/>
          <w:sz w:val="24"/>
          <w:szCs w:val="24"/>
        </w:rPr>
      </w:pPr>
    </w:p>
    <w:p w:rsidR="00906AFB" w:rsidRPr="00906AFB" w:rsidRDefault="00906AFB" w:rsidP="00F859A4">
      <w:pPr>
        <w:numPr>
          <w:ilvl w:val="0"/>
          <w:numId w:val="7"/>
        </w:numPr>
        <w:spacing w:before="120" w:after="0" w:line="240" w:lineRule="auto"/>
        <w:ind w:left="709" w:hanging="709"/>
        <w:contextualSpacing/>
        <w:jc w:val="both"/>
        <w:rPr>
          <w:rFonts w:ascii="Arial" w:eastAsia="Times New Roman" w:hAnsi="Arial" w:cs="Arial"/>
          <w:sz w:val="24"/>
          <w:szCs w:val="24"/>
        </w:rPr>
      </w:pPr>
      <w:r w:rsidRPr="00906AFB">
        <w:rPr>
          <w:rFonts w:ascii="Arial" w:eastAsia="Times New Roman" w:hAnsi="Arial" w:cs="Arial"/>
          <w:b/>
          <w:sz w:val="24"/>
          <w:szCs w:val="24"/>
        </w:rPr>
        <w:t>Concepto</w:t>
      </w:r>
      <w:r w:rsidRPr="00906AFB">
        <w:rPr>
          <w:rFonts w:ascii="Arial" w:eastAsia="Times New Roman" w:hAnsi="Arial" w:cs="Arial"/>
          <w:sz w:val="24"/>
          <w:szCs w:val="24"/>
        </w:rPr>
        <w:t>: Los subconjuntos homogéneos y ordenados en forma específica, producto de la desagregación de los bienes y servicios, incluidos en cada capítulo de gasto;</w:t>
      </w:r>
    </w:p>
    <w:p w:rsidR="00906AFB" w:rsidRPr="00906AFB" w:rsidRDefault="00906AFB" w:rsidP="00906AFB">
      <w:pPr>
        <w:spacing w:after="0" w:line="240" w:lineRule="auto"/>
        <w:ind w:left="709" w:hanging="709"/>
        <w:contextualSpacing/>
        <w:jc w:val="both"/>
        <w:rPr>
          <w:rFonts w:ascii="Arial" w:eastAsia="Times New Roman" w:hAnsi="Arial" w:cs="Arial"/>
          <w:sz w:val="24"/>
          <w:szCs w:val="24"/>
        </w:rPr>
      </w:pPr>
    </w:p>
    <w:p w:rsidR="00906AFB" w:rsidRPr="00906AFB" w:rsidRDefault="00906AFB" w:rsidP="00F859A4">
      <w:pPr>
        <w:numPr>
          <w:ilvl w:val="0"/>
          <w:numId w:val="7"/>
        </w:numPr>
        <w:spacing w:before="120" w:after="0" w:line="240" w:lineRule="auto"/>
        <w:ind w:left="709" w:hanging="709"/>
        <w:contextualSpacing/>
        <w:jc w:val="both"/>
        <w:rPr>
          <w:rFonts w:ascii="Arial" w:eastAsia="Times New Roman" w:hAnsi="Arial" w:cs="Arial"/>
          <w:sz w:val="24"/>
          <w:szCs w:val="24"/>
        </w:rPr>
      </w:pPr>
      <w:r w:rsidRPr="00906AFB">
        <w:rPr>
          <w:rFonts w:ascii="Arial" w:eastAsia="Times New Roman" w:hAnsi="Arial" w:cs="Arial"/>
          <w:b/>
          <w:sz w:val="24"/>
          <w:szCs w:val="24"/>
        </w:rPr>
        <w:t>Congreso del Estado</w:t>
      </w:r>
      <w:r w:rsidRPr="00906AFB">
        <w:rPr>
          <w:rFonts w:ascii="Arial" w:eastAsia="Times New Roman" w:hAnsi="Arial" w:cs="Arial"/>
          <w:sz w:val="24"/>
          <w:szCs w:val="24"/>
        </w:rPr>
        <w:t>: El Congreso del Estado de Colima;</w:t>
      </w:r>
    </w:p>
    <w:p w:rsidR="00906AFB" w:rsidRPr="00906AFB" w:rsidRDefault="00906AFB" w:rsidP="00906AFB">
      <w:pPr>
        <w:spacing w:after="0" w:line="240" w:lineRule="auto"/>
        <w:ind w:left="709" w:hanging="709"/>
        <w:contextualSpacing/>
        <w:jc w:val="both"/>
        <w:rPr>
          <w:rFonts w:ascii="Arial" w:eastAsia="Times New Roman" w:hAnsi="Arial" w:cs="Arial"/>
          <w:sz w:val="24"/>
          <w:szCs w:val="24"/>
        </w:rPr>
      </w:pPr>
    </w:p>
    <w:p w:rsidR="00906AFB" w:rsidRPr="00906AFB" w:rsidRDefault="00906AFB" w:rsidP="00F859A4">
      <w:pPr>
        <w:numPr>
          <w:ilvl w:val="0"/>
          <w:numId w:val="7"/>
        </w:numPr>
        <w:spacing w:before="120" w:after="0" w:line="240" w:lineRule="auto"/>
        <w:ind w:left="709" w:hanging="709"/>
        <w:contextualSpacing/>
        <w:jc w:val="both"/>
        <w:rPr>
          <w:rFonts w:ascii="Arial" w:eastAsia="Times New Roman" w:hAnsi="Arial" w:cs="Arial"/>
          <w:sz w:val="24"/>
          <w:szCs w:val="24"/>
        </w:rPr>
      </w:pPr>
      <w:r w:rsidRPr="00906AFB">
        <w:rPr>
          <w:rFonts w:ascii="Arial" w:eastAsia="Times New Roman" w:hAnsi="Arial" w:cs="Arial"/>
          <w:b/>
          <w:sz w:val="24"/>
          <w:szCs w:val="24"/>
        </w:rPr>
        <w:t>Contraloría General</w:t>
      </w:r>
      <w:r w:rsidRPr="00906AFB">
        <w:rPr>
          <w:rFonts w:ascii="Arial" w:eastAsia="Times New Roman" w:hAnsi="Arial" w:cs="Arial"/>
          <w:sz w:val="24"/>
          <w:szCs w:val="24"/>
        </w:rPr>
        <w:t>: La Contraloría General del Estado;</w:t>
      </w:r>
    </w:p>
    <w:p w:rsidR="00906AFB" w:rsidRPr="00906AFB" w:rsidRDefault="00906AFB" w:rsidP="00906AFB">
      <w:pPr>
        <w:spacing w:after="0" w:line="240" w:lineRule="auto"/>
        <w:ind w:left="709" w:hanging="709"/>
        <w:contextualSpacing/>
        <w:jc w:val="both"/>
        <w:rPr>
          <w:rFonts w:ascii="Arial" w:eastAsia="Times New Roman" w:hAnsi="Arial" w:cs="Arial"/>
          <w:sz w:val="24"/>
          <w:szCs w:val="24"/>
        </w:rPr>
      </w:pPr>
    </w:p>
    <w:p w:rsidR="00906AFB" w:rsidRPr="00906AFB" w:rsidRDefault="00906AFB" w:rsidP="00F859A4">
      <w:pPr>
        <w:numPr>
          <w:ilvl w:val="0"/>
          <w:numId w:val="7"/>
        </w:numPr>
        <w:spacing w:before="120" w:after="0" w:line="240" w:lineRule="auto"/>
        <w:ind w:left="709" w:hanging="709"/>
        <w:contextualSpacing/>
        <w:jc w:val="both"/>
        <w:rPr>
          <w:rFonts w:ascii="Arial" w:eastAsia="Times New Roman" w:hAnsi="Arial" w:cs="Arial"/>
          <w:sz w:val="24"/>
          <w:szCs w:val="24"/>
        </w:rPr>
      </w:pPr>
      <w:r w:rsidRPr="00906AFB">
        <w:rPr>
          <w:rFonts w:ascii="Arial" w:eastAsia="Times New Roman" w:hAnsi="Arial" w:cs="Arial"/>
          <w:b/>
          <w:sz w:val="24"/>
          <w:szCs w:val="24"/>
        </w:rPr>
        <w:lastRenderedPageBreak/>
        <w:t>Dependencias del Ejecutivo</w:t>
      </w:r>
      <w:r w:rsidRPr="00906AFB">
        <w:rPr>
          <w:rFonts w:ascii="Arial" w:eastAsia="Times New Roman" w:hAnsi="Arial" w:cs="Arial"/>
          <w:sz w:val="24"/>
          <w:szCs w:val="24"/>
        </w:rPr>
        <w:t>: La Oficina del Gobernador, las Secretarías, la Procuraduría General de Justicia, la Consejería Jurídica y los órganos desconcentrados, de conformidad a lo establecido por la Ley Orgánica de la Administración Pública del Estado;</w:t>
      </w:r>
    </w:p>
    <w:p w:rsidR="00906AFB" w:rsidRPr="00906AFB" w:rsidRDefault="00906AFB" w:rsidP="00906AFB">
      <w:pPr>
        <w:spacing w:after="0" w:line="240" w:lineRule="auto"/>
        <w:ind w:left="709" w:hanging="709"/>
        <w:contextualSpacing/>
        <w:jc w:val="both"/>
        <w:rPr>
          <w:rFonts w:ascii="Arial" w:eastAsia="Times New Roman" w:hAnsi="Arial" w:cs="Arial"/>
          <w:sz w:val="24"/>
          <w:szCs w:val="24"/>
        </w:rPr>
      </w:pPr>
    </w:p>
    <w:p w:rsidR="00906AFB" w:rsidRPr="00906AFB" w:rsidRDefault="00906AFB" w:rsidP="00F859A4">
      <w:pPr>
        <w:numPr>
          <w:ilvl w:val="0"/>
          <w:numId w:val="7"/>
        </w:numPr>
        <w:spacing w:before="120" w:after="0" w:line="240" w:lineRule="auto"/>
        <w:ind w:left="709" w:hanging="709"/>
        <w:contextualSpacing/>
        <w:jc w:val="both"/>
        <w:rPr>
          <w:rFonts w:ascii="Arial" w:eastAsia="Times New Roman" w:hAnsi="Arial" w:cs="Arial"/>
          <w:sz w:val="24"/>
          <w:szCs w:val="24"/>
        </w:rPr>
      </w:pPr>
      <w:r w:rsidRPr="00906AFB">
        <w:rPr>
          <w:rFonts w:ascii="Arial" w:eastAsia="Times New Roman" w:hAnsi="Arial" w:cs="Arial"/>
          <w:b/>
          <w:sz w:val="24"/>
          <w:szCs w:val="24"/>
        </w:rPr>
        <w:t>Deuda Contingente</w:t>
      </w:r>
      <w:r w:rsidRPr="00906AFB">
        <w:rPr>
          <w:rFonts w:ascii="Arial" w:eastAsia="Times New Roman" w:hAnsi="Arial" w:cs="Arial"/>
          <w:sz w:val="24"/>
          <w:szCs w:val="24"/>
        </w:rPr>
        <w:t xml:space="preserve">: Cualquier Financiamiento sin fuente o garantía de pago definida, que sea asumida de manera solidaria o subsidiaria por la Entidad Federativa con sus Municipios, Organismos Descentralizados y empresas de participación estatal mayoritaria y Fideicomisos; </w:t>
      </w:r>
    </w:p>
    <w:p w:rsidR="00906AFB" w:rsidRPr="00906AFB" w:rsidRDefault="00906AFB" w:rsidP="00906AFB">
      <w:pPr>
        <w:spacing w:after="0" w:line="240" w:lineRule="auto"/>
        <w:ind w:left="709" w:hanging="709"/>
        <w:contextualSpacing/>
        <w:jc w:val="both"/>
        <w:rPr>
          <w:rFonts w:ascii="Arial" w:eastAsia="Times New Roman" w:hAnsi="Arial" w:cs="Arial"/>
          <w:sz w:val="24"/>
          <w:szCs w:val="24"/>
        </w:rPr>
      </w:pPr>
    </w:p>
    <w:p w:rsidR="00906AFB" w:rsidRPr="00906AFB" w:rsidRDefault="00906AFB" w:rsidP="00F859A4">
      <w:pPr>
        <w:numPr>
          <w:ilvl w:val="0"/>
          <w:numId w:val="7"/>
        </w:numPr>
        <w:spacing w:before="120" w:after="0" w:line="240" w:lineRule="auto"/>
        <w:ind w:left="709" w:hanging="709"/>
        <w:contextualSpacing/>
        <w:jc w:val="both"/>
        <w:rPr>
          <w:rFonts w:ascii="Arial" w:eastAsia="Times New Roman" w:hAnsi="Arial" w:cs="Arial"/>
          <w:sz w:val="24"/>
          <w:szCs w:val="24"/>
        </w:rPr>
      </w:pPr>
      <w:r w:rsidRPr="00906AFB">
        <w:rPr>
          <w:rFonts w:ascii="Arial" w:eastAsia="Times New Roman" w:hAnsi="Arial" w:cs="Arial"/>
          <w:b/>
          <w:sz w:val="24"/>
          <w:szCs w:val="24"/>
        </w:rPr>
        <w:t>Disciplina Financiera</w:t>
      </w:r>
      <w:r w:rsidRPr="00906AFB">
        <w:rPr>
          <w:rFonts w:ascii="Arial" w:eastAsia="Times New Roman" w:hAnsi="Arial" w:cs="Arial"/>
          <w:sz w:val="24"/>
          <w:szCs w:val="24"/>
        </w:rPr>
        <w:t>: La observancia de los principios y las disposiciones en materia de responsabilidad hacendaria y financiera, la aplicación de reglas y criterios en el manejo de recursos y contratación de Obligaciones por los Entes Públicos, que aseguren una gestión responsable y sostenible de sus finanzas públicas, generando condiciones favorables para el crecimiento económico, el empleo y la estabilidad del sistema financiero;</w:t>
      </w:r>
    </w:p>
    <w:p w:rsidR="00906AFB" w:rsidRPr="00906AFB" w:rsidRDefault="00906AFB" w:rsidP="00906AFB">
      <w:pPr>
        <w:spacing w:after="0" w:line="240" w:lineRule="auto"/>
        <w:ind w:left="709" w:hanging="709"/>
        <w:contextualSpacing/>
        <w:jc w:val="both"/>
        <w:rPr>
          <w:rFonts w:ascii="Arial" w:eastAsia="Times New Roman" w:hAnsi="Arial" w:cs="Arial"/>
          <w:sz w:val="24"/>
          <w:szCs w:val="24"/>
        </w:rPr>
      </w:pPr>
    </w:p>
    <w:p w:rsidR="00906AFB" w:rsidRPr="00906AFB" w:rsidRDefault="00906AFB" w:rsidP="00F859A4">
      <w:pPr>
        <w:numPr>
          <w:ilvl w:val="0"/>
          <w:numId w:val="7"/>
        </w:numPr>
        <w:spacing w:before="120" w:after="0" w:line="240" w:lineRule="auto"/>
        <w:ind w:left="709" w:hanging="709"/>
        <w:contextualSpacing/>
        <w:jc w:val="both"/>
        <w:rPr>
          <w:rFonts w:ascii="Arial" w:eastAsia="Times New Roman" w:hAnsi="Arial" w:cs="Arial"/>
          <w:sz w:val="24"/>
          <w:szCs w:val="24"/>
        </w:rPr>
      </w:pPr>
      <w:r w:rsidRPr="00906AFB">
        <w:rPr>
          <w:rFonts w:ascii="Arial" w:eastAsia="Times New Roman" w:hAnsi="Arial" w:cs="Arial"/>
          <w:b/>
          <w:sz w:val="24"/>
          <w:szCs w:val="24"/>
        </w:rPr>
        <w:t>Economías o Ahorros Presupuestarios</w:t>
      </w:r>
      <w:r w:rsidRPr="00906AFB">
        <w:rPr>
          <w:rFonts w:ascii="Arial" w:eastAsia="Times New Roman" w:hAnsi="Arial" w:cs="Arial"/>
          <w:sz w:val="24"/>
          <w:szCs w:val="24"/>
        </w:rPr>
        <w:t>: Los remanentes de recursos públicos del Presupuesto de Egresos del Estado no comprometidos al término del Ejercicio Fiscal; así como los ahorros realizados en un periodo determinado;</w:t>
      </w:r>
    </w:p>
    <w:p w:rsidR="00906AFB" w:rsidRPr="00906AFB" w:rsidRDefault="00906AFB" w:rsidP="00906AFB">
      <w:pPr>
        <w:spacing w:after="0" w:line="240" w:lineRule="auto"/>
        <w:ind w:left="709" w:hanging="709"/>
        <w:contextualSpacing/>
        <w:jc w:val="both"/>
        <w:rPr>
          <w:rFonts w:ascii="Arial" w:eastAsia="Times New Roman" w:hAnsi="Arial" w:cs="Arial"/>
          <w:sz w:val="24"/>
          <w:szCs w:val="24"/>
        </w:rPr>
      </w:pPr>
    </w:p>
    <w:p w:rsidR="00906AFB" w:rsidRPr="00906AFB" w:rsidRDefault="00906AFB" w:rsidP="00F859A4">
      <w:pPr>
        <w:numPr>
          <w:ilvl w:val="0"/>
          <w:numId w:val="7"/>
        </w:numPr>
        <w:spacing w:before="120" w:after="0" w:line="240" w:lineRule="auto"/>
        <w:ind w:left="709" w:hanging="709"/>
        <w:contextualSpacing/>
        <w:jc w:val="both"/>
        <w:rPr>
          <w:rFonts w:ascii="Arial" w:eastAsia="Times New Roman" w:hAnsi="Arial" w:cs="Arial"/>
          <w:sz w:val="24"/>
          <w:szCs w:val="24"/>
        </w:rPr>
      </w:pPr>
      <w:r w:rsidRPr="00906AFB">
        <w:rPr>
          <w:rFonts w:ascii="Arial" w:eastAsia="Times New Roman" w:hAnsi="Arial" w:cs="Arial"/>
          <w:b/>
          <w:sz w:val="24"/>
          <w:szCs w:val="24"/>
        </w:rPr>
        <w:t>Entidades del Estado</w:t>
      </w:r>
      <w:r w:rsidRPr="00906AFB">
        <w:rPr>
          <w:rFonts w:ascii="Arial" w:eastAsia="Times New Roman" w:hAnsi="Arial" w:cs="Arial"/>
          <w:sz w:val="24"/>
          <w:szCs w:val="24"/>
        </w:rPr>
        <w:t>: Los organismos descentralizados, empresas de participación estatal mayoritaria y a los fideicomisos públicos, que de conformidad a lo establecido por la Ley Orgánica de la Administración Pública del Estado de Colima, sean considerados parte de la administración pública paraestatal;</w:t>
      </w:r>
    </w:p>
    <w:p w:rsidR="00906AFB" w:rsidRPr="00906AFB" w:rsidRDefault="00906AFB" w:rsidP="00906AFB">
      <w:pPr>
        <w:spacing w:after="0" w:line="240" w:lineRule="auto"/>
        <w:ind w:left="709" w:hanging="709"/>
        <w:contextualSpacing/>
        <w:jc w:val="both"/>
        <w:rPr>
          <w:rFonts w:ascii="Arial" w:eastAsia="Times New Roman" w:hAnsi="Arial" w:cs="Arial"/>
          <w:sz w:val="24"/>
          <w:szCs w:val="24"/>
        </w:rPr>
      </w:pPr>
    </w:p>
    <w:p w:rsidR="00906AFB" w:rsidRPr="00906AFB" w:rsidRDefault="00906AFB" w:rsidP="00F859A4">
      <w:pPr>
        <w:numPr>
          <w:ilvl w:val="0"/>
          <w:numId w:val="7"/>
        </w:numPr>
        <w:spacing w:before="120" w:after="0" w:line="240" w:lineRule="auto"/>
        <w:ind w:left="709" w:hanging="709"/>
        <w:contextualSpacing/>
        <w:jc w:val="both"/>
        <w:rPr>
          <w:rFonts w:ascii="Arial" w:eastAsia="Times New Roman" w:hAnsi="Arial" w:cs="Arial"/>
          <w:sz w:val="24"/>
          <w:szCs w:val="24"/>
        </w:rPr>
      </w:pPr>
      <w:r w:rsidRPr="00906AFB">
        <w:rPr>
          <w:rFonts w:ascii="Arial" w:eastAsia="Times New Roman" w:hAnsi="Arial" w:cs="Arial"/>
          <w:b/>
          <w:sz w:val="24"/>
          <w:szCs w:val="24"/>
        </w:rPr>
        <w:t>Entes Públicos</w:t>
      </w:r>
      <w:r w:rsidRPr="00906AFB">
        <w:rPr>
          <w:rFonts w:ascii="Arial" w:eastAsia="Times New Roman" w:hAnsi="Arial" w:cs="Arial"/>
          <w:sz w:val="24"/>
          <w:szCs w:val="24"/>
        </w:rPr>
        <w:t>: Los Poderes Ejecutivo, Legislativo y Judicial; los Organismos autónomos del Estado; los organismos descentralizados, empresas de participación estatal mayoritaria y fideicomisos del Estado, así como cualquier otro Ente sobre que el Estado tenga control sobre sus decisiones o acciones;</w:t>
      </w:r>
    </w:p>
    <w:p w:rsidR="00906AFB" w:rsidRPr="00906AFB" w:rsidRDefault="00906AFB" w:rsidP="00906AFB">
      <w:pPr>
        <w:spacing w:after="0" w:line="240" w:lineRule="auto"/>
        <w:ind w:left="709" w:hanging="709"/>
        <w:contextualSpacing/>
        <w:jc w:val="both"/>
        <w:rPr>
          <w:rFonts w:ascii="Arial" w:eastAsia="Times New Roman" w:hAnsi="Arial" w:cs="Arial"/>
          <w:sz w:val="24"/>
          <w:szCs w:val="24"/>
        </w:rPr>
      </w:pPr>
    </w:p>
    <w:p w:rsidR="00906AFB" w:rsidRPr="00906AFB" w:rsidRDefault="00906AFB" w:rsidP="00F859A4">
      <w:pPr>
        <w:numPr>
          <w:ilvl w:val="0"/>
          <w:numId w:val="7"/>
        </w:numPr>
        <w:spacing w:before="120" w:after="0" w:line="240" w:lineRule="auto"/>
        <w:ind w:left="709" w:hanging="709"/>
        <w:contextualSpacing/>
        <w:jc w:val="both"/>
        <w:rPr>
          <w:rFonts w:ascii="Arial" w:eastAsia="Times New Roman" w:hAnsi="Arial" w:cs="Arial"/>
          <w:sz w:val="24"/>
          <w:szCs w:val="24"/>
        </w:rPr>
      </w:pPr>
      <w:r w:rsidRPr="00906AFB">
        <w:rPr>
          <w:rFonts w:ascii="Arial" w:eastAsia="Times New Roman" w:hAnsi="Arial" w:cs="Arial"/>
          <w:b/>
          <w:sz w:val="24"/>
          <w:szCs w:val="24"/>
        </w:rPr>
        <w:t>Estado</w:t>
      </w:r>
      <w:r w:rsidRPr="00906AFB">
        <w:rPr>
          <w:rFonts w:ascii="Arial" w:eastAsia="Times New Roman" w:hAnsi="Arial" w:cs="Arial"/>
          <w:sz w:val="24"/>
          <w:szCs w:val="24"/>
        </w:rPr>
        <w:t>: El Estado Libre y Soberano de Colima;</w:t>
      </w:r>
    </w:p>
    <w:p w:rsidR="00906AFB" w:rsidRPr="00906AFB" w:rsidRDefault="00906AFB" w:rsidP="00906AFB">
      <w:pPr>
        <w:spacing w:after="0" w:line="240" w:lineRule="auto"/>
        <w:ind w:left="709" w:hanging="709"/>
        <w:contextualSpacing/>
        <w:jc w:val="both"/>
        <w:rPr>
          <w:rFonts w:ascii="Arial" w:eastAsia="Times New Roman" w:hAnsi="Arial" w:cs="Arial"/>
          <w:sz w:val="24"/>
          <w:szCs w:val="24"/>
        </w:rPr>
      </w:pPr>
    </w:p>
    <w:p w:rsidR="00906AFB" w:rsidRPr="00906AFB" w:rsidRDefault="00906AFB" w:rsidP="00F859A4">
      <w:pPr>
        <w:numPr>
          <w:ilvl w:val="0"/>
          <w:numId w:val="7"/>
        </w:numPr>
        <w:tabs>
          <w:tab w:val="left" w:pos="851"/>
        </w:tabs>
        <w:spacing w:before="120" w:after="0" w:line="240" w:lineRule="auto"/>
        <w:ind w:left="709" w:hanging="709"/>
        <w:contextualSpacing/>
        <w:jc w:val="both"/>
        <w:rPr>
          <w:rFonts w:ascii="Arial" w:eastAsia="Times New Roman" w:hAnsi="Arial" w:cs="Arial"/>
          <w:sz w:val="24"/>
          <w:szCs w:val="24"/>
        </w:rPr>
      </w:pPr>
      <w:r w:rsidRPr="00906AFB">
        <w:rPr>
          <w:rFonts w:ascii="Arial" w:eastAsia="Times New Roman" w:hAnsi="Arial" w:cs="Arial"/>
          <w:b/>
          <w:sz w:val="24"/>
          <w:szCs w:val="24"/>
        </w:rPr>
        <w:t>Evaluación</w:t>
      </w:r>
      <w:r w:rsidRPr="00906AFB">
        <w:rPr>
          <w:rFonts w:ascii="Arial" w:eastAsia="Times New Roman" w:hAnsi="Arial" w:cs="Arial"/>
          <w:sz w:val="24"/>
          <w:szCs w:val="24"/>
        </w:rPr>
        <w:t>: Al análisis sistemático y objetivo de los Programas presupuestarios coordinados por los entes públicos y que tienen como finalidad determinar la pertinencia y el logro de sus objetivos y metas, así como su eficiencia, eficacia, calidad, resultados, impacto y sostenibilidad;</w:t>
      </w:r>
    </w:p>
    <w:p w:rsidR="00906AFB" w:rsidRPr="00906AFB" w:rsidRDefault="00906AFB" w:rsidP="00906AFB">
      <w:pPr>
        <w:spacing w:after="0" w:line="240" w:lineRule="auto"/>
        <w:ind w:left="709" w:hanging="709"/>
        <w:contextualSpacing/>
        <w:jc w:val="both"/>
        <w:rPr>
          <w:rFonts w:ascii="Arial" w:eastAsia="Times New Roman" w:hAnsi="Arial" w:cs="Arial"/>
          <w:sz w:val="24"/>
          <w:szCs w:val="24"/>
        </w:rPr>
      </w:pPr>
    </w:p>
    <w:p w:rsidR="00906AFB" w:rsidRPr="00906AFB" w:rsidRDefault="00906AFB" w:rsidP="00F859A4">
      <w:pPr>
        <w:numPr>
          <w:ilvl w:val="0"/>
          <w:numId w:val="7"/>
        </w:numPr>
        <w:spacing w:before="120" w:after="0" w:line="240" w:lineRule="auto"/>
        <w:ind w:left="709" w:hanging="709"/>
        <w:contextualSpacing/>
        <w:jc w:val="both"/>
        <w:rPr>
          <w:rFonts w:ascii="Arial" w:eastAsia="Times New Roman" w:hAnsi="Arial" w:cs="Arial"/>
          <w:sz w:val="24"/>
          <w:szCs w:val="24"/>
        </w:rPr>
      </w:pPr>
      <w:r w:rsidRPr="00906AFB">
        <w:rPr>
          <w:rFonts w:ascii="Arial" w:eastAsia="Times New Roman" w:hAnsi="Arial" w:cs="Arial"/>
          <w:b/>
          <w:sz w:val="24"/>
          <w:szCs w:val="24"/>
        </w:rPr>
        <w:lastRenderedPageBreak/>
        <w:t>Fideicomisos Públicos</w:t>
      </w:r>
      <w:r w:rsidRPr="00906AFB">
        <w:rPr>
          <w:rFonts w:ascii="Arial" w:eastAsia="Times New Roman" w:hAnsi="Arial" w:cs="Arial"/>
          <w:sz w:val="24"/>
          <w:szCs w:val="24"/>
        </w:rPr>
        <w:t>: Aquellos que el gobierno estatal o alguna de las demás entidades paraestatales constituyen, con el propósito de auxiliar al Ejecutivo del Estado en la realización de las funciones que le corresponden o en el impulso de áreas prioritarias del desarrollo, que cuenten con una estructura orgánica análoga a las otras entidades y que tengan comités técnicos;</w:t>
      </w:r>
    </w:p>
    <w:p w:rsidR="00906AFB" w:rsidRPr="00906AFB" w:rsidRDefault="00906AFB" w:rsidP="00906AFB">
      <w:pPr>
        <w:spacing w:after="0" w:line="240" w:lineRule="auto"/>
        <w:ind w:left="709" w:hanging="709"/>
        <w:contextualSpacing/>
        <w:jc w:val="both"/>
        <w:rPr>
          <w:rFonts w:ascii="Arial" w:eastAsia="Times New Roman" w:hAnsi="Arial" w:cs="Arial"/>
          <w:sz w:val="24"/>
          <w:szCs w:val="24"/>
        </w:rPr>
      </w:pPr>
    </w:p>
    <w:p w:rsidR="00906AFB" w:rsidRPr="00906AFB" w:rsidRDefault="00906AFB" w:rsidP="00F859A4">
      <w:pPr>
        <w:numPr>
          <w:ilvl w:val="0"/>
          <w:numId w:val="7"/>
        </w:numPr>
        <w:spacing w:before="120" w:after="0" w:line="240" w:lineRule="auto"/>
        <w:ind w:left="709" w:hanging="709"/>
        <w:contextualSpacing/>
        <w:jc w:val="both"/>
        <w:rPr>
          <w:rFonts w:ascii="Arial" w:eastAsia="Times New Roman" w:hAnsi="Arial" w:cs="Arial"/>
          <w:sz w:val="24"/>
          <w:szCs w:val="24"/>
        </w:rPr>
      </w:pPr>
      <w:r w:rsidRPr="00906AFB">
        <w:rPr>
          <w:rFonts w:ascii="Arial" w:eastAsia="Times New Roman" w:hAnsi="Arial" w:cs="Arial"/>
          <w:b/>
          <w:sz w:val="24"/>
          <w:szCs w:val="24"/>
        </w:rPr>
        <w:t>Gasto Corriente</w:t>
      </w:r>
      <w:r w:rsidRPr="00906AFB">
        <w:rPr>
          <w:rFonts w:ascii="Arial" w:eastAsia="Times New Roman" w:hAnsi="Arial" w:cs="Arial"/>
          <w:sz w:val="24"/>
          <w:szCs w:val="24"/>
        </w:rPr>
        <w:t>: Al conjunto de erogaciones que no tienen como contrapartida la creación de activos, sino que constituyen un acto de consumo. Se refiere a los gastos en recursos humanos y de compra de bienes y servicios, necesarios para la administración y operación gubernamental;</w:t>
      </w:r>
    </w:p>
    <w:p w:rsidR="00906AFB" w:rsidRPr="00906AFB" w:rsidRDefault="00906AFB" w:rsidP="00906AFB">
      <w:pPr>
        <w:spacing w:after="0" w:line="240" w:lineRule="auto"/>
        <w:ind w:left="709" w:hanging="709"/>
        <w:contextualSpacing/>
        <w:jc w:val="both"/>
        <w:rPr>
          <w:rFonts w:ascii="Arial" w:eastAsia="Times New Roman" w:hAnsi="Arial" w:cs="Arial"/>
          <w:sz w:val="24"/>
          <w:szCs w:val="24"/>
        </w:rPr>
      </w:pPr>
    </w:p>
    <w:p w:rsidR="00906AFB" w:rsidRPr="00906AFB" w:rsidRDefault="00906AFB" w:rsidP="00F859A4">
      <w:pPr>
        <w:numPr>
          <w:ilvl w:val="0"/>
          <w:numId w:val="7"/>
        </w:numPr>
        <w:spacing w:before="120" w:after="0" w:line="240" w:lineRule="auto"/>
        <w:ind w:left="709" w:hanging="709"/>
        <w:contextualSpacing/>
        <w:jc w:val="both"/>
        <w:rPr>
          <w:rFonts w:ascii="Arial" w:eastAsia="Times New Roman" w:hAnsi="Arial" w:cs="Arial"/>
          <w:sz w:val="24"/>
          <w:szCs w:val="24"/>
        </w:rPr>
      </w:pPr>
      <w:r w:rsidRPr="00906AFB">
        <w:rPr>
          <w:rFonts w:ascii="Arial" w:eastAsia="Times New Roman" w:hAnsi="Arial" w:cs="Arial"/>
          <w:b/>
          <w:sz w:val="24"/>
          <w:szCs w:val="24"/>
        </w:rPr>
        <w:t>Gasto Federalizado</w:t>
      </w:r>
      <w:r w:rsidRPr="00906AFB">
        <w:rPr>
          <w:rFonts w:ascii="Arial" w:eastAsia="Times New Roman" w:hAnsi="Arial" w:cs="Arial"/>
          <w:sz w:val="24"/>
          <w:szCs w:val="24"/>
        </w:rPr>
        <w:t>: El gasto federalizado o descentralizado se integra por los recursos públicos que el Gobierno Federal transfiere al Estados y Municipios para que estos últimos afronten sus necesidades de gasto en materia de educación, salud, infraestructura e inversión social, seguridad pública, entre otros rubros;</w:t>
      </w:r>
    </w:p>
    <w:p w:rsidR="00906AFB" w:rsidRPr="00906AFB" w:rsidRDefault="00906AFB" w:rsidP="00906AFB">
      <w:pPr>
        <w:spacing w:after="0" w:line="240" w:lineRule="auto"/>
        <w:ind w:left="709" w:hanging="709"/>
        <w:contextualSpacing/>
        <w:jc w:val="both"/>
        <w:rPr>
          <w:rFonts w:ascii="Arial" w:eastAsia="Times New Roman" w:hAnsi="Arial" w:cs="Arial"/>
          <w:sz w:val="24"/>
          <w:szCs w:val="24"/>
        </w:rPr>
      </w:pPr>
    </w:p>
    <w:p w:rsidR="00906AFB" w:rsidRPr="00906AFB" w:rsidRDefault="00906AFB" w:rsidP="00F859A4">
      <w:pPr>
        <w:numPr>
          <w:ilvl w:val="0"/>
          <w:numId w:val="7"/>
        </w:numPr>
        <w:spacing w:before="120" w:after="0" w:line="240" w:lineRule="auto"/>
        <w:ind w:left="709" w:hanging="709"/>
        <w:contextualSpacing/>
        <w:jc w:val="both"/>
        <w:rPr>
          <w:rFonts w:ascii="Arial" w:eastAsia="Times New Roman" w:hAnsi="Arial" w:cs="Arial"/>
          <w:sz w:val="24"/>
          <w:szCs w:val="24"/>
        </w:rPr>
      </w:pPr>
      <w:r w:rsidRPr="00906AFB">
        <w:rPr>
          <w:rFonts w:ascii="Arial" w:eastAsia="Times New Roman" w:hAnsi="Arial" w:cs="Arial"/>
          <w:b/>
          <w:sz w:val="24"/>
          <w:szCs w:val="24"/>
        </w:rPr>
        <w:t>Gasto de Inversión o Capital</w:t>
      </w:r>
      <w:r w:rsidRPr="00906AFB">
        <w:rPr>
          <w:rFonts w:ascii="Arial" w:eastAsia="Times New Roman" w:hAnsi="Arial" w:cs="Arial"/>
          <w:sz w:val="24"/>
          <w:szCs w:val="24"/>
        </w:rPr>
        <w:t>: Las erogaciones que realizan Dependencias del Ejecutivo y Entidades del Estado tendientes a adquirir, ampliar, conservar y mejorar sus bienes de capital, incluyendo también la adquisición de acciones y títulos de crédito de terceros, construcción de obras públicas y desarrollo de acciones para promover el incremento de la capacidad productiva de los diversos sectores de la economía;</w:t>
      </w:r>
    </w:p>
    <w:p w:rsidR="00906AFB" w:rsidRPr="00906AFB" w:rsidRDefault="00906AFB" w:rsidP="00906AFB">
      <w:pPr>
        <w:spacing w:after="0" w:line="240" w:lineRule="auto"/>
        <w:ind w:left="709" w:hanging="709"/>
        <w:contextualSpacing/>
        <w:jc w:val="both"/>
        <w:rPr>
          <w:rFonts w:ascii="Arial" w:eastAsia="Times New Roman" w:hAnsi="Arial" w:cs="Arial"/>
          <w:sz w:val="24"/>
          <w:szCs w:val="24"/>
        </w:rPr>
      </w:pPr>
    </w:p>
    <w:p w:rsidR="00906AFB" w:rsidRPr="00906AFB" w:rsidRDefault="00906AFB" w:rsidP="00F859A4">
      <w:pPr>
        <w:numPr>
          <w:ilvl w:val="0"/>
          <w:numId w:val="7"/>
        </w:numPr>
        <w:tabs>
          <w:tab w:val="left" w:pos="851"/>
        </w:tabs>
        <w:spacing w:before="120" w:after="0" w:line="240" w:lineRule="auto"/>
        <w:ind w:left="709" w:hanging="709"/>
        <w:contextualSpacing/>
        <w:jc w:val="both"/>
        <w:rPr>
          <w:rFonts w:ascii="Arial" w:eastAsia="Times New Roman" w:hAnsi="Arial" w:cs="Arial"/>
          <w:sz w:val="24"/>
          <w:szCs w:val="24"/>
        </w:rPr>
      </w:pPr>
      <w:r w:rsidRPr="00906AFB">
        <w:rPr>
          <w:rFonts w:ascii="Arial" w:eastAsia="Times New Roman" w:hAnsi="Arial" w:cs="Arial"/>
          <w:b/>
          <w:sz w:val="24"/>
          <w:szCs w:val="24"/>
        </w:rPr>
        <w:t>Gasto etiquetado</w:t>
      </w:r>
      <w:r w:rsidRPr="00906AFB">
        <w:rPr>
          <w:rFonts w:ascii="Arial" w:eastAsia="Times New Roman" w:hAnsi="Arial" w:cs="Arial"/>
          <w:sz w:val="24"/>
          <w:szCs w:val="24"/>
        </w:rPr>
        <w:t>: Las erogaciones que realizan las Entidades Federativas y los Municipios con cargo a las Transferencias federales etiquetadas. En el caso de los Municipios, adicionalmente se incluyen las erogaciones que realizan con recursos de la Entidad Federativa con un destino específico;</w:t>
      </w:r>
    </w:p>
    <w:p w:rsidR="00906AFB" w:rsidRPr="00906AFB" w:rsidRDefault="00906AFB" w:rsidP="00906AFB">
      <w:pPr>
        <w:spacing w:after="0" w:line="240" w:lineRule="auto"/>
        <w:ind w:left="709" w:hanging="709"/>
        <w:contextualSpacing/>
        <w:jc w:val="both"/>
        <w:rPr>
          <w:rFonts w:ascii="Arial" w:eastAsia="Times New Roman" w:hAnsi="Arial" w:cs="Arial"/>
          <w:sz w:val="24"/>
          <w:szCs w:val="24"/>
        </w:rPr>
      </w:pPr>
    </w:p>
    <w:p w:rsidR="00906AFB" w:rsidRPr="00906AFB" w:rsidRDefault="00906AFB" w:rsidP="00F859A4">
      <w:pPr>
        <w:numPr>
          <w:ilvl w:val="0"/>
          <w:numId w:val="7"/>
        </w:numPr>
        <w:tabs>
          <w:tab w:val="left" w:pos="851"/>
        </w:tabs>
        <w:spacing w:before="120" w:after="0" w:line="240" w:lineRule="auto"/>
        <w:ind w:left="709" w:hanging="709"/>
        <w:contextualSpacing/>
        <w:jc w:val="both"/>
        <w:rPr>
          <w:rFonts w:ascii="Arial" w:eastAsia="Times New Roman" w:hAnsi="Arial" w:cs="Arial"/>
          <w:sz w:val="24"/>
          <w:szCs w:val="24"/>
        </w:rPr>
      </w:pPr>
      <w:r w:rsidRPr="00906AFB">
        <w:rPr>
          <w:rFonts w:ascii="Arial" w:eastAsia="Times New Roman" w:hAnsi="Arial" w:cs="Arial"/>
          <w:b/>
          <w:sz w:val="24"/>
          <w:szCs w:val="24"/>
        </w:rPr>
        <w:t>Gasto no etiquetado</w:t>
      </w:r>
      <w:r w:rsidRPr="00906AFB">
        <w:rPr>
          <w:rFonts w:ascii="Arial" w:eastAsia="Times New Roman" w:hAnsi="Arial" w:cs="Arial"/>
          <w:sz w:val="24"/>
          <w:szCs w:val="24"/>
        </w:rPr>
        <w:t xml:space="preserve">: Las erogaciones que realizan las Entidades Federativas y los Municipios con cargo a sus Ingresos de libre disposición y Financiamientos. </w:t>
      </w:r>
    </w:p>
    <w:p w:rsidR="00906AFB" w:rsidRPr="00906AFB" w:rsidRDefault="00906AFB" w:rsidP="00906AFB">
      <w:pPr>
        <w:spacing w:after="0" w:line="240" w:lineRule="auto"/>
        <w:ind w:left="709" w:hanging="709"/>
        <w:contextualSpacing/>
        <w:jc w:val="both"/>
        <w:rPr>
          <w:rFonts w:ascii="Arial" w:eastAsia="Times New Roman" w:hAnsi="Arial" w:cs="Arial"/>
          <w:b/>
          <w:sz w:val="24"/>
          <w:szCs w:val="24"/>
        </w:rPr>
      </w:pPr>
    </w:p>
    <w:p w:rsidR="00906AFB" w:rsidRPr="00906AFB" w:rsidRDefault="00906AFB" w:rsidP="00F859A4">
      <w:pPr>
        <w:numPr>
          <w:ilvl w:val="0"/>
          <w:numId w:val="7"/>
        </w:numPr>
        <w:spacing w:before="120" w:after="0" w:line="240" w:lineRule="auto"/>
        <w:ind w:left="709" w:hanging="709"/>
        <w:contextualSpacing/>
        <w:jc w:val="both"/>
        <w:rPr>
          <w:rFonts w:ascii="Arial" w:eastAsia="Times New Roman" w:hAnsi="Arial" w:cs="Arial"/>
          <w:sz w:val="24"/>
          <w:szCs w:val="24"/>
        </w:rPr>
      </w:pPr>
      <w:r w:rsidRPr="00906AFB">
        <w:rPr>
          <w:rFonts w:ascii="Arial" w:eastAsia="Times New Roman" w:hAnsi="Arial" w:cs="Arial"/>
          <w:b/>
          <w:sz w:val="24"/>
          <w:szCs w:val="24"/>
        </w:rPr>
        <w:t>Gasto No Programable</w:t>
      </w:r>
      <w:r w:rsidRPr="00906AFB">
        <w:rPr>
          <w:rFonts w:ascii="Arial" w:eastAsia="Times New Roman" w:hAnsi="Arial" w:cs="Arial"/>
          <w:sz w:val="24"/>
          <w:szCs w:val="24"/>
        </w:rPr>
        <w:t>: Los recursos que se destinan al cumplimiento de los fines y funciones propias del Estado y que por su naturaleza no están asociados a Programas presupuestarios específicos;</w:t>
      </w:r>
    </w:p>
    <w:p w:rsidR="00906AFB" w:rsidRPr="00906AFB" w:rsidRDefault="00906AFB" w:rsidP="00906AFB">
      <w:pPr>
        <w:spacing w:after="0" w:line="240" w:lineRule="auto"/>
        <w:ind w:left="709" w:hanging="709"/>
        <w:contextualSpacing/>
        <w:jc w:val="both"/>
        <w:rPr>
          <w:rFonts w:ascii="Arial" w:eastAsia="Times New Roman" w:hAnsi="Arial" w:cs="Arial"/>
          <w:sz w:val="24"/>
          <w:szCs w:val="24"/>
        </w:rPr>
      </w:pPr>
    </w:p>
    <w:p w:rsidR="00906AFB" w:rsidRPr="00906AFB" w:rsidRDefault="00906AFB" w:rsidP="00F859A4">
      <w:pPr>
        <w:numPr>
          <w:ilvl w:val="0"/>
          <w:numId w:val="7"/>
        </w:numPr>
        <w:tabs>
          <w:tab w:val="left" w:pos="851"/>
        </w:tabs>
        <w:spacing w:before="120" w:after="0" w:line="240" w:lineRule="auto"/>
        <w:ind w:left="709" w:hanging="709"/>
        <w:contextualSpacing/>
        <w:jc w:val="both"/>
        <w:rPr>
          <w:rFonts w:ascii="Arial" w:eastAsia="Times New Roman" w:hAnsi="Arial" w:cs="Arial"/>
          <w:sz w:val="24"/>
          <w:szCs w:val="24"/>
        </w:rPr>
      </w:pPr>
      <w:r w:rsidRPr="00906AFB">
        <w:rPr>
          <w:rFonts w:ascii="Arial" w:eastAsia="Times New Roman" w:hAnsi="Arial" w:cs="Arial"/>
          <w:b/>
          <w:sz w:val="24"/>
          <w:szCs w:val="24"/>
        </w:rPr>
        <w:t>Gasto Programable</w:t>
      </w:r>
      <w:r w:rsidRPr="00906AFB">
        <w:rPr>
          <w:rFonts w:ascii="Arial" w:eastAsia="Times New Roman" w:hAnsi="Arial" w:cs="Arial"/>
          <w:sz w:val="24"/>
          <w:szCs w:val="24"/>
        </w:rPr>
        <w:t xml:space="preserve">: Los recursos que se destinan al cumplimiento de los fines y funciones propias del Estado, por lo cual están directamente </w:t>
      </w:r>
      <w:r w:rsidRPr="00906AFB">
        <w:rPr>
          <w:rFonts w:ascii="Arial" w:eastAsia="Times New Roman" w:hAnsi="Arial" w:cs="Arial"/>
          <w:sz w:val="24"/>
          <w:szCs w:val="24"/>
        </w:rPr>
        <w:lastRenderedPageBreak/>
        <w:t>relacionados con los Programas presupuestarios a cargo de los Ejecutores de Gasto previamente establecidos para alcanzar los objetivos y metas, que tienen un efecto directo en la actividad económica y social;</w:t>
      </w:r>
    </w:p>
    <w:p w:rsidR="00906AFB" w:rsidRPr="00906AFB" w:rsidRDefault="00906AFB" w:rsidP="00906AFB">
      <w:pPr>
        <w:spacing w:after="0" w:line="240" w:lineRule="auto"/>
        <w:ind w:left="709" w:hanging="709"/>
        <w:contextualSpacing/>
        <w:jc w:val="both"/>
        <w:rPr>
          <w:rFonts w:ascii="Arial" w:eastAsia="Times New Roman" w:hAnsi="Arial" w:cs="Arial"/>
          <w:sz w:val="24"/>
          <w:szCs w:val="24"/>
        </w:rPr>
      </w:pPr>
    </w:p>
    <w:p w:rsidR="00906AFB" w:rsidRPr="00906AFB" w:rsidRDefault="00906AFB" w:rsidP="00F859A4">
      <w:pPr>
        <w:numPr>
          <w:ilvl w:val="0"/>
          <w:numId w:val="7"/>
        </w:numPr>
        <w:tabs>
          <w:tab w:val="left" w:pos="851"/>
        </w:tabs>
        <w:spacing w:before="120" w:after="0" w:line="240" w:lineRule="auto"/>
        <w:ind w:left="709" w:hanging="709"/>
        <w:contextualSpacing/>
        <w:jc w:val="both"/>
        <w:rPr>
          <w:rFonts w:ascii="Arial" w:eastAsia="Times New Roman" w:hAnsi="Arial" w:cs="Arial"/>
          <w:sz w:val="24"/>
          <w:szCs w:val="24"/>
        </w:rPr>
      </w:pPr>
      <w:r w:rsidRPr="00906AFB">
        <w:rPr>
          <w:rFonts w:ascii="Arial" w:eastAsia="Times New Roman" w:hAnsi="Arial" w:cs="Arial"/>
          <w:b/>
          <w:sz w:val="24"/>
          <w:szCs w:val="24"/>
        </w:rPr>
        <w:t>Gobernador</w:t>
      </w:r>
      <w:r w:rsidRPr="00906AFB">
        <w:rPr>
          <w:rFonts w:ascii="Arial" w:eastAsia="Times New Roman" w:hAnsi="Arial" w:cs="Arial"/>
          <w:sz w:val="24"/>
          <w:szCs w:val="24"/>
        </w:rPr>
        <w:t>: El Gobernador Constitucional del Estado de Colima;</w:t>
      </w:r>
    </w:p>
    <w:p w:rsidR="00906AFB" w:rsidRPr="00906AFB" w:rsidRDefault="00906AFB" w:rsidP="00906AFB">
      <w:pPr>
        <w:spacing w:after="0" w:line="240" w:lineRule="auto"/>
        <w:ind w:left="709" w:hanging="709"/>
        <w:contextualSpacing/>
        <w:jc w:val="both"/>
        <w:rPr>
          <w:rFonts w:ascii="Arial" w:eastAsia="Times New Roman" w:hAnsi="Arial" w:cs="Arial"/>
          <w:sz w:val="24"/>
          <w:szCs w:val="24"/>
        </w:rPr>
      </w:pPr>
    </w:p>
    <w:p w:rsidR="00906AFB" w:rsidRPr="00906AFB" w:rsidRDefault="00906AFB" w:rsidP="00F859A4">
      <w:pPr>
        <w:numPr>
          <w:ilvl w:val="0"/>
          <w:numId w:val="7"/>
        </w:numPr>
        <w:tabs>
          <w:tab w:val="left" w:pos="851"/>
          <w:tab w:val="left" w:pos="993"/>
        </w:tabs>
        <w:spacing w:before="120" w:after="0" w:line="240" w:lineRule="auto"/>
        <w:ind w:left="709" w:hanging="709"/>
        <w:contextualSpacing/>
        <w:jc w:val="both"/>
        <w:rPr>
          <w:rFonts w:ascii="Arial" w:eastAsia="Times New Roman" w:hAnsi="Arial" w:cs="Arial"/>
          <w:sz w:val="24"/>
          <w:szCs w:val="24"/>
        </w:rPr>
      </w:pPr>
      <w:r w:rsidRPr="00906AFB">
        <w:rPr>
          <w:rFonts w:ascii="Arial" w:eastAsia="Times New Roman" w:hAnsi="Arial" w:cs="Arial"/>
          <w:b/>
          <w:sz w:val="24"/>
          <w:szCs w:val="24"/>
        </w:rPr>
        <w:t>Igualdad de Género</w:t>
      </w:r>
      <w:r w:rsidRPr="00906AFB">
        <w:rPr>
          <w:rFonts w:ascii="Arial" w:eastAsia="Times New Roman" w:hAnsi="Arial" w:cs="Arial"/>
          <w:sz w:val="24"/>
          <w:szCs w:val="24"/>
        </w:rPr>
        <w:t>: La situación en la cual mujeres y hombres acceden con las mismas posibilidades y oportunidades al uso, control y beneficio de bienes, servicios y recursos de la sociedad, así como a la toma de decisiones en todos los ámbitos de la vida social, económica, política, cultural y familiar;</w:t>
      </w:r>
    </w:p>
    <w:p w:rsidR="00906AFB" w:rsidRPr="00906AFB" w:rsidRDefault="00906AFB" w:rsidP="00906AFB">
      <w:pPr>
        <w:spacing w:after="0" w:line="240" w:lineRule="auto"/>
        <w:ind w:left="709" w:hanging="709"/>
        <w:contextualSpacing/>
        <w:jc w:val="both"/>
        <w:rPr>
          <w:rFonts w:ascii="Arial" w:eastAsia="Times New Roman" w:hAnsi="Arial" w:cs="Arial"/>
          <w:sz w:val="24"/>
          <w:szCs w:val="24"/>
        </w:rPr>
      </w:pPr>
    </w:p>
    <w:p w:rsidR="00906AFB" w:rsidRPr="00906AFB" w:rsidRDefault="00906AFB" w:rsidP="00F859A4">
      <w:pPr>
        <w:numPr>
          <w:ilvl w:val="0"/>
          <w:numId w:val="7"/>
        </w:numPr>
        <w:tabs>
          <w:tab w:val="left" w:pos="851"/>
        </w:tabs>
        <w:spacing w:before="120" w:after="0" w:line="240" w:lineRule="auto"/>
        <w:ind w:left="709" w:hanging="709"/>
        <w:contextualSpacing/>
        <w:jc w:val="both"/>
        <w:rPr>
          <w:rFonts w:ascii="Arial" w:eastAsia="Times New Roman" w:hAnsi="Arial" w:cs="Arial"/>
          <w:sz w:val="24"/>
          <w:szCs w:val="24"/>
        </w:rPr>
      </w:pPr>
      <w:r w:rsidRPr="00906AFB">
        <w:rPr>
          <w:rFonts w:ascii="Arial" w:eastAsia="Times New Roman" w:hAnsi="Arial" w:cs="Arial"/>
          <w:b/>
          <w:sz w:val="24"/>
          <w:szCs w:val="24"/>
        </w:rPr>
        <w:t>Igualdad Sustantiva</w:t>
      </w:r>
      <w:r w:rsidRPr="00906AFB">
        <w:rPr>
          <w:rFonts w:ascii="Arial" w:eastAsia="Times New Roman" w:hAnsi="Arial" w:cs="Arial"/>
          <w:sz w:val="24"/>
          <w:szCs w:val="24"/>
        </w:rPr>
        <w:t>: El acceso al mismo trato y oportunidades para el reconocimiento, goce o ejercicio de los derechos humanos y las libertades fundamentales;</w:t>
      </w:r>
    </w:p>
    <w:p w:rsidR="00906AFB" w:rsidRPr="00906AFB" w:rsidRDefault="00906AFB" w:rsidP="00906AFB">
      <w:pPr>
        <w:spacing w:after="0" w:line="240" w:lineRule="auto"/>
        <w:ind w:left="709" w:hanging="709"/>
        <w:contextualSpacing/>
        <w:jc w:val="both"/>
        <w:rPr>
          <w:rFonts w:ascii="Arial" w:eastAsia="Times New Roman" w:hAnsi="Arial" w:cs="Arial"/>
          <w:sz w:val="24"/>
          <w:szCs w:val="24"/>
        </w:rPr>
      </w:pPr>
    </w:p>
    <w:p w:rsidR="00906AFB" w:rsidRPr="00906AFB" w:rsidRDefault="00906AFB" w:rsidP="00F859A4">
      <w:pPr>
        <w:numPr>
          <w:ilvl w:val="0"/>
          <w:numId w:val="7"/>
        </w:numPr>
        <w:spacing w:before="120" w:after="0" w:line="240" w:lineRule="auto"/>
        <w:ind w:left="709" w:hanging="709"/>
        <w:contextualSpacing/>
        <w:jc w:val="both"/>
        <w:rPr>
          <w:rFonts w:ascii="Arial" w:eastAsia="Times New Roman" w:hAnsi="Arial" w:cs="Arial"/>
          <w:sz w:val="24"/>
          <w:szCs w:val="24"/>
        </w:rPr>
      </w:pPr>
      <w:r w:rsidRPr="00906AFB">
        <w:rPr>
          <w:rFonts w:ascii="Arial" w:eastAsia="Times New Roman" w:hAnsi="Arial" w:cs="Arial"/>
          <w:b/>
          <w:sz w:val="24"/>
          <w:szCs w:val="24"/>
        </w:rPr>
        <w:t>Indicador</w:t>
      </w:r>
      <w:r w:rsidRPr="00906AFB">
        <w:rPr>
          <w:rFonts w:ascii="Arial" w:eastAsia="Times New Roman" w:hAnsi="Arial" w:cs="Arial"/>
          <w:sz w:val="24"/>
          <w:szCs w:val="24"/>
        </w:rPr>
        <w:t>: La expresión cuantitativa o, en su caso, cualitativa que proporciona un medio sencillo y fiable para medir logros, reflejar los cambios vinculados con las acciones del Programa presupuestario, monitorear y evaluar resultados;</w:t>
      </w:r>
    </w:p>
    <w:p w:rsidR="00906AFB" w:rsidRPr="00906AFB" w:rsidRDefault="00906AFB" w:rsidP="00906AFB">
      <w:pPr>
        <w:spacing w:after="0" w:line="240" w:lineRule="auto"/>
        <w:ind w:left="709" w:hanging="709"/>
        <w:contextualSpacing/>
        <w:jc w:val="both"/>
        <w:rPr>
          <w:rFonts w:ascii="Arial" w:eastAsia="Times New Roman" w:hAnsi="Arial" w:cs="Arial"/>
          <w:sz w:val="24"/>
          <w:szCs w:val="24"/>
        </w:rPr>
      </w:pPr>
    </w:p>
    <w:p w:rsidR="00906AFB" w:rsidRPr="00906AFB" w:rsidRDefault="00906AFB" w:rsidP="00F859A4">
      <w:pPr>
        <w:numPr>
          <w:ilvl w:val="0"/>
          <w:numId w:val="7"/>
        </w:numPr>
        <w:spacing w:before="120" w:after="0" w:line="240" w:lineRule="auto"/>
        <w:ind w:left="709" w:hanging="709"/>
        <w:contextualSpacing/>
        <w:jc w:val="both"/>
        <w:rPr>
          <w:rFonts w:ascii="Arial" w:eastAsia="Times New Roman" w:hAnsi="Arial" w:cs="Arial"/>
          <w:sz w:val="24"/>
          <w:szCs w:val="24"/>
        </w:rPr>
      </w:pPr>
      <w:r w:rsidRPr="00906AFB">
        <w:rPr>
          <w:rFonts w:ascii="Arial" w:eastAsia="Times New Roman" w:hAnsi="Arial" w:cs="Arial"/>
          <w:b/>
          <w:sz w:val="24"/>
          <w:szCs w:val="24"/>
        </w:rPr>
        <w:t>Ingresos de Libre Disposición</w:t>
      </w:r>
      <w:r w:rsidRPr="00906AFB">
        <w:rPr>
          <w:rFonts w:ascii="Arial" w:eastAsia="Times New Roman" w:hAnsi="Arial" w:cs="Arial"/>
          <w:sz w:val="24"/>
          <w:szCs w:val="24"/>
        </w:rPr>
        <w:t>: Los Ingresos locales y las participaciones federales, así como los recursos que, en su caso, reciban del Fondo de Estabilización de los Ingresos de las Entidades Federativas en los términos del artículo 19 de la Ley Federal de Presupuesto y Responsabilidad Hacendaria y cualquier otro recurso que no esté destinado a un fin específico;</w:t>
      </w:r>
    </w:p>
    <w:p w:rsidR="00906AFB" w:rsidRPr="00906AFB" w:rsidRDefault="00906AFB" w:rsidP="00906AFB">
      <w:pPr>
        <w:spacing w:after="0" w:line="240" w:lineRule="auto"/>
        <w:ind w:left="709" w:hanging="709"/>
        <w:contextualSpacing/>
        <w:jc w:val="both"/>
        <w:rPr>
          <w:rFonts w:ascii="Arial" w:eastAsia="Times New Roman" w:hAnsi="Arial" w:cs="Arial"/>
          <w:sz w:val="24"/>
          <w:szCs w:val="24"/>
        </w:rPr>
      </w:pPr>
    </w:p>
    <w:p w:rsidR="00906AFB" w:rsidRPr="00906AFB" w:rsidRDefault="00906AFB" w:rsidP="00F859A4">
      <w:pPr>
        <w:numPr>
          <w:ilvl w:val="0"/>
          <w:numId w:val="7"/>
        </w:numPr>
        <w:spacing w:before="120" w:after="0" w:line="240" w:lineRule="auto"/>
        <w:ind w:left="709" w:hanging="709"/>
        <w:contextualSpacing/>
        <w:jc w:val="both"/>
        <w:rPr>
          <w:rFonts w:ascii="Arial" w:eastAsia="Times New Roman" w:hAnsi="Arial" w:cs="Arial"/>
          <w:sz w:val="24"/>
          <w:szCs w:val="24"/>
        </w:rPr>
      </w:pPr>
      <w:r w:rsidRPr="00906AFB">
        <w:rPr>
          <w:rFonts w:ascii="Arial" w:eastAsia="Times New Roman" w:hAnsi="Arial" w:cs="Arial"/>
          <w:b/>
          <w:sz w:val="24"/>
          <w:szCs w:val="24"/>
        </w:rPr>
        <w:t>Ingresos Excedentes</w:t>
      </w:r>
      <w:r w:rsidRPr="00906AFB">
        <w:rPr>
          <w:rFonts w:ascii="Arial" w:eastAsia="Times New Roman" w:hAnsi="Arial" w:cs="Arial"/>
          <w:sz w:val="24"/>
          <w:szCs w:val="24"/>
        </w:rPr>
        <w:t>: Los recursos públicos que durante el Ejercicio Fiscal se obtienen adicionalmente a los aprobados en la Ley de Ingresos del Estado vigente;</w:t>
      </w:r>
    </w:p>
    <w:p w:rsidR="00906AFB" w:rsidRPr="00906AFB" w:rsidRDefault="00906AFB" w:rsidP="00906AFB">
      <w:pPr>
        <w:spacing w:after="0" w:line="240" w:lineRule="auto"/>
        <w:ind w:left="709" w:hanging="709"/>
        <w:contextualSpacing/>
        <w:jc w:val="both"/>
        <w:rPr>
          <w:rFonts w:ascii="Arial" w:eastAsia="Times New Roman" w:hAnsi="Arial" w:cs="Arial"/>
          <w:sz w:val="24"/>
          <w:szCs w:val="24"/>
        </w:rPr>
      </w:pPr>
    </w:p>
    <w:p w:rsidR="00906AFB" w:rsidRPr="00906AFB" w:rsidRDefault="00906AFB" w:rsidP="00F859A4">
      <w:pPr>
        <w:numPr>
          <w:ilvl w:val="0"/>
          <w:numId w:val="7"/>
        </w:numPr>
        <w:spacing w:before="120" w:after="0" w:line="240" w:lineRule="auto"/>
        <w:ind w:left="709" w:hanging="709"/>
        <w:contextualSpacing/>
        <w:jc w:val="both"/>
        <w:rPr>
          <w:rFonts w:ascii="Arial" w:eastAsia="Times New Roman" w:hAnsi="Arial" w:cs="Arial"/>
          <w:sz w:val="24"/>
          <w:szCs w:val="24"/>
        </w:rPr>
      </w:pPr>
      <w:r w:rsidRPr="00906AFB">
        <w:rPr>
          <w:rFonts w:ascii="Arial" w:eastAsia="Times New Roman" w:hAnsi="Arial" w:cs="Arial"/>
          <w:b/>
          <w:sz w:val="24"/>
          <w:szCs w:val="24"/>
        </w:rPr>
        <w:t>Ley General de Contabilidad</w:t>
      </w:r>
      <w:r w:rsidRPr="00906AFB">
        <w:rPr>
          <w:rFonts w:ascii="Arial" w:eastAsia="Times New Roman" w:hAnsi="Arial" w:cs="Arial"/>
          <w:sz w:val="24"/>
          <w:szCs w:val="24"/>
        </w:rPr>
        <w:t>: La Ley General de Contabilidad Gubernamental;</w:t>
      </w:r>
    </w:p>
    <w:p w:rsidR="00906AFB" w:rsidRPr="00906AFB" w:rsidRDefault="00906AFB" w:rsidP="00906AFB">
      <w:pPr>
        <w:spacing w:after="0" w:line="240" w:lineRule="auto"/>
        <w:ind w:left="709" w:hanging="709"/>
        <w:contextualSpacing/>
        <w:jc w:val="both"/>
        <w:rPr>
          <w:rFonts w:ascii="Arial" w:eastAsia="Times New Roman" w:hAnsi="Arial" w:cs="Arial"/>
          <w:b/>
          <w:sz w:val="24"/>
          <w:szCs w:val="24"/>
        </w:rPr>
      </w:pPr>
    </w:p>
    <w:p w:rsidR="00906AFB" w:rsidRPr="00906AFB" w:rsidRDefault="00906AFB" w:rsidP="00F859A4">
      <w:pPr>
        <w:numPr>
          <w:ilvl w:val="0"/>
          <w:numId w:val="7"/>
        </w:numPr>
        <w:spacing w:before="120" w:after="0" w:line="240" w:lineRule="auto"/>
        <w:ind w:left="709" w:hanging="709"/>
        <w:contextualSpacing/>
        <w:jc w:val="both"/>
        <w:rPr>
          <w:rFonts w:ascii="Arial" w:eastAsia="Times New Roman" w:hAnsi="Arial" w:cs="Arial"/>
          <w:sz w:val="24"/>
          <w:szCs w:val="24"/>
        </w:rPr>
      </w:pPr>
      <w:r w:rsidRPr="00906AFB">
        <w:rPr>
          <w:rFonts w:ascii="Arial" w:eastAsia="Times New Roman" w:hAnsi="Arial" w:cs="Arial"/>
          <w:b/>
          <w:sz w:val="24"/>
          <w:szCs w:val="24"/>
        </w:rPr>
        <w:t>Ley de Disciplina Financiera</w:t>
      </w:r>
      <w:r w:rsidRPr="00906AFB">
        <w:rPr>
          <w:rFonts w:ascii="Arial" w:eastAsia="Times New Roman" w:hAnsi="Arial" w:cs="Arial"/>
          <w:sz w:val="24"/>
          <w:szCs w:val="24"/>
        </w:rPr>
        <w:t>: Ley de Disciplina Financiera de las Entidades Federativas y los Municipios;</w:t>
      </w:r>
    </w:p>
    <w:p w:rsidR="00906AFB" w:rsidRPr="00906AFB" w:rsidRDefault="00906AFB" w:rsidP="00906AFB">
      <w:pPr>
        <w:spacing w:after="0" w:line="240" w:lineRule="auto"/>
        <w:ind w:left="709" w:hanging="709"/>
        <w:contextualSpacing/>
        <w:jc w:val="both"/>
        <w:rPr>
          <w:rFonts w:ascii="Arial" w:eastAsia="Times New Roman" w:hAnsi="Arial" w:cs="Arial"/>
          <w:sz w:val="24"/>
          <w:szCs w:val="24"/>
        </w:rPr>
      </w:pPr>
    </w:p>
    <w:p w:rsidR="00906AFB" w:rsidRPr="00906AFB" w:rsidRDefault="00906AFB" w:rsidP="00F859A4">
      <w:pPr>
        <w:numPr>
          <w:ilvl w:val="0"/>
          <w:numId w:val="7"/>
        </w:numPr>
        <w:spacing w:before="120" w:after="0" w:line="240" w:lineRule="auto"/>
        <w:ind w:left="709" w:hanging="709"/>
        <w:contextualSpacing/>
        <w:jc w:val="both"/>
        <w:rPr>
          <w:rFonts w:ascii="Arial" w:eastAsia="Times New Roman" w:hAnsi="Arial" w:cs="Arial"/>
          <w:sz w:val="24"/>
          <w:szCs w:val="24"/>
        </w:rPr>
      </w:pPr>
      <w:r w:rsidRPr="00906AFB">
        <w:rPr>
          <w:rFonts w:ascii="Arial" w:eastAsia="Times New Roman" w:hAnsi="Arial" w:cs="Arial"/>
          <w:b/>
          <w:sz w:val="24"/>
          <w:szCs w:val="24"/>
        </w:rPr>
        <w:t>Ley de Presupuesto</w:t>
      </w:r>
      <w:r w:rsidRPr="00906AFB">
        <w:rPr>
          <w:rFonts w:ascii="Arial" w:eastAsia="Times New Roman" w:hAnsi="Arial" w:cs="Arial"/>
          <w:sz w:val="24"/>
          <w:szCs w:val="24"/>
        </w:rPr>
        <w:t>: La Ley de Presupuesto y Gasto Público del Estado de Colima;</w:t>
      </w:r>
    </w:p>
    <w:p w:rsidR="00906AFB" w:rsidRPr="00906AFB" w:rsidRDefault="00906AFB" w:rsidP="00906AFB">
      <w:pPr>
        <w:spacing w:after="0" w:line="240" w:lineRule="auto"/>
        <w:ind w:left="709" w:hanging="709"/>
        <w:contextualSpacing/>
        <w:jc w:val="both"/>
        <w:rPr>
          <w:rFonts w:ascii="Arial" w:eastAsia="Times New Roman" w:hAnsi="Arial" w:cs="Arial"/>
          <w:sz w:val="24"/>
          <w:szCs w:val="24"/>
        </w:rPr>
      </w:pPr>
    </w:p>
    <w:p w:rsidR="00906AFB" w:rsidRPr="00906AFB" w:rsidRDefault="00906AFB" w:rsidP="00F859A4">
      <w:pPr>
        <w:numPr>
          <w:ilvl w:val="0"/>
          <w:numId w:val="7"/>
        </w:numPr>
        <w:spacing w:before="120" w:after="0" w:line="240" w:lineRule="auto"/>
        <w:ind w:left="709" w:hanging="709"/>
        <w:contextualSpacing/>
        <w:jc w:val="both"/>
        <w:rPr>
          <w:rFonts w:ascii="Arial" w:eastAsia="Times New Roman" w:hAnsi="Arial" w:cs="Arial"/>
          <w:sz w:val="24"/>
          <w:szCs w:val="24"/>
        </w:rPr>
      </w:pPr>
      <w:r w:rsidRPr="00906AFB">
        <w:rPr>
          <w:rFonts w:ascii="Arial" w:eastAsia="Times New Roman" w:hAnsi="Arial" w:cs="Arial"/>
          <w:b/>
          <w:sz w:val="24"/>
          <w:szCs w:val="24"/>
        </w:rPr>
        <w:t>Matriz de Indicadores para Resultados</w:t>
      </w:r>
      <w:r w:rsidRPr="00906AFB">
        <w:rPr>
          <w:rFonts w:ascii="Arial" w:eastAsia="Times New Roman" w:hAnsi="Arial" w:cs="Arial"/>
          <w:sz w:val="24"/>
          <w:szCs w:val="24"/>
        </w:rPr>
        <w:t xml:space="preserve">: La herramienta de planeación estratégica que en forma resumida, sencilla y armónica establece con </w:t>
      </w:r>
      <w:r w:rsidRPr="00906AFB">
        <w:rPr>
          <w:rFonts w:ascii="Arial" w:eastAsia="Times New Roman" w:hAnsi="Arial" w:cs="Arial"/>
          <w:sz w:val="24"/>
          <w:szCs w:val="24"/>
        </w:rPr>
        <w:lastRenderedPageBreak/>
        <w:t>claridad los objetivos del Programa Presupuestario y su alineación con aquellos de la planeación nacional, estatal, municipal y sectorial; incorpora los indicadores que miden los objetivos y resultados esperados; identifica los medios para obtener y verificar la información de los indicadores; describe los bienes y servicios a la sociedad, así como las actividades e insumos para producirlos; e incluye supuestos que son factores externos que influyen en el cumplimiento de los objetivos;</w:t>
      </w:r>
    </w:p>
    <w:p w:rsidR="00906AFB" w:rsidRPr="00906AFB" w:rsidRDefault="00906AFB" w:rsidP="00906AFB">
      <w:pPr>
        <w:spacing w:after="0" w:line="240" w:lineRule="auto"/>
        <w:ind w:left="709" w:hanging="709"/>
        <w:contextualSpacing/>
        <w:jc w:val="both"/>
        <w:rPr>
          <w:rFonts w:ascii="Arial" w:eastAsia="Times New Roman" w:hAnsi="Arial" w:cs="Arial"/>
          <w:sz w:val="24"/>
          <w:szCs w:val="24"/>
        </w:rPr>
      </w:pPr>
    </w:p>
    <w:p w:rsidR="00906AFB" w:rsidRPr="00906AFB" w:rsidRDefault="00E22E97" w:rsidP="00F859A4">
      <w:pPr>
        <w:numPr>
          <w:ilvl w:val="0"/>
          <w:numId w:val="7"/>
        </w:numPr>
        <w:spacing w:before="120" w:after="0" w:line="240" w:lineRule="auto"/>
        <w:ind w:left="709" w:hanging="709"/>
        <w:contextualSpacing/>
        <w:jc w:val="both"/>
        <w:rPr>
          <w:rFonts w:ascii="Arial" w:eastAsia="Times New Roman" w:hAnsi="Arial" w:cs="Arial"/>
          <w:sz w:val="24"/>
          <w:szCs w:val="24"/>
        </w:rPr>
      </w:pPr>
      <w:r w:rsidRPr="00906AFB">
        <w:rPr>
          <w:rFonts w:ascii="Arial" w:eastAsia="Times New Roman" w:hAnsi="Arial" w:cs="Arial"/>
          <w:b/>
          <w:sz w:val="24"/>
          <w:szCs w:val="24"/>
        </w:rPr>
        <w:t>Organismos Autónomos</w:t>
      </w:r>
      <w:r w:rsidR="00906AFB" w:rsidRPr="00906AFB">
        <w:rPr>
          <w:rFonts w:ascii="Arial" w:eastAsia="Times New Roman" w:hAnsi="Arial" w:cs="Arial"/>
          <w:sz w:val="24"/>
          <w:szCs w:val="24"/>
        </w:rPr>
        <w:t>: Las personas de derecho público de carácter autónomo en el ejercicio de sus funciones y en su administración, creadas por disposición expresa de la Constitución Política del Estado Libre y Soberano de Colima;</w:t>
      </w:r>
    </w:p>
    <w:p w:rsidR="00906AFB" w:rsidRPr="00906AFB" w:rsidRDefault="00906AFB" w:rsidP="00906AFB">
      <w:pPr>
        <w:spacing w:after="0" w:line="240" w:lineRule="auto"/>
        <w:ind w:left="709" w:hanging="709"/>
        <w:contextualSpacing/>
        <w:jc w:val="both"/>
        <w:rPr>
          <w:rFonts w:ascii="Arial" w:eastAsia="Times New Roman" w:hAnsi="Arial" w:cs="Arial"/>
          <w:sz w:val="24"/>
          <w:szCs w:val="24"/>
        </w:rPr>
      </w:pPr>
    </w:p>
    <w:p w:rsidR="00906AFB" w:rsidRPr="00906AFB" w:rsidRDefault="00906AFB" w:rsidP="00F859A4">
      <w:pPr>
        <w:numPr>
          <w:ilvl w:val="0"/>
          <w:numId w:val="7"/>
        </w:numPr>
        <w:tabs>
          <w:tab w:val="left" w:pos="851"/>
        </w:tabs>
        <w:spacing w:before="120" w:after="0" w:line="240" w:lineRule="auto"/>
        <w:ind w:left="709" w:hanging="709"/>
        <w:contextualSpacing/>
        <w:jc w:val="both"/>
        <w:rPr>
          <w:rFonts w:ascii="Arial" w:eastAsia="Times New Roman" w:hAnsi="Arial" w:cs="Arial"/>
          <w:sz w:val="24"/>
          <w:szCs w:val="24"/>
        </w:rPr>
      </w:pPr>
      <w:r w:rsidRPr="00906AFB">
        <w:rPr>
          <w:rFonts w:ascii="Arial" w:eastAsia="Times New Roman" w:hAnsi="Arial" w:cs="Arial"/>
          <w:b/>
          <w:sz w:val="24"/>
          <w:szCs w:val="24"/>
        </w:rPr>
        <w:t>Partida</w:t>
      </w:r>
      <w:r w:rsidRPr="00906AFB">
        <w:rPr>
          <w:rFonts w:ascii="Arial" w:eastAsia="Times New Roman" w:hAnsi="Arial" w:cs="Arial"/>
          <w:sz w:val="24"/>
          <w:szCs w:val="24"/>
        </w:rPr>
        <w:t>: El nivel de agregación más específico en el cual se describen las expresiones concretas y detalladas de los bienes y servicios que se adquieren y se compone de: a) Partida Genérica, b) Partida Específica;</w:t>
      </w:r>
    </w:p>
    <w:p w:rsidR="00906AFB" w:rsidRPr="00906AFB" w:rsidRDefault="00906AFB" w:rsidP="00906AFB">
      <w:pPr>
        <w:spacing w:after="0" w:line="240" w:lineRule="auto"/>
        <w:ind w:left="709" w:hanging="709"/>
        <w:contextualSpacing/>
        <w:jc w:val="both"/>
        <w:rPr>
          <w:rFonts w:ascii="Arial" w:eastAsia="Times New Roman" w:hAnsi="Arial" w:cs="Arial"/>
          <w:sz w:val="24"/>
          <w:szCs w:val="24"/>
        </w:rPr>
      </w:pPr>
    </w:p>
    <w:p w:rsidR="00906AFB" w:rsidRPr="00906AFB" w:rsidRDefault="00906AFB" w:rsidP="00F859A4">
      <w:pPr>
        <w:numPr>
          <w:ilvl w:val="0"/>
          <w:numId w:val="7"/>
        </w:numPr>
        <w:spacing w:before="120" w:after="0" w:line="240" w:lineRule="auto"/>
        <w:ind w:left="709" w:hanging="709"/>
        <w:contextualSpacing/>
        <w:jc w:val="both"/>
        <w:rPr>
          <w:rFonts w:ascii="Arial" w:eastAsia="Times New Roman" w:hAnsi="Arial" w:cs="Arial"/>
          <w:sz w:val="24"/>
          <w:szCs w:val="24"/>
        </w:rPr>
      </w:pPr>
      <w:r w:rsidRPr="00906AFB">
        <w:rPr>
          <w:rFonts w:ascii="Arial" w:eastAsia="Times New Roman" w:hAnsi="Arial" w:cs="Arial"/>
          <w:b/>
          <w:sz w:val="24"/>
          <w:szCs w:val="24"/>
        </w:rPr>
        <w:t>Perspectiva de Género</w:t>
      </w:r>
      <w:r w:rsidRPr="00906AFB">
        <w:rPr>
          <w:rFonts w:ascii="Arial" w:eastAsia="Times New Roman" w:hAnsi="Arial" w:cs="Arial"/>
          <w:sz w:val="24"/>
          <w:szCs w:val="24"/>
        </w:rPr>
        <w:t>: El concepto que se refiere a la metodología y los mecanismos que permiten identificar, cuestionar y valorar la discriminación, desigualdad y exclusión de las mujeres, que se pretende justificar con base en las diferencias biológicas entre mujeres y hombres, así como las acciones que deben emprenderse para actuar sobre los factores de género y crear las condiciones de cambio que permitan avanzar en la construcción de la igualdad de género;</w:t>
      </w:r>
    </w:p>
    <w:p w:rsidR="00906AFB" w:rsidRPr="00906AFB" w:rsidRDefault="00906AFB" w:rsidP="00906AFB">
      <w:pPr>
        <w:spacing w:after="0" w:line="240" w:lineRule="auto"/>
        <w:ind w:left="709" w:hanging="709"/>
        <w:contextualSpacing/>
        <w:jc w:val="both"/>
        <w:rPr>
          <w:rFonts w:ascii="Arial" w:eastAsia="Times New Roman" w:hAnsi="Arial" w:cs="Arial"/>
          <w:sz w:val="24"/>
          <w:szCs w:val="24"/>
        </w:rPr>
      </w:pPr>
    </w:p>
    <w:p w:rsidR="00906AFB" w:rsidRPr="00906AFB" w:rsidRDefault="00906AFB" w:rsidP="00F859A4">
      <w:pPr>
        <w:numPr>
          <w:ilvl w:val="0"/>
          <w:numId w:val="7"/>
        </w:numPr>
        <w:spacing w:before="120" w:after="0" w:line="240" w:lineRule="auto"/>
        <w:ind w:left="709" w:hanging="709"/>
        <w:contextualSpacing/>
        <w:jc w:val="both"/>
        <w:rPr>
          <w:rFonts w:ascii="Arial" w:eastAsia="Times New Roman" w:hAnsi="Arial" w:cs="Arial"/>
          <w:sz w:val="24"/>
          <w:szCs w:val="24"/>
        </w:rPr>
      </w:pPr>
      <w:r w:rsidRPr="00906AFB">
        <w:rPr>
          <w:rFonts w:ascii="Arial" w:eastAsia="Times New Roman" w:hAnsi="Arial" w:cs="Arial"/>
          <w:b/>
          <w:sz w:val="24"/>
          <w:szCs w:val="24"/>
        </w:rPr>
        <w:t>Plan Estatal</w:t>
      </w:r>
      <w:r w:rsidRPr="00906AFB">
        <w:rPr>
          <w:rFonts w:ascii="Arial" w:eastAsia="Times New Roman" w:hAnsi="Arial" w:cs="Arial"/>
          <w:sz w:val="24"/>
          <w:szCs w:val="24"/>
        </w:rPr>
        <w:t>: El Plan Estatal de Desarrollo;</w:t>
      </w:r>
    </w:p>
    <w:p w:rsidR="00906AFB" w:rsidRPr="00906AFB" w:rsidRDefault="00906AFB" w:rsidP="00906AFB">
      <w:pPr>
        <w:spacing w:after="0" w:line="240" w:lineRule="auto"/>
        <w:ind w:left="709" w:hanging="709"/>
        <w:contextualSpacing/>
        <w:jc w:val="both"/>
        <w:rPr>
          <w:rFonts w:ascii="Arial" w:eastAsia="Times New Roman" w:hAnsi="Arial" w:cs="Arial"/>
          <w:sz w:val="24"/>
          <w:szCs w:val="24"/>
        </w:rPr>
      </w:pPr>
    </w:p>
    <w:p w:rsidR="00906AFB" w:rsidRPr="00906AFB" w:rsidRDefault="00906AFB" w:rsidP="00F859A4">
      <w:pPr>
        <w:numPr>
          <w:ilvl w:val="0"/>
          <w:numId w:val="7"/>
        </w:numPr>
        <w:spacing w:before="120" w:after="0" w:line="240" w:lineRule="auto"/>
        <w:ind w:left="709" w:hanging="709"/>
        <w:contextualSpacing/>
        <w:jc w:val="both"/>
        <w:rPr>
          <w:rFonts w:ascii="Arial" w:eastAsia="Times New Roman" w:hAnsi="Arial" w:cs="Arial"/>
          <w:sz w:val="24"/>
          <w:szCs w:val="24"/>
        </w:rPr>
      </w:pPr>
      <w:r w:rsidRPr="00906AFB">
        <w:rPr>
          <w:rFonts w:ascii="Arial" w:eastAsia="Times New Roman" w:hAnsi="Arial" w:cs="Arial"/>
          <w:b/>
          <w:sz w:val="24"/>
          <w:szCs w:val="24"/>
        </w:rPr>
        <w:t>Poder Judicial</w:t>
      </w:r>
      <w:r w:rsidRPr="00906AFB">
        <w:rPr>
          <w:rFonts w:ascii="Arial" w:eastAsia="Times New Roman" w:hAnsi="Arial" w:cs="Arial"/>
          <w:sz w:val="24"/>
          <w:szCs w:val="24"/>
        </w:rPr>
        <w:t>: El Poder Judicial del Estado;</w:t>
      </w:r>
    </w:p>
    <w:p w:rsidR="00906AFB" w:rsidRPr="00906AFB" w:rsidRDefault="00906AFB" w:rsidP="00906AFB">
      <w:pPr>
        <w:spacing w:after="0" w:line="240" w:lineRule="auto"/>
        <w:ind w:left="709" w:hanging="709"/>
        <w:contextualSpacing/>
        <w:jc w:val="both"/>
        <w:rPr>
          <w:rFonts w:ascii="Arial" w:eastAsia="Times New Roman" w:hAnsi="Arial" w:cs="Arial"/>
          <w:sz w:val="24"/>
          <w:szCs w:val="24"/>
        </w:rPr>
      </w:pPr>
    </w:p>
    <w:p w:rsidR="00906AFB" w:rsidRPr="00906AFB" w:rsidRDefault="00906AFB" w:rsidP="00F859A4">
      <w:pPr>
        <w:numPr>
          <w:ilvl w:val="0"/>
          <w:numId w:val="7"/>
        </w:numPr>
        <w:spacing w:before="120" w:after="0" w:line="240" w:lineRule="auto"/>
        <w:ind w:left="709" w:hanging="709"/>
        <w:contextualSpacing/>
        <w:jc w:val="both"/>
        <w:rPr>
          <w:rFonts w:ascii="Arial" w:eastAsia="Times New Roman" w:hAnsi="Arial" w:cs="Arial"/>
          <w:sz w:val="24"/>
          <w:szCs w:val="24"/>
        </w:rPr>
      </w:pPr>
      <w:r w:rsidRPr="00906AFB">
        <w:rPr>
          <w:rFonts w:ascii="Arial" w:eastAsia="Times New Roman" w:hAnsi="Arial" w:cs="Arial"/>
          <w:b/>
          <w:sz w:val="24"/>
          <w:szCs w:val="24"/>
        </w:rPr>
        <w:t>Presupuesto basado en Resultados</w:t>
      </w:r>
      <w:r w:rsidRPr="00906AFB">
        <w:rPr>
          <w:rFonts w:ascii="Arial" w:eastAsia="Times New Roman" w:hAnsi="Arial" w:cs="Arial"/>
          <w:sz w:val="24"/>
          <w:szCs w:val="24"/>
        </w:rPr>
        <w:t>:</w:t>
      </w:r>
      <w:r w:rsidRPr="00906AFB">
        <w:rPr>
          <w:rFonts w:ascii="Arial" w:eastAsia="Times New Roman" w:hAnsi="Arial" w:cs="Arial"/>
          <w:color w:val="FF0000"/>
          <w:sz w:val="24"/>
          <w:szCs w:val="24"/>
        </w:rPr>
        <w:t xml:space="preserve"> </w:t>
      </w:r>
      <w:r w:rsidRPr="00906AFB">
        <w:rPr>
          <w:rFonts w:ascii="Arial" w:eastAsia="Times New Roman" w:hAnsi="Arial" w:cs="Arial"/>
          <w:sz w:val="24"/>
          <w:szCs w:val="24"/>
        </w:rPr>
        <w:t xml:space="preserve">El instrumento metodológico y el modelo de cultura organizacional cuyo objetivo es que los recursos públicos se asignen prioritariamente a los Programas presupuestarios que generan más beneficios a la población y que se corrija el diseño de aquellos que no están funcionando correctamente. Un presupuesto con enfoque en el logro de resultados consiste en que los órganos públicos establezcan de manera puntual los objetivos que se alcanzarán con los recursos que se asignen a sus respectivos programas y que el grado de consecución de dichos objetivos pueda ser efectivamente confirmado mediante el Sistema de Evaluación del Desempeño; </w:t>
      </w:r>
    </w:p>
    <w:p w:rsidR="00906AFB" w:rsidRPr="00906AFB" w:rsidRDefault="00906AFB" w:rsidP="00906AFB">
      <w:pPr>
        <w:spacing w:after="0" w:line="240" w:lineRule="auto"/>
        <w:ind w:left="709" w:hanging="709"/>
        <w:contextualSpacing/>
        <w:jc w:val="both"/>
        <w:rPr>
          <w:rFonts w:ascii="Arial" w:eastAsia="Times New Roman" w:hAnsi="Arial" w:cs="Arial"/>
          <w:sz w:val="24"/>
          <w:szCs w:val="24"/>
        </w:rPr>
      </w:pPr>
    </w:p>
    <w:p w:rsidR="00906AFB" w:rsidRPr="00906AFB" w:rsidRDefault="00906AFB" w:rsidP="00F859A4">
      <w:pPr>
        <w:numPr>
          <w:ilvl w:val="0"/>
          <w:numId w:val="7"/>
        </w:numPr>
        <w:spacing w:before="120" w:after="0" w:line="240" w:lineRule="auto"/>
        <w:ind w:left="709" w:hanging="709"/>
        <w:contextualSpacing/>
        <w:jc w:val="both"/>
        <w:rPr>
          <w:rFonts w:ascii="Arial" w:eastAsia="Times New Roman" w:hAnsi="Arial" w:cs="Arial"/>
          <w:sz w:val="24"/>
          <w:szCs w:val="24"/>
        </w:rPr>
      </w:pPr>
      <w:r w:rsidRPr="00906AFB">
        <w:rPr>
          <w:rFonts w:ascii="Arial" w:eastAsia="Times New Roman" w:hAnsi="Arial" w:cs="Arial"/>
          <w:b/>
          <w:sz w:val="24"/>
          <w:szCs w:val="24"/>
        </w:rPr>
        <w:lastRenderedPageBreak/>
        <w:t>Programa Presupuestario</w:t>
      </w:r>
      <w:r w:rsidRPr="00906AFB">
        <w:rPr>
          <w:rFonts w:ascii="Arial" w:eastAsia="Times New Roman" w:hAnsi="Arial" w:cs="Arial"/>
          <w:sz w:val="24"/>
          <w:szCs w:val="24"/>
        </w:rPr>
        <w:t>: El nivel o categoría programática que contiene un conjunto de acciones afines y coherentes a través de las cuales se pretende alcanzar objetivos y metas previamente determinadas por la planeación, para lo cual se requiere combinar recursos: humanos, tecnológicos, materiales, naturales y financieros; contienen un conjunto interdependiente de proyectos, los cuales especifican tiempo y espacio en el que se van a desarrollar, y atribuye responsabilidades a una o a varias unidades ejecutoras debidamente coordinadas;</w:t>
      </w:r>
    </w:p>
    <w:p w:rsidR="00906AFB" w:rsidRPr="00906AFB" w:rsidRDefault="00906AFB" w:rsidP="00906AFB">
      <w:pPr>
        <w:spacing w:after="0" w:line="240" w:lineRule="auto"/>
        <w:ind w:left="709" w:hanging="709"/>
        <w:contextualSpacing/>
        <w:jc w:val="both"/>
        <w:rPr>
          <w:rFonts w:ascii="Arial" w:eastAsia="Times New Roman" w:hAnsi="Arial" w:cs="Arial"/>
          <w:sz w:val="24"/>
          <w:szCs w:val="24"/>
        </w:rPr>
      </w:pPr>
    </w:p>
    <w:p w:rsidR="00906AFB" w:rsidRPr="00906AFB" w:rsidRDefault="00906AFB" w:rsidP="00F859A4">
      <w:pPr>
        <w:numPr>
          <w:ilvl w:val="0"/>
          <w:numId w:val="7"/>
        </w:numPr>
        <w:spacing w:before="120" w:after="0" w:line="240" w:lineRule="auto"/>
        <w:ind w:left="709" w:hanging="709"/>
        <w:contextualSpacing/>
        <w:jc w:val="both"/>
        <w:rPr>
          <w:rFonts w:ascii="Arial" w:eastAsia="Times New Roman" w:hAnsi="Arial" w:cs="Arial"/>
          <w:sz w:val="24"/>
          <w:szCs w:val="24"/>
        </w:rPr>
      </w:pPr>
      <w:r w:rsidRPr="00906AFB">
        <w:rPr>
          <w:rFonts w:ascii="Arial" w:eastAsia="Times New Roman" w:hAnsi="Arial" w:cs="Arial"/>
          <w:b/>
          <w:sz w:val="24"/>
          <w:szCs w:val="24"/>
        </w:rPr>
        <w:t>Secretaría</w:t>
      </w:r>
      <w:r w:rsidRPr="00906AFB">
        <w:rPr>
          <w:rFonts w:ascii="Arial" w:eastAsia="Times New Roman" w:hAnsi="Arial" w:cs="Arial"/>
          <w:sz w:val="24"/>
          <w:szCs w:val="24"/>
        </w:rPr>
        <w:t>: La Secretaría Planeación y Finanzas del Gobierno del Estado de Colima;</w:t>
      </w:r>
    </w:p>
    <w:p w:rsidR="00906AFB" w:rsidRPr="00906AFB" w:rsidRDefault="00906AFB" w:rsidP="00906AFB">
      <w:pPr>
        <w:spacing w:after="0" w:line="240" w:lineRule="auto"/>
        <w:ind w:left="709" w:hanging="709"/>
        <w:contextualSpacing/>
        <w:jc w:val="both"/>
        <w:rPr>
          <w:rFonts w:ascii="Arial" w:eastAsia="Times New Roman" w:hAnsi="Arial" w:cs="Arial"/>
          <w:sz w:val="24"/>
          <w:szCs w:val="24"/>
        </w:rPr>
      </w:pPr>
    </w:p>
    <w:p w:rsidR="00906AFB" w:rsidRPr="00906AFB" w:rsidRDefault="00906AFB" w:rsidP="00F859A4">
      <w:pPr>
        <w:numPr>
          <w:ilvl w:val="0"/>
          <w:numId w:val="7"/>
        </w:numPr>
        <w:spacing w:before="120" w:after="0" w:line="240" w:lineRule="auto"/>
        <w:ind w:left="709" w:hanging="709"/>
        <w:contextualSpacing/>
        <w:jc w:val="both"/>
        <w:rPr>
          <w:rFonts w:ascii="Arial" w:eastAsia="Times New Roman" w:hAnsi="Arial" w:cs="Arial"/>
          <w:sz w:val="24"/>
          <w:szCs w:val="24"/>
        </w:rPr>
      </w:pPr>
      <w:r w:rsidRPr="00906AFB">
        <w:rPr>
          <w:rFonts w:ascii="Arial" w:eastAsia="Times New Roman" w:hAnsi="Arial" w:cs="Arial"/>
          <w:b/>
          <w:sz w:val="24"/>
          <w:szCs w:val="24"/>
        </w:rPr>
        <w:t>Secretaría de Administración</w:t>
      </w:r>
      <w:r w:rsidRPr="00906AFB">
        <w:rPr>
          <w:rFonts w:ascii="Arial" w:eastAsia="Times New Roman" w:hAnsi="Arial" w:cs="Arial"/>
          <w:sz w:val="24"/>
          <w:szCs w:val="24"/>
        </w:rPr>
        <w:t>: La Secretaría de Administración y Gestión Pública del Gobierno del Estado de Colima;</w:t>
      </w:r>
    </w:p>
    <w:p w:rsidR="00906AFB" w:rsidRPr="00906AFB" w:rsidRDefault="00906AFB" w:rsidP="00906AFB">
      <w:pPr>
        <w:spacing w:after="0" w:line="240" w:lineRule="auto"/>
        <w:ind w:left="709" w:hanging="709"/>
        <w:contextualSpacing/>
        <w:jc w:val="both"/>
        <w:rPr>
          <w:rFonts w:ascii="Arial" w:eastAsia="Times New Roman" w:hAnsi="Arial" w:cs="Arial"/>
          <w:sz w:val="24"/>
          <w:szCs w:val="24"/>
        </w:rPr>
      </w:pPr>
    </w:p>
    <w:p w:rsidR="00906AFB" w:rsidRPr="00906AFB" w:rsidRDefault="00906AFB" w:rsidP="00F859A4">
      <w:pPr>
        <w:numPr>
          <w:ilvl w:val="0"/>
          <w:numId w:val="7"/>
        </w:numPr>
        <w:spacing w:before="120" w:after="0" w:line="240" w:lineRule="auto"/>
        <w:ind w:left="709" w:hanging="709"/>
        <w:contextualSpacing/>
        <w:jc w:val="both"/>
        <w:rPr>
          <w:rFonts w:ascii="Arial" w:eastAsia="Times New Roman" w:hAnsi="Arial" w:cs="Arial"/>
          <w:sz w:val="24"/>
          <w:szCs w:val="24"/>
        </w:rPr>
      </w:pPr>
      <w:r w:rsidRPr="00906AFB">
        <w:rPr>
          <w:rFonts w:ascii="Arial" w:eastAsia="Times New Roman" w:hAnsi="Arial" w:cs="Arial"/>
          <w:b/>
          <w:sz w:val="24"/>
          <w:szCs w:val="24"/>
        </w:rPr>
        <w:t>Secretario de Planeación y Finanzas</w:t>
      </w:r>
      <w:r w:rsidRPr="00906AFB">
        <w:rPr>
          <w:rFonts w:ascii="Arial" w:eastAsia="Times New Roman" w:hAnsi="Arial" w:cs="Arial"/>
          <w:sz w:val="24"/>
          <w:szCs w:val="24"/>
        </w:rPr>
        <w:t>: Él Secretario de Planeación y Finanzas del Gobierno del Estado de Colima;</w:t>
      </w:r>
    </w:p>
    <w:p w:rsidR="00906AFB" w:rsidRPr="00906AFB" w:rsidRDefault="00906AFB" w:rsidP="00906AFB">
      <w:pPr>
        <w:spacing w:after="0" w:line="240" w:lineRule="auto"/>
        <w:ind w:left="709" w:hanging="709"/>
        <w:contextualSpacing/>
        <w:jc w:val="both"/>
        <w:rPr>
          <w:rFonts w:ascii="Arial" w:eastAsia="Times New Roman" w:hAnsi="Arial" w:cs="Arial"/>
          <w:sz w:val="24"/>
          <w:szCs w:val="24"/>
        </w:rPr>
      </w:pPr>
    </w:p>
    <w:p w:rsidR="00906AFB" w:rsidRPr="00906AFB" w:rsidRDefault="00906AFB" w:rsidP="00F859A4">
      <w:pPr>
        <w:numPr>
          <w:ilvl w:val="0"/>
          <w:numId w:val="7"/>
        </w:numPr>
        <w:spacing w:before="120" w:after="0" w:line="240" w:lineRule="auto"/>
        <w:ind w:left="709" w:hanging="709"/>
        <w:contextualSpacing/>
        <w:jc w:val="both"/>
        <w:rPr>
          <w:rFonts w:ascii="Arial" w:eastAsia="Times New Roman" w:hAnsi="Arial" w:cs="Arial"/>
          <w:sz w:val="24"/>
          <w:szCs w:val="24"/>
        </w:rPr>
      </w:pPr>
      <w:r w:rsidRPr="00906AFB">
        <w:rPr>
          <w:rFonts w:ascii="Arial" w:eastAsia="Times New Roman" w:hAnsi="Arial" w:cs="Arial"/>
          <w:b/>
          <w:sz w:val="24"/>
          <w:szCs w:val="24"/>
        </w:rPr>
        <w:t>Sistema de Evaluación del Desempeño</w:t>
      </w:r>
      <w:r w:rsidRPr="00906AFB">
        <w:rPr>
          <w:rFonts w:ascii="Arial" w:eastAsia="Times New Roman" w:hAnsi="Arial" w:cs="Arial"/>
          <w:sz w:val="24"/>
          <w:szCs w:val="24"/>
        </w:rPr>
        <w:t>:</w:t>
      </w:r>
      <w:r w:rsidRPr="00906AFB">
        <w:rPr>
          <w:rFonts w:ascii="Arial" w:eastAsia="Times New Roman" w:hAnsi="Arial" w:cs="Arial"/>
          <w:color w:val="FF0000"/>
          <w:sz w:val="24"/>
          <w:szCs w:val="24"/>
        </w:rPr>
        <w:t xml:space="preserve"> </w:t>
      </w:r>
      <w:r w:rsidRPr="00906AFB">
        <w:rPr>
          <w:rFonts w:ascii="Arial" w:eastAsia="Times New Roman" w:hAnsi="Arial" w:cs="Arial"/>
          <w:sz w:val="24"/>
          <w:szCs w:val="24"/>
        </w:rPr>
        <w:t xml:space="preserve">El conjunto de elementos metodológicos que permiten realizar una valoración objetiva del desempeño de los Programas presupuestarios, bajo los principios de verificación del grado de cumplimiento de los objetivos y metas, con base en indicadores estratégicos y de gestión que permitan conocer el impacto social de los Programas presupuestarios y de los proyectos; </w:t>
      </w:r>
    </w:p>
    <w:p w:rsidR="00906AFB" w:rsidRPr="00906AFB" w:rsidRDefault="00906AFB" w:rsidP="00906AFB">
      <w:pPr>
        <w:spacing w:after="0" w:line="240" w:lineRule="auto"/>
        <w:ind w:left="709" w:hanging="709"/>
        <w:contextualSpacing/>
        <w:jc w:val="both"/>
        <w:rPr>
          <w:rFonts w:ascii="Arial" w:eastAsia="Times New Roman" w:hAnsi="Arial" w:cs="Arial"/>
          <w:sz w:val="24"/>
          <w:szCs w:val="24"/>
        </w:rPr>
      </w:pPr>
    </w:p>
    <w:p w:rsidR="00906AFB" w:rsidRPr="00906AFB" w:rsidRDefault="00906AFB" w:rsidP="00F859A4">
      <w:pPr>
        <w:numPr>
          <w:ilvl w:val="0"/>
          <w:numId w:val="7"/>
        </w:numPr>
        <w:spacing w:before="120" w:after="0" w:line="240" w:lineRule="auto"/>
        <w:ind w:left="709" w:hanging="709"/>
        <w:contextualSpacing/>
        <w:jc w:val="both"/>
        <w:rPr>
          <w:rFonts w:ascii="Arial" w:eastAsia="Times New Roman" w:hAnsi="Arial" w:cs="Arial"/>
          <w:sz w:val="24"/>
          <w:szCs w:val="24"/>
        </w:rPr>
      </w:pPr>
      <w:r w:rsidRPr="00906AFB">
        <w:rPr>
          <w:rFonts w:ascii="Arial" w:eastAsia="Times New Roman" w:hAnsi="Arial" w:cs="Arial"/>
          <w:b/>
          <w:sz w:val="24"/>
          <w:szCs w:val="24"/>
        </w:rPr>
        <w:t>Subsidios</w:t>
      </w:r>
      <w:r w:rsidRPr="00906AFB">
        <w:rPr>
          <w:rFonts w:ascii="Arial" w:eastAsia="Times New Roman" w:hAnsi="Arial" w:cs="Arial"/>
          <w:sz w:val="24"/>
          <w:szCs w:val="24"/>
        </w:rPr>
        <w:t>: Las asignaciones de recursos públicos previstas en el Presupuesto de Egresos que, a través de las Entidades del Estado y Dependencias del Ejecutivo, y Organismos autónomos se otorgan a los diferentes sectores de la sociedad o a organizaciones públicas y privadas para fomentar el desarrollo de actividades sociales o económicas prioritarias y de interés general;</w:t>
      </w:r>
    </w:p>
    <w:p w:rsidR="00906AFB" w:rsidRPr="00906AFB" w:rsidRDefault="00906AFB" w:rsidP="00906AFB">
      <w:pPr>
        <w:spacing w:after="0" w:line="240" w:lineRule="auto"/>
        <w:ind w:left="709" w:hanging="709"/>
        <w:contextualSpacing/>
        <w:jc w:val="both"/>
        <w:rPr>
          <w:rFonts w:ascii="Arial" w:eastAsia="Times New Roman" w:hAnsi="Arial" w:cs="Arial"/>
          <w:sz w:val="24"/>
          <w:szCs w:val="24"/>
        </w:rPr>
      </w:pPr>
    </w:p>
    <w:p w:rsidR="00906AFB" w:rsidRPr="00906AFB" w:rsidRDefault="00906AFB" w:rsidP="00F859A4">
      <w:pPr>
        <w:numPr>
          <w:ilvl w:val="0"/>
          <w:numId w:val="7"/>
        </w:numPr>
        <w:spacing w:before="120" w:after="0" w:line="240" w:lineRule="auto"/>
        <w:ind w:left="709" w:hanging="709"/>
        <w:contextualSpacing/>
        <w:jc w:val="both"/>
        <w:rPr>
          <w:rFonts w:ascii="Arial" w:eastAsia="Times New Roman" w:hAnsi="Arial" w:cs="Arial"/>
          <w:sz w:val="24"/>
          <w:szCs w:val="24"/>
        </w:rPr>
      </w:pPr>
      <w:r w:rsidRPr="00906AFB">
        <w:rPr>
          <w:rFonts w:ascii="Arial" w:eastAsia="Times New Roman" w:hAnsi="Arial" w:cs="Arial"/>
          <w:b/>
          <w:sz w:val="24"/>
          <w:szCs w:val="24"/>
        </w:rPr>
        <w:t>Transferencias</w:t>
      </w:r>
      <w:r w:rsidRPr="00906AFB">
        <w:rPr>
          <w:rFonts w:ascii="Arial" w:eastAsia="Times New Roman" w:hAnsi="Arial" w:cs="Arial"/>
          <w:sz w:val="24"/>
          <w:szCs w:val="24"/>
        </w:rPr>
        <w:t>: Los recursos públicos previstos en el Presupuesto de Egresos del Estado para el cumplimiento de los objetivos y metas de los Programas presupuestarios y la prestación de los bienes y servicios públicos a cargo de los Poderes, Organismos Constitucionalmente Autónomos y Entidades;</w:t>
      </w:r>
    </w:p>
    <w:p w:rsidR="00906AFB" w:rsidRPr="00906AFB" w:rsidRDefault="00906AFB" w:rsidP="00906AFB">
      <w:pPr>
        <w:spacing w:after="0" w:line="240" w:lineRule="auto"/>
        <w:ind w:left="709" w:hanging="709"/>
        <w:contextualSpacing/>
        <w:jc w:val="both"/>
        <w:rPr>
          <w:rFonts w:ascii="Arial" w:eastAsia="Times New Roman" w:hAnsi="Arial" w:cs="Arial"/>
          <w:strike/>
          <w:sz w:val="24"/>
          <w:szCs w:val="24"/>
        </w:rPr>
      </w:pPr>
    </w:p>
    <w:p w:rsidR="00906AFB" w:rsidRPr="00906AFB" w:rsidRDefault="00906AFB" w:rsidP="00F859A4">
      <w:pPr>
        <w:numPr>
          <w:ilvl w:val="0"/>
          <w:numId w:val="7"/>
        </w:numPr>
        <w:spacing w:before="120" w:after="0" w:line="240" w:lineRule="auto"/>
        <w:ind w:left="709" w:hanging="709"/>
        <w:contextualSpacing/>
        <w:jc w:val="both"/>
        <w:rPr>
          <w:rFonts w:ascii="Arial" w:eastAsia="Times New Roman" w:hAnsi="Arial" w:cs="Arial"/>
          <w:strike/>
          <w:sz w:val="24"/>
          <w:szCs w:val="24"/>
        </w:rPr>
      </w:pPr>
      <w:r w:rsidRPr="00906AFB">
        <w:rPr>
          <w:rFonts w:ascii="Arial" w:eastAsia="Times New Roman" w:hAnsi="Arial" w:cs="Arial"/>
          <w:b/>
          <w:sz w:val="24"/>
          <w:szCs w:val="24"/>
        </w:rPr>
        <w:t>Transferencias Federales Etiquetadas</w:t>
      </w:r>
      <w:r w:rsidRPr="00906AFB">
        <w:rPr>
          <w:rFonts w:ascii="Arial" w:eastAsia="Times New Roman" w:hAnsi="Arial" w:cs="Arial"/>
          <w:sz w:val="24"/>
          <w:szCs w:val="24"/>
        </w:rPr>
        <w:t xml:space="preserve">: Los recursos que reciben de la Federación el Gobierno del Estado y los Municipios, que están destinados a un fin específico, entre los cuales se encuentran las aportaciones federales </w:t>
      </w:r>
      <w:r w:rsidRPr="00906AFB">
        <w:rPr>
          <w:rFonts w:ascii="Arial" w:eastAsia="Times New Roman" w:hAnsi="Arial" w:cs="Arial"/>
          <w:sz w:val="24"/>
          <w:szCs w:val="24"/>
        </w:rPr>
        <w:lastRenderedPageBreak/>
        <w:t xml:space="preserve">a que se refiere el Capítulo V de la Ley de Coordinación Fiscal, la cuota social y la aportación solidaria federal previstas en el Título Tercero Bis de la Ley General de Salud, los subsidios, convenios de reasignación y demás recursos con destino específico que se otorguen en términos de la Ley Federal de Presupuesto y Responsabilidad Hacendaria y el Presupuesto de Egresos de la Federación; </w:t>
      </w:r>
    </w:p>
    <w:p w:rsidR="00906AFB" w:rsidRPr="00906AFB" w:rsidRDefault="00906AFB" w:rsidP="00906AFB">
      <w:pPr>
        <w:spacing w:after="0" w:line="240" w:lineRule="auto"/>
        <w:ind w:left="709" w:hanging="709"/>
        <w:contextualSpacing/>
        <w:jc w:val="both"/>
        <w:rPr>
          <w:rFonts w:ascii="Arial" w:eastAsia="Times New Roman" w:hAnsi="Arial" w:cs="Arial"/>
          <w:sz w:val="24"/>
          <w:szCs w:val="24"/>
        </w:rPr>
      </w:pPr>
    </w:p>
    <w:p w:rsidR="00906AFB" w:rsidRPr="00906AFB" w:rsidRDefault="00906AFB" w:rsidP="00F859A4">
      <w:pPr>
        <w:numPr>
          <w:ilvl w:val="0"/>
          <w:numId w:val="7"/>
        </w:numPr>
        <w:spacing w:before="120" w:after="0" w:line="240" w:lineRule="auto"/>
        <w:ind w:left="709" w:hanging="709"/>
        <w:contextualSpacing/>
        <w:jc w:val="both"/>
        <w:rPr>
          <w:rFonts w:ascii="Arial" w:eastAsia="Times New Roman" w:hAnsi="Arial" w:cs="Arial"/>
          <w:sz w:val="24"/>
          <w:szCs w:val="24"/>
        </w:rPr>
      </w:pPr>
      <w:r w:rsidRPr="00906AFB">
        <w:rPr>
          <w:rFonts w:ascii="Arial" w:eastAsia="Times New Roman" w:hAnsi="Arial" w:cs="Arial"/>
          <w:b/>
          <w:sz w:val="24"/>
          <w:szCs w:val="24"/>
        </w:rPr>
        <w:t>Unidad Presupuestal</w:t>
      </w:r>
      <w:r w:rsidRPr="00906AFB">
        <w:rPr>
          <w:rFonts w:ascii="Arial" w:eastAsia="Times New Roman" w:hAnsi="Arial" w:cs="Arial"/>
          <w:sz w:val="24"/>
          <w:szCs w:val="24"/>
        </w:rPr>
        <w:t>: Las Dependencias del Ejecutivo, Entidades del Estado y Organismos Autónomos de la Administración Pública del Estado que tiene a su cargo la administración de los recursos financieros, humanos, materiales y los servicios generales y sociales, a  fin de cumplir con eficacia y eficiencia la misión que le ha sido conferida en las disposiciones legales y reglamentarias;</w:t>
      </w:r>
    </w:p>
    <w:p w:rsidR="00906AFB" w:rsidRPr="00906AFB" w:rsidRDefault="00906AFB" w:rsidP="00906AFB">
      <w:pPr>
        <w:spacing w:after="0" w:line="240" w:lineRule="auto"/>
        <w:ind w:left="709" w:hanging="709"/>
        <w:contextualSpacing/>
        <w:jc w:val="both"/>
        <w:rPr>
          <w:rFonts w:ascii="Arial" w:eastAsia="Times New Roman" w:hAnsi="Arial" w:cs="Arial"/>
          <w:sz w:val="24"/>
          <w:szCs w:val="24"/>
        </w:rPr>
      </w:pPr>
    </w:p>
    <w:p w:rsidR="00906AFB" w:rsidRPr="00906AFB" w:rsidRDefault="00906AFB" w:rsidP="00F859A4">
      <w:pPr>
        <w:numPr>
          <w:ilvl w:val="0"/>
          <w:numId w:val="7"/>
        </w:numPr>
        <w:spacing w:before="120" w:after="0" w:line="240" w:lineRule="auto"/>
        <w:ind w:left="709" w:hanging="709"/>
        <w:contextualSpacing/>
        <w:jc w:val="both"/>
        <w:rPr>
          <w:rFonts w:ascii="Arial" w:eastAsia="Times New Roman" w:hAnsi="Arial" w:cs="Arial"/>
          <w:sz w:val="24"/>
          <w:szCs w:val="24"/>
        </w:rPr>
      </w:pPr>
      <w:r w:rsidRPr="00906AFB">
        <w:rPr>
          <w:rFonts w:ascii="Arial" w:eastAsia="Times New Roman" w:hAnsi="Arial" w:cs="Arial"/>
          <w:b/>
          <w:sz w:val="24"/>
          <w:szCs w:val="24"/>
        </w:rPr>
        <w:t>Unidad Responsable</w:t>
      </w:r>
      <w:r w:rsidRPr="00906AFB">
        <w:rPr>
          <w:rFonts w:ascii="Arial" w:eastAsia="Times New Roman" w:hAnsi="Arial" w:cs="Arial"/>
          <w:sz w:val="24"/>
          <w:szCs w:val="24"/>
        </w:rPr>
        <w:t xml:space="preserve">: Las Unidades Administrativas subordinadas a las Unidades Presupuestales, en las que se desconcentran parte del ejercicio presupuestal y se les encomienda la ejecución de actividades, Programas presupuestarios y proyectos para el cumplimiento de los objetivos, líneas de acción y metas establecidos en el Plan Estatal de Desarrollo; y </w:t>
      </w:r>
    </w:p>
    <w:p w:rsidR="00906AFB" w:rsidRPr="00906AFB" w:rsidRDefault="00906AFB" w:rsidP="00906AFB">
      <w:pPr>
        <w:spacing w:after="0" w:line="240" w:lineRule="auto"/>
        <w:ind w:left="709" w:hanging="709"/>
        <w:contextualSpacing/>
        <w:jc w:val="both"/>
        <w:rPr>
          <w:rFonts w:ascii="Arial" w:eastAsia="Times New Roman" w:hAnsi="Arial" w:cs="Arial"/>
          <w:sz w:val="24"/>
          <w:szCs w:val="24"/>
        </w:rPr>
      </w:pPr>
    </w:p>
    <w:p w:rsidR="00906AFB" w:rsidRPr="00906AFB" w:rsidRDefault="00906AFB" w:rsidP="00906AFB">
      <w:pPr>
        <w:tabs>
          <w:tab w:val="left" w:pos="993"/>
        </w:tabs>
        <w:spacing w:after="0" w:line="240" w:lineRule="auto"/>
        <w:jc w:val="both"/>
        <w:rPr>
          <w:rFonts w:ascii="Arial" w:eastAsia="Calibri" w:hAnsi="Arial" w:cs="Arial"/>
          <w:sz w:val="24"/>
          <w:szCs w:val="24"/>
          <w:lang w:val="es-ES" w:eastAsia="en-US"/>
        </w:rPr>
      </w:pPr>
      <w:r w:rsidRPr="00906AFB">
        <w:rPr>
          <w:rFonts w:ascii="Arial" w:eastAsia="Calibri" w:hAnsi="Arial" w:cs="Arial"/>
          <w:sz w:val="24"/>
          <w:szCs w:val="24"/>
          <w:lang w:val="es-ES" w:eastAsia="en-US"/>
        </w:rPr>
        <w:t xml:space="preserve">Cualquier otro término no contemplado en el presente artículo, se deberá entender conforme al glosario de la Ley General de Contabilidad, Ley de Disciplina Financiera, </w:t>
      </w:r>
      <w:r w:rsidRPr="00906AFB">
        <w:rPr>
          <w:rFonts w:ascii="Arial" w:eastAsia="Calibri" w:hAnsi="Arial" w:cs="Arial"/>
          <w:sz w:val="24"/>
          <w:szCs w:val="24"/>
          <w:lang w:eastAsia="en-US"/>
        </w:rPr>
        <w:t>Ley de Presupuesto</w:t>
      </w:r>
      <w:r w:rsidRPr="00906AFB">
        <w:rPr>
          <w:rFonts w:ascii="Arial" w:eastAsia="Calibri" w:hAnsi="Arial" w:cs="Arial"/>
          <w:sz w:val="24"/>
          <w:szCs w:val="24"/>
          <w:lang w:val="es-ES" w:eastAsia="en-US"/>
        </w:rPr>
        <w:t>, y las demás leyes de la materia.</w:t>
      </w:r>
    </w:p>
    <w:p w:rsidR="00906AFB" w:rsidRPr="00906AFB" w:rsidRDefault="00906AFB" w:rsidP="00906AFB">
      <w:pPr>
        <w:tabs>
          <w:tab w:val="left" w:pos="993"/>
        </w:tabs>
        <w:spacing w:after="0" w:line="240" w:lineRule="auto"/>
        <w:ind w:left="709"/>
        <w:contextualSpacing/>
        <w:jc w:val="both"/>
        <w:rPr>
          <w:rFonts w:ascii="Arial" w:eastAsia="Times New Roman" w:hAnsi="Arial" w:cs="Arial"/>
          <w:sz w:val="24"/>
          <w:szCs w:val="24"/>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b/>
          <w:sz w:val="24"/>
          <w:szCs w:val="24"/>
          <w:lang w:val="es-ES" w:eastAsia="en-US"/>
        </w:rPr>
        <w:t>Artículo 3.</w:t>
      </w:r>
      <w:r w:rsidRPr="00906AFB">
        <w:rPr>
          <w:rFonts w:ascii="Arial" w:eastAsia="Calibri" w:hAnsi="Arial" w:cs="Arial"/>
          <w:sz w:val="24"/>
          <w:szCs w:val="24"/>
          <w:lang w:val="es-ES" w:eastAsia="en-US"/>
        </w:rPr>
        <w:t xml:space="preserve"> En la celebración y suscripción de Convenios o Acuerdos en los que se comprometa el patrimonio económico, o el erario del Estado, será obligatoria la intervención de la Secretaría. </w:t>
      </w:r>
    </w:p>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sz w:val="24"/>
          <w:szCs w:val="24"/>
          <w:lang w:val="es-ES" w:eastAsia="en-US"/>
        </w:rPr>
        <w:t>Asimismo, los titulares de las Dependencias del Ejecutivo y Entidades del Estado deberán precisar las fuentes de financiamiento de los recursos que sustentarán dichos Convenios o Acuerdos y deberán darlas a conocer con oportunidad a dicha Secretaría.</w:t>
      </w:r>
    </w:p>
    <w:p w:rsidR="00906AFB" w:rsidRPr="00906AFB" w:rsidRDefault="00906AFB" w:rsidP="00906AFB">
      <w:pPr>
        <w:spacing w:after="0" w:line="240" w:lineRule="auto"/>
        <w:jc w:val="both"/>
        <w:rPr>
          <w:rFonts w:ascii="Arial" w:eastAsia="Calibri" w:hAnsi="Arial" w:cs="Arial"/>
          <w:b/>
          <w:sz w:val="24"/>
          <w:szCs w:val="24"/>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b/>
          <w:sz w:val="24"/>
          <w:szCs w:val="24"/>
          <w:lang w:val="es-ES" w:eastAsia="en-US"/>
        </w:rPr>
        <w:t>Artículo 4.</w:t>
      </w:r>
      <w:r w:rsidRPr="00906AFB">
        <w:rPr>
          <w:rFonts w:ascii="Arial" w:eastAsia="Calibri" w:hAnsi="Arial" w:cs="Arial"/>
          <w:sz w:val="24"/>
          <w:szCs w:val="24"/>
          <w:lang w:val="es-ES" w:eastAsia="en-US"/>
        </w:rPr>
        <w:t xml:space="preserve"> Los Titulares de las Dependencias del Ejecutivo, Entidades del Estado, Poder Legislativo, Poder Judicial y Organismos Autónomos, en el ejercicio de sus presupuestos aprobados, sin menoscabo de las responsabilidades y atribuciones que les correspondan, serán directamente responsables de lo siguiente:</w:t>
      </w:r>
    </w:p>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Pr="00906AFB" w:rsidRDefault="00906AFB" w:rsidP="00F859A4">
      <w:pPr>
        <w:numPr>
          <w:ilvl w:val="0"/>
          <w:numId w:val="8"/>
        </w:numPr>
        <w:spacing w:before="120" w:after="0" w:line="240" w:lineRule="auto"/>
        <w:ind w:hanging="720"/>
        <w:contextualSpacing/>
        <w:jc w:val="both"/>
        <w:rPr>
          <w:rFonts w:ascii="Arial" w:eastAsia="Times New Roman" w:hAnsi="Arial" w:cs="Arial"/>
          <w:sz w:val="24"/>
          <w:szCs w:val="24"/>
        </w:rPr>
      </w:pPr>
      <w:r w:rsidRPr="00906AFB">
        <w:rPr>
          <w:rFonts w:ascii="Arial" w:eastAsia="Times New Roman" w:hAnsi="Arial" w:cs="Arial"/>
          <w:sz w:val="24"/>
          <w:szCs w:val="24"/>
        </w:rPr>
        <w:t xml:space="preserve">El ejercicio del presupuesto se apegará a los principios de eficiencia, eficacia, economía, transparencia, legalidad, honestidad racionalidad, austeridad, control y rendición de cuentas en apego a lo previsto en el artículo 134 de la </w:t>
      </w:r>
      <w:r w:rsidRPr="00906AFB">
        <w:rPr>
          <w:rFonts w:ascii="Arial" w:eastAsia="Times New Roman" w:hAnsi="Arial" w:cs="Arial"/>
          <w:sz w:val="24"/>
          <w:szCs w:val="24"/>
        </w:rPr>
        <w:lastRenderedPageBreak/>
        <w:t xml:space="preserve">Constitución Política </w:t>
      </w:r>
      <w:r w:rsidR="00E22E97">
        <w:rPr>
          <w:rFonts w:ascii="Arial" w:eastAsia="Times New Roman" w:hAnsi="Arial" w:cs="Arial"/>
          <w:sz w:val="24"/>
          <w:szCs w:val="24"/>
        </w:rPr>
        <w:t>de los Estados Unidos Mexicanos,</w:t>
      </w:r>
      <w:r w:rsidRPr="00906AFB">
        <w:rPr>
          <w:rFonts w:ascii="Arial" w:eastAsia="Times New Roman" w:hAnsi="Arial" w:cs="Arial"/>
          <w:sz w:val="24"/>
          <w:szCs w:val="24"/>
        </w:rPr>
        <w:t xml:space="preserve"> artículo 107 de la Constitución Política del Estado Libre y Soberano de Colima; y en lo dispuesto por la Ley de Disciplina Financiera;</w:t>
      </w:r>
    </w:p>
    <w:p w:rsidR="00906AFB" w:rsidRPr="00906AFB" w:rsidRDefault="00906AFB" w:rsidP="00906AFB">
      <w:pPr>
        <w:spacing w:after="0" w:line="240" w:lineRule="auto"/>
        <w:ind w:left="720" w:hanging="720"/>
        <w:contextualSpacing/>
        <w:jc w:val="both"/>
        <w:rPr>
          <w:rFonts w:ascii="Arial" w:eastAsia="Times New Roman" w:hAnsi="Arial" w:cs="Arial"/>
          <w:sz w:val="24"/>
          <w:szCs w:val="24"/>
          <w:lang w:val="es-ES"/>
        </w:rPr>
      </w:pPr>
    </w:p>
    <w:p w:rsidR="00906AFB" w:rsidRPr="00906AFB" w:rsidRDefault="00906AFB" w:rsidP="00F859A4">
      <w:pPr>
        <w:numPr>
          <w:ilvl w:val="0"/>
          <w:numId w:val="8"/>
        </w:numPr>
        <w:spacing w:before="120" w:after="0" w:line="240" w:lineRule="auto"/>
        <w:ind w:hanging="720"/>
        <w:contextualSpacing/>
        <w:jc w:val="both"/>
        <w:rPr>
          <w:rFonts w:ascii="Arial" w:eastAsia="Times New Roman" w:hAnsi="Arial" w:cs="Arial"/>
          <w:sz w:val="24"/>
          <w:szCs w:val="24"/>
        </w:rPr>
      </w:pPr>
      <w:r w:rsidRPr="00906AFB">
        <w:rPr>
          <w:rFonts w:ascii="Arial" w:eastAsia="Times New Roman" w:hAnsi="Arial" w:cs="Arial"/>
          <w:sz w:val="24"/>
          <w:szCs w:val="24"/>
        </w:rPr>
        <w:t xml:space="preserve">En la ejecución del gasto público deberán considerar como único eje articulador el Plan Estatal, en apego a lo previsto en el artículo 12 de la Ley de Planeación Democrática para el Desarrollo del Estado de Colima; </w:t>
      </w:r>
    </w:p>
    <w:p w:rsidR="00906AFB" w:rsidRPr="00906AFB" w:rsidRDefault="00906AFB" w:rsidP="00906AFB">
      <w:pPr>
        <w:spacing w:after="0" w:line="240" w:lineRule="auto"/>
        <w:ind w:left="720" w:hanging="720"/>
        <w:contextualSpacing/>
        <w:jc w:val="both"/>
        <w:rPr>
          <w:rFonts w:ascii="Arial" w:eastAsia="Times New Roman" w:hAnsi="Arial" w:cs="Arial"/>
          <w:sz w:val="24"/>
          <w:szCs w:val="24"/>
        </w:rPr>
      </w:pPr>
    </w:p>
    <w:p w:rsidR="00906AFB" w:rsidRPr="00906AFB" w:rsidRDefault="00906AFB" w:rsidP="00F859A4">
      <w:pPr>
        <w:numPr>
          <w:ilvl w:val="0"/>
          <w:numId w:val="8"/>
        </w:numPr>
        <w:spacing w:before="120" w:after="0" w:line="240" w:lineRule="auto"/>
        <w:ind w:hanging="720"/>
        <w:contextualSpacing/>
        <w:jc w:val="both"/>
        <w:rPr>
          <w:rFonts w:ascii="Arial" w:eastAsia="Times New Roman" w:hAnsi="Arial" w:cs="Arial"/>
          <w:sz w:val="24"/>
          <w:szCs w:val="24"/>
        </w:rPr>
      </w:pPr>
      <w:r w:rsidRPr="00906AFB">
        <w:rPr>
          <w:rFonts w:ascii="Arial" w:eastAsia="Times New Roman" w:hAnsi="Arial" w:cs="Arial"/>
          <w:sz w:val="24"/>
          <w:szCs w:val="24"/>
        </w:rPr>
        <w:t>Consolidar la estructura presupuestaria que facilite la ejecución de los Programas presupuestarios y Proyectos; y</w:t>
      </w:r>
    </w:p>
    <w:p w:rsidR="00906AFB" w:rsidRPr="00906AFB" w:rsidRDefault="00906AFB" w:rsidP="00906AFB">
      <w:pPr>
        <w:spacing w:after="0" w:line="240" w:lineRule="auto"/>
        <w:ind w:left="720" w:hanging="720"/>
        <w:contextualSpacing/>
        <w:jc w:val="both"/>
        <w:rPr>
          <w:rFonts w:ascii="Arial" w:eastAsia="Times New Roman" w:hAnsi="Arial" w:cs="Arial"/>
          <w:sz w:val="24"/>
          <w:szCs w:val="24"/>
        </w:rPr>
      </w:pPr>
    </w:p>
    <w:p w:rsidR="00906AFB" w:rsidRPr="00906AFB" w:rsidRDefault="00906AFB" w:rsidP="00F859A4">
      <w:pPr>
        <w:numPr>
          <w:ilvl w:val="0"/>
          <w:numId w:val="8"/>
        </w:numPr>
        <w:spacing w:before="120" w:after="0" w:line="240" w:lineRule="auto"/>
        <w:ind w:hanging="720"/>
        <w:contextualSpacing/>
        <w:jc w:val="both"/>
        <w:rPr>
          <w:rFonts w:ascii="Arial" w:eastAsia="Times New Roman" w:hAnsi="Arial" w:cs="Arial"/>
          <w:sz w:val="24"/>
          <w:szCs w:val="24"/>
        </w:rPr>
      </w:pPr>
      <w:r w:rsidRPr="00906AFB">
        <w:rPr>
          <w:rFonts w:ascii="Arial" w:eastAsia="Times New Roman" w:hAnsi="Arial" w:cs="Arial"/>
          <w:sz w:val="24"/>
          <w:szCs w:val="24"/>
        </w:rPr>
        <w:t>Afianzar el Presupuesto basado en Resultados y el Sistema de Evaluación del Desempeño.</w:t>
      </w:r>
    </w:p>
    <w:p w:rsidR="00906AFB" w:rsidRPr="00906AFB" w:rsidRDefault="00906AFB" w:rsidP="00906AFB">
      <w:pPr>
        <w:spacing w:after="0" w:line="240" w:lineRule="auto"/>
        <w:ind w:left="720"/>
        <w:contextualSpacing/>
        <w:jc w:val="both"/>
        <w:rPr>
          <w:rFonts w:ascii="Arial" w:eastAsia="Times New Roman" w:hAnsi="Arial" w:cs="Arial"/>
          <w:sz w:val="24"/>
          <w:szCs w:val="24"/>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sz w:val="24"/>
          <w:szCs w:val="24"/>
          <w:lang w:val="es-ES" w:eastAsia="en-US"/>
        </w:rPr>
        <w:t xml:space="preserve">El incumplimiento de dichas disposiciones será sancionado en los términos de lo establecido en la Ley de Disciplina Financiera, </w:t>
      </w:r>
      <w:r w:rsidRPr="00906AFB">
        <w:rPr>
          <w:rFonts w:ascii="Arial" w:eastAsia="Calibri" w:hAnsi="Arial" w:cs="Arial"/>
          <w:sz w:val="24"/>
          <w:szCs w:val="24"/>
          <w:lang w:eastAsia="en-US"/>
        </w:rPr>
        <w:t>Ley de Presupuesto,</w:t>
      </w:r>
      <w:r w:rsidRPr="00906AFB">
        <w:rPr>
          <w:rFonts w:ascii="Arial" w:eastAsia="Calibri" w:hAnsi="Arial" w:cs="Arial"/>
          <w:sz w:val="24"/>
          <w:szCs w:val="24"/>
          <w:lang w:val="es-ES" w:eastAsia="en-US"/>
        </w:rPr>
        <w:t xml:space="preserve"> Ley Estatal de Responsabilidades de los Servidores Públicos y demás disposiciones aplicables.</w:t>
      </w:r>
    </w:p>
    <w:p w:rsidR="00906AFB" w:rsidRPr="00906AFB" w:rsidRDefault="00906AFB" w:rsidP="00906AFB">
      <w:pPr>
        <w:spacing w:after="0" w:line="240" w:lineRule="auto"/>
        <w:jc w:val="both"/>
        <w:rPr>
          <w:rFonts w:ascii="Arial" w:eastAsia="Calibri" w:hAnsi="Arial" w:cs="Arial"/>
          <w:b/>
          <w:sz w:val="24"/>
          <w:szCs w:val="24"/>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b/>
          <w:sz w:val="24"/>
          <w:szCs w:val="24"/>
          <w:lang w:val="es-ES" w:eastAsia="en-US"/>
        </w:rPr>
        <w:t xml:space="preserve">Artículo 5. </w:t>
      </w:r>
      <w:r w:rsidRPr="00906AFB">
        <w:rPr>
          <w:rFonts w:ascii="Arial" w:eastAsia="Calibri" w:hAnsi="Arial" w:cs="Arial"/>
          <w:sz w:val="24"/>
          <w:szCs w:val="24"/>
          <w:lang w:val="es-ES" w:eastAsia="en-US"/>
        </w:rPr>
        <w:t>Toda propuesta de aumento o creación de gasto del Presupuesto de Egresos, deberá acompañarse con la correspondiente iniciativa de ingreso o compensarse con reducciones en otras previsiones de gasto.</w:t>
      </w: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sz w:val="24"/>
          <w:szCs w:val="24"/>
          <w:lang w:val="es-ES" w:eastAsia="en-US"/>
        </w:rPr>
        <w:t>No procederá pago alguno que no esté comprendido en el Presupuesto de Egresos, determinado por Ley posterior o con cargo a Ingresos excedentes.</w:t>
      </w:r>
    </w:p>
    <w:p w:rsidR="00906AFB" w:rsidRPr="00906AFB" w:rsidRDefault="00906AFB" w:rsidP="00906AFB">
      <w:pPr>
        <w:spacing w:after="0" w:line="240" w:lineRule="auto"/>
        <w:jc w:val="both"/>
        <w:rPr>
          <w:rFonts w:ascii="Arial" w:eastAsia="Calibri" w:hAnsi="Arial" w:cs="Arial"/>
          <w:b/>
          <w:sz w:val="24"/>
          <w:szCs w:val="24"/>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b/>
          <w:sz w:val="24"/>
          <w:szCs w:val="24"/>
          <w:lang w:val="es-ES" w:eastAsia="en-US"/>
        </w:rPr>
        <w:t xml:space="preserve">Artículo 6. </w:t>
      </w:r>
      <w:r w:rsidRPr="00906AFB">
        <w:rPr>
          <w:rFonts w:ascii="Arial" w:eastAsia="Calibri" w:hAnsi="Arial" w:cs="Arial"/>
          <w:sz w:val="24"/>
          <w:szCs w:val="24"/>
          <w:lang w:val="es-ES" w:eastAsia="en-US"/>
        </w:rPr>
        <w:t>La Secretaría, realizará una estimación del Impacto Presupuestario de las iniciativas de Ley o Decretos que se presenten a la consideración del Congreso del Estado. Asimismo, realizará estimaciones sobre el Impacto Presupuestario de las disposiciones administrativas que propongan las Dependencias del Ejecutivo y Entidades del Estado, que impliquen costos para su implementación, en los términos que marca la legislación en la materia.</w:t>
      </w:r>
    </w:p>
    <w:p w:rsidR="00906AFB" w:rsidRPr="00906AFB" w:rsidRDefault="00906AFB" w:rsidP="00906AFB">
      <w:pPr>
        <w:spacing w:after="0" w:line="240" w:lineRule="auto"/>
        <w:jc w:val="both"/>
        <w:rPr>
          <w:rFonts w:ascii="Arial" w:eastAsia="Calibri" w:hAnsi="Arial" w:cs="Arial"/>
          <w:b/>
          <w:sz w:val="24"/>
          <w:szCs w:val="24"/>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b/>
          <w:sz w:val="24"/>
          <w:szCs w:val="24"/>
          <w:lang w:val="es-ES" w:eastAsia="en-US"/>
        </w:rPr>
        <w:t xml:space="preserve">Artículo 7. </w:t>
      </w:r>
      <w:r w:rsidRPr="00906AFB">
        <w:rPr>
          <w:rFonts w:ascii="Arial" w:eastAsia="Calibri" w:hAnsi="Arial" w:cs="Arial"/>
          <w:sz w:val="24"/>
          <w:szCs w:val="24"/>
          <w:lang w:val="es-ES" w:eastAsia="en-US"/>
        </w:rPr>
        <w:t>En caso de que el Congreso del Estado modifique la Ley de Ingresos y el Presupuesto de Egresos de tal manera que genere un Balance Presupuestario de recursos disponibles negativo, deberá motivar su decisión sujetándose a lo dispuesto en el artículo 6 fracciones I y II de la Ley de Disciplina Financiera.</w:t>
      </w:r>
    </w:p>
    <w:p w:rsidR="00906AFB" w:rsidRPr="00906AFB" w:rsidRDefault="00906AFB" w:rsidP="00906AFB">
      <w:pPr>
        <w:spacing w:after="0" w:line="240" w:lineRule="auto"/>
        <w:jc w:val="both"/>
        <w:rPr>
          <w:rFonts w:ascii="Arial" w:eastAsia="Calibri" w:hAnsi="Arial" w:cs="Arial"/>
          <w:b/>
          <w:sz w:val="24"/>
          <w:szCs w:val="24"/>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b/>
          <w:sz w:val="24"/>
          <w:szCs w:val="24"/>
          <w:lang w:val="es-ES" w:eastAsia="en-US"/>
        </w:rPr>
        <w:t>Artículo 8</w:t>
      </w:r>
      <w:r w:rsidRPr="00906AFB">
        <w:rPr>
          <w:rFonts w:ascii="Arial" w:eastAsia="Calibri" w:hAnsi="Arial" w:cs="Arial"/>
          <w:sz w:val="24"/>
          <w:szCs w:val="24"/>
          <w:lang w:val="es-ES" w:eastAsia="en-US"/>
        </w:rPr>
        <w:t xml:space="preserve">. La Secretaría garantizará que toda la información presupuestaria y de ingresos cumpla con lo previsto en la </w:t>
      </w:r>
      <w:r w:rsidRPr="00906AFB">
        <w:rPr>
          <w:rFonts w:ascii="Arial" w:eastAsia="Calibri" w:hAnsi="Arial" w:cs="Arial"/>
          <w:sz w:val="24"/>
          <w:szCs w:val="24"/>
          <w:lang w:eastAsia="en-US"/>
        </w:rPr>
        <w:t>Ley de Presupuesto</w:t>
      </w:r>
      <w:r w:rsidRPr="00906AFB">
        <w:rPr>
          <w:rFonts w:ascii="Arial" w:eastAsia="Calibri" w:hAnsi="Arial" w:cs="Arial"/>
          <w:sz w:val="24"/>
          <w:szCs w:val="24"/>
          <w:lang w:val="es-ES" w:eastAsia="en-US"/>
        </w:rPr>
        <w:t>, en la Ley General de Contabilidad y en la Ley de Disciplina Financiera.</w:t>
      </w:r>
    </w:p>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sz w:val="24"/>
          <w:szCs w:val="24"/>
          <w:lang w:val="es-ES" w:eastAsia="en-US"/>
        </w:rPr>
        <w:lastRenderedPageBreak/>
        <w:t>Todas las asignaciones presupuestarias del presente Decreto y de documentos de la materia deberán cumplir con lo dispuesto por la Ley de Transparencia y Acceso a la Información Pública del Estado de Colima.</w:t>
      </w:r>
    </w:p>
    <w:p w:rsidR="00906AFB" w:rsidRPr="00906AFB" w:rsidRDefault="00906AFB" w:rsidP="00906AFB">
      <w:pPr>
        <w:spacing w:after="0" w:line="240" w:lineRule="auto"/>
        <w:rPr>
          <w:rFonts w:ascii="Arial" w:eastAsia="Calibri" w:hAnsi="Arial" w:cs="Arial"/>
          <w:sz w:val="24"/>
          <w:szCs w:val="24"/>
          <w:lang w:val="es-ES" w:eastAsia="en-US"/>
        </w:rPr>
      </w:pPr>
    </w:p>
    <w:p w:rsidR="00906AFB" w:rsidRPr="00906AFB" w:rsidRDefault="00906AFB" w:rsidP="00906AFB">
      <w:pPr>
        <w:keepNext/>
        <w:keepLines/>
        <w:spacing w:after="0" w:line="240" w:lineRule="auto"/>
        <w:jc w:val="center"/>
        <w:outlineLvl w:val="0"/>
        <w:rPr>
          <w:rFonts w:ascii="Arial" w:eastAsia="Times New Roman" w:hAnsi="Arial" w:cs="Arial"/>
          <w:b/>
          <w:sz w:val="24"/>
          <w:szCs w:val="24"/>
          <w:lang w:val="es-ES" w:eastAsia="en-US"/>
        </w:rPr>
      </w:pPr>
      <w:r w:rsidRPr="00906AFB">
        <w:rPr>
          <w:rFonts w:ascii="Arial" w:eastAsia="Times New Roman" w:hAnsi="Arial" w:cs="Arial"/>
          <w:b/>
          <w:sz w:val="24"/>
          <w:szCs w:val="24"/>
          <w:lang w:val="es-ES" w:eastAsia="en-US"/>
        </w:rPr>
        <w:t xml:space="preserve">CAPÍTULO II </w:t>
      </w:r>
    </w:p>
    <w:p w:rsidR="00906AFB" w:rsidRPr="00906AFB" w:rsidRDefault="00906AFB" w:rsidP="00906AFB">
      <w:pPr>
        <w:keepNext/>
        <w:keepLines/>
        <w:spacing w:after="0" w:line="240" w:lineRule="auto"/>
        <w:jc w:val="center"/>
        <w:outlineLvl w:val="0"/>
        <w:rPr>
          <w:rFonts w:ascii="Arial" w:eastAsia="Times New Roman" w:hAnsi="Arial" w:cs="Arial"/>
          <w:b/>
          <w:sz w:val="24"/>
          <w:szCs w:val="24"/>
          <w:lang w:val="es-ES" w:eastAsia="en-US"/>
        </w:rPr>
      </w:pPr>
      <w:r w:rsidRPr="00906AFB">
        <w:rPr>
          <w:rFonts w:ascii="Arial" w:eastAsia="Times New Roman" w:hAnsi="Arial" w:cs="Arial"/>
          <w:b/>
          <w:sz w:val="24"/>
          <w:szCs w:val="24"/>
          <w:lang w:val="es-ES" w:eastAsia="en-US"/>
        </w:rPr>
        <w:t>DE LOS INGRESOS Y DE LAS EROGACIONES</w:t>
      </w:r>
    </w:p>
    <w:p w:rsidR="00906AFB" w:rsidRPr="00906AFB" w:rsidRDefault="00906AFB" w:rsidP="00906AFB">
      <w:pPr>
        <w:spacing w:after="0" w:line="240" w:lineRule="auto"/>
        <w:jc w:val="both"/>
        <w:rPr>
          <w:rFonts w:ascii="Arial" w:eastAsia="Calibri" w:hAnsi="Arial" w:cs="Arial"/>
          <w:b/>
          <w:sz w:val="24"/>
          <w:szCs w:val="24"/>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b/>
          <w:sz w:val="24"/>
          <w:szCs w:val="24"/>
          <w:lang w:val="es-ES" w:eastAsia="en-US"/>
        </w:rPr>
        <w:t>Artículo 9</w:t>
      </w:r>
      <w:r w:rsidRPr="00906AFB">
        <w:rPr>
          <w:rFonts w:ascii="Arial" w:eastAsia="Calibri" w:hAnsi="Arial" w:cs="Arial"/>
          <w:sz w:val="24"/>
          <w:szCs w:val="24"/>
          <w:lang w:val="es-ES" w:eastAsia="en-US"/>
        </w:rPr>
        <w:t>. La forma en que se integran los ingresos del Estado, de acuerdo con la Clasificación por Fuentes de Financiamiento, es la siguiente:</w:t>
      </w:r>
    </w:p>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Pr="00906AFB" w:rsidRDefault="00906AFB" w:rsidP="00906AFB">
      <w:pPr>
        <w:keepNext/>
        <w:keepLines/>
        <w:spacing w:after="0" w:line="240" w:lineRule="auto"/>
        <w:jc w:val="center"/>
        <w:outlineLvl w:val="1"/>
        <w:rPr>
          <w:rFonts w:ascii="Arial" w:eastAsia="Times New Roman" w:hAnsi="Arial" w:cs="Times New Roman"/>
          <w:b/>
          <w:sz w:val="20"/>
          <w:szCs w:val="26"/>
          <w:lang w:val="es-ES" w:eastAsia="en-US"/>
        </w:rPr>
      </w:pPr>
      <w:r w:rsidRPr="00906AFB">
        <w:rPr>
          <w:rFonts w:ascii="Arial" w:eastAsia="Times New Roman" w:hAnsi="Arial" w:cs="Times New Roman"/>
          <w:b/>
          <w:sz w:val="20"/>
          <w:szCs w:val="26"/>
          <w:lang w:val="es-ES" w:eastAsia="en-US"/>
        </w:rPr>
        <w:t>Tabla 1. Clasificación por Fuentes de Financiamiento</w:t>
      </w:r>
    </w:p>
    <w:tbl>
      <w:tblPr>
        <w:tblStyle w:val="Tablaconcuadrcula2"/>
        <w:tblW w:w="0" w:type="auto"/>
        <w:jc w:val="center"/>
        <w:tblInd w:w="0" w:type="dxa"/>
        <w:tblLook w:val="04A0" w:firstRow="1" w:lastRow="0" w:firstColumn="1" w:lastColumn="0" w:noHBand="0" w:noVBand="1"/>
      </w:tblPr>
      <w:tblGrid>
        <w:gridCol w:w="944"/>
        <w:gridCol w:w="5159"/>
        <w:gridCol w:w="1816"/>
      </w:tblGrid>
      <w:tr w:rsidR="00906AFB" w:rsidRPr="00906AFB" w:rsidTr="00906AFB">
        <w:trPr>
          <w:trHeight w:val="283"/>
          <w:jc w:val="center"/>
        </w:trPr>
        <w:tc>
          <w:tcPr>
            <w:tcW w:w="944"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bCs/>
                <w:sz w:val="20"/>
              </w:rPr>
            </w:pPr>
            <w:r w:rsidRPr="00906AFB">
              <w:rPr>
                <w:rFonts w:ascii="Arial" w:hAnsi="Arial" w:cs="Arial"/>
                <w:b/>
                <w:bCs/>
                <w:sz w:val="20"/>
              </w:rPr>
              <w:t>No.</w:t>
            </w:r>
          </w:p>
        </w:tc>
        <w:tc>
          <w:tcPr>
            <w:tcW w:w="5159"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bCs/>
                <w:sz w:val="20"/>
              </w:rPr>
            </w:pPr>
            <w:r w:rsidRPr="00906AFB">
              <w:rPr>
                <w:rFonts w:ascii="Arial" w:hAnsi="Arial" w:cs="Arial"/>
                <w:b/>
                <w:bCs/>
                <w:sz w:val="20"/>
              </w:rPr>
              <w:t>Concepto</w:t>
            </w:r>
          </w:p>
        </w:tc>
        <w:tc>
          <w:tcPr>
            <w:tcW w:w="1816"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bCs/>
                <w:sz w:val="20"/>
                <w:szCs w:val="20"/>
              </w:rPr>
            </w:pPr>
            <w:r w:rsidRPr="00906AFB">
              <w:rPr>
                <w:rFonts w:ascii="Arial" w:hAnsi="Arial" w:cs="Arial"/>
                <w:b/>
                <w:bCs/>
                <w:sz w:val="20"/>
                <w:szCs w:val="20"/>
              </w:rPr>
              <w:t>Asignación Presupuestal</w:t>
            </w:r>
          </w:p>
        </w:tc>
      </w:tr>
      <w:tr w:rsidR="00906AFB" w:rsidRPr="00906AFB" w:rsidTr="00906AFB">
        <w:trPr>
          <w:trHeight w:val="283"/>
          <w:jc w:val="center"/>
        </w:trPr>
        <w:tc>
          <w:tcPr>
            <w:tcW w:w="944"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sz w:val="20"/>
              </w:rPr>
            </w:pPr>
            <w:r w:rsidRPr="00906AFB">
              <w:rPr>
                <w:rFonts w:ascii="Arial" w:hAnsi="Arial" w:cs="Arial"/>
                <w:sz w:val="20"/>
              </w:rPr>
              <w:t>1</w:t>
            </w:r>
          </w:p>
        </w:tc>
        <w:tc>
          <w:tcPr>
            <w:tcW w:w="5159"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20"/>
              </w:rPr>
            </w:pPr>
            <w:r w:rsidRPr="00906AFB">
              <w:rPr>
                <w:rFonts w:ascii="Arial" w:hAnsi="Arial" w:cs="Arial"/>
                <w:sz w:val="20"/>
              </w:rPr>
              <w:t>Recursos Fiscales</w:t>
            </w:r>
          </w:p>
        </w:tc>
        <w:tc>
          <w:tcPr>
            <w:tcW w:w="1816"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sz w:val="20"/>
                <w:szCs w:val="20"/>
              </w:rPr>
            </w:pPr>
            <w:r w:rsidRPr="00906AFB">
              <w:rPr>
                <w:rFonts w:ascii="Arial" w:hAnsi="Arial"/>
                <w:sz w:val="20"/>
                <w:szCs w:val="20"/>
              </w:rPr>
              <w:t>1,508,090,000</w:t>
            </w:r>
          </w:p>
        </w:tc>
      </w:tr>
      <w:tr w:rsidR="00906AFB" w:rsidRPr="00906AFB" w:rsidTr="00906AFB">
        <w:trPr>
          <w:trHeight w:val="283"/>
          <w:jc w:val="center"/>
        </w:trPr>
        <w:tc>
          <w:tcPr>
            <w:tcW w:w="944"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sz w:val="20"/>
              </w:rPr>
            </w:pPr>
            <w:r w:rsidRPr="00906AFB">
              <w:rPr>
                <w:rFonts w:ascii="Arial" w:hAnsi="Arial" w:cs="Arial"/>
                <w:sz w:val="20"/>
              </w:rPr>
              <w:t>2</w:t>
            </w:r>
          </w:p>
        </w:tc>
        <w:tc>
          <w:tcPr>
            <w:tcW w:w="5159"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20"/>
              </w:rPr>
            </w:pPr>
            <w:r w:rsidRPr="00906AFB">
              <w:rPr>
                <w:rFonts w:ascii="Arial" w:hAnsi="Arial" w:cs="Arial"/>
                <w:sz w:val="20"/>
              </w:rPr>
              <w:t>Financiamientos internos</w:t>
            </w:r>
          </w:p>
        </w:tc>
        <w:tc>
          <w:tcPr>
            <w:tcW w:w="1816"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2048F8" w:rsidP="00906AFB">
            <w:pPr>
              <w:jc w:val="right"/>
              <w:rPr>
                <w:rFonts w:ascii="Arial" w:hAnsi="Arial"/>
                <w:sz w:val="20"/>
                <w:szCs w:val="20"/>
              </w:rPr>
            </w:pPr>
            <w:r>
              <w:rPr>
                <w:rFonts w:ascii="Arial" w:hAnsi="Arial"/>
                <w:sz w:val="20"/>
                <w:szCs w:val="20"/>
              </w:rPr>
              <w:t>0</w:t>
            </w:r>
          </w:p>
        </w:tc>
      </w:tr>
      <w:tr w:rsidR="00906AFB" w:rsidRPr="00906AFB" w:rsidTr="00906AFB">
        <w:trPr>
          <w:trHeight w:val="283"/>
          <w:jc w:val="center"/>
        </w:trPr>
        <w:tc>
          <w:tcPr>
            <w:tcW w:w="944"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sz w:val="20"/>
              </w:rPr>
            </w:pPr>
            <w:r w:rsidRPr="00906AFB">
              <w:rPr>
                <w:rFonts w:ascii="Arial" w:hAnsi="Arial" w:cs="Arial"/>
                <w:sz w:val="20"/>
              </w:rPr>
              <w:t>3</w:t>
            </w:r>
          </w:p>
        </w:tc>
        <w:tc>
          <w:tcPr>
            <w:tcW w:w="5159"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20"/>
              </w:rPr>
            </w:pPr>
            <w:r w:rsidRPr="00906AFB">
              <w:rPr>
                <w:rFonts w:ascii="Arial" w:hAnsi="Arial" w:cs="Arial"/>
                <w:sz w:val="20"/>
              </w:rPr>
              <w:t>Financiamientos externos</w:t>
            </w:r>
          </w:p>
        </w:tc>
        <w:tc>
          <w:tcPr>
            <w:tcW w:w="1816"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sz w:val="20"/>
                <w:szCs w:val="20"/>
              </w:rPr>
            </w:pPr>
            <w:r w:rsidRPr="00906AFB">
              <w:rPr>
                <w:rFonts w:ascii="Arial" w:hAnsi="Arial"/>
                <w:sz w:val="20"/>
                <w:szCs w:val="20"/>
              </w:rPr>
              <w:t>0</w:t>
            </w:r>
          </w:p>
        </w:tc>
      </w:tr>
      <w:tr w:rsidR="00906AFB" w:rsidRPr="00906AFB" w:rsidTr="00906AFB">
        <w:trPr>
          <w:trHeight w:val="283"/>
          <w:jc w:val="center"/>
        </w:trPr>
        <w:tc>
          <w:tcPr>
            <w:tcW w:w="944"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sz w:val="20"/>
              </w:rPr>
            </w:pPr>
            <w:r w:rsidRPr="00906AFB">
              <w:rPr>
                <w:rFonts w:ascii="Arial" w:hAnsi="Arial" w:cs="Arial"/>
                <w:sz w:val="20"/>
              </w:rPr>
              <w:t>4</w:t>
            </w:r>
          </w:p>
        </w:tc>
        <w:tc>
          <w:tcPr>
            <w:tcW w:w="5159"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20"/>
              </w:rPr>
            </w:pPr>
            <w:r w:rsidRPr="00906AFB">
              <w:rPr>
                <w:rFonts w:ascii="Arial" w:hAnsi="Arial" w:cs="Arial"/>
                <w:sz w:val="20"/>
              </w:rPr>
              <w:t>Ingresos propios</w:t>
            </w:r>
          </w:p>
        </w:tc>
        <w:tc>
          <w:tcPr>
            <w:tcW w:w="181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sz w:val="20"/>
                <w:szCs w:val="20"/>
              </w:rPr>
            </w:pPr>
            <w:r w:rsidRPr="00906AFB">
              <w:rPr>
                <w:rFonts w:ascii="Arial" w:hAnsi="Arial"/>
                <w:sz w:val="20"/>
                <w:szCs w:val="20"/>
              </w:rPr>
              <w:t>0</w:t>
            </w:r>
          </w:p>
        </w:tc>
      </w:tr>
      <w:tr w:rsidR="00906AFB" w:rsidRPr="00906AFB" w:rsidTr="00906AFB">
        <w:trPr>
          <w:trHeight w:val="283"/>
          <w:jc w:val="center"/>
        </w:trPr>
        <w:tc>
          <w:tcPr>
            <w:tcW w:w="944"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sz w:val="20"/>
              </w:rPr>
            </w:pPr>
            <w:r w:rsidRPr="00906AFB">
              <w:rPr>
                <w:rFonts w:ascii="Arial" w:hAnsi="Arial" w:cs="Arial"/>
                <w:sz w:val="20"/>
              </w:rPr>
              <w:t>5</w:t>
            </w:r>
          </w:p>
        </w:tc>
        <w:tc>
          <w:tcPr>
            <w:tcW w:w="5159"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20"/>
              </w:rPr>
            </w:pPr>
            <w:r w:rsidRPr="00906AFB">
              <w:rPr>
                <w:rFonts w:ascii="Arial" w:hAnsi="Arial" w:cs="Arial"/>
                <w:sz w:val="20"/>
              </w:rPr>
              <w:t>Recursos Federales</w:t>
            </w:r>
          </w:p>
        </w:tc>
        <w:tc>
          <w:tcPr>
            <w:tcW w:w="1816"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sz w:val="20"/>
                <w:szCs w:val="20"/>
              </w:rPr>
            </w:pPr>
            <w:r w:rsidRPr="00906AFB">
              <w:rPr>
                <w:rFonts w:ascii="Arial" w:hAnsi="Arial"/>
                <w:sz w:val="20"/>
                <w:szCs w:val="20"/>
              </w:rPr>
              <w:t>14,009,435,000</w:t>
            </w:r>
          </w:p>
        </w:tc>
      </w:tr>
      <w:tr w:rsidR="00906AFB" w:rsidRPr="00906AFB" w:rsidTr="00906AFB">
        <w:trPr>
          <w:trHeight w:val="283"/>
          <w:jc w:val="center"/>
        </w:trPr>
        <w:tc>
          <w:tcPr>
            <w:tcW w:w="944"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sz w:val="20"/>
              </w:rPr>
            </w:pPr>
            <w:r w:rsidRPr="00906AFB">
              <w:rPr>
                <w:rFonts w:ascii="Arial" w:hAnsi="Arial" w:cs="Arial"/>
                <w:sz w:val="20"/>
              </w:rPr>
              <w:t>6</w:t>
            </w:r>
          </w:p>
        </w:tc>
        <w:tc>
          <w:tcPr>
            <w:tcW w:w="5159"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20"/>
              </w:rPr>
            </w:pPr>
            <w:r w:rsidRPr="00906AFB">
              <w:rPr>
                <w:rFonts w:ascii="Arial" w:hAnsi="Arial" w:cs="Arial"/>
                <w:sz w:val="20"/>
              </w:rPr>
              <w:t>Recursos Estatales</w:t>
            </w:r>
          </w:p>
        </w:tc>
        <w:tc>
          <w:tcPr>
            <w:tcW w:w="1816"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sz w:val="20"/>
                <w:szCs w:val="20"/>
              </w:rPr>
            </w:pPr>
            <w:r w:rsidRPr="00906AFB">
              <w:rPr>
                <w:rFonts w:ascii="Arial" w:hAnsi="Arial"/>
                <w:sz w:val="20"/>
                <w:szCs w:val="20"/>
              </w:rPr>
              <w:t>0</w:t>
            </w:r>
          </w:p>
        </w:tc>
      </w:tr>
      <w:tr w:rsidR="00906AFB" w:rsidRPr="00906AFB" w:rsidTr="00906AFB">
        <w:trPr>
          <w:trHeight w:val="283"/>
          <w:jc w:val="center"/>
        </w:trPr>
        <w:tc>
          <w:tcPr>
            <w:tcW w:w="944"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sz w:val="20"/>
              </w:rPr>
            </w:pPr>
            <w:r w:rsidRPr="00906AFB">
              <w:rPr>
                <w:rFonts w:ascii="Arial" w:hAnsi="Arial" w:cs="Arial"/>
                <w:sz w:val="20"/>
              </w:rPr>
              <w:t>7</w:t>
            </w:r>
          </w:p>
        </w:tc>
        <w:tc>
          <w:tcPr>
            <w:tcW w:w="5159"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20"/>
              </w:rPr>
            </w:pPr>
            <w:r w:rsidRPr="00906AFB">
              <w:rPr>
                <w:rFonts w:ascii="Arial" w:hAnsi="Arial" w:cs="Arial"/>
                <w:sz w:val="20"/>
              </w:rPr>
              <w:t>Otros recursos</w:t>
            </w:r>
          </w:p>
        </w:tc>
        <w:tc>
          <w:tcPr>
            <w:tcW w:w="1816"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sz w:val="20"/>
                <w:szCs w:val="20"/>
              </w:rPr>
            </w:pPr>
            <w:r w:rsidRPr="00906AFB">
              <w:rPr>
                <w:rFonts w:ascii="Arial" w:hAnsi="Arial"/>
                <w:sz w:val="20"/>
                <w:szCs w:val="20"/>
              </w:rPr>
              <w:t>0</w:t>
            </w:r>
          </w:p>
        </w:tc>
      </w:tr>
      <w:tr w:rsidR="00906AFB" w:rsidRPr="00906AFB" w:rsidTr="00906AFB">
        <w:trPr>
          <w:trHeight w:val="283"/>
          <w:jc w:val="center"/>
        </w:trPr>
        <w:tc>
          <w:tcPr>
            <w:tcW w:w="94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rPr>
                <w:rFonts w:ascii="Arial" w:hAnsi="Arial" w:cs="Arial"/>
                <w:b/>
                <w:sz w:val="20"/>
              </w:rPr>
            </w:pPr>
            <w:r w:rsidRPr="00906AFB">
              <w:rPr>
                <w:rFonts w:ascii="Arial" w:hAnsi="Arial" w:cs="Arial"/>
                <w:b/>
                <w:sz w:val="20"/>
              </w:rPr>
              <w:t> </w:t>
            </w:r>
          </w:p>
        </w:tc>
        <w:tc>
          <w:tcPr>
            <w:tcW w:w="515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center"/>
              <w:rPr>
                <w:rFonts w:ascii="Arial" w:hAnsi="Arial" w:cs="Arial"/>
                <w:b/>
                <w:sz w:val="20"/>
              </w:rPr>
            </w:pPr>
            <w:r w:rsidRPr="00906AFB">
              <w:rPr>
                <w:rFonts w:ascii="Arial" w:hAnsi="Arial" w:cs="Arial"/>
                <w:b/>
                <w:sz w:val="20"/>
              </w:rPr>
              <w:t>Total</w:t>
            </w:r>
          </w:p>
        </w:tc>
        <w:tc>
          <w:tcPr>
            <w:tcW w:w="1816"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2048F8" w:rsidP="00906AFB">
            <w:pPr>
              <w:jc w:val="right"/>
              <w:rPr>
                <w:rFonts w:ascii="Arial" w:hAnsi="Arial"/>
                <w:b/>
                <w:sz w:val="20"/>
                <w:szCs w:val="20"/>
              </w:rPr>
            </w:pPr>
            <w:r w:rsidRPr="002048F8">
              <w:rPr>
                <w:rFonts w:ascii="Arial" w:hAnsi="Arial"/>
                <w:b/>
                <w:sz w:val="20"/>
                <w:szCs w:val="20"/>
              </w:rPr>
              <w:t>15,517,525,000</w:t>
            </w:r>
          </w:p>
        </w:tc>
      </w:tr>
    </w:tbl>
    <w:p w:rsidR="00906AFB" w:rsidRPr="00906AFB" w:rsidRDefault="00906AFB" w:rsidP="00906AFB">
      <w:pPr>
        <w:spacing w:after="0" w:line="240" w:lineRule="auto"/>
        <w:jc w:val="both"/>
        <w:rPr>
          <w:rFonts w:ascii="Arial" w:eastAsia="Calibri" w:hAnsi="Arial" w:cs="Arial"/>
          <w:b/>
          <w:sz w:val="24"/>
          <w:szCs w:val="24"/>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b/>
          <w:sz w:val="24"/>
          <w:szCs w:val="24"/>
          <w:lang w:val="es-ES" w:eastAsia="en-US"/>
        </w:rPr>
        <w:t>Artículo 10</w:t>
      </w:r>
      <w:r w:rsidRPr="00906AFB">
        <w:rPr>
          <w:rFonts w:ascii="Arial" w:eastAsia="Calibri" w:hAnsi="Arial" w:cs="Arial"/>
          <w:sz w:val="24"/>
          <w:szCs w:val="24"/>
          <w:lang w:val="es-ES" w:eastAsia="en-US"/>
        </w:rPr>
        <w:t xml:space="preserve">. El gasto neto total previsto en el Presupuesto de Egresos del Estado de Colima para el Ejercicio Fiscal 2017, asciende a la cantidad de </w:t>
      </w:r>
      <w:r w:rsidRPr="00906AFB">
        <w:rPr>
          <w:rFonts w:ascii="Arial" w:eastAsia="Calibri" w:hAnsi="Arial" w:cs="Arial"/>
          <w:sz w:val="24"/>
          <w:szCs w:val="24"/>
          <w:lang w:val="es-ES" w:eastAsia="en-US"/>
        </w:rPr>
        <w:br/>
        <w:t>$15,</w:t>
      </w:r>
      <w:r w:rsidR="002048F8">
        <w:rPr>
          <w:rFonts w:ascii="Arial" w:eastAsia="Calibri" w:hAnsi="Arial" w:cs="Arial"/>
          <w:sz w:val="24"/>
          <w:szCs w:val="24"/>
          <w:lang w:val="es-ES" w:eastAsia="en-US"/>
        </w:rPr>
        <w:t>517</w:t>
      </w:r>
      <w:r w:rsidRPr="00906AFB">
        <w:rPr>
          <w:rFonts w:ascii="Arial" w:eastAsia="Calibri" w:hAnsi="Arial" w:cs="Arial"/>
          <w:sz w:val="24"/>
          <w:szCs w:val="24"/>
          <w:lang w:val="es-ES" w:eastAsia="en-US"/>
        </w:rPr>
        <w:t xml:space="preserve">,525,000 (Quince Mil </w:t>
      </w:r>
      <w:r w:rsidR="002D4A9C">
        <w:rPr>
          <w:rFonts w:ascii="Arial" w:eastAsia="Calibri" w:hAnsi="Arial" w:cs="Arial"/>
          <w:sz w:val="24"/>
          <w:szCs w:val="24"/>
          <w:lang w:val="es-ES" w:eastAsia="en-US"/>
        </w:rPr>
        <w:t xml:space="preserve">Quinientos </w:t>
      </w:r>
      <w:r w:rsidR="002D4A9C" w:rsidRPr="002D4A9C">
        <w:rPr>
          <w:rFonts w:ascii="Arial" w:eastAsia="Calibri" w:hAnsi="Arial" w:cs="Arial"/>
          <w:sz w:val="24"/>
          <w:szCs w:val="24"/>
          <w:lang w:val="es-ES" w:eastAsia="en-US"/>
        </w:rPr>
        <w:t>Diecisiete</w:t>
      </w:r>
      <w:r w:rsidR="002D4A9C">
        <w:rPr>
          <w:rFonts w:ascii="Arial" w:eastAsia="Calibri" w:hAnsi="Arial" w:cs="Arial"/>
          <w:sz w:val="24"/>
          <w:szCs w:val="24"/>
          <w:lang w:val="es-ES" w:eastAsia="en-US"/>
        </w:rPr>
        <w:t xml:space="preserve"> </w:t>
      </w:r>
      <w:r w:rsidRPr="00906AFB">
        <w:rPr>
          <w:rFonts w:ascii="Arial" w:eastAsia="Calibri" w:hAnsi="Arial" w:cs="Arial"/>
          <w:sz w:val="24"/>
          <w:szCs w:val="24"/>
          <w:lang w:val="es-ES" w:eastAsia="en-US"/>
        </w:rPr>
        <w:t>Millones Quinientos Veinticinco Mil Pesos 00/100 M.N.) y corresponde al total de los ingresos aprobados en la Ley de Ingresos del Estado de Colima para el Ejercicio Fiscal 2017; su asignación se hará de acuerdo a lo estipulado en el presente capítulo.</w:t>
      </w:r>
    </w:p>
    <w:p w:rsidR="00906AFB" w:rsidRPr="00906AFB" w:rsidRDefault="00906AFB" w:rsidP="00906AFB">
      <w:pPr>
        <w:spacing w:after="0" w:line="240" w:lineRule="auto"/>
        <w:jc w:val="both"/>
        <w:rPr>
          <w:rFonts w:ascii="Arial" w:eastAsia="Calibri" w:hAnsi="Arial" w:cs="Arial"/>
          <w:b/>
          <w:sz w:val="24"/>
          <w:szCs w:val="24"/>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b/>
          <w:sz w:val="24"/>
          <w:szCs w:val="24"/>
          <w:lang w:val="es-ES" w:eastAsia="en-US"/>
        </w:rPr>
        <w:t>Artículo 11</w:t>
      </w:r>
      <w:r w:rsidRPr="00906AFB">
        <w:rPr>
          <w:rFonts w:ascii="Arial" w:eastAsia="Calibri" w:hAnsi="Arial" w:cs="Arial"/>
          <w:sz w:val="24"/>
          <w:szCs w:val="24"/>
          <w:lang w:val="es-ES" w:eastAsia="en-US"/>
        </w:rPr>
        <w:t>. De acuerdo con la Clasificación por Tipo de Gasto, el Presupuesto de Egresos del Estado de Colima se distribuye de la siguiente forma:</w:t>
      </w:r>
    </w:p>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Pr="00906AFB" w:rsidRDefault="00906AFB" w:rsidP="00906AFB">
      <w:pPr>
        <w:keepNext/>
        <w:keepLines/>
        <w:spacing w:after="0" w:line="240" w:lineRule="auto"/>
        <w:jc w:val="center"/>
        <w:outlineLvl w:val="1"/>
        <w:rPr>
          <w:rFonts w:ascii="Arial" w:eastAsia="Times New Roman" w:hAnsi="Arial" w:cs="Times New Roman"/>
          <w:b/>
          <w:sz w:val="20"/>
          <w:szCs w:val="26"/>
          <w:lang w:val="es-ES" w:eastAsia="en-US"/>
        </w:rPr>
      </w:pPr>
      <w:r w:rsidRPr="00906AFB">
        <w:rPr>
          <w:rFonts w:ascii="Arial" w:eastAsia="Times New Roman" w:hAnsi="Arial" w:cs="Times New Roman"/>
          <w:b/>
          <w:sz w:val="20"/>
          <w:szCs w:val="26"/>
          <w:lang w:val="es-ES" w:eastAsia="en-US"/>
        </w:rPr>
        <w:t>Tabla 2. Clasificación por Tipo de Gasto</w:t>
      </w:r>
    </w:p>
    <w:tbl>
      <w:tblPr>
        <w:tblStyle w:val="Tablaconcuadrcula2"/>
        <w:tblW w:w="0" w:type="auto"/>
        <w:tblInd w:w="562" w:type="dxa"/>
        <w:tblLook w:val="04A0" w:firstRow="1" w:lastRow="0" w:firstColumn="1" w:lastColumn="0" w:noHBand="0" w:noVBand="1"/>
      </w:tblPr>
      <w:tblGrid>
        <w:gridCol w:w="559"/>
        <w:gridCol w:w="5224"/>
        <w:gridCol w:w="1607"/>
      </w:tblGrid>
      <w:tr w:rsidR="00906AFB" w:rsidRPr="00906AFB" w:rsidTr="000B1190">
        <w:trPr>
          <w:trHeight w:val="283"/>
        </w:trPr>
        <w:tc>
          <w:tcPr>
            <w:tcW w:w="559"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sz w:val="20"/>
              </w:rPr>
            </w:pPr>
            <w:r w:rsidRPr="00906AFB">
              <w:rPr>
                <w:rFonts w:ascii="Arial" w:hAnsi="Arial" w:cs="Arial"/>
                <w:b/>
                <w:sz w:val="20"/>
              </w:rPr>
              <w:t>No.</w:t>
            </w:r>
          </w:p>
        </w:tc>
        <w:tc>
          <w:tcPr>
            <w:tcW w:w="5224"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sz w:val="20"/>
              </w:rPr>
            </w:pPr>
            <w:r w:rsidRPr="00906AFB">
              <w:rPr>
                <w:rFonts w:ascii="Arial" w:hAnsi="Arial" w:cs="Arial"/>
                <w:b/>
                <w:sz w:val="20"/>
              </w:rPr>
              <w:t>Categorías</w:t>
            </w:r>
          </w:p>
        </w:tc>
        <w:tc>
          <w:tcPr>
            <w:tcW w:w="1607" w:type="dxa"/>
            <w:tcBorders>
              <w:top w:val="single" w:sz="4" w:space="0" w:color="auto"/>
              <w:left w:val="single" w:sz="4" w:space="0" w:color="auto"/>
              <w:bottom w:val="single" w:sz="4" w:space="0" w:color="auto"/>
              <w:right w:val="single" w:sz="4" w:space="0" w:color="auto"/>
            </w:tcBorders>
            <w:vAlign w:val="center"/>
            <w:hideMark/>
          </w:tcPr>
          <w:p w:rsidR="00906AFB" w:rsidRPr="000B1190" w:rsidRDefault="00906AFB" w:rsidP="000B1190">
            <w:pPr>
              <w:jc w:val="center"/>
              <w:rPr>
                <w:rFonts w:ascii="Arial" w:hAnsi="Arial" w:cs="Arial"/>
                <w:b/>
                <w:sz w:val="18"/>
                <w:szCs w:val="20"/>
              </w:rPr>
            </w:pPr>
            <w:r w:rsidRPr="000B1190">
              <w:rPr>
                <w:rFonts w:ascii="Arial" w:hAnsi="Arial" w:cs="Arial"/>
                <w:b/>
                <w:bCs/>
                <w:sz w:val="18"/>
                <w:szCs w:val="20"/>
              </w:rPr>
              <w:t>Asignación Presupuestal</w:t>
            </w:r>
          </w:p>
        </w:tc>
      </w:tr>
      <w:tr w:rsidR="002048F8" w:rsidRPr="00906AFB" w:rsidTr="002048F8">
        <w:trPr>
          <w:trHeight w:val="283"/>
        </w:trPr>
        <w:tc>
          <w:tcPr>
            <w:tcW w:w="559" w:type="dxa"/>
            <w:tcBorders>
              <w:top w:val="single" w:sz="4" w:space="0" w:color="auto"/>
              <w:left w:val="single" w:sz="4" w:space="0" w:color="auto"/>
              <w:bottom w:val="single" w:sz="4" w:space="0" w:color="auto"/>
              <w:right w:val="single" w:sz="4" w:space="0" w:color="auto"/>
            </w:tcBorders>
            <w:hideMark/>
          </w:tcPr>
          <w:p w:rsidR="002048F8" w:rsidRPr="00906AFB" w:rsidRDefault="002048F8" w:rsidP="002048F8">
            <w:pPr>
              <w:jc w:val="center"/>
              <w:rPr>
                <w:rFonts w:ascii="Arial" w:hAnsi="Arial" w:cs="Arial"/>
                <w:sz w:val="20"/>
              </w:rPr>
            </w:pPr>
            <w:r w:rsidRPr="00906AFB">
              <w:rPr>
                <w:rFonts w:ascii="Arial" w:hAnsi="Arial" w:cs="Arial"/>
                <w:sz w:val="20"/>
              </w:rPr>
              <w:t>1</w:t>
            </w:r>
          </w:p>
        </w:tc>
        <w:tc>
          <w:tcPr>
            <w:tcW w:w="5224" w:type="dxa"/>
            <w:tcBorders>
              <w:top w:val="single" w:sz="4" w:space="0" w:color="auto"/>
              <w:left w:val="single" w:sz="4" w:space="0" w:color="auto"/>
              <w:bottom w:val="single" w:sz="4" w:space="0" w:color="auto"/>
              <w:right w:val="single" w:sz="4" w:space="0" w:color="auto"/>
            </w:tcBorders>
            <w:vAlign w:val="center"/>
            <w:hideMark/>
          </w:tcPr>
          <w:p w:rsidR="002048F8" w:rsidRPr="00906AFB" w:rsidRDefault="002048F8" w:rsidP="002048F8">
            <w:pPr>
              <w:rPr>
                <w:rFonts w:ascii="Arial" w:hAnsi="Arial" w:cs="Arial"/>
                <w:sz w:val="20"/>
              </w:rPr>
            </w:pPr>
            <w:r w:rsidRPr="00906AFB">
              <w:rPr>
                <w:rFonts w:ascii="Arial" w:hAnsi="Arial" w:cs="Arial"/>
                <w:sz w:val="20"/>
              </w:rPr>
              <w:t>Gasto Corriente</w:t>
            </w:r>
          </w:p>
        </w:tc>
        <w:tc>
          <w:tcPr>
            <w:tcW w:w="1607" w:type="dxa"/>
            <w:tcBorders>
              <w:top w:val="single" w:sz="4" w:space="0" w:color="auto"/>
              <w:left w:val="single" w:sz="4" w:space="0" w:color="auto"/>
              <w:bottom w:val="single" w:sz="4" w:space="0" w:color="auto"/>
              <w:right w:val="single" w:sz="4" w:space="0" w:color="auto"/>
            </w:tcBorders>
            <w:vAlign w:val="center"/>
            <w:hideMark/>
          </w:tcPr>
          <w:p w:rsidR="002048F8" w:rsidRPr="002048F8" w:rsidRDefault="00B25A81" w:rsidP="002048F8">
            <w:pPr>
              <w:jc w:val="right"/>
              <w:rPr>
                <w:rFonts w:ascii="Arial" w:hAnsi="Arial" w:cs="Arial"/>
                <w:sz w:val="20"/>
              </w:rPr>
            </w:pPr>
            <w:r w:rsidRPr="00B25A81">
              <w:rPr>
                <w:rFonts w:ascii="Arial" w:hAnsi="Arial" w:cs="Arial"/>
                <w:sz w:val="20"/>
              </w:rPr>
              <w:t>12,832,009,432</w:t>
            </w:r>
          </w:p>
        </w:tc>
      </w:tr>
      <w:tr w:rsidR="002048F8" w:rsidRPr="00906AFB" w:rsidTr="002048F8">
        <w:trPr>
          <w:trHeight w:val="283"/>
        </w:trPr>
        <w:tc>
          <w:tcPr>
            <w:tcW w:w="559" w:type="dxa"/>
            <w:tcBorders>
              <w:top w:val="single" w:sz="4" w:space="0" w:color="auto"/>
              <w:left w:val="single" w:sz="4" w:space="0" w:color="auto"/>
              <w:bottom w:val="single" w:sz="4" w:space="0" w:color="auto"/>
              <w:right w:val="single" w:sz="4" w:space="0" w:color="auto"/>
            </w:tcBorders>
            <w:hideMark/>
          </w:tcPr>
          <w:p w:rsidR="002048F8" w:rsidRPr="00906AFB" w:rsidRDefault="002048F8" w:rsidP="002048F8">
            <w:pPr>
              <w:jc w:val="center"/>
              <w:rPr>
                <w:rFonts w:ascii="Arial" w:hAnsi="Arial" w:cs="Arial"/>
                <w:sz w:val="20"/>
              </w:rPr>
            </w:pPr>
            <w:r w:rsidRPr="00906AFB">
              <w:rPr>
                <w:rFonts w:ascii="Arial" w:hAnsi="Arial" w:cs="Arial"/>
                <w:sz w:val="20"/>
              </w:rPr>
              <w:t>2</w:t>
            </w:r>
          </w:p>
        </w:tc>
        <w:tc>
          <w:tcPr>
            <w:tcW w:w="5224" w:type="dxa"/>
            <w:tcBorders>
              <w:top w:val="single" w:sz="4" w:space="0" w:color="auto"/>
              <w:left w:val="single" w:sz="4" w:space="0" w:color="auto"/>
              <w:bottom w:val="single" w:sz="4" w:space="0" w:color="auto"/>
              <w:right w:val="single" w:sz="4" w:space="0" w:color="auto"/>
            </w:tcBorders>
            <w:vAlign w:val="center"/>
            <w:hideMark/>
          </w:tcPr>
          <w:p w:rsidR="002048F8" w:rsidRPr="00906AFB" w:rsidRDefault="002048F8" w:rsidP="002048F8">
            <w:pPr>
              <w:rPr>
                <w:rFonts w:ascii="Arial" w:hAnsi="Arial" w:cs="Arial"/>
                <w:sz w:val="20"/>
              </w:rPr>
            </w:pPr>
            <w:r w:rsidRPr="00906AFB">
              <w:rPr>
                <w:rFonts w:ascii="Arial" w:hAnsi="Arial" w:cs="Arial"/>
                <w:sz w:val="20"/>
              </w:rPr>
              <w:t>Gasto de Capital</w:t>
            </w:r>
          </w:p>
        </w:tc>
        <w:tc>
          <w:tcPr>
            <w:tcW w:w="1607" w:type="dxa"/>
            <w:tcBorders>
              <w:top w:val="single" w:sz="4" w:space="0" w:color="auto"/>
              <w:left w:val="single" w:sz="4" w:space="0" w:color="auto"/>
              <w:bottom w:val="single" w:sz="4" w:space="0" w:color="auto"/>
              <w:right w:val="single" w:sz="4" w:space="0" w:color="auto"/>
            </w:tcBorders>
            <w:vAlign w:val="center"/>
            <w:hideMark/>
          </w:tcPr>
          <w:p w:rsidR="002048F8" w:rsidRPr="002048F8" w:rsidRDefault="002048F8" w:rsidP="002048F8">
            <w:pPr>
              <w:jc w:val="right"/>
              <w:rPr>
                <w:rFonts w:ascii="Arial" w:hAnsi="Arial" w:cs="Arial"/>
                <w:sz w:val="20"/>
              </w:rPr>
            </w:pPr>
            <w:r w:rsidRPr="002048F8">
              <w:rPr>
                <w:rFonts w:ascii="Arial" w:hAnsi="Arial" w:cs="Arial"/>
                <w:sz w:val="20"/>
              </w:rPr>
              <w:t>360,990,657</w:t>
            </w:r>
          </w:p>
        </w:tc>
      </w:tr>
      <w:tr w:rsidR="002048F8" w:rsidRPr="00906AFB" w:rsidTr="002048F8">
        <w:trPr>
          <w:trHeight w:val="283"/>
        </w:trPr>
        <w:tc>
          <w:tcPr>
            <w:tcW w:w="559" w:type="dxa"/>
            <w:tcBorders>
              <w:top w:val="single" w:sz="4" w:space="0" w:color="auto"/>
              <w:left w:val="single" w:sz="4" w:space="0" w:color="auto"/>
              <w:bottom w:val="single" w:sz="4" w:space="0" w:color="auto"/>
              <w:right w:val="single" w:sz="4" w:space="0" w:color="auto"/>
            </w:tcBorders>
            <w:hideMark/>
          </w:tcPr>
          <w:p w:rsidR="002048F8" w:rsidRPr="00906AFB" w:rsidRDefault="002048F8" w:rsidP="002048F8">
            <w:pPr>
              <w:jc w:val="center"/>
              <w:rPr>
                <w:rFonts w:ascii="Arial" w:hAnsi="Arial" w:cs="Arial"/>
                <w:sz w:val="20"/>
              </w:rPr>
            </w:pPr>
            <w:r w:rsidRPr="00906AFB">
              <w:rPr>
                <w:rFonts w:ascii="Arial" w:hAnsi="Arial" w:cs="Arial"/>
                <w:sz w:val="20"/>
              </w:rPr>
              <w:t>3</w:t>
            </w:r>
          </w:p>
        </w:tc>
        <w:tc>
          <w:tcPr>
            <w:tcW w:w="5224" w:type="dxa"/>
            <w:tcBorders>
              <w:top w:val="single" w:sz="4" w:space="0" w:color="auto"/>
              <w:left w:val="single" w:sz="4" w:space="0" w:color="auto"/>
              <w:bottom w:val="single" w:sz="4" w:space="0" w:color="auto"/>
              <w:right w:val="single" w:sz="4" w:space="0" w:color="auto"/>
            </w:tcBorders>
            <w:vAlign w:val="center"/>
            <w:hideMark/>
          </w:tcPr>
          <w:p w:rsidR="002048F8" w:rsidRPr="00906AFB" w:rsidRDefault="002048F8" w:rsidP="002048F8">
            <w:pPr>
              <w:rPr>
                <w:rFonts w:ascii="Arial" w:hAnsi="Arial" w:cs="Arial"/>
                <w:sz w:val="20"/>
              </w:rPr>
            </w:pPr>
            <w:r w:rsidRPr="00906AFB">
              <w:rPr>
                <w:rFonts w:ascii="Arial" w:hAnsi="Arial" w:cs="Arial"/>
                <w:sz w:val="20"/>
              </w:rPr>
              <w:t>Amortización de la Deuda y Disminución de Pasivos</w:t>
            </w:r>
          </w:p>
        </w:tc>
        <w:tc>
          <w:tcPr>
            <w:tcW w:w="1607" w:type="dxa"/>
            <w:tcBorders>
              <w:top w:val="single" w:sz="4" w:space="0" w:color="auto"/>
              <w:left w:val="single" w:sz="4" w:space="0" w:color="auto"/>
              <w:bottom w:val="single" w:sz="4" w:space="0" w:color="auto"/>
              <w:right w:val="single" w:sz="4" w:space="0" w:color="auto"/>
            </w:tcBorders>
            <w:vAlign w:val="center"/>
            <w:hideMark/>
          </w:tcPr>
          <w:p w:rsidR="002048F8" w:rsidRPr="002048F8" w:rsidRDefault="002048F8" w:rsidP="002048F8">
            <w:pPr>
              <w:jc w:val="right"/>
              <w:rPr>
                <w:rFonts w:ascii="Arial" w:hAnsi="Arial" w:cs="Arial"/>
                <w:sz w:val="20"/>
              </w:rPr>
            </w:pPr>
            <w:r w:rsidRPr="002048F8">
              <w:rPr>
                <w:rFonts w:ascii="Arial" w:hAnsi="Arial" w:cs="Arial"/>
                <w:sz w:val="20"/>
              </w:rPr>
              <w:t>410,005,670</w:t>
            </w:r>
          </w:p>
        </w:tc>
      </w:tr>
      <w:tr w:rsidR="002048F8" w:rsidRPr="00906AFB" w:rsidTr="002048F8">
        <w:trPr>
          <w:trHeight w:val="283"/>
        </w:trPr>
        <w:tc>
          <w:tcPr>
            <w:tcW w:w="559" w:type="dxa"/>
            <w:tcBorders>
              <w:top w:val="single" w:sz="4" w:space="0" w:color="auto"/>
              <w:left w:val="single" w:sz="4" w:space="0" w:color="auto"/>
              <w:bottom w:val="single" w:sz="4" w:space="0" w:color="auto"/>
              <w:right w:val="single" w:sz="4" w:space="0" w:color="auto"/>
            </w:tcBorders>
            <w:hideMark/>
          </w:tcPr>
          <w:p w:rsidR="002048F8" w:rsidRPr="00906AFB" w:rsidRDefault="002048F8" w:rsidP="002048F8">
            <w:pPr>
              <w:jc w:val="center"/>
              <w:rPr>
                <w:rFonts w:ascii="Arial" w:hAnsi="Arial" w:cs="Arial"/>
                <w:sz w:val="20"/>
              </w:rPr>
            </w:pPr>
            <w:r w:rsidRPr="00906AFB">
              <w:rPr>
                <w:rFonts w:ascii="Arial" w:hAnsi="Arial" w:cs="Arial"/>
                <w:sz w:val="20"/>
              </w:rPr>
              <w:t>4</w:t>
            </w:r>
          </w:p>
        </w:tc>
        <w:tc>
          <w:tcPr>
            <w:tcW w:w="5224" w:type="dxa"/>
            <w:tcBorders>
              <w:top w:val="single" w:sz="4" w:space="0" w:color="auto"/>
              <w:left w:val="single" w:sz="4" w:space="0" w:color="auto"/>
              <w:bottom w:val="single" w:sz="4" w:space="0" w:color="auto"/>
              <w:right w:val="single" w:sz="4" w:space="0" w:color="auto"/>
            </w:tcBorders>
            <w:vAlign w:val="center"/>
            <w:hideMark/>
          </w:tcPr>
          <w:p w:rsidR="002048F8" w:rsidRPr="00906AFB" w:rsidRDefault="002048F8" w:rsidP="002048F8">
            <w:pPr>
              <w:rPr>
                <w:rFonts w:ascii="Arial" w:hAnsi="Arial" w:cs="Arial"/>
                <w:sz w:val="20"/>
              </w:rPr>
            </w:pPr>
            <w:r w:rsidRPr="00906AFB">
              <w:rPr>
                <w:rFonts w:ascii="Arial" w:hAnsi="Arial" w:cs="Arial"/>
                <w:sz w:val="20"/>
              </w:rPr>
              <w:t>Pensiones y Jubilaciones</w:t>
            </w:r>
          </w:p>
        </w:tc>
        <w:tc>
          <w:tcPr>
            <w:tcW w:w="1607" w:type="dxa"/>
            <w:tcBorders>
              <w:top w:val="single" w:sz="4" w:space="0" w:color="auto"/>
              <w:left w:val="single" w:sz="4" w:space="0" w:color="auto"/>
              <w:bottom w:val="single" w:sz="4" w:space="0" w:color="auto"/>
              <w:right w:val="single" w:sz="4" w:space="0" w:color="auto"/>
            </w:tcBorders>
            <w:vAlign w:val="center"/>
            <w:hideMark/>
          </w:tcPr>
          <w:p w:rsidR="002048F8" w:rsidRPr="002048F8" w:rsidRDefault="002048F8" w:rsidP="002048F8">
            <w:pPr>
              <w:jc w:val="right"/>
              <w:rPr>
                <w:rFonts w:ascii="Arial" w:hAnsi="Arial" w:cs="Arial"/>
                <w:sz w:val="20"/>
              </w:rPr>
            </w:pPr>
            <w:r w:rsidRPr="002048F8">
              <w:rPr>
                <w:rFonts w:ascii="Arial" w:hAnsi="Arial" w:cs="Arial"/>
                <w:sz w:val="20"/>
              </w:rPr>
              <w:t>701,805,461</w:t>
            </w:r>
          </w:p>
        </w:tc>
      </w:tr>
      <w:tr w:rsidR="002048F8" w:rsidRPr="00906AFB" w:rsidTr="002048F8">
        <w:trPr>
          <w:trHeight w:val="283"/>
        </w:trPr>
        <w:tc>
          <w:tcPr>
            <w:tcW w:w="559" w:type="dxa"/>
            <w:tcBorders>
              <w:top w:val="single" w:sz="4" w:space="0" w:color="auto"/>
              <w:left w:val="single" w:sz="4" w:space="0" w:color="auto"/>
              <w:bottom w:val="single" w:sz="4" w:space="0" w:color="auto"/>
              <w:right w:val="single" w:sz="4" w:space="0" w:color="auto"/>
            </w:tcBorders>
            <w:hideMark/>
          </w:tcPr>
          <w:p w:rsidR="002048F8" w:rsidRPr="00906AFB" w:rsidRDefault="002048F8" w:rsidP="002048F8">
            <w:pPr>
              <w:jc w:val="center"/>
              <w:rPr>
                <w:rFonts w:ascii="Arial" w:hAnsi="Arial" w:cs="Arial"/>
                <w:sz w:val="20"/>
              </w:rPr>
            </w:pPr>
            <w:r w:rsidRPr="00906AFB">
              <w:rPr>
                <w:rFonts w:ascii="Arial" w:hAnsi="Arial" w:cs="Arial"/>
                <w:sz w:val="20"/>
              </w:rPr>
              <w:t>5</w:t>
            </w:r>
          </w:p>
        </w:tc>
        <w:tc>
          <w:tcPr>
            <w:tcW w:w="5224" w:type="dxa"/>
            <w:tcBorders>
              <w:top w:val="single" w:sz="4" w:space="0" w:color="auto"/>
              <w:left w:val="single" w:sz="4" w:space="0" w:color="auto"/>
              <w:bottom w:val="single" w:sz="4" w:space="0" w:color="auto"/>
              <w:right w:val="single" w:sz="4" w:space="0" w:color="auto"/>
            </w:tcBorders>
            <w:vAlign w:val="center"/>
            <w:hideMark/>
          </w:tcPr>
          <w:p w:rsidR="002048F8" w:rsidRPr="00906AFB" w:rsidRDefault="002048F8" w:rsidP="002048F8">
            <w:pPr>
              <w:rPr>
                <w:rFonts w:ascii="Arial" w:hAnsi="Arial" w:cs="Arial"/>
                <w:sz w:val="20"/>
              </w:rPr>
            </w:pPr>
            <w:r w:rsidRPr="00906AFB">
              <w:rPr>
                <w:rFonts w:ascii="Arial" w:hAnsi="Arial" w:cs="Arial"/>
                <w:sz w:val="20"/>
              </w:rPr>
              <w:t>Participaciones</w:t>
            </w:r>
          </w:p>
        </w:tc>
        <w:tc>
          <w:tcPr>
            <w:tcW w:w="1607" w:type="dxa"/>
            <w:tcBorders>
              <w:top w:val="single" w:sz="4" w:space="0" w:color="auto"/>
              <w:left w:val="single" w:sz="4" w:space="0" w:color="auto"/>
              <w:bottom w:val="single" w:sz="4" w:space="0" w:color="auto"/>
              <w:right w:val="single" w:sz="4" w:space="0" w:color="auto"/>
            </w:tcBorders>
            <w:vAlign w:val="center"/>
            <w:hideMark/>
          </w:tcPr>
          <w:p w:rsidR="002048F8" w:rsidRPr="002048F8" w:rsidRDefault="00B25A81" w:rsidP="002048F8">
            <w:pPr>
              <w:jc w:val="right"/>
              <w:rPr>
                <w:rFonts w:ascii="Arial" w:hAnsi="Arial" w:cs="Arial"/>
                <w:sz w:val="20"/>
              </w:rPr>
            </w:pPr>
            <w:r w:rsidRPr="00B25A81">
              <w:rPr>
                <w:rFonts w:ascii="Arial" w:hAnsi="Arial" w:cs="Arial"/>
                <w:sz w:val="20"/>
              </w:rPr>
              <w:t>1,212,713,780</w:t>
            </w:r>
          </w:p>
        </w:tc>
      </w:tr>
      <w:tr w:rsidR="002048F8" w:rsidRPr="00906AFB" w:rsidTr="002048F8">
        <w:trPr>
          <w:trHeight w:val="283"/>
        </w:trPr>
        <w:tc>
          <w:tcPr>
            <w:tcW w:w="559" w:type="dxa"/>
            <w:tcBorders>
              <w:top w:val="single" w:sz="4" w:space="0" w:color="auto"/>
              <w:left w:val="single" w:sz="4" w:space="0" w:color="auto"/>
              <w:bottom w:val="single" w:sz="4" w:space="0" w:color="auto"/>
              <w:right w:val="single" w:sz="4" w:space="0" w:color="auto"/>
            </w:tcBorders>
          </w:tcPr>
          <w:p w:rsidR="002048F8" w:rsidRPr="00906AFB" w:rsidRDefault="002048F8" w:rsidP="002048F8">
            <w:pPr>
              <w:rPr>
                <w:rFonts w:ascii="Arial" w:hAnsi="Arial" w:cs="Arial"/>
                <w:b/>
                <w:sz w:val="20"/>
              </w:rPr>
            </w:pPr>
          </w:p>
        </w:tc>
        <w:tc>
          <w:tcPr>
            <w:tcW w:w="5224" w:type="dxa"/>
            <w:tcBorders>
              <w:top w:val="single" w:sz="4" w:space="0" w:color="auto"/>
              <w:left w:val="single" w:sz="4" w:space="0" w:color="auto"/>
              <w:bottom w:val="single" w:sz="4" w:space="0" w:color="auto"/>
              <w:right w:val="single" w:sz="4" w:space="0" w:color="auto"/>
            </w:tcBorders>
            <w:vAlign w:val="center"/>
            <w:hideMark/>
          </w:tcPr>
          <w:p w:rsidR="002048F8" w:rsidRPr="00906AFB" w:rsidRDefault="002048F8" w:rsidP="002048F8">
            <w:pPr>
              <w:jc w:val="center"/>
              <w:rPr>
                <w:rFonts w:ascii="Arial" w:hAnsi="Arial" w:cs="Arial"/>
                <w:b/>
                <w:sz w:val="20"/>
              </w:rPr>
            </w:pPr>
            <w:r w:rsidRPr="00906AFB">
              <w:rPr>
                <w:rFonts w:ascii="Arial" w:hAnsi="Arial" w:cs="Arial"/>
                <w:b/>
                <w:sz w:val="20"/>
              </w:rPr>
              <w:t>Total</w:t>
            </w:r>
          </w:p>
        </w:tc>
        <w:tc>
          <w:tcPr>
            <w:tcW w:w="1607" w:type="dxa"/>
            <w:tcBorders>
              <w:top w:val="single" w:sz="4" w:space="0" w:color="auto"/>
              <w:left w:val="single" w:sz="4" w:space="0" w:color="auto"/>
              <w:bottom w:val="single" w:sz="4" w:space="0" w:color="auto"/>
              <w:right w:val="single" w:sz="4" w:space="0" w:color="auto"/>
            </w:tcBorders>
            <w:vAlign w:val="center"/>
            <w:hideMark/>
          </w:tcPr>
          <w:p w:rsidR="002048F8" w:rsidRPr="002048F8" w:rsidRDefault="002048F8" w:rsidP="002048F8">
            <w:pPr>
              <w:jc w:val="right"/>
              <w:rPr>
                <w:rFonts w:ascii="Arial" w:hAnsi="Arial" w:cs="Arial"/>
                <w:b/>
                <w:sz w:val="20"/>
              </w:rPr>
            </w:pPr>
            <w:r w:rsidRPr="002048F8">
              <w:rPr>
                <w:rFonts w:ascii="Arial" w:hAnsi="Arial" w:cs="Arial"/>
                <w:b/>
                <w:sz w:val="20"/>
              </w:rPr>
              <w:t>15,517,525,000</w:t>
            </w:r>
          </w:p>
        </w:tc>
      </w:tr>
    </w:tbl>
    <w:p w:rsidR="00906AFB" w:rsidRPr="00906AFB" w:rsidRDefault="00906AFB" w:rsidP="00906AFB">
      <w:pPr>
        <w:spacing w:after="0" w:line="240" w:lineRule="auto"/>
        <w:jc w:val="both"/>
        <w:rPr>
          <w:rFonts w:ascii="Arial" w:eastAsia="Calibri" w:hAnsi="Arial" w:cs="Arial"/>
          <w:b/>
          <w:sz w:val="24"/>
          <w:szCs w:val="24"/>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b/>
          <w:sz w:val="24"/>
          <w:szCs w:val="24"/>
          <w:lang w:val="es-ES" w:eastAsia="en-US"/>
        </w:rPr>
        <w:lastRenderedPageBreak/>
        <w:t>Artículo 12</w:t>
      </w:r>
      <w:r w:rsidRPr="00906AFB">
        <w:rPr>
          <w:rFonts w:ascii="Arial" w:eastAsia="Calibri" w:hAnsi="Arial" w:cs="Arial"/>
          <w:sz w:val="24"/>
          <w:szCs w:val="24"/>
          <w:lang w:val="es-ES" w:eastAsia="en-US"/>
        </w:rPr>
        <w:t xml:space="preserve">. De acuerdo con la Clasificación por Objeto del Gasto, el Presupuesto de Egresos del Estado de Colima se distribuye de la siguiente forma: </w:t>
      </w:r>
    </w:p>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Pr="00906AFB" w:rsidRDefault="00906AFB" w:rsidP="00906AFB">
      <w:pPr>
        <w:keepNext/>
        <w:keepLines/>
        <w:spacing w:after="0" w:line="240" w:lineRule="auto"/>
        <w:jc w:val="center"/>
        <w:outlineLvl w:val="1"/>
        <w:rPr>
          <w:rFonts w:ascii="Arial" w:eastAsia="Times New Roman" w:hAnsi="Arial" w:cs="Times New Roman"/>
          <w:b/>
          <w:sz w:val="20"/>
          <w:szCs w:val="26"/>
          <w:lang w:val="es-ES" w:eastAsia="en-US"/>
        </w:rPr>
      </w:pPr>
      <w:r w:rsidRPr="00906AFB">
        <w:rPr>
          <w:rFonts w:ascii="Arial" w:eastAsia="Times New Roman" w:hAnsi="Arial" w:cs="Times New Roman"/>
          <w:b/>
          <w:sz w:val="20"/>
          <w:szCs w:val="26"/>
          <w:lang w:val="es-ES" w:eastAsia="en-US"/>
        </w:rPr>
        <w:t>Tabla 3. Clasificación por Objeto del Gasto (Capítulo)</w:t>
      </w:r>
    </w:p>
    <w:tbl>
      <w:tblPr>
        <w:tblStyle w:val="Tablaconcuadrcula2"/>
        <w:tblW w:w="0" w:type="auto"/>
        <w:jc w:val="center"/>
        <w:tblInd w:w="0" w:type="dxa"/>
        <w:tblLook w:val="04A0" w:firstRow="1" w:lastRow="0" w:firstColumn="1" w:lastColumn="0" w:noHBand="0" w:noVBand="1"/>
      </w:tblPr>
      <w:tblGrid>
        <w:gridCol w:w="1016"/>
        <w:gridCol w:w="5148"/>
        <w:gridCol w:w="1607"/>
      </w:tblGrid>
      <w:tr w:rsidR="00906AFB" w:rsidRPr="00906AFB" w:rsidTr="000B1190">
        <w:trPr>
          <w:trHeight w:val="230"/>
          <w:jc w:val="center"/>
        </w:trPr>
        <w:tc>
          <w:tcPr>
            <w:tcW w:w="1016" w:type="dxa"/>
            <w:vMerge w:val="restart"/>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sz w:val="20"/>
              </w:rPr>
            </w:pPr>
            <w:r w:rsidRPr="00906AFB">
              <w:rPr>
                <w:rFonts w:ascii="Arial" w:hAnsi="Arial" w:cs="Arial"/>
                <w:b/>
                <w:sz w:val="20"/>
              </w:rPr>
              <w:t>Capítulo</w:t>
            </w:r>
          </w:p>
        </w:tc>
        <w:tc>
          <w:tcPr>
            <w:tcW w:w="5148" w:type="dxa"/>
            <w:vMerge w:val="restart"/>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sz w:val="20"/>
              </w:rPr>
            </w:pPr>
            <w:r w:rsidRPr="00906AFB">
              <w:rPr>
                <w:rFonts w:ascii="Arial" w:hAnsi="Arial" w:cs="Arial"/>
                <w:b/>
                <w:sz w:val="20"/>
              </w:rPr>
              <w:t>Concepto</w:t>
            </w:r>
          </w:p>
        </w:tc>
        <w:tc>
          <w:tcPr>
            <w:tcW w:w="1607" w:type="dxa"/>
            <w:vMerge w:val="restart"/>
            <w:tcBorders>
              <w:top w:val="single" w:sz="4" w:space="0" w:color="auto"/>
              <w:left w:val="single" w:sz="4" w:space="0" w:color="auto"/>
              <w:bottom w:val="single" w:sz="4" w:space="0" w:color="auto"/>
              <w:right w:val="single" w:sz="4" w:space="0" w:color="auto"/>
            </w:tcBorders>
            <w:vAlign w:val="center"/>
            <w:hideMark/>
          </w:tcPr>
          <w:p w:rsidR="00906AFB" w:rsidRPr="000B1190" w:rsidRDefault="00906AFB" w:rsidP="000B1190">
            <w:pPr>
              <w:jc w:val="center"/>
              <w:rPr>
                <w:rFonts w:ascii="Arial" w:hAnsi="Arial" w:cs="Arial"/>
                <w:b/>
                <w:sz w:val="20"/>
                <w:szCs w:val="20"/>
              </w:rPr>
            </w:pPr>
            <w:r w:rsidRPr="000B1190">
              <w:rPr>
                <w:rFonts w:ascii="Arial" w:hAnsi="Arial" w:cs="Arial"/>
                <w:b/>
                <w:sz w:val="20"/>
                <w:szCs w:val="20"/>
              </w:rPr>
              <w:t>Asignación Presupuestal</w:t>
            </w:r>
          </w:p>
        </w:tc>
      </w:tr>
      <w:tr w:rsidR="00906AFB" w:rsidRPr="00906AFB" w:rsidTr="00C041A9">
        <w:trPr>
          <w:trHeight w:val="50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b/>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b/>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06AFB" w:rsidRPr="000B1190" w:rsidRDefault="00906AFB" w:rsidP="000B1190">
            <w:pPr>
              <w:jc w:val="right"/>
              <w:rPr>
                <w:rFonts w:ascii="Arial" w:hAnsi="Arial" w:cs="Arial"/>
                <w:b/>
                <w:sz w:val="20"/>
                <w:szCs w:val="20"/>
              </w:rPr>
            </w:pPr>
          </w:p>
        </w:tc>
      </w:tr>
      <w:tr w:rsidR="00C041A9" w:rsidRPr="00906AFB" w:rsidTr="00C041A9">
        <w:trPr>
          <w:trHeight w:val="20"/>
          <w:jc w:val="center"/>
        </w:trPr>
        <w:tc>
          <w:tcPr>
            <w:tcW w:w="1016" w:type="dxa"/>
            <w:tcBorders>
              <w:top w:val="single" w:sz="4" w:space="0" w:color="auto"/>
              <w:left w:val="single" w:sz="4" w:space="0" w:color="auto"/>
              <w:bottom w:val="single" w:sz="4" w:space="0" w:color="auto"/>
              <w:right w:val="single" w:sz="4" w:space="0" w:color="auto"/>
            </w:tcBorders>
            <w:noWrap/>
            <w:vAlign w:val="center"/>
            <w:hideMark/>
          </w:tcPr>
          <w:p w:rsidR="00C041A9" w:rsidRPr="00906AFB" w:rsidRDefault="00C041A9" w:rsidP="00C041A9">
            <w:pPr>
              <w:jc w:val="center"/>
              <w:rPr>
                <w:rFonts w:ascii="Arial" w:hAnsi="Arial" w:cs="Arial"/>
                <w:sz w:val="20"/>
              </w:rPr>
            </w:pPr>
            <w:r w:rsidRPr="00906AFB">
              <w:rPr>
                <w:rFonts w:ascii="Arial" w:hAnsi="Arial" w:cs="Arial"/>
                <w:sz w:val="20"/>
              </w:rPr>
              <w:t>10000</w:t>
            </w:r>
          </w:p>
        </w:tc>
        <w:tc>
          <w:tcPr>
            <w:tcW w:w="5148" w:type="dxa"/>
            <w:tcBorders>
              <w:top w:val="single" w:sz="4" w:space="0" w:color="auto"/>
              <w:left w:val="single" w:sz="4" w:space="0" w:color="auto"/>
              <w:bottom w:val="single" w:sz="4" w:space="0" w:color="auto"/>
              <w:right w:val="single" w:sz="4" w:space="0" w:color="auto"/>
            </w:tcBorders>
            <w:noWrap/>
            <w:vAlign w:val="center"/>
            <w:hideMark/>
          </w:tcPr>
          <w:p w:rsidR="00C041A9" w:rsidRPr="00906AFB" w:rsidRDefault="00C041A9" w:rsidP="00C041A9">
            <w:pPr>
              <w:rPr>
                <w:rFonts w:ascii="Arial" w:hAnsi="Arial" w:cs="Arial"/>
                <w:sz w:val="20"/>
              </w:rPr>
            </w:pPr>
            <w:r w:rsidRPr="00906AFB">
              <w:rPr>
                <w:rFonts w:ascii="Arial" w:hAnsi="Arial" w:cs="Arial"/>
                <w:sz w:val="20"/>
              </w:rPr>
              <w:t>Servicios Personales</w:t>
            </w:r>
          </w:p>
        </w:tc>
        <w:tc>
          <w:tcPr>
            <w:tcW w:w="1607" w:type="dxa"/>
            <w:tcBorders>
              <w:top w:val="single" w:sz="4" w:space="0" w:color="auto"/>
              <w:left w:val="single" w:sz="4" w:space="0" w:color="auto"/>
              <w:bottom w:val="single" w:sz="4" w:space="0" w:color="auto"/>
              <w:right w:val="single" w:sz="4" w:space="0" w:color="auto"/>
            </w:tcBorders>
            <w:noWrap/>
            <w:vAlign w:val="center"/>
            <w:hideMark/>
          </w:tcPr>
          <w:p w:rsidR="00C041A9" w:rsidRPr="00C041A9" w:rsidRDefault="00C041A9" w:rsidP="00C041A9">
            <w:pPr>
              <w:jc w:val="right"/>
              <w:rPr>
                <w:rFonts w:ascii="Arial" w:hAnsi="Arial" w:cs="Arial"/>
                <w:sz w:val="20"/>
              </w:rPr>
            </w:pPr>
            <w:r w:rsidRPr="00C041A9">
              <w:rPr>
                <w:rFonts w:ascii="Arial" w:hAnsi="Arial" w:cs="Arial"/>
                <w:sz w:val="20"/>
              </w:rPr>
              <w:t>2,114,241,344</w:t>
            </w:r>
          </w:p>
        </w:tc>
      </w:tr>
      <w:tr w:rsidR="00C041A9" w:rsidRPr="00906AFB" w:rsidTr="00C041A9">
        <w:trPr>
          <w:trHeight w:val="20"/>
          <w:jc w:val="center"/>
        </w:trPr>
        <w:tc>
          <w:tcPr>
            <w:tcW w:w="1016" w:type="dxa"/>
            <w:tcBorders>
              <w:top w:val="single" w:sz="4" w:space="0" w:color="auto"/>
              <w:left w:val="single" w:sz="4" w:space="0" w:color="auto"/>
              <w:bottom w:val="single" w:sz="4" w:space="0" w:color="auto"/>
              <w:right w:val="single" w:sz="4" w:space="0" w:color="auto"/>
            </w:tcBorders>
            <w:noWrap/>
            <w:vAlign w:val="center"/>
            <w:hideMark/>
          </w:tcPr>
          <w:p w:rsidR="00C041A9" w:rsidRPr="00906AFB" w:rsidRDefault="00C041A9" w:rsidP="00C041A9">
            <w:pPr>
              <w:jc w:val="center"/>
              <w:rPr>
                <w:rFonts w:ascii="Arial" w:hAnsi="Arial" w:cs="Arial"/>
                <w:sz w:val="20"/>
              </w:rPr>
            </w:pPr>
            <w:r w:rsidRPr="00906AFB">
              <w:rPr>
                <w:rFonts w:ascii="Arial" w:hAnsi="Arial" w:cs="Arial"/>
                <w:sz w:val="20"/>
              </w:rPr>
              <w:t>20000</w:t>
            </w:r>
          </w:p>
        </w:tc>
        <w:tc>
          <w:tcPr>
            <w:tcW w:w="5148" w:type="dxa"/>
            <w:tcBorders>
              <w:top w:val="single" w:sz="4" w:space="0" w:color="auto"/>
              <w:left w:val="single" w:sz="4" w:space="0" w:color="auto"/>
              <w:bottom w:val="single" w:sz="4" w:space="0" w:color="auto"/>
              <w:right w:val="single" w:sz="4" w:space="0" w:color="auto"/>
            </w:tcBorders>
            <w:noWrap/>
            <w:vAlign w:val="center"/>
            <w:hideMark/>
          </w:tcPr>
          <w:p w:rsidR="00C041A9" w:rsidRPr="00906AFB" w:rsidRDefault="00C041A9" w:rsidP="00C041A9">
            <w:pPr>
              <w:rPr>
                <w:rFonts w:ascii="Arial" w:hAnsi="Arial" w:cs="Arial"/>
                <w:sz w:val="20"/>
              </w:rPr>
            </w:pPr>
            <w:r w:rsidRPr="00906AFB">
              <w:rPr>
                <w:rFonts w:ascii="Arial" w:hAnsi="Arial" w:cs="Arial"/>
                <w:sz w:val="20"/>
              </w:rPr>
              <w:t>Materiales y Suministros</w:t>
            </w:r>
          </w:p>
        </w:tc>
        <w:tc>
          <w:tcPr>
            <w:tcW w:w="1607" w:type="dxa"/>
            <w:tcBorders>
              <w:top w:val="single" w:sz="4" w:space="0" w:color="auto"/>
              <w:left w:val="single" w:sz="4" w:space="0" w:color="auto"/>
              <w:bottom w:val="single" w:sz="4" w:space="0" w:color="auto"/>
              <w:right w:val="single" w:sz="4" w:space="0" w:color="auto"/>
            </w:tcBorders>
            <w:noWrap/>
            <w:vAlign w:val="center"/>
            <w:hideMark/>
          </w:tcPr>
          <w:p w:rsidR="00C041A9" w:rsidRPr="00C041A9" w:rsidRDefault="00C041A9" w:rsidP="00C041A9">
            <w:pPr>
              <w:jc w:val="right"/>
              <w:rPr>
                <w:rFonts w:ascii="Arial" w:hAnsi="Arial" w:cs="Arial"/>
                <w:sz w:val="20"/>
              </w:rPr>
            </w:pPr>
            <w:r w:rsidRPr="00C041A9">
              <w:rPr>
                <w:rFonts w:ascii="Arial" w:hAnsi="Arial" w:cs="Arial"/>
                <w:sz w:val="20"/>
              </w:rPr>
              <w:t>174,586,299</w:t>
            </w:r>
          </w:p>
        </w:tc>
      </w:tr>
      <w:tr w:rsidR="00C041A9" w:rsidRPr="00906AFB" w:rsidTr="00C041A9">
        <w:trPr>
          <w:trHeight w:val="20"/>
          <w:jc w:val="center"/>
        </w:trPr>
        <w:tc>
          <w:tcPr>
            <w:tcW w:w="1016" w:type="dxa"/>
            <w:tcBorders>
              <w:top w:val="single" w:sz="4" w:space="0" w:color="auto"/>
              <w:left w:val="single" w:sz="4" w:space="0" w:color="auto"/>
              <w:bottom w:val="single" w:sz="4" w:space="0" w:color="auto"/>
              <w:right w:val="single" w:sz="4" w:space="0" w:color="auto"/>
            </w:tcBorders>
            <w:noWrap/>
            <w:vAlign w:val="center"/>
            <w:hideMark/>
          </w:tcPr>
          <w:p w:rsidR="00C041A9" w:rsidRPr="00906AFB" w:rsidRDefault="00C041A9" w:rsidP="00C041A9">
            <w:pPr>
              <w:jc w:val="center"/>
              <w:rPr>
                <w:rFonts w:ascii="Arial" w:hAnsi="Arial" w:cs="Arial"/>
                <w:sz w:val="20"/>
              </w:rPr>
            </w:pPr>
            <w:r w:rsidRPr="00906AFB">
              <w:rPr>
                <w:rFonts w:ascii="Arial" w:hAnsi="Arial" w:cs="Arial"/>
                <w:sz w:val="20"/>
              </w:rPr>
              <w:t>30000</w:t>
            </w:r>
          </w:p>
        </w:tc>
        <w:tc>
          <w:tcPr>
            <w:tcW w:w="5148" w:type="dxa"/>
            <w:tcBorders>
              <w:top w:val="single" w:sz="4" w:space="0" w:color="auto"/>
              <w:left w:val="single" w:sz="4" w:space="0" w:color="auto"/>
              <w:bottom w:val="single" w:sz="4" w:space="0" w:color="auto"/>
              <w:right w:val="single" w:sz="4" w:space="0" w:color="auto"/>
            </w:tcBorders>
            <w:noWrap/>
            <w:vAlign w:val="center"/>
            <w:hideMark/>
          </w:tcPr>
          <w:p w:rsidR="00C041A9" w:rsidRPr="00906AFB" w:rsidRDefault="00C041A9" w:rsidP="00C041A9">
            <w:pPr>
              <w:rPr>
                <w:rFonts w:ascii="Arial" w:hAnsi="Arial" w:cs="Arial"/>
                <w:sz w:val="20"/>
              </w:rPr>
            </w:pPr>
            <w:r w:rsidRPr="00906AFB">
              <w:rPr>
                <w:rFonts w:ascii="Arial" w:hAnsi="Arial" w:cs="Arial"/>
                <w:sz w:val="20"/>
              </w:rPr>
              <w:t>Servicios Generales</w:t>
            </w:r>
          </w:p>
        </w:tc>
        <w:tc>
          <w:tcPr>
            <w:tcW w:w="1607" w:type="dxa"/>
            <w:tcBorders>
              <w:top w:val="single" w:sz="4" w:space="0" w:color="auto"/>
              <w:left w:val="single" w:sz="4" w:space="0" w:color="auto"/>
              <w:bottom w:val="single" w:sz="4" w:space="0" w:color="auto"/>
              <w:right w:val="single" w:sz="4" w:space="0" w:color="auto"/>
            </w:tcBorders>
            <w:noWrap/>
            <w:vAlign w:val="center"/>
            <w:hideMark/>
          </w:tcPr>
          <w:p w:rsidR="00C041A9" w:rsidRPr="00C041A9" w:rsidRDefault="00C041A9" w:rsidP="00C041A9">
            <w:pPr>
              <w:jc w:val="right"/>
              <w:rPr>
                <w:rFonts w:ascii="Arial" w:hAnsi="Arial" w:cs="Arial"/>
                <w:sz w:val="20"/>
              </w:rPr>
            </w:pPr>
            <w:r w:rsidRPr="00C041A9">
              <w:rPr>
                <w:rFonts w:ascii="Arial" w:hAnsi="Arial" w:cs="Arial"/>
                <w:sz w:val="20"/>
              </w:rPr>
              <w:t>424,643,373</w:t>
            </w:r>
          </w:p>
        </w:tc>
      </w:tr>
      <w:tr w:rsidR="00C041A9" w:rsidRPr="00906AFB" w:rsidTr="00C041A9">
        <w:trPr>
          <w:trHeight w:val="20"/>
          <w:jc w:val="center"/>
        </w:trPr>
        <w:tc>
          <w:tcPr>
            <w:tcW w:w="1016" w:type="dxa"/>
            <w:tcBorders>
              <w:top w:val="single" w:sz="4" w:space="0" w:color="auto"/>
              <w:left w:val="single" w:sz="4" w:space="0" w:color="auto"/>
              <w:bottom w:val="single" w:sz="4" w:space="0" w:color="auto"/>
              <w:right w:val="single" w:sz="4" w:space="0" w:color="auto"/>
            </w:tcBorders>
            <w:noWrap/>
            <w:vAlign w:val="center"/>
            <w:hideMark/>
          </w:tcPr>
          <w:p w:rsidR="00C041A9" w:rsidRPr="00906AFB" w:rsidRDefault="00C041A9" w:rsidP="00C041A9">
            <w:pPr>
              <w:jc w:val="center"/>
              <w:rPr>
                <w:rFonts w:ascii="Arial" w:hAnsi="Arial" w:cs="Arial"/>
                <w:sz w:val="20"/>
              </w:rPr>
            </w:pPr>
            <w:r w:rsidRPr="00906AFB">
              <w:rPr>
                <w:rFonts w:ascii="Arial" w:hAnsi="Arial" w:cs="Arial"/>
                <w:sz w:val="20"/>
              </w:rPr>
              <w:t>40000</w:t>
            </w:r>
          </w:p>
        </w:tc>
        <w:tc>
          <w:tcPr>
            <w:tcW w:w="5148" w:type="dxa"/>
            <w:tcBorders>
              <w:top w:val="single" w:sz="4" w:space="0" w:color="auto"/>
              <w:left w:val="single" w:sz="4" w:space="0" w:color="auto"/>
              <w:bottom w:val="single" w:sz="4" w:space="0" w:color="auto"/>
              <w:right w:val="single" w:sz="4" w:space="0" w:color="auto"/>
            </w:tcBorders>
            <w:vAlign w:val="center"/>
            <w:hideMark/>
          </w:tcPr>
          <w:p w:rsidR="00C041A9" w:rsidRPr="00906AFB" w:rsidRDefault="00C041A9" w:rsidP="00C041A9">
            <w:pPr>
              <w:rPr>
                <w:rFonts w:ascii="Arial" w:hAnsi="Arial" w:cs="Arial"/>
                <w:sz w:val="20"/>
              </w:rPr>
            </w:pPr>
            <w:r w:rsidRPr="00906AFB">
              <w:rPr>
                <w:rFonts w:ascii="Arial" w:hAnsi="Arial" w:cs="Arial"/>
                <w:sz w:val="20"/>
              </w:rPr>
              <w:t>Transferencias, Asignaciones, Subsidios y Otras Ayudas</w:t>
            </w:r>
          </w:p>
        </w:tc>
        <w:tc>
          <w:tcPr>
            <w:tcW w:w="1607" w:type="dxa"/>
            <w:tcBorders>
              <w:top w:val="single" w:sz="4" w:space="0" w:color="auto"/>
              <w:left w:val="single" w:sz="4" w:space="0" w:color="auto"/>
              <w:bottom w:val="single" w:sz="4" w:space="0" w:color="auto"/>
              <w:right w:val="single" w:sz="4" w:space="0" w:color="auto"/>
            </w:tcBorders>
            <w:noWrap/>
            <w:vAlign w:val="center"/>
            <w:hideMark/>
          </w:tcPr>
          <w:p w:rsidR="00C041A9" w:rsidRPr="00C041A9" w:rsidRDefault="00C041A9" w:rsidP="00C041A9">
            <w:pPr>
              <w:jc w:val="right"/>
              <w:rPr>
                <w:rFonts w:ascii="Arial" w:hAnsi="Arial" w:cs="Arial"/>
                <w:sz w:val="20"/>
              </w:rPr>
            </w:pPr>
            <w:r w:rsidRPr="00C041A9">
              <w:rPr>
                <w:rFonts w:ascii="Arial" w:hAnsi="Arial" w:cs="Arial"/>
                <w:sz w:val="20"/>
              </w:rPr>
              <w:t>10,193,320,878</w:t>
            </w:r>
          </w:p>
        </w:tc>
      </w:tr>
      <w:tr w:rsidR="00C041A9" w:rsidRPr="00906AFB" w:rsidTr="00C041A9">
        <w:trPr>
          <w:trHeight w:val="20"/>
          <w:jc w:val="center"/>
        </w:trPr>
        <w:tc>
          <w:tcPr>
            <w:tcW w:w="1016" w:type="dxa"/>
            <w:tcBorders>
              <w:top w:val="single" w:sz="4" w:space="0" w:color="auto"/>
              <w:left w:val="single" w:sz="4" w:space="0" w:color="auto"/>
              <w:bottom w:val="single" w:sz="4" w:space="0" w:color="auto"/>
              <w:right w:val="single" w:sz="4" w:space="0" w:color="auto"/>
            </w:tcBorders>
            <w:noWrap/>
            <w:vAlign w:val="center"/>
            <w:hideMark/>
          </w:tcPr>
          <w:p w:rsidR="00C041A9" w:rsidRPr="00906AFB" w:rsidRDefault="00C041A9" w:rsidP="00C041A9">
            <w:pPr>
              <w:jc w:val="center"/>
              <w:rPr>
                <w:rFonts w:ascii="Arial" w:hAnsi="Arial" w:cs="Arial"/>
                <w:sz w:val="20"/>
              </w:rPr>
            </w:pPr>
            <w:r w:rsidRPr="00906AFB">
              <w:rPr>
                <w:rFonts w:ascii="Arial" w:hAnsi="Arial" w:cs="Arial"/>
                <w:sz w:val="20"/>
              </w:rPr>
              <w:t>50000</w:t>
            </w:r>
          </w:p>
        </w:tc>
        <w:tc>
          <w:tcPr>
            <w:tcW w:w="5148" w:type="dxa"/>
            <w:tcBorders>
              <w:top w:val="single" w:sz="4" w:space="0" w:color="auto"/>
              <w:left w:val="single" w:sz="4" w:space="0" w:color="auto"/>
              <w:bottom w:val="single" w:sz="4" w:space="0" w:color="auto"/>
              <w:right w:val="single" w:sz="4" w:space="0" w:color="auto"/>
            </w:tcBorders>
            <w:noWrap/>
            <w:vAlign w:val="center"/>
            <w:hideMark/>
          </w:tcPr>
          <w:p w:rsidR="00C041A9" w:rsidRPr="00906AFB" w:rsidRDefault="00C041A9" w:rsidP="00C041A9">
            <w:pPr>
              <w:rPr>
                <w:rFonts w:ascii="Arial" w:hAnsi="Arial" w:cs="Arial"/>
                <w:sz w:val="20"/>
              </w:rPr>
            </w:pPr>
            <w:r w:rsidRPr="00906AFB">
              <w:rPr>
                <w:rFonts w:ascii="Arial" w:hAnsi="Arial" w:cs="Arial"/>
                <w:sz w:val="20"/>
              </w:rPr>
              <w:t>Bienes Muebles, Inmuebles e Intangibles</w:t>
            </w:r>
          </w:p>
        </w:tc>
        <w:tc>
          <w:tcPr>
            <w:tcW w:w="1607" w:type="dxa"/>
            <w:tcBorders>
              <w:top w:val="single" w:sz="4" w:space="0" w:color="auto"/>
              <w:left w:val="single" w:sz="4" w:space="0" w:color="auto"/>
              <w:bottom w:val="single" w:sz="4" w:space="0" w:color="auto"/>
              <w:right w:val="single" w:sz="4" w:space="0" w:color="auto"/>
            </w:tcBorders>
            <w:noWrap/>
            <w:vAlign w:val="center"/>
            <w:hideMark/>
          </w:tcPr>
          <w:p w:rsidR="00C041A9" w:rsidRPr="00C041A9" w:rsidRDefault="00C041A9" w:rsidP="00C041A9">
            <w:pPr>
              <w:jc w:val="right"/>
              <w:rPr>
                <w:rFonts w:ascii="Arial" w:hAnsi="Arial" w:cs="Arial"/>
                <w:sz w:val="20"/>
              </w:rPr>
            </w:pPr>
            <w:r w:rsidRPr="00C041A9">
              <w:rPr>
                <w:rFonts w:ascii="Arial" w:hAnsi="Arial" w:cs="Arial"/>
                <w:sz w:val="20"/>
              </w:rPr>
              <w:t>47,953,757</w:t>
            </w:r>
          </w:p>
        </w:tc>
      </w:tr>
      <w:tr w:rsidR="00C041A9" w:rsidRPr="00906AFB" w:rsidTr="00C041A9">
        <w:trPr>
          <w:trHeight w:val="20"/>
          <w:jc w:val="center"/>
        </w:trPr>
        <w:tc>
          <w:tcPr>
            <w:tcW w:w="1016" w:type="dxa"/>
            <w:tcBorders>
              <w:top w:val="single" w:sz="4" w:space="0" w:color="auto"/>
              <w:left w:val="single" w:sz="4" w:space="0" w:color="auto"/>
              <w:bottom w:val="single" w:sz="4" w:space="0" w:color="auto"/>
              <w:right w:val="single" w:sz="4" w:space="0" w:color="auto"/>
            </w:tcBorders>
            <w:noWrap/>
            <w:vAlign w:val="center"/>
            <w:hideMark/>
          </w:tcPr>
          <w:p w:rsidR="00C041A9" w:rsidRPr="00906AFB" w:rsidRDefault="00C041A9" w:rsidP="00C041A9">
            <w:pPr>
              <w:jc w:val="center"/>
              <w:rPr>
                <w:rFonts w:ascii="Arial" w:hAnsi="Arial" w:cs="Arial"/>
                <w:sz w:val="20"/>
              </w:rPr>
            </w:pPr>
            <w:r w:rsidRPr="00906AFB">
              <w:rPr>
                <w:rFonts w:ascii="Arial" w:hAnsi="Arial" w:cs="Arial"/>
                <w:sz w:val="20"/>
              </w:rPr>
              <w:t>60000</w:t>
            </w:r>
          </w:p>
        </w:tc>
        <w:tc>
          <w:tcPr>
            <w:tcW w:w="5148" w:type="dxa"/>
            <w:tcBorders>
              <w:top w:val="single" w:sz="4" w:space="0" w:color="auto"/>
              <w:left w:val="single" w:sz="4" w:space="0" w:color="auto"/>
              <w:bottom w:val="single" w:sz="4" w:space="0" w:color="auto"/>
              <w:right w:val="single" w:sz="4" w:space="0" w:color="auto"/>
            </w:tcBorders>
            <w:noWrap/>
            <w:vAlign w:val="center"/>
            <w:hideMark/>
          </w:tcPr>
          <w:p w:rsidR="00C041A9" w:rsidRPr="00906AFB" w:rsidRDefault="00C041A9" w:rsidP="00C041A9">
            <w:pPr>
              <w:rPr>
                <w:rFonts w:ascii="Arial" w:hAnsi="Arial" w:cs="Arial"/>
                <w:sz w:val="20"/>
              </w:rPr>
            </w:pPr>
            <w:r w:rsidRPr="00906AFB">
              <w:rPr>
                <w:rFonts w:ascii="Arial" w:hAnsi="Arial" w:cs="Arial"/>
                <w:sz w:val="20"/>
              </w:rPr>
              <w:t>Inversión Pública</w:t>
            </w:r>
          </w:p>
        </w:tc>
        <w:tc>
          <w:tcPr>
            <w:tcW w:w="1607" w:type="dxa"/>
            <w:tcBorders>
              <w:top w:val="single" w:sz="4" w:space="0" w:color="auto"/>
              <w:left w:val="single" w:sz="4" w:space="0" w:color="auto"/>
              <w:bottom w:val="single" w:sz="4" w:space="0" w:color="auto"/>
              <w:right w:val="single" w:sz="4" w:space="0" w:color="auto"/>
            </w:tcBorders>
            <w:noWrap/>
            <w:vAlign w:val="center"/>
            <w:hideMark/>
          </w:tcPr>
          <w:p w:rsidR="00C041A9" w:rsidRPr="00C041A9" w:rsidRDefault="00C041A9" w:rsidP="00C041A9">
            <w:pPr>
              <w:jc w:val="right"/>
              <w:rPr>
                <w:rFonts w:ascii="Arial" w:hAnsi="Arial" w:cs="Arial"/>
                <w:sz w:val="20"/>
              </w:rPr>
            </w:pPr>
            <w:r w:rsidRPr="00C041A9">
              <w:rPr>
                <w:rFonts w:ascii="Arial" w:hAnsi="Arial" w:cs="Arial"/>
                <w:sz w:val="20"/>
              </w:rPr>
              <w:t>285,922,900</w:t>
            </w:r>
          </w:p>
        </w:tc>
      </w:tr>
      <w:tr w:rsidR="00C041A9" w:rsidRPr="00906AFB" w:rsidTr="00C041A9">
        <w:trPr>
          <w:trHeight w:val="20"/>
          <w:jc w:val="center"/>
        </w:trPr>
        <w:tc>
          <w:tcPr>
            <w:tcW w:w="1016" w:type="dxa"/>
            <w:tcBorders>
              <w:top w:val="single" w:sz="4" w:space="0" w:color="auto"/>
              <w:left w:val="single" w:sz="4" w:space="0" w:color="auto"/>
              <w:bottom w:val="single" w:sz="4" w:space="0" w:color="auto"/>
              <w:right w:val="single" w:sz="4" w:space="0" w:color="auto"/>
            </w:tcBorders>
            <w:noWrap/>
            <w:vAlign w:val="center"/>
            <w:hideMark/>
          </w:tcPr>
          <w:p w:rsidR="00C041A9" w:rsidRPr="00906AFB" w:rsidRDefault="00C041A9" w:rsidP="00C041A9">
            <w:pPr>
              <w:jc w:val="center"/>
              <w:rPr>
                <w:rFonts w:ascii="Arial" w:hAnsi="Arial" w:cs="Arial"/>
                <w:sz w:val="20"/>
              </w:rPr>
            </w:pPr>
            <w:r w:rsidRPr="00906AFB">
              <w:rPr>
                <w:rFonts w:ascii="Arial" w:hAnsi="Arial" w:cs="Arial"/>
                <w:sz w:val="20"/>
              </w:rPr>
              <w:t>70000</w:t>
            </w:r>
          </w:p>
        </w:tc>
        <w:tc>
          <w:tcPr>
            <w:tcW w:w="5148" w:type="dxa"/>
            <w:tcBorders>
              <w:top w:val="single" w:sz="4" w:space="0" w:color="auto"/>
              <w:left w:val="single" w:sz="4" w:space="0" w:color="auto"/>
              <w:bottom w:val="single" w:sz="4" w:space="0" w:color="auto"/>
              <w:right w:val="single" w:sz="4" w:space="0" w:color="auto"/>
            </w:tcBorders>
            <w:noWrap/>
            <w:vAlign w:val="center"/>
            <w:hideMark/>
          </w:tcPr>
          <w:p w:rsidR="00C041A9" w:rsidRPr="00906AFB" w:rsidRDefault="00C041A9" w:rsidP="00C041A9">
            <w:pPr>
              <w:rPr>
                <w:rFonts w:ascii="Arial" w:hAnsi="Arial" w:cs="Arial"/>
                <w:sz w:val="20"/>
              </w:rPr>
            </w:pPr>
            <w:r w:rsidRPr="00906AFB">
              <w:rPr>
                <w:rFonts w:ascii="Arial" w:hAnsi="Arial" w:cs="Arial"/>
                <w:sz w:val="20"/>
              </w:rPr>
              <w:t>Inversiones Financieras y Otras Provisiones</w:t>
            </w:r>
          </w:p>
        </w:tc>
        <w:tc>
          <w:tcPr>
            <w:tcW w:w="1607" w:type="dxa"/>
            <w:tcBorders>
              <w:top w:val="single" w:sz="4" w:space="0" w:color="auto"/>
              <w:left w:val="single" w:sz="4" w:space="0" w:color="auto"/>
              <w:bottom w:val="single" w:sz="4" w:space="0" w:color="auto"/>
              <w:right w:val="single" w:sz="4" w:space="0" w:color="auto"/>
            </w:tcBorders>
            <w:noWrap/>
            <w:vAlign w:val="center"/>
            <w:hideMark/>
          </w:tcPr>
          <w:p w:rsidR="00C041A9" w:rsidRPr="00C041A9" w:rsidRDefault="00C041A9" w:rsidP="00C041A9">
            <w:pPr>
              <w:jc w:val="right"/>
              <w:rPr>
                <w:rFonts w:ascii="Arial" w:hAnsi="Arial" w:cs="Arial"/>
                <w:sz w:val="20"/>
              </w:rPr>
            </w:pPr>
            <w:r w:rsidRPr="00C041A9">
              <w:rPr>
                <w:rFonts w:ascii="Arial" w:hAnsi="Arial" w:cs="Arial"/>
                <w:sz w:val="20"/>
              </w:rPr>
              <w:t>27,114,000</w:t>
            </w:r>
          </w:p>
        </w:tc>
      </w:tr>
      <w:tr w:rsidR="00C041A9" w:rsidRPr="00906AFB" w:rsidTr="00C041A9">
        <w:trPr>
          <w:trHeight w:val="20"/>
          <w:jc w:val="center"/>
        </w:trPr>
        <w:tc>
          <w:tcPr>
            <w:tcW w:w="1016" w:type="dxa"/>
            <w:tcBorders>
              <w:top w:val="single" w:sz="4" w:space="0" w:color="auto"/>
              <w:left w:val="single" w:sz="4" w:space="0" w:color="auto"/>
              <w:bottom w:val="single" w:sz="4" w:space="0" w:color="auto"/>
              <w:right w:val="single" w:sz="4" w:space="0" w:color="auto"/>
            </w:tcBorders>
            <w:noWrap/>
            <w:vAlign w:val="center"/>
            <w:hideMark/>
          </w:tcPr>
          <w:p w:rsidR="00C041A9" w:rsidRPr="00906AFB" w:rsidRDefault="00C041A9" w:rsidP="00C041A9">
            <w:pPr>
              <w:jc w:val="center"/>
              <w:rPr>
                <w:rFonts w:ascii="Arial" w:hAnsi="Arial" w:cs="Arial"/>
                <w:sz w:val="20"/>
              </w:rPr>
            </w:pPr>
            <w:r w:rsidRPr="00906AFB">
              <w:rPr>
                <w:rFonts w:ascii="Arial" w:hAnsi="Arial" w:cs="Arial"/>
                <w:sz w:val="20"/>
              </w:rPr>
              <w:t>80000</w:t>
            </w:r>
          </w:p>
        </w:tc>
        <w:tc>
          <w:tcPr>
            <w:tcW w:w="5148" w:type="dxa"/>
            <w:tcBorders>
              <w:top w:val="single" w:sz="4" w:space="0" w:color="auto"/>
              <w:left w:val="single" w:sz="4" w:space="0" w:color="auto"/>
              <w:bottom w:val="single" w:sz="4" w:space="0" w:color="auto"/>
              <w:right w:val="single" w:sz="4" w:space="0" w:color="auto"/>
            </w:tcBorders>
            <w:noWrap/>
            <w:vAlign w:val="center"/>
            <w:hideMark/>
          </w:tcPr>
          <w:p w:rsidR="00C041A9" w:rsidRPr="00906AFB" w:rsidRDefault="00C041A9" w:rsidP="00C041A9">
            <w:pPr>
              <w:rPr>
                <w:rFonts w:ascii="Arial" w:hAnsi="Arial" w:cs="Arial"/>
                <w:sz w:val="20"/>
              </w:rPr>
            </w:pPr>
            <w:r w:rsidRPr="00906AFB">
              <w:rPr>
                <w:rFonts w:ascii="Arial" w:hAnsi="Arial" w:cs="Arial"/>
                <w:sz w:val="20"/>
              </w:rPr>
              <w:t>Participaciones y Aportaciones</w:t>
            </w:r>
          </w:p>
        </w:tc>
        <w:tc>
          <w:tcPr>
            <w:tcW w:w="1607" w:type="dxa"/>
            <w:tcBorders>
              <w:top w:val="single" w:sz="4" w:space="0" w:color="auto"/>
              <w:left w:val="single" w:sz="4" w:space="0" w:color="auto"/>
              <w:bottom w:val="single" w:sz="4" w:space="0" w:color="auto"/>
              <w:right w:val="single" w:sz="4" w:space="0" w:color="auto"/>
            </w:tcBorders>
            <w:noWrap/>
            <w:vAlign w:val="center"/>
            <w:hideMark/>
          </w:tcPr>
          <w:p w:rsidR="00C041A9" w:rsidRPr="00C041A9" w:rsidRDefault="00C041A9" w:rsidP="00C041A9">
            <w:pPr>
              <w:jc w:val="right"/>
              <w:rPr>
                <w:rFonts w:ascii="Arial" w:hAnsi="Arial" w:cs="Arial"/>
                <w:sz w:val="20"/>
              </w:rPr>
            </w:pPr>
            <w:r w:rsidRPr="00C041A9">
              <w:rPr>
                <w:rFonts w:ascii="Arial" w:hAnsi="Arial" w:cs="Arial"/>
                <w:sz w:val="20"/>
              </w:rPr>
              <w:t>1,839,736,780</w:t>
            </w:r>
          </w:p>
        </w:tc>
      </w:tr>
      <w:tr w:rsidR="00C041A9" w:rsidRPr="00906AFB" w:rsidTr="00C041A9">
        <w:trPr>
          <w:trHeight w:val="20"/>
          <w:jc w:val="center"/>
        </w:trPr>
        <w:tc>
          <w:tcPr>
            <w:tcW w:w="1016" w:type="dxa"/>
            <w:tcBorders>
              <w:top w:val="single" w:sz="4" w:space="0" w:color="auto"/>
              <w:left w:val="single" w:sz="4" w:space="0" w:color="auto"/>
              <w:bottom w:val="single" w:sz="4" w:space="0" w:color="auto"/>
              <w:right w:val="single" w:sz="4" w:space="0" w:color="auto"/>
            </w:tcBorders>
            <w:noWrap/>
            <w:vAlign w:val="center"/>
            <w:hideMark/>
          </w:tcPr>
          <w:p w:rsidR="00C041A9" w:rsidRPr="00906AFB" w:rsidRDefault="00C041A9" w:rsidP="00C041A9">
            <w:pPr>
              <w:jc w:val="center"/>
              <w:rPr>
                <w:rFonts w:ascii="Arial" w:hAnsi="Arial" w:cs="Arial"/>
                <w:sz w:val="20"/>
              </w:rPr>
            </w:pPr>
            <w:r w:rsidRPr="00906AFB">
              <w:rPr>
                <w:rFonts w:ascii="Arial" w:hAnsi="Arial" w:cs="Arial"/>
                <w:sz w:val="20"/>
              </w:rPr>
              <w:t>90000</w:t>
            </w:r>
          </w:p>
        </w:tc>
        <w:tc>
          <w:tcPr>
            <w:tcW w:w="5148" w:type="dxa"/>
            <w:tcBorders>
              <w:top w:val="single" w:sz="4" w:space="0" w:color="auto"/>
              <w:left w:val="single" w:sz="4" w:space="0" w:color="auto"/>
              <w:bottom w:val="single" w:sz="4" w:space="0" w:color="auto"/>
              <w:right w:val="single" w:sz="4" w:space="0" w:color="auto"/>
            </w:tcBorders>
            <w:noWrap/>
            <w:vAlign w:val="center"/>
            <w:hideMark/>
          </w:tcPr>
          <w:p w:rsidR="00C041A9" w:rsidRPr="00906AFB" w:rsidRDefault="00C041A9" w:rsidP="00C041A9">
            <w:pPr>
              <w:rPr>
                <w:rFonts w:ascii="Arial" w:hAnsi="Arial" w:cs="Arial"/>
                <w:sz w:val="20"/>
              </w:rPr>
            </w:pPr>
            <w:r w:rsidRPr="00906AFB">
              <w:rPr>
                <w:rFonts w:ascii="Arial" w:hAnsi="Arial" w:cs="Arial"/>
                <w:sz w:val="20"/>
              </w:rPr>
              <w:t>Deuda Pública</w:t>
            </w:r>
          </w:p>
        </w:tc>
        <w:tc>
          <w:tcPr>
            <w:tcW w:w="1607" w:type="dxa"/>
            <w:tcBorders>
              <w:top w:val="single" w:sz="4" w:space="0" w:color="auto"/>
              <w:left w:val="single" w:sz="4" w:space="0" w:color="auto"/>
              <w:bottom w:val="single" w:sz="4" w:space="0" w:color="auto"/>
              <w:right w:val="single" w:sz="4" w:space="0" w:color="auto"/>
            </w:tcBorders>
            <w:noWrap/>
            <w:vAlign w:val="center"/>
            <w:hideMark/>
          </w:tcPr>
          <w:p w:rsidR="00C041A9" w:rsidRPr="00C041A9" w:rsidRDefault="00C041A9" w:rsidP="00C041A9">
            <w:pPr>
              <w:jc w:val="right"/>
              <w:rPr>
                <w:rFonts w:ascii="Arial" w:hAnsi="Arial" w:cs="Arial"/>
                <w:sz w:val="20"/>
              </w:rPr>
            </w:pPr>
            <w:r w:rsidRPr="00C041A9">
              <w:rPr>
                <w:rFonts w:ascii="Arial" w:hAnsi="Arial" w:cs="Arial"/>
                <w:sz w:val="20"/>
              </w:rPr>
              <w:t>410,005,670</w:t>
            </w:r>
          </w:p>
        </w:tc>
      </w:tr>
      <w:tr w:rsidR="00C041A9" w:rsidRPr="00906AFB" w:rsidTr="00C041A9">
        <w:trPr>
          <w:trHeight w:val="448"/>
          <w:jc w:val="center"/>
        </w:trPr>
        <w:tc>
          <w:tcPr>
            <w:tcW w:w="1016" w:type="dxa"/>
            <w:tcBorders>
              <w:top w:val="single" w:sz="4" w:space="0" w:color="auto"/>
              <w:left w:val="single" w:sz="4" w:space="0" w:color="auto"/>
              <w:bottom w:val="single" w:sz="4" w:space="0" w:color="auto"/>
              <w:right w:val="single" w:sz="4" w:space="0" w:color="auto"/>
            </w:tcBorders>
            <w:noWrap/>
            <w:vAlign w:val="center"/>
            <w:hideMark/>
          </w:tcPr>
          <w:p w:rsidR="00C041A9" w:rsidRPr="00906AFB" w:rsidRDefault="00C041A9" w:rsidP="00C041A9">
            <w:pPr>
              <w:spacing w:before="120" w:after="120" w:line="360" w:lineRule="auto"/>
              <w:jc w:val="both"/>
              <w:rPr>
                <w:rFonts w:ascii="Arial" w:hAnsi="Arial" w:cs="Arial"/>
                <w:sz w:val="20"/>
              </w:rPr>
            </w:pPr>
          </w:p>
        </w:tc>
        <w:tc>
          <w:tcPr>
            <w:tcW w:w="5148" w:type="dxa"/>
            <w:tcBorders>
              <w:top w:val="single" w:sz="4" w:space="0" w:color="auto"/>
              <w:left w:val="single" w:sz="4" w:space="0" w:color="auto"/>
              <w:bottom w:val="single" w:sz="4" w:space="0" w:color="auto"/>
              <w:right w:val="single" w:sz="4" w:space="0" w:color="auto"/>
            </w:tcBorders>
            <w:noWrap/>
            <w:vAlign w:val="center"/>
            <w:hideMark/>
          </w:tcPr>
          <w:p w:rsidR="00C041A9" w:rsidRPr="00906AFB" w:rsidRDefault="00C041A9" w:rsidP="00C041A9">
            <w:pPr>
              <w:jc w:val="center"/>
              <w:rPr>
                <w:rFonts w:ascii="Arial" w:hAnsi="Arial" w:cs="Arial"/>
                <w:b/>
                <w:bCs/>
                <w:sz w:val="20"/>
              </w:rPr>
            </w:pPr>
            <w:r w:rsidRPr="00906AFB">
              <w:rPr>
                <w:rFonts w:ascii="Arial" w:hAnsi="Arial" w:cs="Arial"/>
                <w:b/>
                <w:bCs/>
                <w:sz w:val="20"/>
              </w:rPr>
              <w:t>Total</w:t>
            </w:r>
          </w:p>
        </w:tc>
        <w:tc>
          <w:tcPr>
            <w:tcW w:w="1607" w:type="dxa"/>
            <w:tcBorders>
              <w:top w:val="single" w:sz="4" w:space="0" w:color="auto"/>
              <w:left w:val="single" w:sz="4" w:space="0" w:color="auto"/>
              <w:bottom w:val="single" w:sz="4" w:space="0" w:color="auto"/>
              <w:right w:val="single" w:sz="4" w:space="0" w:color="auto"/>
            </w:tcBorders>
            <w:noWrap/>
            <w:vAlign w:val="center"/>
            <w:hideMark/>
          </w:tcPr>
          <w:p w:rsidR="00C041A9" w:rsidRPr="00C041A9" w:rsidRDefault="00C041A9" w:rsidP="00C041A9">
            <w:pPr>
              <w:jc w:val="right"/>
              <w:rPr>
                <w:rFonts w:ascii="Arial" w:hAnsi="Arial" w:cs="Arial"/>
                <w:b/>
                <w:sz w:val="20"/>
              </w:rPr>
            </w:pPr>
            <w:r w:rsidRPr="00C041A9">
              <w:rPr>
                <w:rFonts w:ascii="Arial" w:hAnsi="Arial" w:cs="Arial"/>
                <w:b/>
                <w:sz w:val="20"/>
              </w:rPr>
              <w:t>15,517,525,000</w:t>
            </w:r>
          </w:p>
        </w:tc>
      </w:tr>
    </w:tbl>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sz w:val="24"/>
          <w:szCs w:val="24"/>
          <w:lang w:val="es-ES" w:eastAsia="en-US"/>
        </w:rPr>
        <w:t xml:space="preserve">En el </w:t>
      </w:r>
      <w:r w:rsidRPr="00906AFB">
        <w:rPr>
          <w:rFonts w:ascii="Arial" w:eastAsia="Calibri" w:hAnsi="Arial" w:cs="Arial"/>
          <w:b/>
          <w:sz w:val="24"/>
          <w:szCs w:val="24"/>
          <w:lang w:val="es-ES" w:eastAsia="en-US"/>
        </w:rPr>
        <w:t>Anexo 1</w:t>
      </w:r>
      <w:r w:rsidRPr="00906AFB">
        <w:rPr>
          <w:rFonts w:ascii="Arial" w:eastAsia="Calibri" w:hAnsi="Arial" w:cs="Arial"/>
          <w:sz w:val="24"/>
          <w:szCs w:val="24"/>
          <w:lang w:val="es-ES" w:eastAsia="en-US"/>
        </w:rPr>
        <w:t xml:space="preserve"> del presente Decreto, se presenta la Clasificación por Objeto del Gasto a nivel de Capítulo, Concepto, Partida Genérica y Partida Específica; además, se incluye el desglose de los gastos en Comunicación; Deuda Pública; Subsidios y Subvenciones; Ayudas Sociales; Pensiones y Jubilaciones. </w:t>
      </w:r>
    </w:p>
    <w:p w:rsidR="00906AFB" w:rsidRPr="00906AFB" w:rsidRDefault="00906AFB" w:rsidP="00906AFB">
      <w:pPr>
        <w:spacing w:after="0" w:line="240" w:lineRule="auto"/>
        <w:jc w:val="both"/>
        <w:rPr>
          <w:rFonts w:ascii="Arial" w:eastAsia="Calibri" w:hAnsi="Arial" w:cs="Arial"/>
          <w:b/>
          <w:sz w:val="24"/>
          <w:szCs w:val="24"/>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b/>
          <w:sz w:val="24"/>
          <w:szCs w:val="24"/>
          <w:lang w:val="es-ES" w:eastAsia="en-US"/>
        </w:rPr>
        <w:t>Artículo 13</w:t>
      </w:r>
      <w:r w:rsidRPr="00906AFB">
        <w:rPr>
          <w:rFonts w:ascii="Arial" w:eastAsia="Calibri" w:hAnsi="Arial" w:cs="Arial"/>
          <w:sz w:val="24"/>
          <w:szCs w:val="24"/>
          <w:lang w:val="es-ES" w:eastAsia="en-US"/>
        </w:rPr>
        <w:t>.</w:t>
      </w:r>
      <w:r w:rsidRPr="00906AFB">
        <w:rPr>
          <w:rFonts w:ascii="Arial" w:eastAsia="Calibri" w:hAnsi="Arial" w:cs="Arial"/>
          <w:color w:val="FF0000"/>
          <w:sz w:val="24"/>
          <w:szCs w:val="24"/>
          <w:lang w:val="es-ES" w:eastAsia="en-US"/>
        </w:rPr>
        <w:t xml:space="preserve"> </w:t>
      </w:r>
      <w:r w:rsidRPr="00906AFB">
        <w:rPr>
          <w:rFonts w:ascii="Arial" w:eastAsia="Calibri" w:hAnsi="Arial" w:cs="Arial"/>
          <w:sz w:val="24"/>
          <w:szCs w:val="24"/>
          <w:lang w:val="es-ES" w:eastAsia="en-US"/>
        </w:rPr>
        <w:t xml:space="preserve">Las asignaciones previstas para los </w:t>
      </w:r>
      <w:r w:rsidRPr="00C041A9">
        <w:rPr>
          <w:rFonts w:ascii="Arial" w:eastAsia="Calibri" w:hAnsi="Arial" w:cs="Arial"/>
          <w:b/>
          <w:sz w:val="24"/>
          <w:szCs w:val="24"/>
          <w:lang w:val="es-ES" w:eastAsia="en-US"/>
        </w:rPr>
        <w:t>Organismos Autónomos</w:t>
      </w:r>
      <w:r w:rsidRPr="00906AFB">
        <w:rPr>
          <w:rFonts w:ascii="Arial" w:eastAsia="Calibri" w:hAnsi="Arial" w:cs="Arial"/>
          <w:sz w:val="24"/>
          <w:szCs w:val="24"/>
          <w:lang w:val="es-ES" w:eastAsia="en-US"/>
        </w:rPr>
        <w:t xml:space="preserve"> importan la cantidad de $364,467,400, y se distribuye de la siguiente manera a nivel Partida:</w:t>
      </w:r>
    </w:p>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Pr="00906AFB" w:rsidRDefault="00906AFB" w:rsidP="00906AFB">
      <w:pPr>
        <w:keepNext/>
        <w:keepLines/>
        <w:spacing w:after="0" w:line="240" w:lineRule="auto"/>
        <w:jc w:val="center"/>
        <w:outlineLvl w:val="1"/>
        <w:rPr>
          <w:rFonts w:ascii="Arial" w:eastAsia="Times New Roman" w:hAnsi="Arial" w:cs="Times New Roman"/>
          <w:b/>
          <w:sz w:val="20"/>
          <w:szCs w:val="26"/>
          <w:lang w:val="es-ES" w:eastAsia="en-US"/>
        </w:rPr>
      </w:pPr>
      <w:bookmarkStart w:id="3" w:name="_MON_1383569606"/>
      <w:bookmarkStart w:id="4" w:name="_MON_1381441842"/>
      <w:bookmarkStart w:id="5" w:name="_MON_1381441854"/>
      <w:bookmarkStart w:id="6" w:name="_MON_1381441860"/>
      <w:bookmarkStart w:id="7" w:name="_MON_1381441868"/>
      <w:bookmarkStart w:id="8" w:name="_MON_1381441887"/>
      <w:bookmarkEnd w:id="3"/>
      <w:bookmarkEnd w:id="4"/>
      <w:bookmarkEnd w:id="5"/>
      <w:bookmarkEnd w:id="6"/>
      <w:bookmarkEnd w:id="7"/>
      <w:bookmarkEnd w:id="8"/>
      <w:r w:rsidRPr="00906AFB">
        <w:rPr>
          <w:rFonts w:ascii="Arial" w:eastAsia="Times New Roman" w:hAnsi="Arial" w:cs="Times New Roman"/>
          <w:b/>
          <w:sz w:val="20"/>
          <w:szCs w:val="26"/>
          <w:lang w:val="es-ES" w:eastAsia="en-US"/>
        </w:rPr>
        <w:t>Tabla 4. Organismos Autónomos</w:t>
      </w:r>
    </w:p>
    <w:tbl>
      <w:tblPr>
        <w:tblStyle w:val="Tablaconcuadrcula2"/>
        <w:tblW w:w="0" w:type="auto"/>
        <w:tblInd w:w="108" w:type="dxa"/>
        <w:tblLook w:val="04A0" w:firstRow="1" w:lastRow="0" w:firstColumn="1" w:lastColumn="0" w:noHBand="0" w:noVBand="1"/>
      </w:tblPr>
      <w:tblGrid>
        <w:gridCol w:w="917"/>
        <w:gridCol w:w="6084"/>
        <w:gridCol w:w="1504"/>
      </w:tblGrid>
      <w:tr w:rsidR="00906AFB" w:rsidRPr="00906AFB" w:rsidTr="00906AFB">
        <w:trPr>
          <w:trHeight w:val="283"/>
        </w:trPr>
        <w:tc>
          <w:tcPr>
            <w:tcW w:w="91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bCs/>
                <w:sz w:val="20"/>
              </w:rPr>
            </w:pPr>
            <w:r w:rsidRPr="00906AFB">
              <w:rPr>
                <w:rFonts w:ascii="Arial" w:hAnsi="Arial" w:cs="Arial"/>
                <w:b/>
                <w:bCs/>
                <w:sz w:val="20"/>
              </w:rPr>
              <w:t>Partida</w:t>
            </w:r>
          </w:p>
        </w:tc>
        <w:tc>
          <w:tcPr>
            <w:tcW w:w="6084"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bCs/>
                <w:sz w:val="20"/>
              </w:rPr>
            </w:pPr>
            <w:r w:rsidRPr="00906AFB">
              <w:rPr>
                <w:rFonts w:ascii="Arial" w:hAnsi="Arial" w:cs="Arial"/>
                <w:b/>
                <w:bCs/>
                <w:sz w:val="20"/>
              </w:rPr>
              <w:t>Nombre del Organismo</w:t>
            </w:r>
          </w:p>
        </w:tc>
        <w:tc>
          <w:tcPr>
            <w:tcW w:w="1504"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bCs/>
                <w:sz w:val="20"/>
              </w:rPr>
            </w:pPr>
            <w:r w:rsidRPr="00906AFB">
              <w:rPr>
                <w:rFonts w:ascii="Arial" w:hAnsi="Arial" w:cs="Arial"/>
                <w:b/>
                <w:bCs/>
                <w:sz w:val="20"/>
              </w:rPr>
              <w:t>Asignación Presupuestal</w:t>
            </w:r>
          </w:p>
        </w:tc>
      </w:tr>
      <w:tr w:rsidR="00906AFB" w:rsidRPr="00906AFB" w:rsidTr="00906AFB">
        <w:trPr>
          <w:trHeight w:val="283"/>
        </w:trPr>
        <w:tc>
          <w:tcPr>
            <w:tcW w:w="91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sz w:val="20"/>
              </w:rPr>
            </w:pPr>
            <w:r w:rsidRPr="00906AFB">
              <w:rPr>
                <w:rFonts w:ascii="Arial" w:hAnsi="Arial" w:cs="Arial"/>
                <w:sz w:val="20"/>
              </w:rPr>
              <w:t>41401</w:t>
            </w:r>
          </w:p>
        </w:tc>
        <w:tc>
          <w:tcPr>
            <w:tcW w:w="6084"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20"/>
              </w:rPr>
            </w:pPr>
            <w:r w:rsidRPr="00906AFB">
              <w:rPr>
                <w:rFonts w:ascii="Arial" w:hAnsi="Arial" w:cs="Arial"/>
                <w:sz w:val="20"/>
              </w:rPr>
              <w:t>Universidad de Colima</w:t>
            </w:r>
          </w:p>
        </w:tc>
        <w:tc>
          <w:tcPr>
            <w:tcW w:w="150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20"/>
              </w:rPr>
            </w:pPr>
            <w:r w:rsidRPr="00906AFB">
              <w:rPr>
                <w:rFonts w:ascii="Arial" w:hAnsi="Arial" w:cs="Arial"/>
                <w:sz w:val="20"/>
              </w:rPr>
              <w:t>251,605,272</w:t>
            </w:r>
          </w:p>
        </w:tc>
      </w:tr>
      <w:tr w:rsidR="00906AFB" w:rsidRPr="00906AFB" w:rsidTr="00906AFB">
        <w:trPr>
          <w:trHeight w:val="283"/>
        </w:trPr>
        <w:tc>
          <w:tcPr>
            <w:tcW w:w="91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sz w:val="20"/>
              </w:rPr>
            </w:pPr>
            <w:r w:rsidRPr="00906AFB">
              <w:rPr>
                <w:rFonts w:ascii="Arial" w:hAnsi="Arial" w:cs="Arial"/>
                <w:sz w:val="20"/>
              </w:rPr>
              <w:t>41402</w:t>
            </w:r>
          </w:p>
        </w:tc>
        <w:tc>
          <w:tcPr>
            <w:tcW w:w="6084"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20"/>
              </w:rPr>
            </w:pPr>
            <w:r w:rsidRPr="00906AFB">
              <w:rPr>
                <w:rFonts w:ascii="Arial" w:hAnsi="Arial" w:cs="Arial"/>
                <w:sz w:val="20"/>
              </w:rPr>
              <w:t>Instituto de Transparencia, Acceso a la Información Pública y Protección de Datos del Estado de Colima</w:t>
            </w:r>
          </w:p>
        </w:tc>
        <w:tc>
          <w:tcPr>
            <w:tcW w:w="150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20"/>
              </w:rPr>
            </w:pPr>
            <w:r w:rsidRPr="00906AFB">
              <w:rPr>
                <w:rFonts w:ascii="Arial" w:hAnsi="Arial" w:cs="Arial"/>
                <w:sz w:val="20"/>
              </w:rPr>
              <w:t>7,000,000</w:t>
            </w:r>
          </w:p>
        </w:tc>
      </w:tr>
      <w:tr w:rsidR="00906AFB" w:rsidRPr="00906AFB" w:rsidTr="00906AFB">
        <w:trPr>
          <w:trHeight w:val="283"/>
        </w:trPr>
        <w:tc>
          <w:tcPr>
            <w:tcW w:w="91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sz w:val="20"/>
              </w:rPr>
            </w:pPr>
            <w:r w:rsidRPr="00906AFB">
              <w:rPr>
                <w:rFonts w:ascii="Arial" w:hAnsi="Arial" w:cs="Arial"/>
                <w:sz w:val="20"/>
              </w:rPr>
              <w:t>41203</w:t>
            </w:r>
          </w:p>
        </w:tc>
        <w:tc>
          <w:tcPr>
            <w:tcW w:w="608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rPr>
                <w:rFonts w:ascii="Arial" w:hAnsi="Arial" w:cs="Arial"/>
                <w:sz w:val="20"/>
              </w:rPr>
            </w:pPr>
            <w:r w:rsidRPr="00906AFB">
              <w:rPr>
                <w:rFonts w:ascii="Arial" w:hAnsi="Arial" w:cs="Arial"/>
                <w:sz w:val="20"/>
              </w:rPr>
              <w:t>Órgano Superior de Auditoría y Fiscalización Gubernamental del Estado</w:t>
            </w:r>
          </w:p>
        </w:tc>
        <w:tc>
          <w:tcPr>
            <w:tcW w:w="150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20"/>
              </w:rPr>
            </w:pPr>
            <w:r w:rsidRPr="00906AFB">
              <w:rPr>
                <w:rFonts w:ascii="Arial" w:hAnsi="Arial" w:cs="Arial"/>
                <w:sz w:val="20"/>
              </w:rPr>
              <w:t>30,000,000</w:t>
            </w:r>
          </w:p>
        </w:tc>
      </w:tr>
      <w:tr w:rsidR="00906AFB" w:rsidRPr="00906AFB" w:rsidTr="00906AFB">
        <w:trPr>
          <w:trHeight w:val="283"/>
        </w:trPr>
        <w:tc>
          <w:tcPr>
            <w:tcW w:w="91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sz w:val="20"/>
              </w:rPr>
            </w:pPr>
            <w:r w:rsidRPr="00906AFB">
              <w:rPr>
                <w:rFonts w:ascii="Arial" w:hAnsi="Arial" w:cs="Arial"/>
                <w:sz w:val="20"/>
              </w:rPr>
              <w:t>41403</w:t>
            </w:r>
          </w:p>
        </w:tc>
        <w:tc>
          <w:tcPr>
            <w:tcW w:w="6084"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20"/>
              </w:rPr>
            </w:pPr>
            <w:r w:rsidRPr="00906AFB">
              <w:rPr>
                <w:rFonts w:ascii="Arial" w:hAnsi="Arial" w:cs="Arial"/>
                <w:sz w:val="20"/>
              </w:rPr>
              <w:t>Comisión de Derechos Humanos del Estado de Colima</w:t>
            </w:r>
          </w:p>
        </w:tc>
        <w:tc>
          <w:tcPr>
            <w:tcW w:w="150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20"/>
              </w:rPr>
            </w:pPr>
            <w:r w:rsidRPr="00906AFB">
              <w:rPr>
                <w:rFonts w:ascii="Arial" w:hAnsi="Arial" w:cs="Arial"/>
                <w:sz w:val="20"/>
              </w:rPr>
              <w:t>6,878,180</w:t>
            </w:r>
          </w:p>
        </w:tc>
      </w:tr>
      <w:tr w:rsidR="00906AFB" w:rsidRPr="00906AFB" w:rsidTr="00906AFB">
        <w:trPr>
          <w:trHeight w:val="283"/>
        </w:trPr>
        <w:tc>
          <w:tcPr>
            <w:tcW w:w="91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sz w:val="20"/>
              </w:rPr>
            </w:pPr>
            <w:r w:rsidRPr="00906AFB">
              <w:rPr>
                <w:rFonts w:ascii="Arial" w:hAnsi="Arial" w:cs="Arial"/>
                <w:sz w:val="20"/>
              </w:rPr>
              <w:t>41404</w:t>
            </w:r>
          </w:p>
        </w:tc>
        <w:tc>
          <w:tcPr>
            <w:tcW w:w="6084"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20"/>
              </w:rPr>
            </w:pPr>
            <w:r w:rsidRPr="00906AFB">
              <w:rPr>
                <w:rFonts w:ascii="Arial" w:hAnsi="Arial" w:cs="Arial"/>
                <w:sz w:val="20"/>
              </w:rPr>
              <w:t>Tribunal de Arbitraje y Escalafón</w:t>
            </w:r>
          </w:p>
        </w:tc>
        <w:tc>
          <w:tcPr>
            <w:tcW w:w="150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20"/>
              </w:rPr>
            </w:pPr>
            <w:r w:rsidRPr="00906AFB">
              <w:rPr>
                <w:rFonts w:ascii="Arial" w:hAnsi="Arial" w:cs="Arial"/>
                <w:sz w:val="20"/>
              </w:rPr>
              <w:t>4,540,100</w:t>
            </w:r>
          </w:p>
        </w:tc>
      </w:tr>
      <w:tr w:rsidR="00906AFB" w:rsidRPr="00906AFB" w:rsidTr="00906AFB">
        <w:trPr>
          <w:trHeight w:val="283"/>
        </w:trPr>
        <w:tc>
          <w:tcPr>
            <w:tcW w:w="91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sz w:val="20"/>
              </w:rPr>
            </w:pPr>
            <w:r w:rsidRPr="00906AFB">
              <w:rPr>
                <w:rFonts w:ascii="Arial" w:hAnsi="Arial" w:cs="Arial"/>
                <w:sz w:val="20"/>
              </w:rPr>
              <w:t>41405</w:t>
            </w:r>
          </w:p>
        </w:tc>
        <w:tc>
          <w:tcPr>
            <w:tcW w:w="6084"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20"/>
              </w:rPr>
            </w:pPr>
            <w:r w:rsidRPr="00906AFB">
              <w:rPr>
                <w:rFonts w:ascii="Arial" w:hAnsi="Arial" w:cs="Arial"/>
                <w:sz w:val="20"/>
              </w:rPr>
              <w:t>Tribunal de lo Contencioso Administrativo</w:t>
            </w:r>
          </w:p>
        </w:tc>
        <w:tc>
          <w:tcPr>
            <w:tcW w:w="150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20"/>
              </w:rPr>
            </w:pPr>
            <w:r w:rsidRPr="00906AFB">
              <w:rPr>
                <w:rFonts w:ascii="Arial" w:hAnsi="Arial" w:cs="Arial"/>
                <w:sz w:val="20"/>
              </w:rPr>
              <w:t>7,040,350</w:t>
            </w:r>
          </w:p>
        </w:tc>
      </w:tr>
      <w:tr w:rsidR="00906AFB" w:rsidRPr="00906AFB" w:rsidTr="00906AFB">
        <w:trPr>
          <w:trHeight w:val="283"/>
        </w:trPr>
        <w:tc>
          <w:tcPr>
            <w:tcW w:w="91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sz w:val="20"/>
              </w:rPr>
            </w:pPr>
            <w:r w:rsidRPr="00906AFB">
              <w:rPr>
                <w:rFonts w:ascii="Arial" w:hAnsi="Arial" w:cs="Arial"/>
                <w:sz w:val="20"/>
              </w:rPr>
              <w:t>41406</w:t>
            </w:r>
          </w:p>
        </w:tc>
        <w:tc>
          <w:tcPr>
            <w:tcW w:w="6084"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20"/>
              </w:rPr>
            </w:pPr>
            <w:r w:rsidRPr="00906AFB">
              <w:rPr>
                <w:rFonts w:ascii="Arial" w:hAnsi="Arial" w:cs="Arial"/>
                <w:sz w:val="20"/>
              </w:rPr>
              <w:t>Instituto Electoral del Estado de Colima</w:t>
            </w:r>
          </w:p>
        </w:tc>
        <w:tc>
          <w:tcPr>
            <w:tcW w:w="150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20"/>
              </w:rPr>
            </w:pPr>
            <w:r w:rsidRPr="00906AFB">
              <w:rPr>
                <w:rFonts w:ascii="Arial" w:hAnsi="Arial" w:cs="Arial"/>
                <w:sz w:val="20"/>
              </w:rPr>
              <w:t>46,903,498</w:t>
            </w:r>
          </w:p>
        </w:tc>
      </w:tr>
      <w:tr w:rsidR="00906AFB" w:rsidRPr="00906AFB" w:rsidTr="00906AFB">
        <w:trPr>
          <w:trHeight w:val="283"/>
        </w:trPr>
        <w:tc>
          <w:tcPr>
            <w:tcW w:w="91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sz w:val="20"/>
              </w:rPr>
            </w:pPr>
            <w:r w:rsidRPr="00906AFB">
              <w:rPr>
                <w:rFonts w:ascii="Arial" w:hAnsi="Arial" w:cs="Arial"/>
                <w:sz w:val="20"/>
              </w:rPr>
              <w:t>41407</w:t>
            </w:r>
          </w:p>
        </w:tc>
        <w:tc>
          <w:tcPr>
            <w:tcW w:w="6084"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20"/>
              </w:rPr>
            </w:pPr>
            <w:r w:rsidRPr="00906AFB">
              <w:rPr>
                <w:rFonts w:ascii="Arial" w:hAnsi="Arial" w:cs="Arial"/>
                <w:sz w:val="20"/>
              </w:rPr>
              <w:t>Tribunal Electoral del Estado</w:t>
            </w:r>
          </w:p>
        </w:tc>
        <w:tc>
          <w:tcPr>
            <w:tcW w:w="150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20"/>
              </w:rPr>
            </w:pPr>
            <w:r w:rsidRPr="00906AFB">
              <w:rPr>
                <w:rFonts w:ascii="Arial" w:hAnsi="Arial" w:cs="Arial"/>
                <w:sz w:val="20"/>
              </w:rPr>
              <w:t>10,500,000</w:t>
            </w:r>
          </w:p>
        </w:tc>
      </w:tr>
      <w:tr w:rsidR="00906AFB" w:rsidRPr="00906AFB" w:rsidTr="00906AFB">
        <w:trPr>
          <w:trHeight w:val="283"/>
        </w:trPr>
        <w:tc>
          <w:tcPr>
            <w:tcW w:w="91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before="120" w:after="120" w:line="360" w:lineRule="auto"/>
              <w:jc w:val="both"/>
              <w:rPr>
                <w:rFonts w:ascii="Arial" w:hAnsi="Arial" w:cs="Arial"/>
                <w:sz w:val="20"/>
              </w:rPr>
            </w:pPr>
          </w:p>
        </w:tc>
        <w:tc>
          <w:tcPr>
            <w:tcW w:w="608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center"/>
              <w:rPr>
                <w:rFonts w:ascii="Arial" w:hAnsi="Arial" w:cs="Arial"/>
                <w:b/>
                <w:bCs/>
                <w:sz w:val="20"/>
              </w:rPr>
            </w:pPr>
            <w:r w:rsidRPr="00906AFB">
              <w:rPr>
                <w:rFonts w:ascii="Arial" w:hAnsi="Arial" w:cs="Arial"/>
                <w:b/>
                <w:bCs/>
                <w:sz w:val="20"/>
              </w:rPr>
              <w:t>Total</w:t>
            </w:r>
          </w:p>
        </w:tc>
        <w:tc>
          <w:tcPr>
            <w:tcW w:w="1504"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b/>
                <w:bCs/>
                <w:sz w:val="20"/>
              </w:rPr>
            </w:pPr>
            <w:r w:rsidRPr="00906AFB">
              <w:rPr>
                <w:rFonts w:ascii="Arial" w:hAnsi="Arial" w:cs="Arial"/>
                <w:b/>
                <w:bCs/>
                <w:sz w:val="20"/>
              </w:rPr>
              <w:t>364,467,400</w:t>
            </w:r>
          </w:p>
        </w:tc>
      </w:tr>
    </w:tbl>
    <w:p w:rsidR="00906AFB" w:rsidRPr="00906AFB" w:rsidRDefault="00906AFB" w:rsidP="00906AFB">
      <w:pPr>
        <w:spacing w:after="0" w:line="240" w:lineRule="auto"/>
        <w:jc w:val="both"/>
        <w:rPr>
          <w:rFonts w:ascii="Arial" w:eastAsia="Calibri" w:hAnsi="Arial" w:cs="Times New Roman"/>
          <w:lang w:val="es-ES" w:eastAsia="en-US"/>
        </w:rPr>
      </w:pPr>
    </w:p>
    <w:p w:rsidR="00906AFB" w:rsidRPr="00906AFB" w:rsidRDefault="00906AFB" w:rsidP="00906AFB">
      <w:pPr>
        <w:spacing w:after="0" w:line="240" w:lineRule="auto"/>
        <w:contextualSpacing/>
        <w:jc w:val="both"/>
        <w:rPr>
          <w:rFonts w:ascii="Arial" w:eastAsia="Times New Roman" w:hAnsi="Arial" w:cs="Arial"/>
          <w:sz w:val="24"/>
          <w:szCs w:val="24"/>
        </w:rPr>
      </w:pPr>
      <w:r w:rsidRPr="00906AFB">
        <w:rPr>
          <w:rFonts w:ascii="Arial" w:eastAsia="Times New Roman" w:hAnsi="Arial" w:cs="Arial"/>
          <w:sz w:val="24"/>
          <w:szCs w:val="24"/>
        </w:rPr>
        <w:lastRenderedPageBreak/>
        <w:t xml:space="preserve">El desglose del presupuesto asignado a la </w:t>
      </w:r>
      <w:r w:rsidRPr="00906AFB">
        <w:rPr>
          <w:rFonts w:ascii="Arial" w:eastAsia="Times New Roman" w:hAnsi="Arial" w:cs="Arial"/>
          <w:b/>
          <w:sz w:val="24"/>
          <w:szCs w:val="24"/>
        </w:rPr>
        <w:t xml:space="preserve">Universidad </w:t>
      </w:r>
      <w:r w:rsidRPr="00906AFB">
        <w:rPr>
          <w:rFonts w:ascii="Arial" w:eastAsia="Times New Roman" w:hAnsi="Arial" w:cs="Arial"/>
          <w:b/>
          <w:color w:val="000000"/>
          <w:sz w:val="24"/>
          <w:szCs w:val="24"/>
        </w:rPr>
        <w:t>de Colima,</w:t>
      </w:r>
      <w:r w:rsidRPr="00906AFB">
        <w:rPr>
          <w:rFonts w:ascii="Arial" w:eastAsia="Times New Roman" w:hAnsi="Arial" w:cs="Arial"/>
          <w:sz w:val="24"/>
          <w:szCs w:val="24"/>
        </w:rPr>
        <w:t xml:space="preserve"> tendrá la siguiente distribución a nivel de capítulo:</w:t>
      </w:r>
    </w:p>
    <w:p w:rsidR="00906AFB" w:rsidRPr="00906AFB" w:rsidRDefault="00906AFB" w:rsidP="00906AFB">
      <w:pPr>
        <w:spacing w:after="0" w:line="240" w:lineRule="auto"/>
        <w:contextualSpacing/>
        <w:jc w:val="both"/>
        <w:rPr>
          <w:rFonts w:ascii="Arial" w:eastAsia="Times New Roman" w:hAnsi="Arial" w:cs="Arial"/>
          <w:sz w:val="24"/>
          <w:szCs w:val="24"/>
        </w:rPr>
      </w:pPr>
    </w:p>
    <w:p w:rsidR="00906AFB" w:rsidRPr="00906AFB" w:rsidRDefault="00906AFB" w:rsidP="00906AFB">
      <w:pPr>
        <w:keepNext/>
        <w:keepLines/>
        <w:spacing w:after="0" w:line="240" w:lineRule="auto"/>
        <w:jc w:val="center"/>
        <w:outlineLvl w:val="1"/>
        <w:rPr>
          <w:rFonts w:ascii="Arial" w:eastAsia="Times New Roman" w:hAnsi="Arial" w:cs="Times New Roman"/>
          <w:b/>
          <w:sz w:val="20"/>
          <w:szCs w:val="26"/>
          <w:lang w:val="es-ES" w:eastAsia="en-US"/>
        </w:rPr>
      </w:pPr>
      <w:r w:rsidRPr="00906AFB">
        <w:rPr>
          <w:rFonts w:ascii="Arial" w:eastAsia="Times New Roman" w:hAnsi="Arial" w:cs="Times New Roman"/>
          <w:b/>
          <w:sz w:val="20"/>
          <w:szCs w:val="26"/>
          <w:lang w:val="es-ES" w:eastAsia="en-US"/>
        </w:rPr>
        <w:t>Tabla 5. Universidad de Colima</w:t>
      </w:r>
    </w:p>
    <w:tbl>
      <w:tblPr>
        <w:tblStyle w:val="Tablaconcuadrcula2"/>
        <w:tblW w:w="0" w:type="auto"/>
        <w:tblInd w:w="534" w:type="dxa"/>
        <w:tblLook w:val="04A0" w:firstRow="1" w:lastRow="0" w:firstColumn="1" w:lastColumn="0" w:noHBand="0" w:noVBand="1"/>
      </w:tblPr>
      <w:tblGrid>
        <w:gridCol w:w="1016"/>
        <w:gridCol w:w="5090"/>
        <w:gridCol w:w="1473"/>
      </w:tblGrid>
      <w:tr w:rsidR="00906AFB" w:rsidRPr="00906AFB" w:rsidTr="00906AFB">
        <w:trPr>
          <w:trHeight w:val="283"/>
        </w:trPr>
        <w:tc>
          <w:tcPr>
            <w:tcW w:w="1016"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bCs/>
                <w:sz w:val="20"/>
              </w:rPr>
            </w:pPr>
            <w:r w:rsidRPr="00906AFB">
              <w:rPr>
                <w:rFonts w:ascii="Arial" w:hAnsi="Arial" w:cs="Arial"/>
                <w:b/>
                <w:bCs/>
                <w:sz w:val="20"/>
              </w:rPr>
              <w:t>Capítulo</w:t>
            </w:r>
          </w:p>
        </w:tc>
        <w:tc>
          <w:tcPr>
            <w:tcW w:w="509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bCs/>
                <w:sz w:val="20"/>
              </w:rPr>
            </w:pPr>
            <w:r w:rsidRPr="00906AFB">
              <w:rPr>
                <w:rFonts w:ascii="Arial" w:hAnsi="Arial" w:cs="Arial"/>
                <w:b/>
                <w:bCs/>
                <w:sz w:val="20"/>
              </w:rPr>
              <w:t>Concepto</w:t>
            </w:r>
          </w:p>
        </w:tc>
        <w:tc>
          <w:tcPr>
            <w:tcW w:w="1473"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bCs/>
                <w:sz w:val="20"/>
              </w:rPr>
            </w:pPr>
            <w:r w:rsidRPr="00906AFB">
              <w:rPr>
                <w:rFonts w:ascii="Arial" w:hAnsi="Arial" w:cs="Arial"/>
                <w:b/>
                <w:bCs/>
                <w:sz w:val="20"/>
              </w:rPr>
              <w:t>Asignación Presupuestal</w:t>
            </w:r>
          </w:p>
        </w:tc>
      </w:tr>
      <w:tr w:rsidR="00906AFB" w:rsidRPr="00906AFB" w:rsidTr="00906AFB">
        <w:trPr>
          <w:trHeight w:val="283"/>
        </w:trPr>
        <w:tc>
          <w:tcPr>
            <w:tcW w:w="1016" w:type="dxa"/>
            <w:tcBorders>
              <w:top w:val="single" w:sz="4" w:space="0" w:color="auto"/>
              <w:left w:val="single" w:sz="4" w:space="0" w:color="auto"/>
              <w:bottom w:val="single" w:sz="4" w:space="0" w:color="auto"/>
              <w:right w:val="single" w:sz="4" w:space="0" w:color="auto"/>
            </w:tcBorders>
            <w:hideMark/>
          </w:tcPr>
          <w:p w:rsidR="00906AFB" w:rsidRPr="00906AFB" w:rsidRDefault="00906AFB" w:rsidP="00906AFB">
            <w:pPr>
              <w:jc w:val="center"/>
              <w:rPr>
                <w:rFonts w:ascii="Arial" w:hAnsi="Arial" w:cs="Arial"/>
                <w:sz w:val="20"/>
              </w:rPr>
            </w:pPr>
            <w:r w:rsidRPr="00906AFB">
              <w:rPr>
                <w:rFonts w:ascii="Arial" w:hAnsi="Arial" w:cs="Arial"/>
                <w:sz w:val="20"/>
              </w:rPr>
              <w:t>10000</w:t>
            </w:r>
          </w:p>
        </w:tc>
        <w:tc>
          <w:tcPr>
            <w:tcW w:w="509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20"/>
              </w:rPr>
            </w:pPr>
            <w:r w:rsidRPr="00906AFB">
              <w:rPr>
                <w:rFonts w:ascii="Arial" w:hAnsi="Arial" w:cs="Arial"/>
                <w:sz w:val="20"/>
              </w:rPr>
              <w:t>Servicios Personales</w:t>
            </w:r>
          </w:p>
        </w:tc>
        <w:tc>
          <w:tcPr>
            <w:tcW w:w="1473"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20"/>
              </w:rPr>
            </w:pPr>
            <w:r w:rsidRPr="00906AFB">
              <w:rPr>
                <w:rFonts w:ascii="Arial" w:hAnsi="Arial" w:cs="Arial"/>
                <w:sz w:val="20"/>
              </w:rPr>
              <w:t>219,305,272</w:t>
            </w:r>
          </w:p>
        </w:tc>
      </w:tr>
      <w:tr w:rsidR="00906AFB" w:rsidRPr="00906AFB" w:rsidTr="00906AFB">
        <w:trPr>
          <w:trHeight w:val="283"/>
        </w:trPr>
        <w:tc>
          <w:tcPr>
            <w:tcW w:w="1016" w:type="dxa"/>
            <w:tcBorders>
              <w:top w:val="single" w:sz="4" w:space="0" w:color="auto"/>
              <w:left w:val="single" w:sz="4" w:space="0" w:color="auto"/>
              <w:bottom w:val="single" w:sz="4" w:space="0" w:color="auto"/>
              <w:right w:val="single" w:sz="4" w:space="0" w:color="auto"/>
            </w:tcBorders>
            <w:hideMark/>
          </w:tcPr>
          <w:p w:rsidR="00906AFB" w:rsidRPr="00906AFB" w:rsidRDefault="00906AFB" w:rsidP="00906AFB">
            <w:pPr>
              <w:jc w:val="center"/>
              <w:rPr>
                <w:rFonts w:ascii="Arial" w:hAnsi="Arial" w:cs="Arial"/>
                <w:sz w:val="20"/>
              </w:rPr>
            </w:pPr>
            <w:r w:rsidRPr="00906AFB">
              <w:rPr>
                <w:rFonts w:ascii="Arial" w:hAnsi="Arial" w:cs="Arial"/>
                <w:sz w:val="20"/>
              </w:rPr>
              <w:t>20000</w:t>
            </w:r>
          </w:p>
        </w:tc>
        <w:tc>
          <w:tcPr>
            <w:tcW w:w="509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20"/>
              </w:rPr>
            </w:pPr>
            <w:r w:rsidRPr="00906AFB">
              <w:rPr>
                <w:rFonts w:ascii="Arial" w:hAnsi="Arial" w:cs="Arial"/>
                <w:sz w:val="20"/>
              </w:rPr>
              <w:t>Materiales y Suministros</w:t>
            </w:r>
          </w:p>
        </w:tc>
        <w:tc>
          <w:tcPr>
            <w:tcW w:w="1473"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20"/>
              </w:rPr>
            </w:pPr>
            <w:r w:rsidRPr="00906AFB">
              <w:rPr>
                <w:rFonts w:ascii="Arial" w:hAnsi="Arial" w:cs="Arial"/>
                <w:sz w:val="20"/>
              </w:rPr>
              <w:t>0</w:t>
            </w:r>
          </w:p>
        </w:tc>
      </w:tr>
      <w:tr w:rsidR="00906AFB" w:rsidRPr="00906AFB" w:rsidTr="00906AFB">
        <w:trPr>
          <w:trHeight w:val="283"/>
        </w:trPr>
        <w:tc>
          <w:tcPr>
            <w:tcW w:w="1016" w:type="dxa"/>
            <w:tcBorders>
              <w:top w:val="single" w:sz="4" w:space="0" w:color="auto"/>
              <w:left w:val="single" w:sz="4" w:space="0" w:color="auto"/>
              <w:bottom w:val="single" w:sz="4" w:space="0" w:color="auto"/>
              <w:right w:val="single" w:sz="4" w:space="0" w:color="auto"/>
            </w:tcBorders>
            <w:hideMark/>
          </w:tcPr>
          <w:p w:rsidR="00906AFB" w:rsidRPr="00906AFB" w:rsidRDefault="00906AFB" w:rsidP="00906AFB">
            <w:pPr>
              <w:jc w:val="center"/>
              <w:rPr>
                <w:rFonts w:ascii="Arial" w:hAnsi="Arial" w:cs="Arial"/>
                <w:sz w:val="20"/>
              </w:rPr>
            </w:pPr>
            <w:r w:rsidRPr="00906AFB">
              <w:rPr>
                <w:rFonts w:ascii="Arial" w:hAnsi="Arial" w:cs="Arial"/>
                <w:sz w:val="20"/>
              </w:rPr>
              <w:t>30000</w:t>
            </w:r>
          </w:p>
        </w:tc>
        <w:tc>
          <w:tcPr>
            <w:tcW w:w="509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20"/>
              </w:rPr>
            </w:pPr>
            <w:r w:rsidRPr="00906AFB">
              <w:rPr>
                <w:rFonts w:ascii="Arial" w:hAnsi="Arial" w:cs="Arial"/>
                <w:sz w:val="20"/>
              </w:rPr>
              <w:t>Servicios Generales</w:t>
            </w:r>
          </w:p>
        </w:tc>
        <w:tc>
          <w:tcPr>
            <w:tcW w:w="1473"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20"/>
              </w:rPr>
            </w:pPr>
            <w:r w:rsidRPr="00906AFB">
              <w:rPr>
                <w:rFonts w:ascii="Arial" w:hAnsi="Arial" w:cs="Arial"/>
                <w:sz w:val="20"/>
              </w:rPr>
              <w:t>32,300,000</w:t>
            </w:r>
          </w:p>
        </w:tc>
      </w:tr>
      <w:tr w:rsidR="00906AFB" w:rsidRPr="00906AFB" w:rsidTr="00906AFB">
        <w:trPr>
          <w:trHeight w:val="283"/>
        </w:trPr>
        <w:tc>
          <w:tcPr>
            <w:tcW w:w="1016" w:type="dxa"/>
            <w:tcBorders>
              <w:top w:val="single" w:sz="4" w:space="0" w:color="auto"/>
              <w:left w:val="single" w:sz="4" w:space="0" w:color="auto"/>
              <w:bottom w:val="single" w:sz="4" w:space="0" w:color="auto"/>
              <w:right w:val="single" w:sz="4" w:space="0" w:color="auto"/>
            </w:tcBorders>
            <w:hideMark/>
          </w:tcPr>
          <w:p w:rsidR="00906AFB" w:rsidRPr="00906AFB" w:rsidRDefault="00906AFB" w:rsidP="00906AFB">
            <w:pPr>
              <w:jc w:val="center"/>
              <w:rPr>
                <w:rFonts w:ascii="Arial" w:hAnsi="Arial" w:cs="Arial"/>
                <w:sz w:val="20"/>
              </w:rPr>
            </w:pPr>
            <w:r w:rsidRPr="00906AFB">
              <w:rPr>
                <w:rFonts w:ascii="Arial" w:hAnsi="Arial" w:cs="Arial"/>
                <w:sz w:val="20"/>
              </w:rPr>
              <w:t>40000</w:t>
            </w:r>
          </w:p>
        </w:tc>
        <w:tc>
          <w:tcPr>
            <w:tcW w:w="509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20"/>
              </w:rPr>
            </w:pPr>
            <w:r w:rsidRPr="00906AFB">
              <w:rPr>
                <w:rFonts w:ascii="Arial" w:hAnsi="Arial" w:cs="Arial"/>
                <w:sz w:val="20"/>
              </w:rPr>
              <w:t>Transferencias, Asignaciones, Subsidios y Otras Ayudas</w:t>
            </w:r>
          </w:p>
        </w:tc>
        <w:tc>
          <w:tcPr>
            <w:tcW w:w="1473"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20"/>
              </w:rPr>
            </w:pPr>
            <w:r w:rsidRPr="00906AFB">
              <w:rPr>
                <w:rFonts w:ascii="Arial" w:hAnsi="Arial" w:cs="Arial"/>
                <w:sz w:val="20"/>
              </w:rPr>
              <w:t>0</w:t>
            </w:r>
          </w:p>
        </w:tc>
      </w:tr>
      <w:tr w:rsidR="00906AFB" w:rsidRPr="00906AFB" w:rsidTr="00906AFB">
        <w:trPr>
          <w:trHeight w:val="283"/>
        </w:trPr>
        <w:tc>
          <w:tcPr>
            <w:tcW w:w="1016" w:type="dxa"/>
            <w:tcBorders>
              <w:top w:val="single" w:sz="4" w:space="0" w:color="auto"/>
              <w:left w:val="single" w:sz="4" w:space="0" w:color="auto"/>
              <w:bottom w:val="single" w:sz="4" w:space="0" w:color="auto"/>
              <w:right w:val="single" w:sz="4" w:space="0" w:color="auto"/>
            </w:tcBorders>
            <w:hideMark/>
          </w:tcPr>
          <w:p w:rsidR="00906AFB" w:rsidRPr="00906AFB" w:rsidRDefault="00906AFB" w:rsidP="00906AFB">
            <w:pPr>
              <w:jc w:val="center"/>
              <w:rPr>
                <w:rFonts w:ascii="Arial" w:hAnsi="Arial" w:cs="Arial"/>
                <w:sz w:val="20"/>
              </w:rPr>
            </w:pPr>
            <w:r w:rsidRPr="00906AFB">
              <w:rPr>
                <w:rFonts w:ascii="Arial" w:hAnsi="Arial" w:cs="Arial"/>
                <w:sz w:val="20"/>
              </w:rPr>
              <w:t>50000</w:t>
            </w:r>
          </w:p>
        </w:tc>
        <w:tc>
          <w:tcPr>
            <w:tcW w:w="509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20"/>
              </w:rPr>
            </w:pPr>
            <w:r w:rsidRPr="00906AFB">
              <w:rPr>
                <w:rFonts w:ascii="Arial" w:hAnsi="Arial" w:cs="Arial"/>
                <w:sz w:val="20"/>
              </w:rPr>
              <w:t>Bienes Muebles, Inmuebles e Intangibles</w:t>
            </w:r>
          </w:p>
        </w:tc>
        <w:tc>
          <w:tcPr>
            <w:tcW w:w="1473"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20"/>
              </w:rPr>
            </w:pPr>
            <w:r w:rsidRPr="00906AFB">
              <w:rPr>
                <w:rFonts w:ascii="Arial" w:hAnsi="Arial" w:cs="Arial"/>
                <w:sz w:val="20"/>
              </w:rPr>
              <w:t>0</w:t>
            </w:r>
          </w:p>
        </w:tc>
      </w:tr>
      <w:tr w:rsidR="00906AFB" w:rsidRPr="00906AFB" w:rsidTr="00906AFB">
        <w:trPr>
          <w:trHeight w:val="283"/>
        </w:trPr>
        <w:tc>
          <w:tcPr>
            <w:tcW w:w="1016"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before="120" w:after="120" w:line="360" w:lineRule="auto"/>
              <w:jc w:val="both"/>
              <w:rPr>
                <w:rFonts w:ascii="Arial" w:hAnsi="Arial" w:cs="Arial"/>
                <w:sz w:val="20"/>
              </w:rPr>
            </w:pPr>
          </w:p>
        </w:tc>
        <w:tc>
          <w:tcPr>
            <w:tcW w:w="509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bCs/>
                <w:sz w:val="20"/>
              </w:rPr>
            </w:pPr>
            <w:r w:rsidRPr="00906AFB">
              <w:rPr>
                <w:rFonts w:ascii="Arial" w:hAnsi="Arial" w:cs="Arial"/>
                <w:b/>
                <w:bCs/>
                <w:sz w:val="20"/>
              </w:rPr>
              <w:t>Total</w:t>
            </w:r>
          </w:p>
        </w:tc>
        <w:tc>
          <w:tcPr>
            <w:tcW w:w="1473"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b/>
                <w:bCs/>
                <w:sz w:val="20"/>
              </w:rPr>
            </w:pPr>
            <w:r w:rsidRPr="00906AFB">
              <w:rPr>
                <w:rFonts w:ascii="Arial" w:hAnsi="Arial" w:cs="Arial"/>
                <w:b/>
                <w:bCs/>
                <w:sz w:val="20"/>
              </w:rPr>
              <w:t>251,605,272</w:t>
            </w:r>
          </w:p>
        </w:tc>
      </w:tr>
    </w:tbl>
    <w:p w:rsidR="00906AFB" w:rsidRPr="00906AFB" w:rsidRDefault="00906AFB" w:rsidP="00906AFB">
      <w:pPr>
        <w:spacing w:after="0" w:line="240" w:lineRule="auto"/>
        <w:contextualSpacing/>
        <w:jc w:val="both"/>
        <w:rPr>
          <w:rFonts w:ascii="Arial" w:eastAsia="Times New Roman" w:hAnsi="Arial" w:cs="Arial"/>
          <w:sz w:val="24"/>
          <w:szCs w:val="24"/>
          <w:lang w:val="es-ES" w:eastAsia="en-US"/>
        </w:rPr>
      </w:pPr>
    </w:p>
    <w:p w:rsidR="00906AFB" w:rsidRPr="00906AFB" w:rsidRDefault="00906AFB" w:rsidP="00906AFB">
      <w:pPr>
        <w:spacing w:after="0" w:line="240" w:lineRule="auto"/>
        <w:contextualSpacing/>
        <w:jc w:val="both"/>
        <w:rPr>
          <w:rFonts w:ascii="Arial" w:eastAsia="Times New Roman" w:hAnsi="Arial" w:cs="Arial"/>
          <w:sz w:val="24"/>
          <w:szCs w:val="24"/>
        </w:rPr>
      </w:pPr>
      <w:r w:rsidRPr="00906AFB">
        <w:rPr>
          <w:rFonts w:ascii="Arial" w:eastAsia="Times New Roman" w:hAnsi="Arial" w:cs="Arial"/>
          <w:sz w:val="24"/>
          <w:szCs w:val="24"/>
        </w:rPr>
        <w:t xml:space="preserve">El desglose del presupuesto asignado al </w:t>
      </w:r>
      <w:r w:rsidRPr="00906AFB">
        <w:rPr>
          <w:rFonts w:ascii="Arial" w:eastAsia="Times New Roman" w:hAnsi="Arial" w:cs="Arial"/>
          <w:b/>
          <w:color w:val="000000"/>
          <w:sz w:val="24"/>
          <w:szCs w:val="24"/>
        </w:rPr>
        <w:t>Instituto de Transparencia, Acceso a la Información Pública y Protección de Datos del Estado de Colima</w:t>
      </w:r>
      <w:r w:rsidRPr="00906AFB">
        <w:rPr>
          <w:rFonts w:ascii="Arial" w:eastAsia="Times New Roman" w:hAnsi="Arial" w:cs="Arial"/>
          <w:color w:val="000000"/>
          <w:sz w:val="24"/>
          <w:szCs w:val="24"/>
        </w:rPr>
        <w:t>;</w:t>
      </w:r>
      <w:r w:rsidRPr="00906AFB">
        <w:rPr>
          <w:rFonts w:ascii="Arial" w:eastAsia="Times New Roman" w:hAnsi="Arial" w:cs="Arial"/>
          <w:sz w:val="24"/>
          <w:szCs w:val="24"/>
        </w:rPr>
        <w:t xml:space="preserve"> tendrá la siguiente distribución a nivel de capítulo:</w:t>
      </w:r>
    </w:p>
    <w:p w:rsidR="00906AFB" w:rsidRPr="00906AFB" w:rsidRDefault="00906AFB" w:rsidP="00906AFB">
      <w:pPr>
        <w:spacing w:after="0" w:line="240" w:lineRule="auto"/>
        <w:rPr>
          <w:rFonts w:ascii="Colaborate-Regular" w:eastAsia="Calibri" w:hAnsi="Colaborate-Regular" w:cs="Times New Roman"/>
          <w:sz w:val="20"/>
          <w:lang w:val="es-ES" w:eastAsia="en-US"/>
        </w:rPr>
      </w:pPr>
    </w:p>
    <w:p w:rsidR="00906AFB" w:rsidRPr="00906AFB" w:rsidRDefault="00906AFB" w:rsidP="00906AFB">
      <w:pPr>
        <w:keepNext/>
        <w:keepLines/>
        <w:spacing w:after="0" w:line="240" w:lineRule="auto"/>
        <w:jc w:val="center"/>
        <w:outlineLvl w:val="1"/>
        <w:rPr>
          <w:rFonts w:ascii="Arial" w:eastAsia="Times New Roman" w:hAnsi="Arial" w:cs="Times New Roman"/>
          <w:b/>
          <w:sz w:val="20"/>
          <w:szCs w:val="26"/>
          <w:lang w:val="es-ES" w:eastAsia="en-US"/>
        </w:rPr>
      </w:pPr>
      <w:r w:rsidRPr="00906AFB">
        <w:rPr>
          <w:rFonts w:ascii="Arial" w:eastAsia="Times New Roman" w:hAnsi="Arial" w:cs="Times New Roman"/>
          <w:b/>
          <w:sz w:val="20"/>
          <w:szCs w:val="26"/>
          <w:lang w:val="es-ES" w:eastAsia="en-US"/>
        </w:rPr>
        <w:t xml:space="preserve">Tabla 6. Instituto de Transparencia, Acceso a la Información </w:t>
      </w:r>
      <w:r w:rsidRPr="00906AFB">
        <w:rPr>
          <w:rFonts w:ascii="Arial" w:eastAsia="Times New Roman" w:hAnsi="Arial" w:cs="Times New Roman"/>
          <w:b/>
          <w:sz w:val="20"/>
          <w:szCs w:val="26"/>
          <w:lang w:val="es-ES" w:eastAsia="en-US"/>
        </w:rPr>
        <w:br/>
        <w:t>Pública y Protección de Datos del Estado de Colima</w:t>
      </w:r>
    </w:p>
    <w:tbl>
      <w:tblPr>
        <w:tblStyle w:val="Tablaconcuadrcula2"/>
        <w:tblW w:w="0" w:type="auto"/>
        <w:tblInd w:w="534" w:type="dxa"/>
        <w:tblLook w:val="04A0" w:firstRow="1" w:lastRow="0" w:firstColumn="1" w:lastColumn="0" w:noHBand="0" w:noVBand="1"/>
      </w:tblPr>
      <w:tblGrid>
        <w:gridCol w:w="1016"/>
        <w:gridCol w:w="5090"/>
        <w:gridCol w:w="1473"/>
      </w:tblGrid>
      <w:tr w:rsidR="00906AFB" w:rsidRPr="00906AFB" w:rsidTr="00906AFB">
        <w:trPr>
          <w:trHeight w:val="283"/>
        </w:trPr>
        <w:tc>
          <w:tcPr>
            <w:tcW w:w="1016"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bCs/>
                <w:sz w:val="20"/>
              </w:rPr>
            </w:pPr>
            <w:bookmarkStart w:id="9" w:name="_MON_1381432804"/>
            <w:bookmarkStart w:id="10" w:name="_MON_1381432789"/>
            <w:bookmarkStart w:id="11" w:name="_MON_1381432731"/>
            <w:bookmarkEnd w:id="9"/>
            <w:bookmarkEnd w:id="10"/>
            <w:bookmarkEnd w:id="11"/>
            <w:r w:rsidRPr="00906AFB">
              <w:rPr>
                <w:rFonts w:ascii="Arial" w:hAnsi="Arial" w:cs="Arial"/>
                <w:b/>
                <w:bCs/>
                <w:sz w:val="20"/>
              </w:rPr>
              <w:t>Capítulo</w:t>
            </w:r>
          </w:p>
        </w:tc>
        <w:tc>
          <w:tcPr>
            <w:tcW w:w="509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bCs/>
                <w:sz w:val="20"/>
              </w:rPr>
            </w:pPr>
            <w:r w:rsidRPr="00906AFB">
              <w:rPr>
                <w:rFonts w:ascii="Arial" w:hAnsi="Arial" w:cs="Arial"/>
                <w:b/>
                <w:bCs/>
                <w:sz w:val="20"/>
              </w:rPr>
              <w:t>Concepto</w:t>
            </w:r>
          </w:p>
        </w:tc>
        <w:tc>
          <w:tcPr>
            <w:tcW w:w="1473"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bCs/>
                <w:sz w:val="20"/>
              </w:rPr>
            </w:pPr>
            <w:r w:rsidRPr="00906AFB">
              <w:rPr>
                <w:rFonts w:ascii="Arial" w:hAnsi="Arial" w:cs="Arial"/>
                <w:b/>
                <w:bCs/>
                <w:sz w:val="20"/>
              </w:rPr>
              <w:t>Asignación Presupuestal</w:t>
            </w:r>
          </w:p>
        </w:tc>
      </w:tr>
      <w:tr w:rsidR="00906AFB" w:rsidRPr="00906AFB" w:rsidTr="00906AFB">
        <w:trPr>
          <w:trHeight w:val="283"/>
        </w:trPr>
        <w:tc>
          <w:tcPr>
            <w:tcW w:w="1016" w:type="dxa"/>
            <w:tcBorders>
              <w:top w:val="single" w:sz="4" w:space="0" w:color="auto"/>
              <w:left w:val="single" w:sz="4" w:space="0" w:color="auto"/>
              <w:bottom w:val="single" w:sz="4" w:space="0" w:color="auto"/>
              <w:right w:val="single" w:sz="4" w:space="0" w:color="auto"/>
            </w:tcBorders>
            <w:hideMark/>
          </w:tcPr>
          <w:p w:rsidR="00906AFB" w:rsidRPr="00906AFB" w:rsidRDefault="00906AFB" w:rsidP="00906AFB">
            <w:pPr>
              <w:jc w:val="center"/>
              <w:rPr>
                <w:rFonts w:ascii="Arial" w:hAnsi="Arial" w:cs="Arial"/>
                <w:sz w:val="20"/>
              </w:rPr>
            </w:pPr>
            <w:r w:rsidRPr="00906AFB">
              <w:rPr>
                <w:rFonts w:ascii="Arial" w:hAnsi="Arial" w:cs="Arial"/>
                <w:sz w:val="20"/>
              </w:rPr>
              <w:t>10000</w:t>
            </w:r>
          </w:p>
        </w:tc>
        <w:tc>
          <w:tcPr>
            <w:tcW w:w="509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20"/>
              </w:rPr>
            </w:pPr>
            <w:r w:rsidRPr="00906AFB">
              <w:rPr>
                <w:rFonts w:ascii="Arial" w:hAnsi="Arial" w:cs="Arial"/>
                <w:sz w:val="20"/>
              </w:rPr>
              <w:t>Servicios Personales</w:t>
            </w:r>
          </w:p>
        </w:tc>
        <w:tc>
          <w:tcPr>
            <w:tcW w:w="1473"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20"/>
              </w:rPr>
            </w:pPr>
            <w:r w:rsidRPr="00906AFB">
              <w:rPr>
                <w:rFonts w:ascii="Arial" w:hAnsi="Arial" w:cs="Arial"/>
                <w:sz w:val="20"/>
              </w:rPr>
              <w:t>6,327,094</w:t>
            </w:r>
          </w:p>
        </w:tc>
      </w:tr>
      <w:tr w:rsidR="00906AFB" w:rsidRPr="00906AFB" w:rsidTr="00906AFB">
        <w:trPr>
          <w:trHeight w:val="283"/>
        </w:trPr>
        <w:tc>
          <w:tcPr>
            <w:tcW w:w="1016" w:type="dxa"/>
            <w:tcBorders>
              <w:top w:val="single" w:sz="4" w:space="0" w:color="auto"/>
              <w:left w:val="single" w:sz="4" w:space="0" w:color="auto"/>
              <w:bottom w:val="single" w:sz="4" w:space="0" w:color="auto"/>
              <w:right w:val="single" w:sz="4" w:space="0" w:color="auto"/>
            </w:tcBorders>
            <w:hideMark/>
          </w:tcPr>
          <w:p w:rsidR="00906AFB" w:rsidRPr="00906AFB" w:rsidRDefault="00906AFB" w:rsidP="00906AFB">
            <w:pPr>
              <w:jc w:val="center"/>
              <w:rPr>
                <w:rFonts w:ascii="Arial" w:hAnsi="Arial" w:cs="Arial"/>
                <w:sz w:val="20"/>
              </w:rPr>
            </w:pPr>
            <w:r w:rsidRPr="00906AFB">
              <w:rPr>
                <w:rFonts w:ascii="Arial" w:hAnsi="Arial" w:cs="Arial"/>
                <w:sz w:val="20"/>
              </w:rPr>
              <w:t>20000</w:t>
            </w:r>
          </w:p>
        </w:tc>
        <w:tc>
          <w:tcPr>
            <w:tcW w:w="509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20"/>
              </w:rPr>
            </w:pPr>
            <w:r w:rsidRPr="00906AFB">
              <w:rPr>
                <w:rFonts w:ascii="Arial" w:hAnsi="Arial" w:cs="Arial"/>
                <w:sz w:val="20"/>
              </w:rPr>
              <w:t>Materiales y Suministros</w:t>
            </w:r>
          </w:p>
        </w:tc>
        <w:tc>
          <w:tcPr>
            <w:tcW w:w="1473"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20"/>
              </w:rPr>
            </w:pPr>
            <w:r w:rsidRPr="00906AFB">
              <w:rPr>
                <w:rFonts w:ascii="Arial" w:hAnsi="Arial" w:cs="Arial"/>
                <w:sz w:val="20"/>
              </w:rPr>
              <w:t>169,500</w:t>
            </w:r>
          </w:p>
        </w:tc>
      </w:tr>
      <w:tr w:rsidR="00906AFB" w:rsidRPr="00906AFB" w:rsidTr="00906AFB">
        <w:trPr>
          <w:trHeight w:val="283"/>
        </w:trPr>
        <w:tc>
          <w:tcPr>
            <w:tcW w:w="1016" w:type="dxa"/>
            <w:tcBorders>
              <w:top w:val="single" w:sz="4" w:space="0" w:color="auto"/>
              <w:left w:val="single" w:sz="4" w:space="0" w:color="auto"/>
              <w:bottom w:val="single" w:sz="4" w:space="0" w:color="auto"/>
              <w:right w:val="single" w:sz="4" w:space="0" w:color="auto"/>
            </w:tcBorders>
            <w:hideMark/>
          </w:tcPr>
          <w:p w:rsidR="00906AFB" w:rsidRPr="00906AFB" w:rsidRDefault="00906AFB" w:rsidP="00906AFB">
            <w:pPr>
              <w:jc w:val="center"/>
              <w:rPr>
                <w:rFonts w:ascii="Arial" w:hAnsi="Arial" w:cs="Arial"/>
                <w:sz w:val="20"/>
              </w:rPr>
            </w:pPr>
            <w:r w:rsidRPr="00906AFB">
              <w:rPr>
                <w:rFonts w:ascii="Arial" w:hAnsi="Arial" w:cs="Arial"/>
                <w:sz w:val="20"/>
              </w:rPr>
              <w:t>30000</w:t>
            </w:r>
          </w:p>
        </w:tc>
        <w:tc>
          <w:tcPr>
            <w:tcW w:w="509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20"/>
              </w:rPr>
            </w:pPr>
            <w:r w:rsidRPr="00906AFB">
              <w:rPr>
                <w:rFonts w:ascii="Arial" w:hAnsi="Arial" w:cs="Arial"/>
                <w:sz w:val="20"/>
              </w:rPr>
              <w:t>Servicios Generales</w:t>
            </w:r>
          </w:p>
        </w:tc>
        <w:tc>
          <w:tcPr>
            <w:tcW w:w="1473"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20"/>
              </w:rPr>
            </w:pPr>
            <w:r w:rsidRPr="00906AFB">
              <w:rPr>
                <w:rFonts w:ascii="Arial" w:hAnsi="Arial" w:cs="Arial"/>
                <w:sz w:val="20"/>
              </w:rPr>
              <w:t>493,406</w:t>
            </w:r>
          </w:p>
        </w:tc>
      </w:tr>
      <w:tr w:rsidR="00906AFB" w:rsidRPr="00906AFB" w:rsidTr="00906AFB">
        <w:trPr>
          <w:trHeight w:val="283"/>
        </w:trPr>
        <w:tc>
          <w:tcPr>
            <w:tcW w:w="1016" w:type="dxa"/>
            <w:tcBorders>
              <w:top w:val="single" w:sz="4" w:space="0" w:color="auto"/>
              <w:left w:val="single" w:sz="4" w:space="0" w:color="auto"/>
              <w:bottom w:val="single" w:sz="4" w:space="0" w:color="auto"/>
              <w:right w:val="single" w:sz="4" w:space="0" w:color="auto"/>
            </w:tcBorders>
            <w:hideMark/>
          </w:tcPr>
          <w:p w:rsidR="00906AFB" w:rsidRPr="00906AFB" w:rsidRDefault="00906AFB" w:rsidP="00906AFB">
            <w:pPr>
              <w:jc w:val="center"/>
              <w:rPr>
                <w:rFonts w:ascii="Arial" w:hAnsi="Arial" w:cs="Arial"/>
                <w:sz w:val="20"/>
              </w:rPr>
            </w:pPr>
            <w:r w:rsidRPr="00906AFB">
              <w:rPr>
                <w:rFonts w:ascii="Arial" w:hAnsi="Arial" w:cs="Arial"/>
                <w:sz w:val="20"/>
              </w:rPr>
              <w:t>40000</w:t>
            </w:r>
          </w:p>
        </w:tc>
        <w:tc>
          <w:tcPr>
            <w:tcW w:w="509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20"/>
              </w:rPr>
            </w:pPr>
            <w:r w:rsidRPr="00906AFB">
              <w:rPr>
                <w:rFonts w:ascii="Arial" w:hAnsi="Arial" w:cs="Arial"/>
                <w:sz w:val="20"/>
              </w:rPr>
              <w:t>Transferencias, Asignaciones, Subsidios y Otras Ayudas</w:t>
            </w:r>
          </w:p>
        </w:tc>
        <w:tc>
          <w:tcPr>
            <w:tcW w:w="1473"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20"/>
              </w:rPr>
            </w:pPr>
            <w:r w:rsidRPr="00906AFB">
              <w:rPr>
                <w:rFonts w:ascii="Arial" w:hAnsi="Arial" w:cs="Arial"/>
                <w:sz w:val="20"/>
              </w:rPr>
              <w:t>0</w:t>
            </w:r>
          </w:p>
        </w:tc>
      </w:tr>
      <w:tr w:rsidR="00906AFB" w:rsidRPr="00906AFB" w:rsidTr="00906AFB">
        <w:trPr>
          <w:trHeight w:val="283"/>
        </w:trPr>
        <w:tc>
          <w:tcPr>
            <w:tcW w:w="1016" w:type="dxa"/>
            <w:tcBorders>
              <w:top w:val="single" w:sz="4" w:space="0" w:color="auto"/>
              <w:left w:val="single" w:sz="4" w:space="0" w:color="auto"/>
              <w:bottom w:val="single" w:sz="4" w:space="0" w:color="auto"/>
              <w:right w:val="single" w:sz="4" w:space="0" w:color="auto"/>
            </w:tcBorders>
            <w:hideMark/>
          </w:tcPr>
          <w:p w:rsidR="00906AFB" w:rsidRPr="00906AFB" w:rsidRDefault="00906AFB" w:rsidP="00906AFB">
            <w:pPr>
              <w:jc w:val="center"/>
              <w:rPr>
                <w:rFonts w:ascii="Arial" w:hAnsi="Arial" w:cs="Arial"/>
                <w:sz w:val="20"/>
              </w:rPr>
            </w:pPr>
            <w:r w:rsidRPr="00906AFB">
              <w:rPr>
                <w:rFonts w:ascii="Arial" w:hAnsi="Arial" w:cs="Arial"/>
                <w:sz w:val="20"/>
              </w:rPr>
              <w:t>50000</w:t>
            </w:r>
          </w:p>
        </w:tc>
        <w:tc>
          <w:tcPr>
            <w:tcW w:w="509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20"/>
              </w:rPr>
            </w:pPr>
            <w:r w:rsidRPr="00906AFB">
              <w:rPr>
                <w:rFonts w:ascii="Arial" w:hAnsi="Arial" w:cs="Arial"/>
                <w:sz w:val="20"/>
              </w:rPr>
              <w:t>Bienes Muebles, Inmuebles e Intangibles</w:t>
            </w:r>
          </w:p>
        </w:tc>
        <w:tc>
          <w:tcPr>
            <w:tcW w:w="1473"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20"/>
              </w:rPr>
            </w:pPr>
            <w:r w:rsidRPr="00906AFB">
              <w:rPr>
                <w:rFonts w:ascii="Arial" w:hAnsi="Arial" w:cs="Arial"/>
                <w:sz w:val="20"/>
              </w:rPr>
              <w:t>10,000</w:t>
            </w:r>
          </w:p>
        </w:tc>
      </w:tr>
      <w:tr w:rsidR="00906AFB" w:rsidRPr="00906AFB" w:rsidTr="00906AFB">
        <w:trPr>
          <w:trHeight w:val="283"/>
        </w:trPr>
        <w:tc>
          <w:tcPr>
            <w:tcW w:w="1016"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before="120" w:after="120" w:line="360" w:lineRule="auto"/>
              <w:jc w:val="both"/>
              <w:rPr>
                <w:rFonts w:ascii="Arial" w:hAnsi="Arial" w:cs="Arial"/>
                <w:sz w:val="20"/>
              </w:rPr>
            </w:pPr>
          </w:p>
        </w:tc>
        <w:tc>
          <w:tcPr>
            <w:tcW w:w="509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bCs/>
                <w:sz w:val="20"/>
              </w:rPr>
            </w:pPr>
            <w:r w:rsidRPr="00906AFB">
              <w:rPr>
                <w:rFonts w:ascii="Arial" w:hAnsi="Arial" w:cs="Arial"/>
                <w:b/>
                <w:bCs/>
                <w:sz w:val="20"/>
              </w:rPr>
              <w:t>Total</w:t>
            </w:r>
          </w:p>
        </w:tc>
        <w:tc>
          <w:tcPr>
            <w:tcW w:w="1473"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b/>
                <w:bCs/>
                <w:sz w:val="20"/>
              </w:rPr>
            </w:pPr>
            <w:r w:rsidRPr="00906AFB">
              <w:rPr>
                <w:rFonts w:ascii="Arial" w:hAnsi="Arial" w:cs="Arial"/>
                <w:b/>
                <w:bCs/>
                <w:sz w:val="20"/>
              </w:rPr>
              <w:t>7,000,000</w:t>
            </w:r>
          </w:p>
        </w:tc>
      </w:tr>
    </w:tbl>
    <w:p w:rsidR="00906AFB" w:rsidRPr="00906AFB" w:rsidRDefault="00906AFB" w:rsidP="00906AFB">
      <w:pPr>
        <w:spacing w:after="0" w:line="240" w:lineRule="auto"/>
        <w:jc w:val="center"/>
        <w:rPr>
          <w:rFonts w:ascii="Arial" w:eastAsia="Calibri" w:hAnsi="Arial" w:cs="Arial"/>
          <w:sz w:val="24"/>
          <w:szCs w:val="24"/>
          <w:lang w:val="es-ES" w:eastAsia="en-US"/>
        </w:rPr>
      </w:pPr>
    </w:p>
    <w:p w:rsidR="00906AFB" w:rsidRPr="00906AFB" w:rsidRDefault="00906AFB" w:rsidP="00906AFB">
      <w:pPr>
        <w:spacing w:after="0" w:line="240" w:lineRule="auto"/>
        <w:rPr>
          <w:rFonts w:ascii="Colaborate-Regular" w:eastAsia="Calibri" w:hAnsi="Colaborate-Regular" w:cs="Times New Roman"/>
          <w:sz w:val="20"/>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sz w:val="24"/>
          <w:szCs w:val="24"/>
          <w:lang w:val="es-ES" w:eastAsia="en-US"/>
        </w:rPr>
        <w:t xml:space="preserve">La asignación presupuestaria destinada a la </w:t>
      </w:r>
      <w:r w:rsidRPr="00906AFB">
        <w:rPr>
          <w:rFonts w:ascii="Arial" w:eastAsia="Calibri" w:hAnsi="Arial" w:cs="Arial"/>
          <w:b/>
          <w:sz w:val="24"/>
          <w:szCs w:val="24"/>
          <w:lang w:val="es-ES" w:eastAsia="en-US"/>
        </w:rPr>
        <w:t>Comisión de Derechos Humanos del Estado de Colima</w:t>
      </w:r>
      <w:r w:rsidRPr="00906AFB">
        <w:rPr>
          <w:rFonts w:ascii="Arial" w:eastAsia="Calibri" w:hAnsi="Arial" w:cs="Arial"/>
          <w:sz w:val="24"/>
          <w:szCs w:val="24"/>
          <w:lang w:val="es-ES" w:eastAsia="en-US"/>
        </w:rPr>
        <w:t>, tendrá la siguiente distribución a nivel de capítulo:</w:t>
      </w:r>
    </w:p>
    <w:p w:rsidR="00906AFB" w:rsidRPr="00906AFB" w:rsidRDefault="00906AFB" w:rsidP="00906AFB">
      <w:pPr>
        <w:spacing w:after="0" w:line="240" w:lineRule="auto"/>
        <w:rPr>
          <w:rFonts w:ascii="Colaborate-Regular" w:eastAsia="Calibri" w:hAnsi="Colaborate-Regular" w:cs="Times New Roman"/>
          <w:sz w:val="20"/>
          <w:lang w:val="es-ES" w:eastAsia="en-US"/>
        </w:rPr>
      </w:pPr>
    </w:p>
    <w:p w:rsidR="00906AFB" w:rsidRPr="00906AFB" w:rsidRDefault="00906AFB" w:rsidP="00906AFB">
      <w:pPr>
        <w:keepNext/>
        <w:keepLines/>
        <w:spacing w:after="0" w:line="240" w:lineRule="auto"/>
        <w:jc w:val="center"/>
        <w:outlineLvl w:val="1"/>
        <w:rPr>
          <w:rFonts w:ascii="Arial" w:eastAsia="Times New Roman" w:hAnsi="Arial" w:cs="Times New Roman"/>
          <w:b/>
          <w:sz w:val="24"/>
          <w:szCs w:val="26"/>
          <w:lang w:val="es-ES" w:eastAsia="en-US"/>
        </w:rPr>
      </w:pPr>
      <w:r w:rsidRPr="00906AFB">
        <w:rPr>
          <w:rFonts w:ascii="Arial" w:eastAsia="Times New Roman" w:hAnsi="Arial" w:cs="Times New Roman"/>
          <w:b/>
          <w:sz w:val="20"/>
          <w:szCs w:val="26"/>
          <w:lang w:val="es-ES" w:eastAsia="en-US"/>
        </w:rPr>
        <w:t>Tabla 7. Comisión de Derechos Humanos del Estado de Colima</w:t>
      </w:r>
    </w:p>
    <w:tbl>
      <w:tblPr>
        <w:tblStyle w:val="Tablaconcuadrcula2"/>
        <w:tblW w:w="0" w:type="auto"/>
        <w:tblInd w:w="534" w:type="dxa"/>
        <w:tblLook w:val="04A0" w:firstRow="1" w:lastRow="0" w:firstColumn="1" w:lastColumn="0" w:noHBand="0" w:noVBand="1"/>
      </w:tblPr>
      <w:tblGrid>
        <w:gridCol w:w="1016"/>
        <w:gridCol w:w="5090"/>
        <w:gridCol w:w="1473"/>
      </w:tblGrid>
      <w:tr w:rsidR="00906AFB" w:rsidRPr="00906AFB" w:rsidTr="00906AFB">
        <w:trPr>
          <w:trHeight w:val="283"/>
        </w:trPr>
        <w:tc>
          <w:tcPr>
            <w:tcW w:w="1016"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bCs/>
                <w:sz w:val="20"/>
              </w:rPr>
            </w:pPr>
            <w:r w:rsidRPr="00906AFB">
              <w:rPr>
                <w:rFonts w:ascii="Arial" w:hAnsi="Arial" w:cs="Arial"/>
                <w:b/>
                <w:bCs/>
                <w:sz w:val="20"/>
              </w:rPr>
              <w:t>Capítulo</w:t>
            </w:r>
          </w:p>
        </w:tc>
        <w:tc>
          <w:tcPr>
            <w:tcW w:w="509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bCs/>
                <w:sz w:val="20"/>
              </w:rPr>
            </w:pPr>
            <w:r w:rsidRPr="00906AFB">
              <w:rPr>
                <w:rFonts w:ascii="Arial" w:hAnsi="Arial" w:cs="Arial"/>
                <w:b/>
                <w:bCs/>
                <w:sz w:val="20"/>
              </w:rPr>
              <w:t>Concepto</w:t>
            </w:r>
          </w:p>
        </w:tc>
        <w:tc>
          <w:tcPr>
            <w:tcW w:w="1473"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bCs/>
                <w:sz w:val="20"/>
              </w:rPr>
            </w:pPr>
            <w:r w:rsidRPr="00906AFB">
              <w:rPr>
                <w:rFonts w:ascii="Arial" w:hAnsi="Arial" w:cs="Arial"/>
                <w:b/>
                <w:bCs/>
                <w:sz w:val="20"/>
              </w:rPr>
              <w:t>Asignación Presupuestal</w:t>
            </w:r>
          </w:p>
        </w:tc>
      </w:tr>
      <w:tr w:rsidR="00906AFB" w:rsidRPr="00906AFB" w:rsidTr="00906AFB">
        <w:trPr>
          <w:trHeight w:val="283"/>
        </w:trPr>
        <w:tc>
          <w:tcPr>
            <w:tcW w:w="1016"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sz w:val="20"/>
              </w:rPr>
            </w:pPr>
            <w:r w:rsidRPr="00906AFB">
              <w:rPr>
                <w:rFonts w:ascii="Arial" w:hAnsi="Arial" w:cs="Arial"/>
                <w:sz w:val="20"/>
              </w:rPr>
              <w:t>10000</w:t>
            </w:r>
          </w:p>
        </w:tc>
        <w:tc>
          <w:tcPr>
            <w:tcW w:w="509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20"/>
              </w:rPr>
            </w:pPr>
            <w:r w:rsidRPr="00906AFB">
              <w:rPr>
                <w:rFonts w:ascii="Arial" w:hAnsi="Arial" w:cs="Arial"/>
                <w:sz w:val="20"/>
              </w:rPr>
              <w:t>Servicios Personales</w:t>
            </w:r>
          </w:p>
        </w:tc>
        <w:tc>
          <w:tcPr>
            <w:tcW w:w="1473"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20"/>
              </w:rPr>
            </w:pPr>
            <w:r w:rsidRPr="00906AFB">
              <w:rPr>
                <w:rFonts w:ascii="Arial" w:hAnsi="Arial" w:cs="Arial"/>
                <w:sz w:val="20"/>
              </w:rPr>
              <w:t>6,878,180</w:t>
            </w:r>
          </w:p>
        </w:tc>
      </w:tr>
      <w:tr w:rsidR="00906AFB" w:rsidRPr="00906AFB" w:rsidTr="00906AFB">
        <w:trPr>
          <w:trHeight w:val="283"/>
        </w:trPr>
        <w:tc>
          <w:tcPr>
            <w:tcW w:w="1016"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sz w:val="20"/>
              </w:rPr>
            </w:pPr>
            <w:r w:rsidRPr="00906AFB">
              <w:rPr>
                <w:rFonts w:ascii="Arial" w:hAnsi="Arial" w:cs="Arial"/>
                <w:sz w:val="20"/>
              </w:rPr>
              <w:t>20000</w:t>
            </w:r>
          </w:p>
        </w:tc>
        <w:tc>
          <w:tcPr>
            <w:tcW w:w="509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20"/>
              </w:rPr>
            </w:pPr>
            <w:r w:rsidRPr="00906AFB">
              <w:rPr>
                <w:rFonts w:ascii="Arial" w:hAnsi="Arial" w:cs="Arial"/>
                <w:sz w:val="20"/>
              </w:rPr>
              <w:t>Materiales y Suministros</w:t>
            </w:r>
          </w:p>
        </w:tc>
        <w:tc>
          <w:tcPr>
            <w:tcW w:w="1473"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20"/>
              </w:rPr>
            </w:pPr>
            <w:r w:rsidRPr="00906AFB">
              <w:rPr>
                <w:rFonts w:ascii="Arial" w:hAnsi="Arial" w:cs="Arial"/>
                <w:sz w:val="20"/>
              </w:rPr>
              <w:t>0</w:t>
            </w:r>
          </w:p>
        </w:tc>
      </w:tr>
      <w:tr w:rsidR="00906AFB" w:rsidRPr="00906AFB" w:rsidTr="00906AFB">
        <w:trPr>
          <w:trHeight w:val="283"/>
        </w:trPr>
        <w:tc>
          <w:tcPr>
            <w:tcW w:w="1016"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sz w:val="20"/>
              </w:rPr>
            </w:pPr>
            <w:r w:rsidRPr="00906AFB">
              <w:rPr>
                <w:rFonts w:ascii="Arial" w:hAnsi="Arial" w:cs="Arial"/>
                <w:sz w:val="20"/>
              </w:rPr>
              <w:t>30000</w:t>
            </w:r>
          </w:p>
        </w:tc>
        <w:tc>
          <w:tcPr>
            <w:tcW w:w="509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20"/>
              </w:rPr>
            </w:pPr>
            <w:r w:rsidRPr="00906AFB">
              <w:rPr>
                <w:rFonts w:ascii="Arial" w:hAnsi="Arial" w:cs="Arial"/>
                <w:sz w:val="20"/>
              </w:rPr>
              <w:t>Servicios Generales</w:t>
            </w:r>
          </w:p>
        </w:tc>
        <w:tc>
          <w:tcPr>
            <w:tcW w:w="1473"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20"/>
              </w:rPr>
            </w:pPr>
            <w:r w:rsidRPr="00906AFB">
              <w:rPr>
                <w:rFonts w:ascii="Arial" w:hAnsi="Arial" w:cs="Arial"/>
                <w:sz w:val="20"/>
              </w:rPr>
              <w:t>0</w:t>
            </w:r>
          </w:p>
        </w:tc>
      </w:tr>
      <w:tr w:rsidR="00906AFB" w:rsidRPr="00906AFB" w:rsidTr="00906AFB">
        <w:trPr>
          <w:trHeight w:val="283"/>
        </w:trPr>
        <w:tc>
          <w:tcPr>
            <w:tcW w:w="1016"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sz w:val="20"/>
              </w:rPr>
            </w:pPr>
            <w:r w:rsidRPr="00906AFB">
              <w:rPr>
                <w:rFonts w:ascii="Arial" w:hAnsi="Arial" w:cs="Arial"/>
                <w:sz w:val="20"/>
              </w:rPr>
              <w:t>40000</w:t>
            </w:r>
          </w:p>
        </w:tc>
        <w:tc>
          <w:tcPr>
            <w:tcW w:w="509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20"/>
              </w:rPr>
            </w:pPr>
            <w:r w:rsidRPr="00906AFB">
              <w:rPr>
                <w:rFonts w:ascii="Arial" w:hAnsi="Arial" w:cs="Arial"/>
                <w:sz w:val="20"/>
              </w:rPr>
              <w:t>Transferencias, Asignaciones, Subsidios y Otras Ayudas</w:t>
            </w:r>
          </w:p>
        </w:tc>
        <w:tc>
          <w:tcPr>
            <w:tcW w:w="1473"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20"/>
              </w:rPr>
            </w:pPr>
            <w:r w:rsidRPr="00906AFB">
              <w:rPr>
                <w:rFonts w:ascii="Arial" w:hAnsi="Arial" w:cs="Arial"/>
                <w:sz w:val="20"/>
              </w:rPr>
              <w:t>0</w:t>
            </w:r>
          </w:p>
        </w:tc>
      </w:tr>
      <w:tr w:rsidR="00906AFB" w:rsidRPr="00906AFB" w:rsidTr="00906AFB">
        <w:trPr>
          <w:trHeight w:val="283"/>
        </w:trPr>
        <w:tc>
          <w:tcPr>
            <w:tcW w:w="1016"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sz w:val="20"/>
              </w:rPr>
            </w:pPr>
            <w:r w:rsidRPr="00906AFB">
              <w:rPr>
                <w:rFonts w:ascii="Arial" w:hAnsi="Arial" w:cs="Arial"/>
                <w:sz w:val="20"/>
              </w:rPr>
              <w:t>50000</w:t>
            </w:r>
          </w:p>
        </w:tc>
        <w:tc>
          <w:tcPr>
            <w:tcW w:w="509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20"/>
              </w:rPr>
            </w:pPr>
            <w:r w:rsidRPr="00906AFB">
              <w:rPr>
                <w:rFonts w:ascii="Arial" w:hAnsi="Arial" w:cs="Arial"/>
                <w:sz w:val="20"/>
              </w:rPr>
              <w:t>Bienes Muebles, Inmuebles e Intangibles</w:t>
            </w:r>
          </w:p>
        </w:tc>
        <w:tc>
          <w:tcPr>
            <w:tcW w:w="1473"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20"/>
              </w:rPr>
            </w:pPr>
            <w:r w:rsidRPr="00906AFB">
              <w:rPr>
                <w:rFonts w:ascii="Arial" w:hAnsi="Arial" w:cs="Arial"/>
                <w:sz w:val="20"/>
              </w:rPr>
              <w:t>0</w:t>
            </w:r>
          </w:p>
        </w:tc>
      </w:tr>
      <w:tr w:rsidR="00906AFB" w:rsidRPr="00906AFB" w:rsidTr="00906AFB">
        <w:trPr>
          <w:trHeight w:val="283"/>
        </w:trPr>
        <w:tc>
          <w:tcPr>
            <w:tcW w:w="1016"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before="120" w:after="120" w:line="360" w:lineRule="auto"/>
              <w:jc w:val="both"/>
              <w:rPr>
                <w:rFonts w:ascii="Arial" w:hAnsi="Arial" w:cs="Arial"/>
                <w:sz w:val="20"/>
              </w:rPr>
            </w:pPr>
          </w:p>
        </w:tc>
        <w:tc>
          <w:tcPr>
            <w:tcW w:w="509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bCs/>
                <w:sz w:val="20"/>
              </w:rPr>
            </w:pPr>
            <w:r w:rsidRPr="00906AFB">
              <w:rPr>
                <w:rFonts w:ascii="Arial" w:hAnsi="Arial" w:cs="Arial"/>
                <w:b/>
                <w:bCs/>
                <w:sz w:val="20"/>
              </w:rPr>
              <w:t>Total</w:t>
            </w:r>
          </w:p>
        </w:tc>
        <w:tc>
          <w:tcPr>
            <w:tcW w:w="1473"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b/>
                <w:bCs/>
                <w:sz w:val="20"/>
              </w:rPr>
            </w:pPr>
            <w:r w:rsidRPr="00906AFB">
              <w:rPr>
                <w:rFonts w:ascii="Arial" w:hAnsi="Arial" w:cs="Arial"/>
                <w:b/>
                <w:bCs/>
                <w:sz w:val="20"/>
              </w:rPr>
              <w:t>6,878,180</w:t>
            </w:r>
          </w:p>
        </w:tc>
      </w:tr>
    </w:tbl>
    <w:p w:rsidR="00906AFB" w:rsidRPr="00906AFB" w:rsidRDefault="00906AFB" w:rsidP="00906AFB">
      <w:pPr>
        <w:spacing w:after="0" w:line="240" w:lineRule="auto"/>
        <w:jc w:val="both"/>
        <w:rPr>
          <w:rFonts w:ascii="Arial" w:eastAsia="Calibri" w:hAnsi="Arial" w:cs="Arial"/>
          <w:sz w:val="24"/>
          <w:szCs w:val="24"/>
        </w:rPr>
      </w:pPr>
    </w:p>
    <w:p w:rsidR="00906AFB" w:rsidRPr="00906AFB" w:rsidRDefault="00906AFB" w:rsidP="00906AFB">
      <w:pPr>
        <w:spacing w:after="0" w:line="240" w:lineRule="auto"/>
        <w:jc w:val="both"/>
        <w:rPr>
          <w:rFonts w:ascii="Arial" w:eastAsia="Calibri" w:hAnsi="Arial" w:cs="Arial"/>
          <w:sz w:val="24"/>
          <w:szCs w:val="24"/>
        </w:rPr>
      </w:pPr>
      <w:r w:rsidRPr="00906AFB">
        <w:rPr>
          <w:rFonts w:ascii="Arial" w:eastAsia="Calibri" w:hAnsi="Arial" w:cs="Arial"/>
          <w:sz w:val="24"/>
          <w:szCs w:val="24"/>
        </w:rPr>
        <w:t xml:space="preserve">Las asignaciones presupuestarias destinadas al </w:t>
      </w:r>
      <w:r w:rsidRPr="00906AFB">
        <w:rPr>
          <w:rFonts w:ascii="Arial" w:eastAsia="Calibri" w:hAnsi="Arial" w:cs="Arial"/>
          <w:b/>
          <w:sz w:val="24"/>
          <w:szCs w:val="24"/>
        </w:rPr>
        <w:t>Tribunal de Arbitraje y Escalafón</w:t>
      </w:r>
      <w:r w:rsidRPr="00906AFB">
        <w:rPr>
          <w:rFonts w:ascii="Arial" w:eastAsia="Calibri" w:hAnsi="Arial" w:cs="Arial"/>
          <w:sz w:val="24"/>
          <w:szCs w:val="24"/>
        </w:rPr>
        <w:t xml:space="preserve">, </w:t>
      </w:r>
      <w:r w:rsidRPr="00906AFB">
        <w:rPr>
          <w:rFonts w:ascii="Arial" w:eastAsia="Calibri" w:hAnsi="Arial" w:cs="Arial"/>
          <w:color w:val="000000"/>
          <w:sz w:val="24"/>
          <w:szCs w:val="24"/>
        </w:rPr>
        <w:t>se distribuyen de</w:t>
      </w:r>
      <w:r w:rsidRPr="00906AFB">
        <w:rPr>
          <w:rFonts w:ascii="Arial" w:eastAsia="Calibri" w:hAnsi="Arial" w:cs="Arial"/>
          <w:sz w:val="24"/>
          <w:szCs w:val="24"/>
        </w:rPr>
        <w:t xml:space="preserve"> la siguiente manera:</w:t>
      </w:r>
    </w:p>
    <w:p w:rsidR="00906AFB" w:rsidRPr="00906AFB" w:rsidRDefault="00906AFB" w:rsidP="00906AFB">
      <w:pPr>
        <w:spacing w:after="0" w:line="240" w:lineRule="auto"/>
        <w:jc w:val="both"/>
        <w:rPr>
          <w:rFonts w:ascii="Arial" w:eastAsia="Calibri" w:hAnsi="Arial" w:cs="Arial"/>
          <w:sz w:val="24"/>
          <w:szCs w:val="24"/>
        </w:rPr>
      </w:pPr>
    </w:p>
    <w:p w:rsidR="00906AFB" w:rsidRPr="00906AFB" w:rsidRDefault="00906AFB" w:rsidP="00906AFB">
      <w:pPr>
        <w:keepNext/>
        <w:keepLines/>
        <w:spacing w:after="0" w:line="240" w:lineRule="auto"/>
        <w:jc w:val="center"/>
        <w:outlineLvl w:val="1"/>
        <w:rPr>
          <w:rFonts w:ascii="Arial" w:eastAsia="Times New Roman" w:hAnsi="Arial" w:cs="Times New Roman"/>
          <w:b/>
          <w:sz w:val="20"/>
          <w:szCs w:val="26"/>
          <w:lang w:val="es-ES" w:eastAsia="en-US"/>
        </w:rPr>
      </w:pPr>
      <w:r w:rsidRPr="00906AFB">
        <w:rPr>
          <w:rFonts w:ascii="Arial" w:eastAsia="Times New Roman" w:hAnsi="Arial" w:cs="Times New Roman"/>
          <w:b/>
          <w:sz w:val="20"/>
          <w:szCs w:val="26"/>
          <w:lang w:val="es-ES" w:eastAsia="en-US"/>
        </w:rPr>
        <w:t>Tabla 8. Tribunal de Arbitraje y Escalafón</w:t>
      </w:r>
    </w:p>
    <w:tbl>
      <w:tblPr>
        <w:tblStyle w:val="Tablaconcuadrcula2"/>
        <w:tblW w:w="0" w:type="auto"/>
        <w:tblInd w:w="534" w:type="dxa"/>
        <w:tblLook w:val="04A0" w:firstRow="1" w:lastRow="0" w:firstColumn="1" w:lastColumn="0" w:noHBand="0" w:noVBand="1"/>
      </w:tblPr>
      <w:tblGrid>
        <w:gridCol w:w="1016"/>
        <w:gridCol w:w="5090"/>
        <w:gridCol w:w="1501"/>
      </w:tblGrid>
      <w:tr w:rsidR="00906AFB" w:rsidRPr="00906AFB" w:rsidTr="00906AFB">
        <w:trPr>
          <w:trHeight w:val="283"/>
        </w:trPr>
        <w:tc>
          <w:tcPr>
            <w:tcW w:w="1016"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bCs/>
                <w:sz w:val="20"/>
                <w:szCs w:val="20"/>
              </w:rPr>
            </w:pPr>
            <w:r w:rsidRPr="00906AFB">
              <w:rPr>
                <w:rFonts w:ascii="Arial" w:hAnsi="Arial" w:cs="Arial"/>
                <w:b/>
                <w:bCs/>
                <w:sz w:val="20"/>
                <w:szCs w:val="20"/>
              </w:rPr>
              <w:t>Capítulo</w:t>
            </w:r>
          </w:p>
        </w:tc>
        <w:tc>
          <w:tcPr>
            <w:tcW w:w="509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bCs/>
                <w:sz w:val="20"/>
                <w:szCs w:val="20"/>
              </w:rPr>
            </w:pPr>
            <w:r w:rsidRPr="00906AFB">
              <w:rPr>
                <w:rFonts w:ascii="Arial" w:hAnsi="Arial" w:cs="Arial"/>
                <w:b/>
                <w:bCs/>
                <w:sz w:val="20"/>
                <w:szCs w:val="20"/>
              </w:rPr>
              <w:t>Concepto</w:t>
            </w:r>
          </w:p>
        </w:tc>
        <w:tc>
          <w:tcPr>
            <w:tcW w:w="1501"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bCs/>
                <w:sz w:val="20"/>
                <w:szCs w:val="20"/>
              </w:rPr>
            </w:pPr>
            <w:r w:rsidRPr="00906AFB">
              <w:rPr>
                <w:rFonts w:ascii="Arial" w:hAnsi="Arial" w:cs="Arial"/>
                <w:b/>
                <w:bCs/>
                <w:sz w:val="20"/>
                <w:szCs w:val="20"/>
              </w:rPr>
              <w:t>Asignación Presupuestal</w:t>
            </w:r>
          </w:p>
        </w:tc>
      </w:tr>
      <w:tr w:rsidR="00906AFB" w:rsidRPr="00906AFB" w:rsidTr="00906AFB">
        <w:trPr>
          <w:trHeight w:val="283"/>
        </w:trPr>
        <w:tc>
          <w:tcPr>
            <w:tcW w:w="1016"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sz w:val="20"/>
                <w:szCs w:val="20"/>
              </w:rPr>
            </w:pPr>
            <w:r w:rsidRPr="00906AFB">
              <w:rPr>
                <w:rFonts w:ascii="Arial" w:hAnsi="Arial" w:cs="Arial"/>
                <w:sz w:val="20"/>
                <w:szCs w:val="20"/>
              </w:rPr>
              <w:t>10000</w:t>
            </w:r>
          </w:p>
        </w:tc>
        <w:tc>
          <w:tcPr>
            <w:tcW w:w="509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20"/>
                <w:szCs w:val="20"/>
              </w:rPr>
            </w:pPr>
            <w:r w:rsidRPr="00906AFB">
              <w:rPr>
                <w:rFonts w:ascii="Arial" w:hAnsi="Arial" w:cs="Arial"/>
                <w:sz w:val="20"/>
                <w:szCs w:val="20"/>
              </w:rPr>
              <w:t>Servicios Personales</w:t>
            </w:r>
          </w:p>
        </w:tc>
        <w:tc>
          <w:tcPr>
            <w:tcW w:w="150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EA6637" w:rsidP="00906AFB">
            <w:pPr>
              <w:jc w:val="right"/>
              <w:rPr>
                <w:rFonts w:ascii="Arial" w:hAnsi="Arial"/>
                <w:sz w:val="20"/>
                <w:szCs w:val="20"/>
              </w:rPr>
            </w:pPr>
            <w:r>
              <w:rPr>
                <w:rFonts w:ascii="Arial" w:hAnsi="Arial"/>
                <w:sz w:val="20"/>
                <w:szCs w:val="20"/>
              </w:rPr>
              <w:t>4,060,100</w:t>
            </w:r>
          </w:p>
        </w:tc>
      </w:tr>
      <w:tr w:rsidR="00906AFB" w:rsidRPr="00906AFB" w:rsidTr="00906AFB">
        <w:trPr>
          <w:trHeight w:val="283"/>
        </w:trPr>
        <w:tc>
          <w:tcPr>
            <w:tcW w:w="1016"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sz w:val="20"/>
                <w:szCs w:val="20"/>
              </w:rPr>
            </w:pPr>
            <w:r w:rsidRPr="00906AFB">
              <w:rPr>
                <w:rFonts w:ascii="Arial" w:hAnsi="Arial" w:cs="Arial"/>
                <w:sz w:val="20"/>
                <w:szCs w:val="20"/>
              </w:rPr>
              <w:t>20000</w:t>
            </w:r>
          </w:p>
        </w:tc>
        <w:tc>
          <w:tcPr>
            <w:tcW w:w="509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20"/>
                <w:szCs w:val="20"/>
              </w:rPr>
            </w:pPr>
            <w:r w:rsidRPr="00906AFB">
              <w:rPr>
                <w:rFonts w:ascii="Arial" w:hAnsi="Arial" w:cs="Arial"/>
                <w:sz w:val="20"/>
                <w:szCs w:val="20"/>
              </w:rPr>
              <w:t>Materiales y Suministros</w:t>
            </w:r>
          </w:p>
        </w:tc>
        <w:tc>
          <w:tcPr>
            <w:tcW w:w="150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sz w:val="20"/>
                <w:szCs w:val="20"/>
              </w:rPr>
            </w:pPr>
            <w:r w:rsidRPr="00906AFB">
              <w:rPr>
                <w:rFonts w:ascii="Arial" w:hAnsi="Arial"/>
                <w:sz w:val="20"/>
                <w:szCs w:val="20"/>
              </w:rPr>
              <w:t>162,200</w:t>
            </w:r>
          </w:p>
        </w:tc>
      </w:tr>
      <w:tr w:rsidR="00906AFB" w:rsidRPr="00906AFB" w:rsidTr="00906AFB">
        <w:trPr>
          <w:trHeight w:val="283"/>
        </w:trPr>
        <w:tc>
          <w:tcPr>
            <w:tcW w:w="1016"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sz w:val="20"/>
                <w:szCs w:val="20"/>
              </w:rPr>
            </w:pPr>
            <w:r w:rsidRPr="00906AFB">
              <w:rPr>
                <w:rFonts w:ascii="Arial" w:hAnsi="Arial" w:cs="Arial"/>
                <w:sz w:val="20"/>
                <w:szCs w:val="20"/>
              </w:rPr>
              <w:t>30000</w:t>
            </w:r>
          </w:p>
        </w:tc>
        <w:tc>
          <w:tcPr>
            <w:tcW w:w="509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20"/>
                <w:szCs w:val="20"/>
              </w:rPr>
            </w:pPr>
            <w:r w:rsidRPr="00906AFB">
              <w:rPr>
                <w:rFonts w:ascii="Arial" w:hAnsi="Arial" w:cs="Arial"/>
                <w:sz w:val="20"/>
                <w:szCs w:val="20"/>
              </w:rPr>
              <w:t>Servicios Generales</w:t>
            </w:r>
          </w:p>
        </w:tc>
        <w:tc>
          <w:tcPr>
            <w:tcW w:w="150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sz w:val="20"/>
                <w:szCs w:val="20"/>
              </w:rPr>
            </w:pPr>
            <w:r w:rsidRPr="00906AFB">
              <w:rPr>
                <w:rFonts w:ascii="Arial" w:hAnsi="Arial"/>
                <w:sz w:val="20"/>
                <w:szCs w:val="20"/>
              </w:rPr>
              <w:t>299,200</w:t>
            </w:r>
          </w:p>
        </w:tc>
      </w:tr>
      <w:tr w:rsidR="00906AFB" w:rsidRPr="00906AFB" w:rsidTr="00906AFB">
        <w:trPr>
          <w:trHeight w:val="283"/>
        </w:trPr>
        <w:tc>
          <w:tcPr>
            <w:tcW w:w="1016"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sz w:val="20"/>
                <w:szCs w:val="20"/>
              </w:rPr>
            </w:pPr>
            <w:r w:rsidRPr="00906AFB">
              <w:rPr>
                <w:rFonts w:ascii="Arial" w:hAnsi="Arial" w:cs="Arial"/>
                <w:sz w:val="20"/>
                <w:szCs w:val="20"/>
              </w:rPr>
              <w:t>40000</w:t>
            </w:r>
          </w:p>
        </w:tc>
        <w:tc>
          <w:tcPr>
            <w:tcW w:w="509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20"/>
                <w:szCs w:val="20"/>
              </w:rPr>
            </w:pPr>
            <w:r w:rsidRPr="00906AFB">
              <w:rPr>
                <w:rFonts w:ascii="Arial" w:hAnsi="Arial" w:cs="Arial"/>
                <w:sz w:val="20"/>
                <w:szCs w:val="20"/>
              </w:rPr>
              <w:t>Transferencias, Asignaciones, Subsidios y Otras Ayudas</w:t>
            </w:r>
          </w:p>
        </w:tc>
        <w:tc>
          <w:tcPr>
            <w:tcW w:w="150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sz w:val="20"/>
                <w:szCs w:val="20"/>
              </w:rPr>
            </w:pPr>
            <w:r w:rsidRPr="00906AFB">
              <w:rPr>
                <w:rFonts w:ascii="Arial" w:hAnsi="Arial"/>
                <w:sz w:val="20"/>
                <w:szCs w:val="20"/>
              </w:rPr>
              <w:t>0</w:t>
            </w:r>
          </w:p>
        </w:tc>
      </w:tr>
      <w:tr w:rsidR="00906AFB" w:rsidRPr="00906AFB" w:rsidTr="00906AFB">
        <w:trPr>
          <w:trHeight w:val="283"/>
        </w:trPr>
        <w:tc>
          <w:tcPr>
            <w:tcW w:w="1016"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sz w:val="20"/>
                <w:szCs w:val="20"/>
              </w:rPr>
            </w:pPr>
            <w:r w:rsidRPr="00906AFB">
              <w:rPr>
                <w:rFonts w:ascii="Arial" w:hAnsi="Arial" w:cs="Arial"/>
                <w:sz w:val="20"/>
                <w:szCs w:val="20"/>
              </w:rPr>
              <w:t>50000</w:t>
            </w:r>
          </w:p>
        </w:tc>
        <w:tc>
          <w:tcPr>
            <w:tcW w:w="509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20"/>
                <w:szCs w:val="20"/>
              </w:rPr>
            </w:pPr>
            <w:r w:rsidRPr="00906AFB">
              <w:rPr>
                <w:rFonts w:ascii="Arial" w:hAnsi="Arial" w:cs="Arial"/>
                <w:sz w:val="20"/>
                <w:szCs w:val="20"/>
              </w:rPr>
              <w:t>Bienes Muebles, Inmuebles e Intangibles</w:t>
            </w:r>
          </w:p>
        </w:tc>
        <w:tc>
          <w:tcPr>
            <w:tcW w:w="150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sz w:val="20"/>
                <w:szCs w:val="20"/>
              </w:rPr>
            </w:pPr>
            <w:r w:rsidRPr="00906AFB">
              <w:rPr>
                <w:rFonts w:ascii="Arial" w:hAnsi="Arial"/>
                <w:sz w:val="20"/>
                <w:szCs w:val="20"/>
              </w:rPr>
              <w:t>18,600</w:t>
            </w:r>
          </w:p>
        </w:tc>
      </w:tr>
      <w:tr w:rsidR="00906AFB" w:rsidRPr="00906AFB" w:rsidTr="00906AFB">
        <w:trPr>
          <w:trHeight w:val="283"/>
        </w:trPr>
        <w:tc>
          <w:tcPr>
            <w:tcW w:w="1016"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before="120" w:after="120" w:line="360" w:lineRule="auto"/>
              <w:jc w:val="both"/>
              <w:rPr>
                <w:rFonts w:ascii="Arial" w:hAnsi="Arial"/>
                <w:sz w:val="20"/>
                <w:szCs w:val="20"/>
              </w:rPr>
            </w:pPr>
          </w:p>
        </w:tc>
        <w:tc>
          <w:tcPr>
            <w:tcW w:w="509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bCs/>
                <w:sz w:val="20"/>
                <w:szCs w:val="20"/>
              </w:rPr>
            </w:pPr>
            <w:r w:rsidRPr="00906AFB">
              <w:rPr>
                <w:rFonts w:ascii="Arial" w:hAnsi="Arial" w:cs="Arial"/>
                <w:b/>
                <w:bCs/>
                <w:sz w:val="20"/>
                <w:szCs w:val="20"/>
              </w:rPr>
              <w:t>Total</w:t>
            </w:r>
          </w:p>
        </w:tc>
        <w:tc>
          <w:tcPr>
            <w:tcW w:w="1501"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EA6637" w:rsidP="00906AFB">
            <w:pPr>
              <w:jc w:val="right"/>
              <w:rPr>
                <w:rFonts w:ascii="Arial" w:hAnsi="Arial" w:cs="Arial"/>
                <w:b/>
                <w:bCs/>
                <w:sz w:val="20"/>
                <w:szCs w:val="20"/>
              </w:rPr>
            </w:pPr>
            <w:r w:rsidRPr="00EA6637">
              <w:rPr>
                <w:rFonts w:ascii="Arial" w:hAnsi="Arial" w:cs="Arial"/>
                <w:b/>
                <w:bCs/>
                <w:sz w:val="20"/>
                <w:szCs w:val="20"/>
              </w:rPr>
              <w:t>4,540,100</w:t>
            </w:r>
          </w:p>
        </w:tc>
      </w:tr>
    </w:tbl>
    <w:p w:rsidR="00906AFB" w:rsidRPr="00906AFB" w:rsidRDefault="00906AFB" w:rsidP="00906AFB">
      <w:pPr>
        <w:spacing w:after="0" w:line="240" w:lineRule="auto"/>
        <w:jc w:val="both"/>
        <w:rPr>
          <w:rFonts w:ascii="Arial" w:eastAsia="Calibri" w:hAnsi="Arial" w:cs="Times New Roman"/>
          <w:lang w:val="es-ES" w:eastAsia="en-US"/>
        </w:rPr>
      </w:pPr>
    </w:p>
    <w:p w:rsidR="00906AFB" w:rsidRPr="00906AFB" w:rsidRDefault="00906AFB" w:rsidP="00906AFB">
      <w:pPr>
        <w:spacing w:after="0" w:line="240" w:lineRule="auto"/>
        <w:jc w:val="both"/>
        <w:rPr>
          <w:rFonts w:ascii="Arial" w:eastAsia="Calibri" w:hAnsi="Arial" w:cs="Arial"/>
          <w:sz w:val="24"/>
          <w:szCs w:val="24"/>
        </w:rPr>
      </w:pPr>
      <w:r w:rsidRPr="00906AFB">
        <w:rPr>
          <w:rFonts w:ascii="Arial" w:eastAsia="Calibri" w:hAnsi="Arial" w:cs="Arial"/>
          <w:sz w:val="24"/>
          <w:szCs w:val="24"/>
        </w:rPr>
        <w:t xml:space="preserve">Para el </w:t>
      </w:r>
      <w:r w:rsidRPr="00906AFB">
        <w:rPr>
          <w:rFonts w:ascii="Arial" w:eastAsia="Calibri" w:hAnsi="Arial" w:cs="Arial"/>
          <w:b/>
          <w:sz w:val="24"/>
          <w:szCs w:val="24"/>
        </w:rPr>
        <w:t>Tribunal de lo Contencioso Administrativo</w:t>
      </w:r>
      <w:r w:rsidRPr="00906AFB">
        <w:rPr>
          <w:rFonts w:ascii="Arial" w:eastAsia="Calibri" w:hAnsi="Arial" w:cs="Arial"/>
          <w:sz w:val="24"/>
          <w:szCs w:val="24"/>
        </w:rPr>
        <w:t>, las asignaciones se distribuyen en los siguientes capítulos:</w:t>
      </w:r>
    </w:p>
    <w:p w:rsidR="00906AFB" w:rsidRPr="00906AFB" w:rsidRDefault="00906AFB" w:rsidP="00906AFB">
      <w:pPr>
        <w:spacing w:after="0" w:line="240" w:lineRule="auto"/>
        <w:jc w:val="both"/>
        <w:rPr>
          <w:rFonts w:ascii="Arial" w:eastAsia="Calibri" w:hAnsi="Arial" w:cs="Arial"/>
          <w:sz w:val="24"/>
          <w:szCs w:val="24"/>
        </w:rPr>
      </w:pPr>
    </w:p>
    <w:p w:rsidR="00906AFB" w:rsidRPr="00906AFB" w:rsidRDefault="00906AFB" w:rsidP="00906AFB">
      <w:pPr>
        <w:keepNext/>
        <w:keepLines/>
        <w:spacing w:after="0" w:line="240" w:lineRule="auto"/>
        <w:jc w:val="center"/>
        <w:outlineLvl w:val="1"/>
        <w:rPr>
          <w:rFonts w:ascii="Arial" w:eastAsia="Times New Roman" w:hAnsi="Arial" w:cs="Times New Roman"/>
          <w:b/>
          <w:sz w:val="20"/>
          <w:szCs w:val="26"/>
          <w:lang w:val="es-ES" w:eastAsia="en-US"/>
        </w:rPr>
      </w:pPr>
      <w:r w:rsidRPr="00906AFB">
        <w:rPr>
          <w:rFonts w:ascii="Arial" w:eastAsia="Times New Roman" w:hAnsi="Arial" w:cs="Times New Roman"/>
          <w:b/>
          <w:sz w:val="20"/>
          <w:szCs w:val="26"/>
          <w:lang w:val="es-ES" w:eastAsia="en-US"/>
        </w:rPr>
        <w:t>Tabla 9. Tribunal de lo Contencioso Administrativo</w:t>
      </w:r>
    </w:p>
    <w:tbl>
      <w:tblPr>
        <w:tblStyle w:val="Tablaconcuadrcula2"/>
        <w:tblW w:w="0" w:type="auto"/>
        <w:tblInd w:w="534" w:type="dxa"/>
        <w:tblLook w:val="04A0" w:firstRow="1" w:lastRow="0" w:firstColumn="1" w:lastColumn="0" w:noHBand="0" w:noVBand="1"/>
      </w:tblPr>
      <w:tblGrid>
        <w:gridCol w:w="1016"/>
        <w:gridCol w:w="5090"/>
        <w:gridCol w:w="1501"/>
      </w:tblGrid>
      <w:tr w:rsidR="00906AFB" w:rsidRPr="00906AFB" w:rsidTr="00906AFB">
        <w:trPr>
          <w:trHeight w:val="283"/>
        </w:trPr>
        <w:tc>
          <w:tcPr>
            <w:tcW w:w="1016"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bCs/>
                <w:sz w:val="20"/>
                <w:szCs w:val="20"/>
              </w:rPr>
            </w:pPr>
            <w:r w:rsidRPr="00906AFB">
              <w:rPr>
                <w:rFonts w:ascii="Arial" w:hAnsi="Arial" w:cs="Arial"/>
                <w:b/>
                <w:bCs/>
                <w:sz w:val="20"/>
                <w:szCs w:val="20"/>
              </w:rPr>
              <w:t>Capítulo</w:t>
            </w:r>
          </w:p>
        </w:tc>
        <w:tc>
          <w:tcPr>
            <w:tcW w:w="509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bCs/>
                <w:sz w:val="20"/>
                <w:szCs w:val="20"/>
              </w:rPr>
            </w:pPr>
            <w:r w:rsidRPr="00906AFB">
              <w:rPr>
                <w:rFonts w:ascii="Arial" w:hAnsi="Arial" w:cs="Arial"/>
                <w:b/>
                <w:bCs/>
                <w:sz w:val="20"/>
                <w:szCs w:val="20"/>
              </w:rPr>
              <w:t>Concepto</w:t>
            </w:r>
          </w:p>
        </w:tc>
        <w:tc>
          <w:tcPr>
            <w:tcW w:w="1501"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bCs/>
                <w:sz w:val="20"/>
                <w:szCs w:val="20"/>
              </w:rPr>
            </w:pPr>
            <w:r w:rsidRPr="00906AFB">
              <w:rPr>
                <w:rFonts w:ascii="Arial" w:hAnsi="Arial" w:cs="Arial"/>
                <w:b/>
                <w:bCs/>
                <w:sz w:val="20"/>
                <w:szCs w:val="20"/>
              </w:rPr>
              <w:t>Asignación Presupuestal</w:t>
            </w:r>
          </w:p>
        </w:tc>
      </w:tr>
      <w:tr w:rsidR="00906AFB" w:rsidRPr="00906AFB" w:rsidTr="00906AFB">
        <w:trPr>
          <w:trHeight w:val="283"/>
        </w:trPr>
        <w:tc>
          <w:tcPr>
            <w:tcW w:w="1016" w:type="dxa"/>
            <w:tcBorders>
              <w:top w:val="single" w:sz="4" w:space="0" w:color="auto"/>
              <w:left w:val="single" w:sz="4" w:space="0" w:color="auto"/>
              <w:bottom w:val="single" w:sz="4" w:space="0" w:color="auto"/>
              <w:right w:val="single" w:sz="4" w:space="0" w:color="auto"/>
            </w:tcBorders>
            <w:hideMark/>
          </w:tcPr>
          <w:p w:rsidR="00906AFB" w:rsidRPr="00906AFB" w:rsidRDefault="00906AFB" w:rsidP="00906AFB">
            <w:pPr>
              <w:jc w:val="center"/>
              <w:rPr>
                <w:rFonts w:ascii="Arial" w:hAnsi="Arial" w:cs="Arial"/>
                <w:sz w:val="20"/>
                <w:szCs w:val="20"/>
              </w:rPr>
            </w:pPr>
            <w:r w:rsidRPr="00906AFB">
              <w:rPr>
                <w:rFonts w:ascii="Arial" w:hAnsi="Arial" w:cs="Arial"/>
                <w:sz w:val="20"/>
                <w:szCs w:val="20"/>
              </w:rPr>
              <w:t>10000</w:t>
            </w:r>
          </w:p>
        </w:tc>
        <w:tc>
          <w:tcPr>
            <w:tcW w:w="5090" w:type="dxa"/>
            <w:tcBorders>
              <w:top w:val="single" w:sz="4" w:space="0" w:color="auto"/>
              <w:left w:val="single" w:sz="4" w:space="0" w:color="auto"/>
              <w:bottom w:val="single" w:sz="4" w:space="0" w:color="auto"/>
              <w:right w:val="single" w:sz="4" w:space="0" w:color="auto"/>
            </w:tcBorders>
            <w:hideMark/>
          </w:tcPr>
          <w:p w:rsidR="00906AFB" w:rsidRPr="00906AFB" w:rsidRDefault="00906AFB" w:rsidP="00906AFB">
            <w:pPr>
              <w:rPr>
                <w:rFonts w:ascii="Arial" w:hAnsi="Arial" w:cs="Arial"/>
                <w:sz w:val="20"/>
                <w:szCs w:val="20"/>
              </w:rPr>
            </w:pPr>
            <w:r w:rsidRPr="00906AFB">
              <w:rPr>
                <w:rFonts w:ascii="Arial" w:hAnsi="Arial" w:cs="Arial"/>
                <w:sz w:val="20"/>
                <w:szCs w:val="20"/>
              </w:rPr>
              <w:t>Servicios Personales</w:t>
            </w:r>
          </w:p>
        </w:tc>
        <w:tc>
          <w:tcPr>
            <w:tcW w:w="150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sz w:val="20"/>
                <w:szCs w:val="20"/>
              </w:rPr>
            </w:pPr>
            <w:r w:rsidRPr="00906AFB">
              <w:rPr>
                <w:rFonts w:ascii="Arial" w:hAnsi="Arial"/>
                <w:sz w:val="20"/>
                <w:szCs w:val="20"/>
              </w:rPr>
              <w:t>6,186,985</w:t>
            </w:r>
          </w:p>
        </w:tc>
      </w:tr>
      <w:tr w:rsidR="00906AFB" w:rsidRPr="00906AFB" w:rsidTr="00906AFB">
        <w:trPr>
          <w:trHeight w:val="283"/>
        </w:trPr>
        <w:tc>
          <w:tcPr>
            <w:tcW w:w="1016" w:type="dxa"/>
            <w:tcBorders>
              <w:top w:val="single" w:sz="4" w:space="0" w:color="auto"/>
              <w:left w:val="single" w:sz="4" w:space="0" w:color="auto"/>
              <w:bottom w:val="single" w:sz="4" w:space="0" w:color="auto"/>
              <w:right w:val="single" w:sz="4" w:space="0" w:color="auto"/>
            </w:tcBorders>
            <w:hideMark/>
          </w:tcPr>
          <w:p w:rsidR="00906AFB" w:rsidRPr="00906AFB" w:rsidRDefault="00906AFB" w:rsidP="00906AFB">
            <w:pPr>
              <w:jc w:val="center"/>
              <w:rPr>
                <w:rFonts w:ascii="Arial" w:hAnsi="Arial" w:cs="Arial"/>
                <w:sz w:val="20"/>
                <w:szCs w:val="20"/>
              </w:rPr>
            </w:pPr>
            <w:r w:rsidRPr="00906AFB">
              <w:rPr>
                <w:rFonts w:ascii="Arial" w:hAnsi="Arial" w:cs="Arial"/>
                <w:sz w:val="20"/>
                <w:szCs w:val="20"/>
              </w:rPr>
              <w:t>20000</w:t>
            </w:r>
          </w:p>
        </w:tc>
        <w:tc>
          <w:tcPr>
            <w:tcW w:w="5090" w:type="dxa"/>
            <w:tcBorders>
              <w:top w:val="single" w:sz="4" w:space="0" w:color="auto"/>
              <w:left w:val="single" w:sz="4" w:space="0" w:color="auto"/>
              <w:bottom w:val="single" w:sz="4" w:space="0" w:color="auto"/>
              <w:right w:val="single" w:sz="4" w:space="0" w:color="auto"/>
            </w:tcBorders>
            <w:hideMark/>
          </w:tcPr>
          <w:p w:rsidR="00906AFB" w:rsidRPr="00906AFB" w:rsidRDefault="00906AFB" w:rsidP="00906AFB">
            <w:pPr>
              <w:rPr>
                <w:rFonts w:ascii="Arial" w:hAnsi="Arial" w:cs="Arial"/>
                <w:sz w:val="20"/>
                <w:szCs w:val="20"/>
              </w:rPr>
            </w:pPr>
            <w:r w:rsidRPr="00906AFB">
              <w:rPr>
                <w:rFonts w:ascii="Arial" w:hAnsi="Arial" w:cs="Arial"/>
                <w:sz w:val="20"/>
                <w:szCs w:val="20"/>
              </w:rPr>
              <w:t>Materiales y Suministros</w:t>
            </w:r>
          </w:p>
        </w:tc>
        <w:tc>
          <w:tcPr>
            <w:tcW w:w="150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sz w:val="20"/>
                <w:szCs w:val="20"/>
              </w:rPr>
            </w:pPr>
            <w:r w:rsidRPr="00906AFB">
              <w:rPr>
                <w:rFonts w:ascii="Arial" w:hAnsi="Arial"/>
                <w:sz w:val="20"/>
                <w:szCs w:val="20"/>
              </w:rPr>
              <w:t>246,000</w:t>
            </w:r>
          </w:p>
        </w:tc>
      </w:tr>
      <w:tr w:rsidR="00906AFB" w:rsidRPr="00906AFB" w:rsidTr="00906AFB">
        <w:trPr>
          <w:trHeight w:val="283"/>
        </w:trPr>
        <w:tc>
          <w:tcPr>
            <w:tcW w:w="1016" w:type="dxa"/>
            <w:tcBorders>
              <w:top w:val="single" w:sz="4" w:space="0" w:color="auto"/>
              <w:left w:val="single" w:sz="4" w:space="0" w:color="auto"/>
              <w:bottom w:val="single" w:sz="4" w:space="0" w:color="auto"/>
              <w:right w:val="single" w:sz="4" w:space="0" w:color="auto"/>
            </w:tcBorders>
            <w:hideMark/>
          </w:tcPr>
          <w:p w:rsidR="00906AFB" w:rsidRPr="00906AFB" w:rsidRDefault="00906AFB" w:rsidP="00906AFB">
            <w:pPr>
              <w:jc w:val="center"/>
              <w:rPr>
                <w:rFonts w:ascii="Arial" w:hAnsi="Arial" w:cs="Arial"/>
                <w:sz w:val="20"/>
                <w:szCs w:val="20"/>
              </w:rPr>
            </w:pPr>
            <w:r w:rsidRPr="00906AFB">
              <w:rPr>
                <w:rFonts w:ascii="Arial" w:hAnsi="Arial" w:cs="Arial"/>
                <w:sz w:val="20"/>
                <w:szCs w:val="20"/>
              </w:rPr>
              <w:t>30000</w:t>
            </w:r>
          </w:p>
        </w:tc>
        <w:tc>
          <w:tcPr>
            <w:tcW w:w="5090" w:type="dxa"/>
            <w:tcBorders>
              <w:top w:val="single" w:sz="4" w:space="0" w:color="auto"/>
              <w:left w:val="single" w:sz="4" w:space="0" w:color="auto"/>
              <w:bottom w:val="single" w:sz="4" w:space="0" w:color="auto"/>
              <w:right w:val="single" w:sz="4" w:space="0" w:color="auto"/>
            </w:tcBorders>
            <w:hideMark/>
          </w:tcPr>
          <w:p w:rsidR="00906AFB" w:rsidRPr="00906AFB" w:rsidRDefault="00906AFB" w:rsidP="00906AFB">
            <w:pPr>
              <w:rPr>
                <w:rFonts w:ascii="Arial" w:hAnsi="Arial" w:cs="Arial"/>
                <w:sz w:val="20"/>
                <w:szCs w:val="20"/>
              </w:rPr>
            </w:pPr>
            <w:r w:rsidRPr="00906AFB">
              <w:rPr>
                <w:rFonts w:ascii="Arial" w:hAnsi="Arial" w:cs="Arial"/>
                <w:sz w:val="20"/>
                <w:szCs w:val="20"/>
              </w:rPr>
              <w:t>Servicios Generales</w:t>
            </w:r>
          </w:p>
        </w:tc>
        <w:tc>
          <w:tcPr>
            <w:tcW w:w="150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sz w:val="20"/>
                <w:szCs w:val="20"/>
              </w:rPr>
            </w:pPr>
            <w:r w:rsidRPr="00906AFB">
              <w:rPr>
                <w:rFonts w:ascii="Arial" w:hAnsi="Arial"/>
                <w:sz w:val="20"/>
                <w:szCs w:val="20"/>
              </w:rPr>
              <w:t>582,365</w:t>
            </w:r>
          </w:p>
        </w:tc>
      </w:tr>
      <w:tr w:rsidR="00906AFB" w:rsidRPr="00906AFB" w:rsidTr="00906AFB">
        <w:trPr>
          <w:trHeight w:val="283"/>
        </w:trPr>
        <w:tc>
          <w:tcPr>
            <w:tcW w:w="1016" w:type="dxa"/>
            <w:tcBorders>
              <w:top w:val="single" w:sz="4" w:space="0" w:color="auto"/>
              <w:left w:val="single" w:sz="4" w:space="0" w:color="auto"/>
              <w:bottom w:val="single" w:sz="4" w:space="0" w:color="auto"/>
              <w:right w:val="single" w:sz="4" w:space="0" w:color="auto"/>
            </w:tcBorders>
            <w:hideMark/>
          </w:tcPr>
          <w:p w:rsidR="00906AFB" w:rsidRPr="00906AFB" w:rsidRDefault="00906AFB" w:rsidP="00906AFB">
            <w:pPr>
              <w:jc w:val="center"/>
              <w:rPr>
                <w:rFonts w:ascii="Arial" w:hAnsi="Arial" w:cs="Arial"/>
                <w:sz w:val="20"/>
                <w:szCs w:val="20"/>
              </w:rPr>
            </w:pPr>
            <w:r w:rsidRPr="00906AFB">
              <w:rPr>
                <w:rFonts w:ascii="Arial" w:hAnsi="Arial" w:cs="Arial"/>
                <w:sz w:val="20"/>
                <w:szCs w:val="20"/>
              </w:rPr>
              <w:t>40000</w:t>
            </w:r>
          </w:p>
        </w:tc>
        <w:tc>
          <w:tcPr>
            <w:tcW w:w="5090" w:type="dxa"/>
            <w:tcBorders>
              <w:top w:val="single" w:sz="4" w:space="0" w:color="auto"/>
              <w:left w:val="single" w:sz="4" w:space="0" w:color="auto"/>
              <w:bottom w:val="single" w:sz="4" w:space="0" w:color="auto"/>
              <w:right w:val="single" w:sz="4" w:space="0" w:color="auto"/>
            </w:tcBorders>
            <w:hideMark/>
          </w:tcPr>
          <w:p w:rsidR="00906AFB" w:rsidRPr="00906AFB" w:rsidRDefault="00906AFB" w:rsidP="00906AFB">
            <w:pPr>
              <w:rPr>
                <w:rFonts w:ascii="Arial" w:hAnsi="Arial" w:cs="Arial"/>
                <w:sz w:val="20"/>
                <w:szCs w:val="20"/>
              </w:rPr>
            </w:pPr>
            <w:r w:rsidRPr="00906AFB">
              <w:rPr>
                <w:rFonts w:ascii="Arial" w:hAnsi="Arial" w:cs="Arial"/>
                <w:sz w:val="20"/>
                <w:szCs w:val="20"/>
              </w:rPr>
              <w:t>Transferencias, Asignaciones, Subsidios y Otras Ayudas</w:t>
            </w:r>
          </w:p>
        </w:tc>
        <w:tc>
          <w:tcPr>
            <w:tcW w:w="150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sz w:val="20"/>
                <w:szCs w:val="20"/>
              </w:rPr>
            </w:pPr>
            <w:r w:rsidRPr="00906AFB">
              <w:rPr>
                <w:rFonts w:ascii="Arial" w:hAnsi="Arial"/>
                <w:sz w:val="20"/>
                <w:szCs w:val="20"/>
              </w:rPr>
              <w:t>0</w:t>
            </w:r>
          </w:p>
        </w:tc>
      </w:tr>
      <w:tr w:rsidR="00906AFB" w:rsidRPr="00906AFB" w:rsidTr="00906AFB">
        <w:trPr>
          <w:trHeight w:val="283"/>
        </w:trPr>
        <w:tc>
          <w:tcPr>
            <w:tcW w:w="1016" w:type="dxa"/>
            <w:tcBorders>
              <w:top w:val="single" w:sz="4" w:space="0" w:color="auto"/>
              <w:left w:val="single" w:sz="4" w:space="0" w:color="auto"/>
              <w:bottom w:val="single" w:sz="4" w:space="0" w:color="auto"/>
              <w:right w:val="single" w:sz="4" w:space="0" w:color="auto"/>
            </w:tcBorders>
            <w:hideMark/>
          </w:tcPr>
          <w:p w:rsidR="00906AFB" w:rsidRPr="00906AFB" w:rsidRDefault="00906AFB" w:rsidP="00906AFB">
            <w:pPr>
              <w:jc w:val="center"/>
              <w:rPr>
                <w:rFonts w:ascii="Arial" w:hAnsi="Arial" w:cs="Arial"/>
                <w:sz w:val="20"/>
                <w:szCs w:val="20"/>
              </w:rPr>
            </w:pPr>
            <w:r w:rsidRPr="00906AFB">
              <w:rPr>
                <w:rFonts w:ascii="Arial" w:hAnsi="Arial" w:cs="Arial"/>
                <w:sz w:val="20"/>
                <w:szCs w:val="20"/>
              </w:rPr>
              <w:t>50000</w:t>
            </w:r>
          </w:p>
        </w:tc>
        <w:tc>
          <w:tcPr>
            <w:tcW w:w="5090" w:type="dxa"/>
            <w:tcBorders>
              <w:top w:val="single" w:sz="4" w:space="0" w:color="auto"/>
              <w:left w:val="single" w:sz="4" w:space="0" w:color="auto"/>
              <w:bottom w:val="single" w:sz="4" w:space="0" w:color="auto"/>
              <w:right w:val="single" w:sz="4" w:space="0" w:color="auto"/>
            </w:tcBorders>
            <w:hideMark/>
          </w:tcPr>
          <w:p w:rsidR="00906AFB" w:rsidRPr="00906AFB" w:rsidRDefault="00906AFB" w:rsidP="00906AFB">
            <w:pPr>
              <w:rPr>
                <w:rFonts w:ascii="Arial" w:hAnsi="Arial" w:cs="Arial"/>
                <w:sz w:val="20"/>
                <w:szCs w:val="20"/>
              </w:rPr>
            </w:pPr>
            <w:r w:rsidRPr="00906AFB">
              <w:rPr>
                <w:rFonts w:ascii="Arial" w:hAnsi="Arial" w:cs="Arial"/>
                <w:sz w:val="20"/>
                <w:szCs w:val="20"/>
              </w:rPr>
              <w:t>Bienes Muebles, Inmuebles e Intangibles</w:t>
            </w:r>
          </w:p>
        </w:tc>
        <w:tc>
          <w:tcPr>
            <w:tcW w:w="150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sz w:val="20"/>
                <w:szCs w:val="20"/>
              </w:rPr>
            </w:pPr>
            <w:r w:rsidRPr="00906AFB">
              <w:rPr>
                <w:rFonts w:ascii="Arial" w:hAnsi="Arial"/>
                <w:sz w:val="20"/>
                <w:szCs w:val="20"/>
              </w:rPr>
              <w:t>25,000</w:t>
            </w:r>
          </w:p>
        </w:tc>
      </w:tr>
      <w:tr w:rsidR="00906AFB" w:rsidRPr="00906AFB" w:rsidTr="00906AFB">
        <w:trPr>
          <w:trHeight w:val="283"/>
        </w:trPr>
        <w:tc>
          <w:tcPr>
            <w:tcW w:w="1016"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before="120" w:after="120" w:line="360" w:lineRule="auto"/>
              <w:jc w:val="both"/>
              <w:rPr>
                <w:rFonts w:ascii="Arial" w:hAnsi="Arial"/>
                <w:sz w:val="20"/>
                <w:szCs w:val="20"/>
              </w:rPr>
            </w:pPr>
          </w:p>
        </w:tc>
        <w:tc>
          <w:tcPr>
            <w:tcW w:w="509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bCs/>
                <w:sz w:val="20"/>
                <w:szCs w:val="20"/>
              </w:rPr>
            </w:pPr>
            <w:r w:rsidRPr="00906AFB">
              <w:rPr>
                <w:rFonts w:ascii="Arial" w:hAnsi="Arial" w:cs="Arial"/>
                <w:b/>
                <w:bCs/>
                <w:sz w:val="20"/>
                <w:szCs w:val="20"/>
              </w:rPr>
              <w:t>Total</w:t>
            </w:r>
          </w:p>
        </w:tc>
        <w:tc>
          <w:tcPr>
            <w:tcW w:w="1501"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b/>
                <w:sz w:val="20"/>
                <w:szCs w:val="20"/>
              </w:rPr>
            </w:pPr>
            <w:r w:rsidRPr="00906AFB">
              <w:rPr>
                <w:rFonts w:ascii="Arial" w:hAnsi="Arial"/>
                <w:b/>
                <w:sz w:val="20"/>
                <w:szCs w:val="20"/>
              </w:rPr>
              <w:t>7,040,350</w:t>
            </w:r>
          </w:p>
        </w:tc>
      </w:tr>
    </w:tbl>
    <w:p w:rsidR="00906AFB" w:rsidRPr="00906AFB" w:rsidRDefault="00906AFB" w:rsidP="00906AFB">
      <w:pPr>
        <w:spacing w:after="0" w:line="240" w:lineRule="auto"/>
        <w:contextualSpacing/>
        <w:jc w:val="center"/>
        <w:rPr>
          <w:rFonts w:ascii="Arial" w:eastAsia="Times New Roman" w:hAnsi="Arial" w:cs="Arial"/>
          <w:sz w:val="24"/>
          <w:szCs w:val="24"/>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sz w:val="24"/>
          <w:szCs w:val="24"/>
          <w:lang w:val="es-ES" w:eastAsia="en-US"/>
        </w:rPr>
        <w:t xml:space="preserve">El desglose del presupuesto asignado al </w:t>
      </w:r>
      <w:r w:rsidRPr="00906AFB">
        <w:rPr>
          <w:rFonts w:ascii="Arial" w:eastAsia="Calibri" w:hAnsi="Arial" w:cs="Arial"/>
          <w:b/>
          <w:sz w:val="24"/>
          <w:szCs w:val="24"/>
          <w:lang w:val="es-ES" w:eastAsia="en-US"/>
        </w:rPr>
        <w:t>Tribunal Electoral del Estado</w:t>
      </w:r>
      <w:r w:rsidRPr="00906AFB">
        <w:rPr>
          <w:rFonts w:ascii="Arial" w:eastAsia="Calibri" w:hAnsi="Arial" w:cs="Arial"/>
          <w:sz w:val="24"/>
          <w:szCs w:val="24"/>
          <w:lang w:val="es-ES" w:eastAsia="en-US"/>
        </w:rPr>
        <w:t>, será el siguiente:</w:t>
      </w:r>
    </w:p>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Pr="00906AFB" w:rsidRDefault="00906AFB" w:rsidP="00906AFB">
      <w:pPr>
        <w:keepNext/>
        <w:keepLines/>
        <w:spacing w:after="0" w:line="240" w:lineRule="auto"/>
        <w:jc w:val="center"/>
        <w:outlineLvl w:val="1"/>
        <w:rPr>
          <w:rFonts w:ascii="Arial" w:eastAsia="Times New Roman" w:hAnsi="Arial" w:cs="Times New Roman"/>
          <w:b/>
          <w:sz w:val="20"/>
          <w:szCs w:val="26"/>
          <w:lang w:val="es-ES" w:eastAsia="en-US"/>
        </w:rPr>
      </w:pPr>
      <w:r w:rsidRPr="00906AFB">
        <w:rPr>
          <w:rFonts w:ascii="Arial" w:eastAsia="Times New Roman" w:hAnsi="Arial" w:cs="Times New Roman"/>
          <w:b/>
          <w:sz w:val="20"/>
          <w:szCs w:val="26"/>
          <w:lang w:val="es-ES" w:eastAsia="en-US"/>
        </w:rPr>
        <w:t>Tabla 10. Tribunal Electoral del Estado</w:t>
      </w:r>
    </w:p>
    <w:tbl>
      <w:tblPr>
        <w:tblStyle w:val="Tablaconcuadrcula2"/>
        <w:tblW w:w="0" w:type="auto"/>
        <w:tblInd w:w="534" w:type="dxa"/>
        <w:tblLook w:val="04A0" w:firstRow="1" w:lastRow="0" w:firstColumn="1" w:lastColumn="0" w:noHBand="0" w:noVBand="1"/>
      </w:tblPr>
      <w:tblGrid>
        <w:gridCol w:w="1016"/>
        <w:gridCol w:w="5090"/>
        <w:gridCol w:w="1501"/>
      </w:tblGrid>
      <w:tr w:rsidR="00906AFB" w:rsidRPr="00906AFB" w:rsidTr="00906AFB">
        <w:trPr>
          <w:trHeight w:val="283"/>
        </w:trPr>
        <w:tc>
          <w:tcPr>
            <w:tcW w:w="1016"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bCs/>
                <w:sz w:val="20"/>
                <w:szCs w:val="20"/>
              </w:rPr>
            </w:pPr>
            <w:r w:rsidRPr="00906AFB">
              <w:rPr>
                <w:rFonts w:ascii="Arial" w:hAnsi="Arial" w:cs="Arial"/>
                <w:b/>
                <w:bCs/>
                <w:sz w:val="20"/>
                <w:szCs w:val="20"/>
              </w:rPr>
              <w:t>Capítulo</w:t>
            </w:r>
          </w:p>
        </w:tc>
        <w:tc>
          <w:tcPr>
            <w:tcW w:w="509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bCs/>
                <w:sz w:val="20"/>
                <w:szCs w:val="20"/>
              </w:rPr>
            </w:pPr>
            <w:r w:rsidRPr="00906AFB">
              <w:rPr>
                <w:rFonts w:ascii="Arial" w:hAnsi="Arial" w:cs="Arial"/>
                <w:b/>
                <w:bCs/>
                <w:sz w:val="20"/>
                <w:szCs w:val="20"/>
              </w:rPr>
              <w:t>Concepto</w:t>
            </w:r>
          </w:p>
        </w:tc>
        <w:tc>
          <w:tcPr>
            <w:tcW w:w="1501"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bCs/>
                <w:sz w:val="20"/>
                <w:szCs w:val="20"/>
              </w:rPr>
            </w:pPr>
            <w:r w:rsidRPr="00906AFB">
              <w:rPr>
                <w:rFonts w:ascii="Arial" w:hAnsi="Arial" w:cs="Arial"/>
                <w:b/>
                <w:bCs/>
                <w:sz w:val="20"/>
                <w:szCs w:val="20"/>
              </w:rPr>
              <w:t>Asignación Presupuestal</w:t>
            </w:r>
          </w:p>
        </w:tc>
      </w:tr>
      <w:tr w:rsidR="00906AFB" w:rsidRPr="00906AFB" w:rsidTr="00906AFB">
        <w:trPr>
          <w:trHeight w:val="283"/>
        </w:trPr>
        <w:tc>
          <w:tcPr>
            <w:tcW w:w="1016"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sz w:val="20"/>
                <w:szCs w:val="20"/>
              </w:rPr>
            </w:pPr>
            <w:r w:rsidRPr="00906AFB">
              <w:rPr>
                <w:rFonts w:ascii="Arial" w:hAnsi="Arial" w:cs="Arial"/>
                <w:sz w:val="20"/>
                <w:szCs w:val="20"/>
              </w:rPr>
              <w:t>10000</w:t>
            </w:r>
          </w:p>
        </w:tc>
        <w:tc>
          <w:tcPr>
            <w:tcW w:w="509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20"/>
                <w:szCs w:val="20"/>
              </w:rPr>
            </w:pPr>
            <w:r w:rsidRPr="00906AFB">
              <w:rPr>
                <w:rFonts w:ascii="Arial" w:hAnsi="Arial" w:cs="Arial"/>
                <w:sz w:val="20"/>
                <w:szCs w:val="20"/>
              </w:rPr>
              <w:t>Servicios Personales</w:t>
            </w:r>
          </w:p>
        </w:tc>
        <w:tc>
          <w:tcPr>
            <w:tcW w:w="150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sz w:val="20"/>
                <w:szCs w:val="20"/>
              </w:rPr>
            </w:pPr>
            <w:r w:rsidRPr="00906AFB">
              <w:rPr>
                <w:rFonts w:ascii="Arial" w:hAnsi="Arial"/>
                <w:sz w:val="20"/>
                <w:szCs w:val="20"/>
              </w:rPr>
              <w:t>10,463,316</w:t>
            </w:r>
          </w:p>
        </w:tc>
      </w:tr>
      <w:tr w:rsidR="00906AFB" w:rsidRPr="00906AFB" w:rsidTr="00906AFB">
        <w:trPr>
          <w:trHeight w:val="283"/>
        </w:trPr>
        <w:tc>
          <w:tcPr>
            <w:tcW w:w="1016"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sz w:val="20"/>
                <w:szCs w:val="20"/>
              </w:rPr>
            </w:pPr>
            <w:r w:rsidRPr="00906AFB">
              <w:rPr>
                <w:rFonts w:ascii="Arial" w:hAnsi="Arial" w:cs="Arial"/>
                <w:sz w:val="20"/>
                <w:szCs w:val="20"/>
              </w:rPr>
              <w:t>20000</w:t>
            </w:r>
          </w:p>
        </w:tc>
        <w:tc>
          <w:tcPr>
            <w:tcW w:w="509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20"/>
                <w:szCs w:val="20"/>
              </w:rPr>
            </w:pPr>
            <w:r w:rsidRPr="00906AFB">
              <w:rPr>
                <w:rFonts w:ascii="Arial" w:hAnsi="Arial" w:cs="Arial"/>
                <w:sz w:val="20"/>
                <w:szCs w:val="20"/>
              </w:rPr>
              <w:t>Materiales y Suministros</w:t>
            </w:r>
          </w:p>
        </w:tc>
        <w:tc>
          <w:tcPr>
            <w:tcW w:w="150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sz w:val="20"/>
                <w:szCs w:val="20"/>
              </w:rPr>
            </w:pPr>
            <w:r w:rsidRPr="00906AFB">
              <w:rPr>
                <w:rFonts w:ascii="Arial" w:hAnsi="Arial"/>
                <w:sz w:val="20"/>
                <w:szCs w:val="20"/>
              </w:rPr>
              <w:t>0</w:t>
            </w:r>
          </w:p>
        </w:tc>
      </w:tr>
      <w:tr w:rsidR="00906AFB" w:rsidRPr="00906AFB" w:rsidTr="00906AFB">
        <w:trPr>
          <w:trHeight w:val="283"/>
        </w:trPr>
        <w:tc>
          <w:tcPr>
            <w:tcW w:w="1016"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sz w:val="20"/>
                <w:szCs w:val="20"/>
              </w:rPr>
            </w:pPr>
            <w:r w:rsidRPr="00906AFB">
              <w:rPr>
                <w:rFonts w:ascii="Arial" w:hAnsi="Arial" w:cs="Arial"/>
                <w:sz w:val="20"/>
                <w:szCs w:val="20"/>
              </w:rPr>
              <w:t>30000</w:t>
            </w:r>
          </w:p>
        </w:tc>
        <w:tc>
          <w:tcPr>
            <w:tcW w:w="509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20"/>
                <w:szCs w:val="20"/>
              </w:rPr>
            </w:pPr>
            <w:r w:rsidRPr="00906AFB">
              <w:rPr>
                <w:rFonts w:ascii="Arial" w:hAnsi="Arial" w:cs="Arial"/>
                <w:sz w:val="20"/>
                <w:szCs w:val="20"/>
              </w:rPr>
              <w:t>Servicios Generales</w:t>
            </w:r>
          </w:p>
        </w:tc>
        <w:tc>
          <w:tcPr>
            <w:tcW w:w="150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sz w:val="20"/>
                <w:szCs w:val="20"/>
              </w:rPr>
            </w:pPr>
            <w:r w:rsidRPr="00906AFB">
              <w:rPr>
                <w:rFonts w:ascii="Arial" w:hAnsi="Arial"/>
                <w:sz w:val="20"/>
                <w:szCs w:val="20"/>
              </w:rPr>
              <w:t>36,684</w:t>
            </w:r>
          </w:p>
        </w:tc>
      </w:tr>
      <w:tr w:rsidR="00906AFB" w:rsidRPr="00906AFB" w:rsidTr="00906AFB">
        <w:trPr>
          <w:trHeight w:val="283"/>
        </w:trPr>
        <w:tc>
          <w:tcPr>
            <w:tcW w:w="1016"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sz w:val="20"/>
                <w:szCs w:val="20"/>
              </w:rPr>
            </w:pPr>
            <w:r w:rsidRPr="00906AFB">
              <w:rPr>
                <w:rFonts w:ascii="Arial" w:hAnsi="Arial" w:cs="Arial"/>
                <w:sz w:val="20"/>
                <w:szCs w:val="20"/>
              </w:rPr>
              <w:t>40000</w:t>
            </w:r>
          </w:p>
        </w:tc>
        <w:tc>
          <w:tcPr>
            <w:tcW w:w="509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20"/>
                <w:szCs w:val="20"/>
              </w:rPr>
            </w:pPr>
            <w:r w:rsidRPr="00906AFB">
              <w:rPr>
                <w:rFonts w:ascii="Arial" w:hAnsi="Arial" w:cs="Arial"/>
                <w:sz w:val="20"/>
                <w:szCs w:val="20"/>
              </w:rPr>
              <w:t>Transferencias, Asignaciones, Subsidios y Otras Ayudas</w:t>
            </w:r>
          </w:p>
        </w:tc>
        <w:tc>
          <w:tcPr>
            <w:tcW w:w="150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sz w:val="20"/>
                <w:szCs w:val="20"/>
              </w:rPr>
            </w:pPr>
            <w:r w:rsidRPr="00906AFB">
              <w:rPr>
                <w:rFonts w:ascii="Arial" w:hAnsi="Arial"/>
                <w:sz w:val="20"/>
                <w:szCs w:val="20"/>
              </w:rPr>
              <w:t>0</w:t>
            </w:r>
          </w:p>
        </w:tc>
      </w:tr>
      <w:tr w:rsidR="00906AFB" w:rsidRPr="00906AFB" w:rsidTr="00906AFB">
        <w:trPr>
          <w:trHeight w:val="283"/>
        </w:trPr>
        <w:tc>
          <w:tcPr>
            <w:tcW w:w="1016"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sz w:val="20"/>
                <w:szCs w:val="20"/>
              </w:rPr>
            </w:pPr>
            <w:r w:rsidRPr="00906AFB">
              <w:rPr>
                <w:rFonts w:ascii="Arial" w:hAnsi="Arial" w:cs="Arial"/>
                <w:sz w:val="20"/>
                <w:szCs w:val="20"/>
              </w:rPr>
              <w:t>50000</w:t>
            </w:r>
          </w:p>
        </w:tc>
        <w:tc>
          <w:tcPr>
            <w:tcW w:w="509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20"/>
                <w:szCs w:val="20"/>
              </w:rPr>
            </w:pPr>
            <w:r w:rsidRPr="00906AFB">
              <w:rPr>
                <w:rFonts w:ascii="Arial" w:hAnsi="Arial" w:cs="Arial"/>
                <w:sz w:val="20"/>
                <w:szCs w:val="20"/>
              </w:rPr>
              <w:t>Bienes Muebles, Inmuebles e Intangibles</w:t>
            </w:r>
          </w:p>
        </w:tc>
        <w:tc>
          <w:tcPr>
            <w:tcW w:w="150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sz w:val="20"/>
                <w:szCs w:val="20"/>
              </w:rPr>
            </w:pPr>
            <w:r w:rsidRPr="00906AFB">
              <w:rPr>
                <w:rFonts w:ascii="Arial" w:hAnsi="Arial"/>
                <w:sz w:val="20"/>
                <w:szCs w:val="20"/>
              </w:rPr>
              <w:t>0</w:t>
            </w:r>
          </w:p>
        </w:tc>
      </w:tr>
      <w:tr w:rsidR="00906AFB" w:rsidRPr="00906AFB" w:rsidTr="00906AFB">
        <w:trPr>
          <w:trHeight w:val="283"/>
        </w:trPr>
        <w:tc>
          <w:tcPr>
            <w:tcW w:w="1016"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before="120" w:after="120" w:line="360" w:lineRule="auto"/>
              <w:jc w:val="both"/>
              <w:rPr>
                <w:rFonts w:ascii="Arial" w:hAnsi="Arial"/>
                <w:sz w:val="20"/>
                <w:szCs w:val="20"/>
              </w:rPr>
            </w:pPr>
          </w:p>
        </w:tc>
        <w:tc>
          <w:tcPr>
            <w:tcW w:w="509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bCs/>
                <w:sz w:val="20"/>
                <w:szCs w:val="20"/>
              </w:rPr>
            </w:pPr>
            <w:r w:rsidRPr="00906AFB">
              <w:rPr>
                <w:rFonts w:ascii="Arial" w:hAnsi="Arial" w:cs="Arial"/>
                <w:b/>
                <w:bCs/>
                <w:sz w:val="20"/>
                <w:szCs w:val="20"/>
              </w:rPr>
              <w:t>Total</w:t>
            </w:r>
          </w:p>
        </w:tc>
        <w:tc>
          <w:tcPr>
            <w:tcW w:w="1501"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b/>
                <w:sz w:val="20"/>
                <w:szCs w:val="20"/>
              </w:rPr>
            </w:pPr>
            <w:r w:rsidRPr="00906AFB">
              <w:rPr>
                <w:rFonts w:ascii="Arial" w:hAnsi="Arial"/>
                <w:b/>
                <w:sz w:val="20"/>
                <w:szCs w:val="20"/>
              </w:rPr>
              <w:t>10,500,000</w:t>
            </w:r>
          </w:p>
        </w:tc>
      </w:tr>
    </w:tbl>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sz w:val="24"/>
          <w:szCs w:val="24"/>
          <w:lang w:val="es-ES" w:eastAsia="en-US"/>
        </w:rPr>
        <w:t xml:space="preserve">El desglose del presupuesto asignado al </w:t>
      </w:r>
      <w:r w:rsidRPr="00906AFB">
        <w:rPr>
          <w:rFonts w:ascii="Arial" w:eastAsia="Calibri" w:hAnsi="Arial" w:cs="Arial"/>
          <w:b/>
          <w:sz w:val="24"/>
          <w:szCs w:val="24"/>
          <w:lang w:val="es-ES" w:eastAsia="en-US"/>
        </w:rPr>
        <w:t>Instituto Electoral del Estado de Colima</w:t>
      </w:r>
      <w:r w:rsidRPr="00906AFB">
        <w:rPr>
          <w:rFonts w:ascii="Arial" w:eastAsia="Calibri" w:hAnsi="Arial" w:cs="Arial"/>
          <w:sz w:val="24"/>
          <w:szCs w:val="24"/>
          <w:lang w:val="es-ES" w:eastAsia="en-US"/>
        </w:rPr>
        <w:t>, tendrá la siguiente distribución:</w:t>
      </w:r>
    </w:p>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Pr="00906AFB" w:rsidRDefault="00906AFB" w:rsidP="00906AFB">
      <w:pPr>
        <w:keepNext/>
        <w:keepLines/>
        <w:spacing w:after="0" w:line="240" w:lineRule="auto"/>
        <w:jc w:val="center"/>
        <w:outlineLvl w:val="1"/>
        <w:rPr>
          <w:rFonts w:ascii="Arial" w:eastAsia="Times New Roman" w:hAnsi="Arial" w:cs="Times New Roman"/>
          <w:b/>
          <w:sz w:val="20"/>
          <w:szCs w:val="26"/>
          <w:lang w:val="es-ES" w:eastAsia="en-US"/>
        </w:rPr>
      </w:pPr>
      <w:r w:rsidRPr="00906AFB">
        <w:rPr>
          <w:rFonts w:ascii="Arial" w:eastAsia="Times New Roman" w:hAnsi="Arial" w:cs="Times New Roman"/>
          <w:b/>
          <w:sz w:val="20"/>
          <w:szCs w:val="26"/>
          <w:lang w:val="es-ES" w:eastAsia="en-US"/>
        </w:rPr>
        <w:t>Tabla 11. Instituto Electoral del Estado de Colima</w:t>
      </w:r>
    </w:p>
    <w:tbl>
      <w:tblPr>
        <w:tblStyle w:val="Tablaconcuadrcula2"/>
        <w:tblW w:w="0" w:type="auto"/>
        <w:tblInd w:w="534" w:type="dxa"/>
        <w:tblLook w:val="04A0" w:firstRow="1" w:lastRow="0" w:firstColumn="1" w:lastColumn="0" w:noHBand="0" w:noVBand="1"/>
      </w:tblPr>
      <w:tblGrid>
        <w:gridCol w:w="1016"/>
        <w:gridCol w:w="5090"/>
        <w:gridCol w:w="1501"/>
      </w:tblGrid>
      <w:tr w:rsidR="00906AFB" w:rsidRPr="00906AFB" w:rsidTr="00906AFB">
        <w:trPr>
          <w:trHeight w:val="283"/>
        </w:trPr>
        <w:tc>
          <w:tcPr>
            <w:tcW w:w="1016"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bCs/>
                <w:sz w:val="20"/>
                <w:szCs w:val="20"/>
              </w:rPr>
            </w:pPr>
            <w:r w:rsidRPr="00906AFB">
              <w:rPr>
                <w:rFonts w:ascii="Arial" w:hAnsi="Arial" w:cs="Arial"/>
                <w:b/>
                <w:bCs/>
                <w:sz w:val="20"/>
                <w:szCs w:val="20"/>
              </w:rPr>
              <w:t>Capítulo</w:t>
            </w:r>
          </w:p>
        </w:tc>
        <w:tc>
          <w:tcPr>
            <w:tcW w:w="509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bCs/>
                <w:sz w:val="20"/>
                <w:szCs w:val="20"/>
              </w:rPr>
            </w:pPr>
            <w:r w:rsidRPr="00906AFB">
              <w:rPr>
                <w:rFonts w:ascii="Arial" w:hAnsi="Arial" w:cs="Arial"/>
                <w:b/>
                <w:bCs/>
                <w:sz w:val="20"/>
                <w:szCs w:val="20"/>
              </w:rPr>
              <w:t>Concepto</w:t>
            </w:r>
          </w:p>
        </w:tc>
        <w:tc>
          <w:tcPr>
            <w:tcW w:w="1501"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bCs/>
                <w:sz w:val="20"/>
                <w:szCs w:val="20"/>
              </w:rPr>
            </w:pPr>
            <w:r w:rsidRPr="00906AFB">
              <w:rPr>
                <w:rFonts w:ascii="Arial" w:hAnsi="Arial" w:cs="Arial"/>
                <w:b/>
                <w:bCs/>
                <w:sz w:val="20"/>
                <w:szCs w:val="20"/>
              </w:rPr>
              <w:t>Asignación Presupuestal</w:t>
            </w:r>
          </w:p>
        </w:tc>
      </w:tr>
      <w:tr w:rsidR="00906AFB" w:rsidRPr="00906AFB" w:rsidTr="00906AFB">
        <w:trPr>
          <w:trHeight w:val="283"/>
        </w:trPr>
        <w:tc>
          <w:tcPr>
            <w:tcW w:w="1016" w:type="dxa"/>
            <w:tcBorders>
              <w:top w:val="single" w:sz="4" w:space="0" w:color="auto"/>
              <w:left w:val="single" w:sz="4" w:space="0" w:color="auto"/>
              <w:bottom w:val="single" w:sz="4" w:space="0" w:color="auto"/>
              <w:right w:val="single" w:sz="4" w:space="0" w:color="auto"/>
            </w:tcBorders>
            <w:hideMark/>
          </w:tcPr>
          <w:p w:rsidR="00906AFB" w:rsidRPr="00906AFB" w:rsidRDefault="00906AFB" w:rsidP="00906AFB">
            <w:pPr>
              <w:jc w:val="center"/>
              <w:rPr>
                <w:rFonts w:ascii="Arial" w:hAnsi="Arial" w:cs="Arial"/>
                <w:sz w:val="20"/>
                <w:szCs w:val="20"/>
              </w:rPr>
            </w:pPr>
            <w:r w:rsidRPr="00906AFB">
              <w:rPr>
                <w:rFonts w:ascii="Arial" w:hAnsi="Arial" w:cs="Arial"/>
                <w:sz w:val="20"/>
                <w:szCs w:val="20"/>
              </w:rPr>
              <w:t>10000</w:t>
            </w:r>
          </w:p>
        </w:tc>
        <w:tc>
          <w:tcPr>
            <w:tcW w:w="509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20"/>
                <w:szCs w:val="20"/>
              </w:rPr>
            </w:pPr>
            <w:r w:rsidRPr="00906AFB">
              <w:rPr>
                <w:rFonts w:ascii="Arial" w:hAnsi="Arial" w:cs="Arial"/>
                <w:sz w:val="20"/>
                <w:szCs w:val="20"/>
              </w:rPr>
              <w:t>Servicios Personales</w:t>
            </w:r>
          </w:p>
        </w:tc>
        <w:tc>
          <w:tcPr>
            <w:tcW w:w="150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rPr>
            </w:pPr>
            <w:r w:rsidRPr="00906AFB">
              <w:rPr>
                <w:rFonts w:ascii="Arial" w:hAnsi="Arial"/>
              </w:rPr>
              <w:t>16,843,571</w:t>
            </w:r>
          </w:p>
        </w:tc>
      </w:tr>
      <w:tr w:rsidR="00906AFB" w:rsidRPr="00906AFB" w:rsidTr="00906AFB">
        <w:trPr>
          <w:trHeight w:val="283"/>
        </w:trPr>
        <w:tc>
          <w:tcPr>
            <w:tcW w:w="1016" w:type="dxa"/>
            <w:tcBorders>
              <w:top w:val="single" w:sz="4" w:space="0" w:color="auto"/>
              <w:left w:val="single" w:sz="4" w:space="0" w:color="auto"/>
              <w:bottom w:val="single" w:sz="4" w:space="0" w:color="auto"/>
              <w:right w:val="single" w:sz="4" w:space="0" w:color="auto"/>
            </w:tcBorders>
            <w:hideMark/>
          </w:tcPr>
          <w:p w:rsidR="00906AFB" w:rsidRPr="00906AFB" w:rsidRDefault="00906AFB" w:rsidP="00906AFB">
            <w:pPr>
              <w:jc w:val="center"/>
              <w:rPr>
                <w:rFonts w:ascii="Arial" w:hAnsi="Arial" w:cs="Arial"/>
                <w:sz w:val="20"/>
                <w:szCs w:val="20"/>
              </w:rPr>
            </w:pPr>
            <w:r w:rsidRPr="00906AFB">
              <w:rPr>
                <w:rFonts w:ascii="Arial" w:hAnsi="Arial" w:cs="Arial"/>
                <w:sz w:val="20"/>
                <w:szCs w:val="20"/>
              </w:rPr>
              <w:t>20000</w:t>
            </w:r>
          </w:p>
        </w:tc>
        <w:tc>
          <w:tcPr>
            <w:tcW w:w="509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20"/>
                <w:szCs w:val="20"/>
              </w:rPr>
            </w:pPr>
            <w:r w:rsidRPr="00906AFB">
              <w:rPr>
                <w:rFonts w:ascii="Arial" w:hAnsi="Arial" w:cs="Arial"/>
                <w:sz w:val="20"/>
                <w:szCs w:val="20"/>
              </w:rPr>
              <w:t>Materiales y Suministros</w:t>
            </w:r>
          </w:p>
        </w:tc>
        <w:tc>
          <w:tcPr>
            <w:tcW w:w="150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rPr>
            </w:pPr>
            <w:r w:rsidRPr="00906AFB">
              <w:rPr>
                <w:rFonts w:ascii="Arial" w:hAnsi="Arial"/>
              </w:rPr>
              <w:t>1,190,664</w:t>
            </w:r>
          </w:p>
        </w:tc>
      </w:tr>
      <w:tr w:rsidR="00906AFB" w:rsidRPr="00906AFB" w:rsidTr="00906AFB">
        <w:trPr>
          <w:trHeight w:val="283"/>
        </w:trPr>
        <w:tc>
          <w:tcPr>
            <w:tcW w:w="1016" w:type="dxa"/>
            <w:tcBorders>
              <w:top w:val="single" w:sz="4" w:space="0" w:color="auto"/>
              <w:left w:val="single" w:sz="4" w:space="0" w:color="auto"/>
              <w:bottom w:val="single" w:sz="4" w:space="0" w:color="auto"/>
              <w:right w:val="single" w:sz="4" w:space="0" w:color="auto"/>
            </w:tcBorders>
            <w:hideMark/>
          </w:tcPr>
          <w:p w:rsidR="00906AFB" w:rsidRPr="00906AFB" w:rsidRDefault="00906AFB" w:rsidP="00906AFB">
            <w:pPr>
              <w:jc w:val="center"/>
              <w:rPr>
                <w:rFonts w:ascii="Arial" w:hAnsi="Arial" w:cs="Arial"/>
                <w:sz w:val="20"/>
                <w:szCs w:val="20"/>
              </w:rPr>
            </w:pPr>
            <w:r w:rsidRPr="00906AFB">
              <w:rPr>
                <w:rFonts w:ascii="Arial" w:hAnsi="Arial" w:cs="Arial"/>
                <w:sz w:val="20"/>
                <w:szCs w:val="20"/>
              </w:rPr>
              <w:t>30000</w:t>
            </w:r>
          </w:p>
        </w:tc>
        <w:tc>
          <w:tcPr>
            <w:tcW w:w="509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20"/>
                <w:szCs w:val="20"/>
              </w:rPr>
            </w:pPr>
            <w:r w:rsidRPr="00906AFB">
              <w:rPr>
                <w:rFonts w:ascii="Arial" w:hAnsi="Arial" w:cs="Arial"/>
                <w:sz w:val="20"/>
                <w:szCs w:val="20"/>
              </w:rPr>
              <w:t>Servicios Generales</w:t>
            </w:r>
          </w:p>
        </w:tc>
        <w:tc>
          <w:tcPr>
            <w:tcW w:w="150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rPr>
            </w:pPr>
            <w:r w:rsidRPr="00906AFB">
              <w:rPr>
                <w:rFonts w:ascii="Arial" w:hAnsi="Arial"/>
              </w:rPr>
              <w:t>4,165,906</w:t>
            </w:r>
          </w:p>
        </w:tc>
      </w:tr>
      <w:tr w:rsidR="00906AFB" w:rsidRPr="00906AFB" w:rsidTr="00906AFB">
        <w:trPr>
          <w:trHeight w:val="283"/>
        </w:trPr>
        <w:tc>
          <w:tcPr>
            <w:tcW w:w="1016" w:type="dxa"/>
            <w:tcBorders>
              <w:top w:val="single" w:sz="4" w:space="0" w:color="auto"/>
              <w:left w:val="single" w:sz="4" w:space="0" w:color="auto"/>
              <w:bottom w:val="single" w:sz="4" w:space="0" w:color="auto"/>
              <w:right w:val="single" w:sz="4" w:space="0" w:color="auto"/>
            </w:tcBorders>
            <w:hideMark/>
          </w:tcPr>
          <w:p w:rsidR="00906AFB" w:rsidRPr="00906AFB" w:rsidRDefault="00906AFB" w:rsidP="00906AFB">
            <w:pPr>
              <w:jc w:val="center"/>
              <w:rPr>
                <w:rFonts w:ascii="Arial" w:hAnsi="Arial" w:cs="Arial"/>
                <w:sz w:val="20"/>
                <w:szCs w:val="20"/>
              </w:rPr>
            </w:pPr>
            <w:r w:rsidRPr="00906AFB">
              <w:rPr>
                <w:rFonts w:ascii="Arial" w:hAnsi="Arial" w:cs="Arial"/>
                <w:sz w:val="20"/>
                <w:szCs w:val="20"/>
              </w:rPr>
              <w:t>40000</w:t>
            </w:r>
          </w:p>
        </w:tc>
        <w:tc>
          <w:tcPr>
            <w:tcW w:w="509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20"/>
                <w:szCs w:val="20"/>
              </w:rPr>
            </w:pPr>
            <w:r w:rsidRPr="00906AFB">
              <w:rPr>
                <w:rFonts w:ascii="Arial" w:hAnsi="Arial" w:cs="Arial"/>
                <w:sz w:val="20"/>
                <w:szCs w:val="20"/>
              </w:rPr>
              <w:t>Transferencias, Asignaciones, Subsidios y Otras Ayudas</w:t>
            </w:r>
          </w:p>
        </w:tc>
        <w:tc>
          <w:tcPr>
            <w:tcW w:w="150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tabs>
                <w:tab w:val="right" w:pos="1285"/>
              </w:tabs>
              <w:jc w:val="right"/>
              <w:rPr>
                <w:rFonts w:ascii="Arial" w:hAnsi="Arial"/>
              </w:rPr>
            </w:pPr>
            <w:r w:rsidRPr="00906AFB">
              <w:rPr>
                <w:rFonts w:ascii="Arial" w:hAnsi="Arial"/>
              </w:rPr>
              <w:tab/>
              <w:t>24,216,690</w:t>
            </w:r>
          </w:p>
        </w:tc>
      </w:tr>
      <w:tr w:rsidR="00906AFB" w:rsidRPr="00906AFB" w:rsidTr="00906AFB">
        <w:trPr>
          <w:trHeight w:val="283"/>
        </w:trPr>
        <w:tc>
          <w:tcPr>
            <w:tcW w:w="1016" w:type="dxa"/>
            <w:tcBorders>
              <w:top w:val="single" w:sz="4" w:space="0" w:color="auto"/>
              <w:left w:val="single" w:sz="4" w:space="0" w:color="auto"/>
              <w:bottom w:val="single" w:sz="4" w:space="0" w:color="auto"/>
              <w:right w:val="single" w:sz="4" w:space="0" w:color="auto"/>
            </w:tcBorders>
            <w:hideMark/>
          </w:tcPr>
          <w:p w:rsidR="00906AFB" w:rsidRPr="00906AFB" w:rsidRDefault="00906AFB" w:rsidP="00906AFB">
            <w:pPr>
              <w:jc w:val="center"/>
              <w:rPr>
                <w:rFonts w:ascii="Arial" w:hAnsi="Arial" w:cs="Arial"/>
                <w:sz w:val="20"/>
                <w:szCs w:val="20"/>
              </w:rPr>
            </w:pPr>
            <w:r w:rsidRPr="00906AFB">
              <w:rPr>
                <w:rFonts w:ascii="Arial" w:hAnsi="Arial" w:cs="Arial"/>
                <w:sz w:val="20"/>
                <w:szCs w:val="20"/>
              </w:rPr>
              <w:t>50000</w:t>
            </w:r>
          </w:p>
        </w:tc>
        <w:tc>
          <w:tcPr>
            <w:tcW w:w="509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20"/>
                <w:szCs w:val="20"/>
              </w:rPr>
            </w:pPr>
            <w:r w:rsidRPr="00906AFB">
              <w:rPr>
                <w:rFonts w:ascii="Arial" w:hAnsi="Arial" w:cs="Arial"/>
                <w:sz w:val="20"/>
                <w:szCs w:val="20"/>
              </w:rPr>
              <w:t>Bienes Muebles, Inmuebles e Intangibles</w:t>
            </w:r>
          </w:p>
        </w:tc>
        <w:tc>
          <w:tcPr>
            <w:tcW w:w="150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rPr>
            </w:pPr>
            <w:r w:rsidRPr="00906AFB">
              <w:rPr>
                <w:rFonts w:ascii="Arial" w:hAnsi="Arial"/>
              </w:rPr>
              <w:t>486,667</w:t>
            </w:r>
          </w:p>
        </w:tc>
      </w:tr>
      <w:tr w:rsidR="00906AFB" w:rsidRPr="00906AFB" w:rsidTr="00906AFB">
        <w:trPr>
          <w:trHeight w:val="283"/>
        </w:trPr>
        <w:tc>
          <w:tcPr>
            <w:tcW w:w="1016"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before="120" w:after="120" w:line="360" w:lineRule="auto"/>
              <w:jc w:val="both"/>
              <w:rPr>
                <w:rFonts w:ascii="Arial" w:hAnsi="Arial"/>
              </w:rPr>
            </w:pPr>
          </w:p>
        </w:tc>
        <w:tc>
          <w:tcPr>
            <w:tcW w:w="509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bCs/>
                <w:sz w:val="20"/>
                <w:szCs w:val="20"/>
              </w:rPr>
            </w:pPr>
            <w:r w:rsidRPr="00906AFB">
              <w:rPr>
                <w:rFonts w:ascii="Arial" w:hAnsi="Arial" w:cs="Arial"/>
                <w:b/>
                <w:bCs/>
                <w:sz w:val="20"/>
                <w:szCs w:val="20"/>
              </w:rPr>
              <w:t>Total</w:t>
            </w:r>
          </w:p>
        </w:tc>
        <w:tc>
          <w:tcPr>
            <w:tcW w:w="1501"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b/>
              </w:rPr>
            </w:pPr>
            <w:r w:rsidRPr="00906AFB">
              <w:rPr>
                <w:rFonts w:ascii="Arial" w:hAnsi="Arial"/>
                <w:b/>
              </w:rPr>
              <w:t>46,903,498</w:t>
            </w:r>
          </w:p>
        </w:tc>
      </w:tr>
    </w:tbl>
    <w:p w:rsidR="00906AFB" w:rsidRPr="00906AFB" w:rsidRDefault="00906AFB" w:rsidP="00906AFB">
      <w:pPr>
        <w:spacing w:after="0" w:line="240" w:lineRule="auto"/>
        <w:rPr>
          <w:rFonts w:ascii="Colaborate-Regular" w:eastAsia="Calibri" w:hAnsi="Colaborate-Regular" w:cs="Times New Roman"/>
          <w:sz w:val="20"/>
          <w:lang w:val="es-ES" w:eastAsia="en-US"/>
        </w:rPr>
      </w:pPr>
    </w:p>
    <w:p w:rsidR="00906AFB" w:rsidRPr="00906AFB" w:rsidRDefault="00906AFB" w:rsidP="00906AFB">
      <w:pPr>
        <w:spacing w:after="0" w:line="240" w:lineRule="auto"/>
        <w:rPr>
          <w:rFonts w:ascii="Colaborate-Regular" w:eastAsia="Calibri" w:hAnsi="Colaborate-Regular" w:cs="Times New Roman"/>
          <w:sz w:val="20"/>
          <w:lang w:val="es-ES" w:eastAsia="en-US"/>
        </w:rPr>
      </w:pPr>
    </w:p>
    <w:p w:rsidR="00906AFB" w:rsidRPr="00906AFB" w:rsidRDefault="00906AFB" w:rsidP="00906AFB">
      <w:pPr>
        <w:spacing w:after="0" w:line="240" w:lineRule="auto"/>
        <w:contextualSpacing/>
        <w:jc w:val="both"/>
        <w:rPr>
          <w:rFonts w:ascii="Arial" w:eastAsia="Times New Roman" w:hAnsi="Arial" w:cs="Arial"/>
          <w:sz w:val="24"/>
          <w:szCs w:val="24"/>
        </w:rPr>
      </w:pPr>
      <w:bookmarkStart w:id="12" w:name="_MON_1381432077"/>
      <w:bookmarkStart w:id="13" w:name="_MON_1381432102"/>
      <w:bookmarkStart w:id="14" w:name="_MON_1381432240"/>
      <w:bookmarkStart w:id="15" w:name="_MON_1381432271"/>
      <w:bookmarkStart w:id="16" w:name="_MON_1381432330"/>
      <w:bookmarkStart w:id="17" w:name="_MON_1381432466"/>
      <w:bookmarkStart w:id="18" w:name="_MON_1381432592"/>
      <w:bookmarkStart w:id="19" w:name="_MON_1381432871"/>
      <w:bookmarkStart w:id="20" w:name="_MON_1381432014"/>
      <w:bookmarkStart w:id="21" w:name="_MON_1381432030"/>
      <w:bookmarkStart w:id="22" w:name="_MON_1381432032"/>
      <w:bookmarkEnd w:id="12"/>
      <w:bookmarkEnd w:id="13"/>
      <w:bookmarkEnd w:id="14"/>
      <w:bookmarkEnd w:id="15"/>
      <w:bookmarkEnd w:id="16"/>
      <w:bookmarkEnd w:id="17"/>
      <w:bookmarkEnd w:id="18"/>
      <w:bookmarkEnd w:id="19"/>
      <w:bookmarkEnd w:id="20"/>
      <w:bookmarkEnd w:id="21"/>
      <w:bookmarkEnd w:id="22"/>
      <w:r w:rsidRPr="00906AFB">
        <w:rPr>
          <w:rFonts w:ascii="Arial" w:eastAsia="Times New Roman" w:hAnsi="Arial" w:cs="Arial"/>
          <w:sz w:val="24"/>
          <w:szCs w:val="24"/>
        </w:rPr>
        <w:t xml:space="preserve">En el </w:t>
      </w:r>
      <w:r w:rsidRPr="00906AFB">
        <w:rPr>
          <w:rFonts w:ascii="Arial" w:eastAsia="Times New Roman" w:hAnsi="Arial" w:cs="Arial"/>
          <w:b/>
          <w:sz w:val="24"/>
          <w:szCs w:val="24"/>
        </w:rPr>
        <w:t>Anexo 2</w:t>
      </w:r>
      <w:r w:rsidRPr="00906AFB">
        <w:rPr>
          <w:rFonts w:ascii="Arial" w:eastAsia="Times New Roman" w:hAnsi="Arial" w:cs="Arial"/>
          <w:sz w:val="24"/>
          <w:szCs w:val="24"/>
        </w:rPr>
        <w:t xml:space="preserve"> del presente Decreto, se presenta la Clasificación por Objeto del Gasto a nivel de Capítulo, Concepto, Partida Genérica y Partida Específica, de cada uno de los Organismos autónomos señalados en el presente artículo.</w:t>
      </w:r>
    </w:p>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b/>
          <w:sz w:val="24"/>
          <w:szCs w:val="24"/>
          <w:lang w:val="es-ES" w:eastAsia="en-US"/>
        </w:rPr>
        <w:t>Artículo 14</w:t>
      </w:r>
      <w:r w:rsidRPr="00906AFB">
        <w:rPr>
          <w:rFonts w:ascii="Arial" w:eastAsia="Calibri" w:hAnsi="Arial" w:cs="Arial"/>
          <w:sz w:val="24"/>
          <w:szCs w:val="24"/>
          <w:lang w:val="es-ES" w:eastAsia="en-US"/>
        </w:rPr>
        <w:t>. El gasto previsto para el concepto de prerrogativas de otorgamiento de financiamiento público de los Partidos Políticos, se incluye además de otros conceptos, dentro del capítulo de Transferencias del Instituto Electoral del Estado y equivale a la cantidad de $24,216,690 misma que se desglosa a continuación:</w:t>
      </w:r>
    </w:p>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Pr="00906AFB" w:rsidRDefault="00906AFB" w:rsidP="00906AFB">
      <w:pPr>
        <w:keepNext/>
        <w:keepLines/>
        <w:spacing w:after="0" w:line="240" w:lineRule="auto"/>
        <w:jc w:val="center"/>
        <w:outlineLvl w:val="1"/>
        <w:rPr>
          <w:rFonts w:ascii="Arial" w:eastAsia="Times New Roman" w:hAnsi="Arial" w:cs="Times New Roman"/>
          <w:b/>
          <w:sz w:val="20"/>
          <w:szCs w:val="26"/>
          <w:lang w:val="es-ES" w:eastAsia="en-US"/>
        </w:rPr>
      </w:pPr>
      <w:r w:rsidRPr="00906AFB">
        <w:rPr>
          <w:rFonts w:ascii="Arial" w:eastAsia="Times New Roman" w:hAnsi="Arial" w:cs="Times New Roman"/>
          <w:b/>
          <w:sz w:val="20"/>
          <w:szCs w:val="26"/>
          <w:lang w:val="es-ES" w:eastAsia="en-US"/>
        </w:rPr>
        <w:t>Tabla 12. Prerrogativas a los Partidos Políticos</w:t>
      </w:r>
    </w:p>
    <w:tbl>
      <w:tblPr>
        <w:tblStyle w:val="Tablaconcuadrcula2"/>
        <w:tblW w:w="0" w:type="auto"/>
        <w:jc w:val="center"/>
        <w:tblInd w:w="0" w:type="dxa"/>
        <w:tblLook w:val="04A0" w:firstRow="1" w:lastRow="0" w:firstColumn="1" w:lastColumn="0" w:noHBand="0" w:noVBand="1"/>
      </w:tblPr>
      <w:tblGrid>
        <w:gridCol w:w="4968"/>
        <w:gridCol w:w="2351"/>
      </w:tblGrid>
      <w:tr w:rsidR="00906AFB" w:rsidRPr="00906AFB" w:rsidTr="00C041A9">
        <w:trPr>
          <w:trHeight w:val="472"/>
          <w:jc w:val="center"/>
        </w:trPr>
        <w:tc>
          <w:tcPr>
            <w:tcW w:w="4968"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center"/>
              <w:rPr>
                <w:rFonts w:ascii="Arial" w:hAnsi="Arial" w:cs="Arial"/>
                <w:b/>
                <w:bCs/>
                <w:sz w:val="20"/>
                <w:szCs w:val="20"/>
              </w:rPr>
            </w:pPr>
            <w:r w:rsidRPr="00906AFB">
              <w:rPr>
                <w:rFonts w:ascii="Arial" w:hAnsi="Arial" w:cs="Arial"/>
                <w:b/>
                <w:bCs/>
                <w:sz w:val="20"/>
                <w:szCs w:val="20"/>
              </w:rPr>
              <w:t>Partido Político</w:t>
            </w:r>
          </w:p>
        </w:tc>
        <w:tc>
          <w:tcPr>
            <w:tcW w:w="2351"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bCs/>
                <w:sz w:val="20"/>
                <w:szCs w:val="20"/>
              </w:rPr>
            </w:pPr>
            <w:r w:rsidRPr="00906AFB">
              <w:rPr>
                <w:rFonts w:ascii="Arial" w:hAnsi="Arial" w:cs="Arial"/>
                <w:b/>
                <w:bCs/>
                <w:sz w:val="18"/>
                <w:szCs w:val="20"/>
              </w:rPr>
              <w:t>Financiamiento Público a Partidos Políticos</w:t>
            </w:r>
          </w:p>
        </w:tc>
      </w:tr>
      <w:tr w:rsidR="00906AFB" w:rsidRPr="00906AFB" w:rsidTr="00906AFB">
        <w:trPr>
          <w:trHeight w:val="283"/>
          <w:jc w:val="center"/>
        </w:trPr>
        <w:tc>
          <w:tcPr>
            <w:tcW w:w="4968"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rPr>
                <w:rFonts w:ascii="Arial" w:hAnsi="Arial" w:cs="Arial"/>
                <w:bCs/>
                <w:sz w:val="20"/>
                <w:szCs w:val="20"/>
              </w:rPr>
            </w:pPr>
            <w:r w:rsidRPr="00906AFB">
              <w:rPr>
                <w:rFonts w:ascii="Arial" w:hAnsi="Arial" w:cs="Arial"/>
                <w:bCs/>
                <w:sz w:val="20"/>
                <w:szCs w:val="20"/>
              </w:rPr>
              <w:t>Partido Acción Nacional (PAN)</w:t>
            </w:r>
          </w:p>
        </w:tc>
        <w:tc>
          <w:tcPr>
            <w:tcW w:w="235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sz w:val="20"/>
                <w:szCs w:val="20"/>
              </w:rPr>
            </w:pPr>
            <w:r w:rsidRPr="00906AFB">
              <w:rPr>
                <w:rFonts w:ascii="Arial" w:hAnsi="Arial"/>
                <w:sz w:val="20"/>
                <w:szCs w:val="20"/>
              </w:rPr>
              <w:t>8,615,019</w:t>
            </w:r>
          </w:p>
        </w:tc>
      </w:tr>
      <w:tr w:rsidR="00906AFB" w:rsidRPr="00906AFB" w:rsidTr="00906AFB">
        <w:trPr>
          <w:trHeight w:val="283"/>
          <w:jc w:val="center"/>
        </w:trPr>
        <w:tc>
          <w:tcPr>
            <w:tcW w:w="4968"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rPr>
                <w:rFonts w:ascii="Arial" w:hAnsi="Arial" w:cs="Arial"/>
                <w:bCs/>
                <w:sz w:val="20"/>
                <w:szCs w:val="20"/>
              </w:rPr>
            </w:pPr>
            <w:r w:rsidRPr="00906AFB">
              <w:rPr>
                <w:rFonts w:ascii="Arial" w:hAnsi="Arial" w:cs="Arial"/>
                <w:bCs/>
                <w:sz w:val="20"/>
                <w:szCs w:val="20"/>
              </w:rPr>
              <w:t>Partido Revolucionario Institucional (PRI)</w:t>
            </w:r>
          </w:p>
        </w:tc>
        <w:tc>
          <w:tcPr>
            <w:tcW w:w="235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sz w:val="20"/>
                <w:szCs w:val="20"/>
              </w:rPr>
            </w:pPr>
            <w:r w:rsidRPr="00906AFB">
              <w:rPr>
                <w:rFonts w:ascii="Arial" w:hAnsi="Arial"/>
                <w:sz w:val="20"/>
                <w:szCs w:val="20"/>
              </w:rPr>
              <w:t>6,894,813</w:t>
            </w:r>
          </w:p>
        </w:tc>
      </w:tr>
      <w:tr w:rsidR="00906AFB" w:rsidRPr="00906AFB" w:rsidTr="00906AFB">
        <w:trPr>
          <w:trHeight w:val="283"/>
          <w:jc w:val="center"/>
        </w:trPr>
        <w:tc>
          <w:tcPr>
            <w:tcW w:w="4968"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rPr>
                <w:rFonts w:ascii="Arial" w:hAnsi="Arial" w:cs="Arial"/>
                <w:bCs/>
                <w:sz w:val="20"/>
                <w:szCs w:val="20"/>
              </w:rPr>
            </w:pPr>
            <w:r w:rsidRPr="00906AFB">
              <w:rPr>
                <w:rFonts w:ascii="Arial" w:hAnsi="Arial" w:cs="Arial"/>
                <w:bCs/>
                <w:sz w:val="20"/>
                <w:szCs w:val="20"/>
              </w:rPr>
              <w:t>Partido Verde Ecologista de México (PVEM)</w:t>
            </w:r>
          </w:p>
        </w:tc>
        <w:tc>
          <w:tcPr>
            <w:tcW w:w="235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sz w:val="20"/>
                <w:szCs w:val="20"/>
              </w:rPr>
            </w:pPr>
            <w:r w:rsidRPr="00906AFB">
              <w:rPr>
                <w:rFonts w:ascii="Arial" w:hAnsi="Arial"/>
                <w:sz w:val="20"/>
                <w:szCs w:val="20"/>
              </w:rPr>
              <w:t>2,204,597</w:t>
            </w:r>
          </w:p>
        </w:tc>
      </w:tr>
      <w:tr w:rsidR="00906AFB" w:rsidRPr="00906AFB" w:rsidTr="00906AFB">
        <w:trPr>
          <w:trHeight w:val="283"/>
          <w:jc w:val="center"/>
        </w:trPr>
        <w:tc>
          <w:tcPr>
            <w:tcW w:w="4968"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rPr>
                <w:rFonts w:ascii="Arial" w:hAnsi="Arial" w:cs="Arial"/>
                <w:bCs/>
                <w:sz w:val="20"/>
                <w:szCs w:val="20"/>
              </w:rPr>
            </w:pPr>
            <w:r w:rsidRPr="00906AFB">
              <w:rPr>
                <w:rFonts w:ascii="Arial" w:hAnsi="Arial" w:cs="Arial"/>
                <w:bCs/>
                <w:sz w:val="20"/>
                <w:szCs w:val="20"/>
              </w:rPr>
              <w:t>Partido del Trabajo (PT)</w:t>
            </w:r>
          </w:p>
        </w:tc>
        <w:tc>
          <w:tcPr>
            <w:tcW w:w="235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sz w:val="20"/>
                <w:szCs w:val="20"/>
              </w:rPr>
            </w:pPr>
            <w:r w:rsidRPr="00906AFB">
              <w:rPr>
                <w:rFonts w:ascii="Arial" w:hAnsi="Arial"/>
                <w:sz w:val="20"/>
                <w:szCs w:val="20"/>
              </w:rPr>
              <w:t>1,707,717</w:t>
            </w:r>
          </w:p>
        </w:tc>
      </w:tr>
      <w:tr w:rsidR="00906AFB" w:rsidRPr="00906AFB" w:rsidTr="00906AFB">
        <w:trPr>
          <w:trHeight w:val="283"/>
          <w:jc w:val="center"/>
        </w:trPr>
        <w:tc>
          <w:tcPr>
            <w:tcW w:w="4968"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rPr>
                <w:rFonts w:ascii="Arial" w:hAnsi="Arial" w:cs="Arial"/>
                <w:bCs/>
                <w:sz w:val="20"/>
                <w:szCs w:val="20"/>
              </w:rPr>
            </w:pPr>
            <w:r w:rsidRPr="00906AFB">
              <w:rPr>
                <w:rFonts w:ascii="Arial" w:hAnsi="Arial" w:cs="Arial"/>
                <w:bCs/>
                <w:sz w:val="20"/>
                <w:szCs w:val="20"/>
              </w:rPr>
              <w:t>Partido Movimiento Ciudadano (MC)</w:t>
            </w:r>
          </w:p>
        </w:tc>
        <w:tc>
          <w:tcPr>
            <w:tcW w:w="235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sz w:val="20"/>
                <w:szCs w:val="20"/>
              </w:rPr>
            </w:pPr>
            <w:r w:rsidRPr="00906AFB">
              <w:rPr>
                <w:rFonts w:ascii="Arial" w:hAnsi="Arial"/>
                <w:sz w:val="20"/>
                <w:szCs w:val="20"/>
              </w:rPr>
              <w:t>2,255,322</w:t>
            </w:r>
          </w:p>
        </w:tc>
      </w:tr>
      <w:tr w:rsidR="00906AFB" w:rsidRPr="00906AFB" w:rsidTr="00906AFB">
        <w:trPr>
          <w:trHeight w:val="283"/>
          <w:jc w:val="center"/>
        </w:trPr>
        <w:tc>
          <w:tcPr>
            <w:tcW w:w="4968"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rPr>
                <w:rFonts w:ascii="Arial" w:hAnsi="Arial" w:cs="Arial"/>
                <w:bCs/>
                <w:sz w:val="20"/>
                <w:szCs w:val="20"/>
              </w:rPr>
            </w:pPr>
            <w:r w:rsidRPr="00906AFB">
              <w:rPr>
                <w:rFonts w:ascii="Arial" w:hAnsi="Arial" w:cs="Arial"/>
                <w:bCs/>
                <w:sz w:val="20"/>
                <w:szCs w:val="20"/>
              </w:rPr>
              <w:t>Partido Nueva Alianza (PNA)</w:t>
            </w:r>
          </w:p>
        </w:tc>
        <w:tc>
          <w:tcPr>
            <w:tcW w:w="235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sz w:val="20"/>
                <w:szCs w:val="20"/>
              </w:rPr>
            </w:pPr>
            <w:r w:rsidRPr="00906AFB">
              <w:rPr>
                <w:rFonts w:ascii="Arial" w:hAnsi="Arial"/>
                <w:sz w:val="20"/>
                <w:szCs w:val="20"/>
              </w:rPr>
              <w:t>2,045,483</w:t>
            </w:r>
          </w:p>
        </w:tc>
      </w:tr>
      <w:tr w:rsidR="00906AFB" w:rsidRPr="00906AFB" w:rsidTr="00906AFB">
        <w:trPr>
          <w:trHeight w:val="283"/>
          <w:jc w:val="center"/>
        </w:trPr>
        <w:tc>
          <w:tcPr>
            <w:tcW w:w="4968"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rPr>
                <w:rFonts w:ascii="Arial" w:hAnsi="Arial" w:cs="Arial"/>
                <w:bCs/>
                <w:sz w:val="20"/>
                <w:szCs w:val="20"/>
              </w:rPr>
            </w:pPr>
            <w:r w:rsidRPr="00906AFB">
              <w:rPr>
                <w:rFonts w:ascii="Arial" w:hAnsi="Arial" w:cs="Arial"/>
                <w:bCs/>
                <w:sz w:val="20"/>
                <w:szCs w:val="20"/>
              </w:rPr>
              <w:t>Partido de la Revolución Democrática (PRD)</w:t>
            </w:r>
          </w:p>
        </w:tc>
        <w:tc>
          <w:tcPr>
            <w:tcW w:w="235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sz w:val="20"/>
                <w:szCs w:val="20"/>
              </w:rPr>
            </w:pPr>
            <w:r w:rsidRPr="00906AFB">
              <w:rPr>
                <w:rFonts w:ascii="Arial" w:hAnsi="Arial"/>
                <w:sz w:val="20"/>
                <w:szCs w:val="20"/>
              </w:rPr>
              <w:t>164,580</w:t>
            </w:r>
          </w:p>
        </w:tc>
      </w:tr>
      <w:tr w:rsidR="00906AFB" w:rsidRPr="00906AFB" w:rsidTr="00906AFB">
        <w:trPr>
          <w:trHeight w:val="283"/>
          <w:jc w:val="center"/>
        </w:trPr>
        <w:tc>
          <w:tcPr>
            <w:tcW w:w="4968"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rPr>
                <w:rFonts w:ascii="Arial" w:hAnsi="Arial" w:cs="Arial"/>
                <w:bCs/>
                <w:sz w:val="20"/>
                <w:szCs w:val="20"/>
              </w:rPr>
            </w:pPr>
            <w:r w:rsidRPr="00906AFB">
              <w:rPr>
                <w:rFonts w:ascii="Arial" w:hAnsi="Arial" w:cs="Arial"/>
                <w:bCs/>
                <w:sz w:val="20"/>
                <w:szCs w:val="20"/>
              </w:rPr>
              <w:t>Partido Movimiento de Regeneración Nacional (MORENA)</w:t>
            </w:r>
          </w:p>
        </w:tc>
        <w:tc>
          <w:tcPr>
            <w:tcW w:w="235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sz w:val="20"/>
                <w:szCs w:val="20"/>
              </w:rPr>
            </w:pPr>
            <w:r w:rsidRPr="00906AFB">
              <w:rPr>
                <w:rFonts w:ascii="Arial" w:hAnsi="Arial"/>
                <w:sz w:val="20"/>
                <w:szCs w:val="20"/>
              </w:rPr>
              <w:t>164,580</w:t>
            </w:r>
          </w:p>
        </w:tc>
      </w:tr>
      <w:tr w:rsidR="00906AFB" w:rsidRPr="00906AFB" w:rsidTr="00906AFB">
        <w:trPr>
          <w:trHeight w:val="283"/>
          <w:jc w:val="center"/>
        </w:trPr>
        <w:tc>
          <w:tcPr>
            <w:tcW w:w="4968"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rPr>
                <w:rFonts w:ascii="Arial" w:hAnsi="Arial" w:cs="Arial"/>
                <w:bCs/>
                <w:sz w:val="20"/>
                <w:szCs w:val="20"/>
              </w:rPr>
            </w:pPr>
            <w:r w:rsidRPr="00906AFB">
              <w:rPr>
                <w:rFonts w:ascii="Arial" w:hAnsi="Arial" w:cs="Arial"/>
                <w:bCs/>
                <w:sz w:val="20"/>
                <w:szCs w:val="20"/>
              </w:rPr>
              <w:t>Partido Encuentro Social (PES)</w:t>
            </w:r>
          </w:p>
        </w:tc>
        <w:tc>
          <w:tcPr>
            <w:tcW w:w="235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sz w:val="20"/>
                <w:szCs w:val="20"/>
              </w:rPr>
            </w:pPr>
            <w:r w:rsidRPr="00906AFB">
              <w:rPr>
                <w:rFonts w:ascii="Arial" w:hAnsi="Arial"/>
                <w:sz w:val="20"/>
                <w:szCs w:val="20"/>
              </w:rPr>
              <w:t>164,580</w:t>
            </w:r>
          </w:p>
        </w:tc>
      </w:tr>
      <w:tr w:rsidR="00906AFB" w:rsidRPr="00906AFB" w:rsidTr="00C041A9">
        <w:trPr>
          <w:trHeight w:val="347"/>
          <w:jc w:val="center"/>
        </w:trPr>
        <w:tc>
          <w:tcPr>
            <w:tcW w:w="4968"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center"/>
              <w:rPr>
                <w:rFonts w:ascii="Arial" w:hAnsi="Arial" w:cs="Arial"/>
                <w:b/>
                <w:bCs/>
                <w:sz w:val="20"/>
                <w:szCs w:val="20"/>
              </w:rPr>
            </w:pPr>
            <w:r w:rsidRPr="00906AFB">
              <w:rPr>
                <w:rFonts w:ascii="Arial" w:hAnsi="Arial" w:cs="Arial"/>
                <w:b/>
                <w:bCs/>
                <w:sz w:val="20"/>
                <w:szCs w:val="20"/>
              </w:rPr>
              <w:t>Total</w:t>
            </w:r>
          </w:p>
        </w:tc>
        <w:tc>
          <w:tcPr>
            <w:tcW w:w="235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b/>
                <w:sz w:val="20"/>
                <w:szCs w:val="20"/>
              </w:rPr>
            </w:pPr>
            <w:r w:rsidRPr="00906AFB">
              <w:rPr>
                <w:rFonts w:ascii="Arial" w:hAnsi="Arial"/>
                <w:b/>
                <w:sz w:val="20"/>
                <w:szCs w:val="20"/>
              </w:rPr>
              <w:t>24,216,690</w:t>
            </w:r>
          </w:p>
        </w:tc>
      </w:tr>
    </w:tbl>
    <w:p w:rsidR="00906AFB" w:rsidRPr="00906AFB" w:rsidRDefault="00906AFB" w:rsidP="00906AFB">
      <w:pPr>
        <w:spacing w:after="0" w:line="240" w:lineRule="auto"/>
        <w:jc w:val="center"/>
        <w:rPr>
          <w:rFonts w:ascii="Arial" w:eastAsia="Calibri" w:hAnsi="Arial" w:cs="Arial"/>
          <w:sz w:val="24"/>
          <w:szCs w:val="24"/>
          <w:lang w:val="es-ES" w:eastAsia="en-US"/>
        </w:rPr>
      </w:pPr>
    </w:p>
    <w:p w:rsidR="00906AFB" w:rsidRPr="00906AFB" w:rsidRDefault="00906AFB" w:rsidP="00906AFB">
      <w:pPr>
        <w:spacing w:after="0" w:line="240" w:lineRule="auto"/>
        <w:jc w:val="center"/>
        <w:rPr>
          <w:rFonts w:ascii="Arial" w:eastAsia="Calibri" w:hAnsi="Arial" w:cs="Arial"/>
          <w:sz w:val="24"/>
          <w:szCs w:val="24"/>
          <w:lang w:val="es-ES" w:eastAsia="en-US"/>
        </w:rPr>
      </w:pPr>
    </w:p>
    <w:p w:rsidR="00906AFB" w:rsidRPr="00906AFB" w:rsidRDefault="00906AFB" w:rsidP="00906AFB">
      <w:pPr>
        <w:spacing w:after="0" w:line="240" w:lineRule="auto"/>
        <w:jc w:val="center"/>
        <w:rPr>
          <w:rFonts w:ascii="Arial" w:eastAsia="Calibri" w:hAnsi="Arial" w:cs="Arial"/>
          <w:sz w:val="24"/>
          <w:szCs w:val="24"/>
          <w:lang w:val="es-ES" w:eastAsia="en-US"/>
        </w:rPr>
      </w:pPr>
    </w:p>
    <w:p w:rsidR="00906AFB" w:rsidRPr="00906AFB" w:rsidRDefault="00906AFB" w:rsidP="00906AFB">
      <w:pPr>
        <w:spacing w:after="0" w:line="240" w:lineRule="auto"/>
        <w:jc w:val="center"/>
        <w:rPr>
          <w:rFonts w:ascii="Arial" w:eastAsia="Calibri" w:hAnsi="Arial" w:cs="Arial"/>
          <w:sz w:val="24"/>
          <w:szCs w:val="24"/>
          <w:lang w:val="es-ES" w:eastAsia="en-US"/>
        </w:rPr>
      </w:pPr>
    </w:p>
    <w:p w:rsidR="00906AFB" w:rsidRPr="00906AFB" w:rsidRDefault="00906AFB" w:rsidP="00906AFB">
      <w:pPr>
        <w:spacing w:after="0" w:line="240" w:lineRule="auto"/>
        <w:jc w:val="center"/>
        <w:rPr>
          <w:rFonts w:ascii="Arial" w:eastAsia="Calibri" w:hAnsi="Arial" w:cs="Arial"/>
          <w:sz w:val="24"/>
          <w:szCs w:val="24"/>
          <w:lang w:val="es-ES" w:eastAsia="en-US"/>
        </w:rPr>
      </w:pPr>
    </w:p>
    <w:p w:rsidR="00906AFB" w:rsidRPr="00906AFB" w:rsidRDefault="00906AFB" w:rsidP="00906AFB">
      <w:pPr>
        <w:keepNext/>
        <w:keepLines/>
        <w:spacing w:after="0" w:line="240" w:lineRule="auto"/>
        <w:jc w:val="center"/>
        <w:outlineLvl w:val="1"/>
        <w:rPr>
          <w:rFonts w:ascii="Arial" w:eastAsia="Times New Roman" w:hAnsi="Arial" w:cs="Times New Roman"/>
          <w:b/>
          <w:sz w:val="20"/>
          <w:szCs w:val="26"/>
          <w:lang w:val="es-ES" w:eastAsia="en-US"/>
        </w:rPr>
      </w:pPr>
      <w:r w:rsidRPr="00906AFB">
        <w:rPr>
          <w:rFonts w:ascii="Arial" w:eastAsia="Times New Roman" w:hAnsi="Arial" w:cs="Times New Roman"/>
          <w:b/>
          <w:sz w:val="20"/>
          <w:szCs w:val="26"/>
          <w:lang w:val="es-ES" w:eastAsia="en-US"/>
        </w:rPr>
        <w:t>Tabla 13. Calendario Presupuestal de Ministraciones a Partidos Políticos</w:t>
      </w:r>
    </w:p>
    <w:tbl>
      <w:tblPr>
        <w:tblStyle w:val="Tablaconcuadrcula2"/>
        <w:tblW w:w="8897" w:type="dxa"/>
        <w:tblInd w:w="0" w:type="dxa"/>
        <w:tblLook w:val="04A0" w:firstRow="1" w:lastRow="0" w:firstColumn="1" w:lastColumn="0" w:noHBand="0" w:noVBand="1"/>
      </w:tblPr>
      <w:tblGrid>
        <w:gridCol w:w="878"/>
        <w:gridCol w:w="661"/>
        <w:gridCol w:w="661"/>
        <w:gridCol w:w="661"/>
        <w:gridCol w:w="661"/>
        <w:gridCol w:w="661"/>
        <w:gridCol w:w="661"/>
        <w:gridCol w:w="661"/>
        <w:gridCol w:w="661"/>
        <w:gridCol w:w="761"/>
        <w:gridCol w:w="661"/>
        <w:gridCol w:w="733"/>
        <w:gridCol w:w="700"/>
        <w:gridCol w:w="717"/>
      </w:tblGrid>
      <w:tr w:rsidR="00906AFB" w:rsidRPr="00906AFB" w:rsidTr="00906AFB">
        <w:trPr>
          <w:trHeight w:val="300"/>
        </w:trPr>
        <w:tc>
          <w:tcPr>
            <w:tcW w:w="776"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bCs/>
                <w:sz w:val="10"/>
                <w:szCs w:val="16"/>
              </w:rPr>
            </w:pPr>
            <w:r w:rsidRPr="00906AFB">
              <w:rPr>
                <w:rFonts w:ascii="Arial" w:hAnsi="Arial" w:cs="Arial"/>
                <w:b/>
                <w:bCs/>
                <w:sz w:val="10"/>
                <w:szCs w:val="16"/>
              </w:rPr>
              <w:t>Partido</w:t>
            </w:r>
          </w:p>
        </w:tc>
        <w:tc>
          <w:tcPr>
            <w:tcW w:w="608" w:type="dxa"/>
            <w:tcBorders>
              <w:top w:val="single" w:sz="4" w:space="0" w:color="auto"/>
              <w:left w:val="single" w:sz="4" w:space="0" w:color="auto"/>
              <w:bottom w:val="single" w:sz="4" w:space="0" w:color="auto"/>
              <w:right w:val="single" w:sz="4" w:space="0" w:color="auto"/>
            </w:tcBorders>
            <w:hideMark/>
          </w:tcPr>
          <w:p w:rsidR="00906AFB" w:rsidRPr="00906AFB" w:rsidRDefault="00906AFB" w:rsidP="00906AFB">
            <w:pPr>
              <w:jc w:val="center"/>
              <w:rPr>
                <w:rFonts w:ascii="Arial" w:hAnsi="Arial" w:cs="Arial"/>
                <w:b/>
                <w:bCs/>
                <w:sz w:val="10"/>
                <w:szCs w:val="16"/>
              </w:rPr>
            </w:pPr>
            <w:r w:rsidRPr="00906AFB">
              <w:rPr>
                <w:rFonts w:ascii="Arial" w:hAnsi="Arial" w:cs="Arial"/>
                <w:b/>
                <w:bCs/>
                <w:sz w:val="10"/>
                <w:szCs w:val="16"/>
              </w:rPr>
              <w:t>Enero</w:t>
            </w:r>
          </w:p>
        </w:tc>
        <w:tc>
          <w:tcPr>
            <w:tcW w:w="608" w:type="dxa"/>
            <w:tcBorders>
              <w:top w:val="single" w:sz="4" w:space="0" w:color="auto"/>
              <w:left w:val="single" w:sz="4" w:space="0" w:color="auto"/>
              <w:bottom w:val="single" w:sz="4" w:space="0" w:color="auto"/>
              <w:right w:val="single" w:sz="4" w:space="0" w:color="auto"/>
            </w:tcBorders>
            <w:hideMark/>
          </w:tcPr>
          <w:p w:rsidR="00906AFB" w:rsidRPr="00906AFB" w:rsidRDefault="00906AFB" w:rsidP="00906AFB">
            <w:pPr>
              <w:jc w:val="center"/>
              <w:rPr>
                <w:rFonts w:ascii="Arial" w:hAnsi="Arial" w:cs="Arial"/>
                <w:b/>
                <w:bCs/>
                <w:sz w:val="10"/>
                <w:szCs w:val="16"/>
              </w:rPr>
            </w:pPr>
            <w:r w:rsidRPr="00906AFB">
              <w:rPr>
                <w:rFonts w:ascii="Arial" w:hAnsi="Arial" w:cs="Arial"/>
                <w:b/>
                <w:bCs/>
                <w:sz w:val="10"/>
                <w:szCs w:val="16"/>
              </w:rPr>
              <w:t>Febrero</w:t>
            </w:r>
          </w:p>
        </w:tc>
        <w:tc>
          <w:tcPr>
            <w:tcW w:w="608" w:type="dxa"/>
            <w:tcBorders>
              <w:top w:val="single" w:sz="4" w:space="0" w:color="auto"/>
              <w:left w:val="single" w:sz="4" w:space="0" w:color="auto"/>
              <w:bottom w:val="single" w:sz="4" w:space="0" w:color="auto"/>
              <w:right w:val="single" w:sz="4" w:space="0" w:color="auto"/>
            </w:tcBorders>
            <w:hideMark/>
          </w:tcPr>
          <w:p w:rsidR="00906AFB" w:rsidRPr="00906AFB" w:rsidRDefault="00906AFB" w:rsidP="00906AFB">
            <w:pPr>
              <w:jc w:val="center"/>
              <w:rPr>
                <w:rFonts w:ascii="Arial" w:hAnsi="Arial" w:cs="Arial"/>
                <w:b/>
                <w:bCs/>
                <w:sz w:val="10"/>
                <w:szCs w:val="16"/>
              </w:rPr>
            </w:pPr>
            <w:r w:rsidRPr="00906AFB">
              <w:rPr>
                <w:rFonts w:ascii="Arial" w:hAnsi="Arial" w:cs="Arial"/>
                <w:b/>
                <w:bCs/>
                <w:sz w:val="10"/>
                <w:szCs w:val="16"/>
              </w:rPr>
              <w:t>Marzo</w:t>
            </w:r>
          </w:p>
        </w:tc>
        <w:tc>
          <w:tcPr>
            <w:tcW w:w="607" w:type="dxa"/>
            <w:tcBorders>
              <w:top w:val="single" w:sz="4" w:space="0" w:color="auto"/>
              <w:left w:val="single" w:sz="4" w:space="0" w:color="auto"/>
              <w:bottom w:val="single" w:sz="4" w:space="0" w:color="auto"/>
              <w:right w:val="single" w:sz="4" w:space="0" w:color="auto"/>
            </w:tcBorders>
            <w:hideMark/>
          </w:tcPr>
          <w:p w:rsidR="00906AFB" w:rsidRPr="00906AFB" w:rsidRDefault="00906AFB" w:rsidP="00906AFB">
            <w:pPr>
              <w:jc w:val="center"/>
              <w:rPr>
                <w:rFonts w:ascii="Arial" w:hAnsi="Arial" w:cs="Arial"/>
                <w:b/>
                <w:bCs/>
                <w:sz w:val="10"/>
                <w:szCs w:val="16"/>
              </w:rPr>
            </w:pPr>
            <w:r w:rsidRPr="00906AFB">
              <w:rPr>
                <w:rFonts w:ascii="Arial" w:hAnsi="Arial" w:cs="Arial"/>
                <w:b/>
                <w:bCs/>
                <w:sz w:val="10"/>
                <w:szCs w:val="16"/>
              </w:rPr>
              <w:t>Abril</w:t>
            </w:r>
          </w:p>
        </w:tc>
        <w:tc>
          <w:tcPr>
            <w:tcW w:w="607" w:type="dxa"/>
            <w:tcBorders>
              <w:top w:val="single" w:sz="4" w:space="0" w:color="auto"/>
              <w:left w:val="single" w:sz="4" w:space="0" w:color="auto"/>
              <w:bottom w:val="single" w:sz="4" w:space="0" w:color="auto"/>
              <w:right w:val="single" w:sz="4" w:space="0" w:color="auto"/>
            </w:tcBorders>
            <w:hideMark/>
          </w:tcPr>
          <w:p w:rsidR="00906AFB" w:rsidRPr="00906AFB" w:rsidRDefault="00906AFB" w:rsidP="00906AFB">
            <w:pPr>
              <w:jc w:val="center"/>
              <w:rPr>
                <w:rFonts w:ascii="Arial" w:hAnsi="Arial" w:cs="Arial"/>
                <w:b/>
                <w:bCs/>
                <w:sz w:val="10"/>
                <w:szCs w:val="16"/>
              </w:rPr>
            </w:pPr>
            <w:r w:rsidRPr="00906AFB">
              <w:rPr>
                <w:rFonts w:ascii="Arial" w:hAnsi="Arial" w:cs="Arial"/>
                <w:b/>
                <w:bCs/>
                <w:sz w:val="10"/>
                <w:szCs w:val="16"/>
              </w:rPr>
              <w:t>Mayo</w:t>
            </w:r>
          </w:p>
        </w:tc>
        <w:tc>
          <w:tcPr>
            <w:tcW w:w="607" w:type="dxa"/>
            <w:tcBorders>
              <w:top w:val="single" w:sz="4" w:space="0" w:color="auto"/>
              <w:left w:val="single" w:sz="4" w:space="0" w:color="auto"/>
              <w:bottom w:val="single" w:sz="4" w:space="0" w:color="auto"/>
              <w:right w:val="single" w:sz="4" w:space="0" w:color="auto"/>
            </w:tcBorders>
            <w:hideMark/>
          </w:tcPr>
          <w:p w:rsidR="00906AFB" w:rsidRPr="00906AFB" w:rsidRDefault="00906AFB" w:rsidP="00906AFB">
            <w:pPr>
              <w:jc w:val="center"/>
              <w:rPr>
                <w:rFonts w:ascii="Arial" w:hAnsi="Arial" w:cs="Arial"/>
                <w:b/>
                <w:bCs/>
                <w:sz w:val="10"/>
                <w:szCs w:val="16"/>
              </w:rPr>
            </w:pPr>
            <w:r w:rsidRPr="00906AFB">
              <w:rPr>
                <w:rFonts w:ascii="Arial" w:hAnsi="Arial" w:cs="Arial"/>
                <w:b/>
                <w:bCs/>
                <w:sz w:val="10"/>
                <w:szCs w:val="16"/>
              </w:rPr>
              <w:t>Junio</w:t>
            </w:r>
          </w:p>
        </w:tc>
        <w:tc>
          <w:tcPr>
            <w:tcW w:w="607" w:type="dxa"/>
            <w:tcBorders>
              <w:top w:val="single" w:sz="4" w:space="0" w:color="auto"/>
              <w:left w:val="single" w:sz="4" w:space="0" w:color="auto"/>
              <w:bottom w:val="single" w:sz="4" w:space="0" w:color="auto"/>
              <w:right w:val="single" w:sz="4" w:space="0" w:color="auto"/>
            </w:tcBorders>
            <w:hideMark/>
          </w:tcPr>
          <w:p w:rsidR="00906AFB" w:rsidRPr="00906AFB" w:rsidRDefault="00906AFB" w:rsidP="00906AFB">
            <w:pPr>
              <w:jc w:val="center"/>
              <w:rPr>
                <w:rFonts w:ascii="Arial" w:hAnsi="Arial" w:cs="Arial"/>
                <w:b/>
                <w:bCs/>
                <w:sz w:val="10"/>
                <w:szCs w:val="16"/>
              </w:rPr>
            </w:pPr>
            <w:r w:rsidRPr="00906AFB">
              <w:rPr>
                <w:rFonts w:ascii="Arial" w:hAnsi="Arial" w:cs="Arial"/>
                <w:b/>
                <w:bCs/>
                <w:sz w:val="10"/>
                <w:szCs w:val="16"/>
              </w:rPr>
              <w:t>Julio</w:t>
            </w:r>
          </w:p>
        </w:tc>
        <w:tc>
          <w:tcPr>
            <w:tcW w:w="607" w:type="dxa"/>
            <w:tcBorders>
              <w:top w:val="single" w:sz="4" w:space="0" w:color="auto"/>
              <w:left w:val="single" w:sz="4" w:space="0" w:color="auto"/>
              <w:bottom w:val="single" w:sz="4" w:space="0" w:color="auto"/>
              <w:right w:val="single" w:sz="4" w:space="0" w:color="auto"/>
            </w:tcBorders>
            <w:hideMark/>
          </w:tcPr>
          <w:p w:rsidR="00906AFB" w:rsidRPr="00906AFB" w:rsidRDefault="00906AFB" w:rsidP="00906AFB">
            <w:pPr>
              <w:jc w:val="center"/>
              <w:rPr>
                <w:rFonts w:ascii="Arial" w:hAnsi="Arial" w:cs="Arial"/>
                <w:b/>
                <w:bCs/>
                <w:sz w:val="10"/>
                <w:szCs w:val="16"/>
              </w:rPr>
            </w:pPr>
            <w:r w:rsidRPr="00906AFB">
              <w:rPr>
                <w:rFonts w:ascii="Arial" w:hAnsi="Arial" w:cs="Arial"/>
                <w:b/>
                <w:bCs/>
                <w:sz w:val="10"/>
                <w:szCs w:val="16"/>
              </w:rPr>
              <w:t>Agosto</w:t>
            </w:r>
          </w:p>
        </w:tc>
        <w:tc>
          <w:tcPr>
            <w:tcW w:w="607" w:type="dxa"/>
            <w:tcBorders>
              <w:top w:val="single" w:sz="4" w:space="0" w:color="auto"/>
              <w:left w:val="single" w:sz="4" w:space="0" w:color="auto"/>
              <w:bottom w:val="single" w:sz="4" w:space="0" w:color="auto"/>
              <w:right w:val="single" w:sz="4" w:space="0" w:color="auto"/>
            </w:tcBorders>
            <w:hideMark/>
          </w:tcPr>
          <w:p w:rsidR="00906AFB" w:rsidRPr="00906AFB" w:rsidRDefault="00906AFB" w:rsidP="00906AFB">
            <w:pPr>
              <w:jc w:val="center"/>
              <w:rPr>
                <w:rFonts w:ascii="Arial" w:hAnsi="Arial" w:cs="Arial"/>
                <w:b/>
                <w:bCs/>
                <w:sz w:val="10"/>
                <w:szCs w:val="16"/>
              </w:rPr>
            </w:pPr>
            <w:r w:rsidRPr="00906AFB">
              <w:rPr>
                <w:rFonts w:ascii="Arial" w:hAnsi="Arial" w:cs="Arial"/>
                <w:b/>
                <w:bCs/>
                <w:sz w:val="10"/>
                <w:szCs w:val="16"/>
              </w:rPr>
              <w:t>Septiembre</w:t>
            </w:r>
          </w:p>
        </w:tc>
        <w:tc>
          <w:tcPr>
            <w:tcW w:w="607" w:type="dxa"/>
            <w:tcBorders>
              <w:top w:val="single" w:sz="4" w:space="0" w:color="auto"/>
              <w:left w:val="single" w:sz="4" w:space="0" w:color="auto"/>
              <w:bottom w:val="single" w:sz="4" w:space="0" w:color="auto"/>
              <w:right w:val="single" w:sz="4" w:space="0" w:color="auto"/>
            </w:tcBorders>
            <w:hideMark/>
          </w:tcPr>
          <w:p w:rsidR="00906AFB" w:rsidRPr="00906AFB" w:rsidRDefault="00906AFB" w:rsidP="00906AFB">
            <w:pPr>
              <w:jc w:val="center"/>
              <w:rPr>
                <w:rFonts w:ascii="Arial" w:hAnsi="Arial" w:cs="Arial"/>
                <w:b/>
                <w:bCs/>
                <w:sz w:val="10"/>
                <w:szCs w:val="16"/>
              </w:rPr>
            </w:pPr>
            <w:r w:rsidRPr="00906AFB">
              <w:rPr>
                <w:rFonts w:ascii="Arial" w:hAnsi="Arial" w:cs="Arial"/>
                <w:b/>
                <w:bCs/>
                <w:sz w:val="10"/>
                <w:szCs w:val="16"/>
              </w:rPr>
              <w:t>Octubre</w:t>
            </w:r>
          </w:p>
        </w:tc>
        <w:tc>
          <w:tcPr>
            <w:tcW w:w="607" w:type="dxa"/>
            <w:tcBorders>
              <w:top w:val="single" w:sz="4" w:space="0" w:color="auto"/>
              <w:left w:val="single" w:sz="4" w:space="0" w:color="auto"/>
              <w:bottom w:val="single" w:sz="4" w:space="0" w:color="auto"/>
              <w:right w:val="single" w:sz="4" w:space="0" w:color="auto"/>
            </w:tcBorders>
            <w:hideMark/>
          </w:tcPr>
          <w:p w:rsidR="00906AFB" w:rsidRPr="00906AFB" w:rsidRDefault="00906AFB" w:rsidP="00906AFB">
            <w:pPr>
              <w:jc w:val="center"/>
              <w:rPr>
                <w:rFonts w:ascii="Arial" w:hAnsi="Arial" w:cs="Arial"/>
                <w:b/>
                <w:bCs/>
                <w:sz w:val="10"/>
                <w:szCs w:val="16"/>
              </w:rPr>
            </w:pPr>
            <w:r w:rsidRPr="00906AFB">
              <w:rPr>
                <w:rFonts w:ascii="Arial" w:hAnsi="Arial" w:cs="Arial"/>
                <w:b/>
                <w:bCs/>
                <w:sz w:val="10"/>
                <w:szCs w:val="16"/>
              </w:rPr>
              <w:t>Noviembre</w:t>
            </w:r>
          </w:p>
        </w:tc>
        <w:tc>
          <w:tcPr>
            <w:tcW w:w="607" w:type="dxa"/>
            <w:tcBorders>
              <w:top w:val="single" w:sz="4" w:space="0" w:color="auto"/>
              <w:left w:val="single" w:sz="4" w:space="0" w:color="auto"/>
              <w:bottom w:val="single" w:sz="4" w:space="0" w:color="auto"/>
              <w:right w:val="single" w:sz="4" w:space="0" w:color="auto"/>
            </w:tcBorders>
            <w:hideMark/>
          </w:tcPr>
          <w:p w:rsidR="00906AFB" w:rsidRPr="00906AFB" w:rsidRDefault="00906AFB" w:rsidP="00906AFB">
            <w:pPr>
              <w:jc w:val="center"/>
              <w:rPr>
                <w:rFonts w:ascii="Arial" w:hAnsi="Arial" w:cs="Arial"/>
                <w:b/>
                <w:bCs/>
                <w:sz w:val="10"/>
                <w:szCs w:val="16"/>
              </w:rPr>
            </w:pPr>
            <w:r w:rsidRPr="00906AFB">
              <w:rPr>
                <w:rFonts w:ascii="Arial" w:hAnsi="Arial" w:cs="Arial"/>
                <w:b/>
                <w:bCs/>
                <w:sz w:val="10"/>
                <w:szCs w:val="16"/>
              </w:rPr>
              <w:t>Diciembre</w:t>
            </w:r>
          </w:p>
        </w:tc>
        <w:tc>
          <w:tcPr>
            <w:tcW w:w="834" w:type="dxa"/>
            <w:tcBorders>
              <w:top w:val="single" w:sz="4" w:space="0" w:color="auto"/>
              <w:left w:val="single" w:sz="4" w:space="0" w:color="auto"/>
              <w:bottom w:val="single" w:sz="4" w:space="0" w:color="auto"/>
              <w:right w:val="single" w:sz="4" w:space="0" w:color="auto"/>
            </w:tcBorders>
            <w:hideMark/>
          </w:tcPr>
          <w:p w:rsidR="00906AFB" w:rsidRPr="00906AFB" w:rsidRDefault="00906AFB" w:rsidP="00906AFB">
            <w:pPr>
              <w:jc w:val="center"/>
              <w:rPr>
                <w:rFonts w:ascii="Arial" w:hAnsi="Arial" w:cs="Arial"/>
                <w:b/>
                <w:bCs/>
                <w:sz w:val="10"/>
                <w:szCs w:val="16"/>
              </w:rPr>
            </w:pPr>
            <w:r w:rsidRPr="00906AFB">
              <w:rPr>
                <w:rFonts w:ascii="Arial" w:hAnsi="Arial" w:cs="Arial"/>
                <w:b/>
                <w:bCs/>
                <w:sz w:val="10"/>
                <w:szCs w:val="16"/>
              </w:rPr>
              <w:t>Total</w:t>
            </w:r>
          </w:p>
        </w:tc>
      </w:tr>
      <w:tr w:rsidR="00906AFB" w:rsidRPr="00906AFB" w:rsidTr="00906AFB">
        <w:trPr>
          <w:trHeight w:val="300"/>
        </w:trPr>
        <w:tc>
          <w:tcPr>
            <w:tcW w:w="7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rPr>
                <w:rFonts w:ascii="Arial" w:hAnsi="Arial" w:cs="Arial"/>
                <w:bCs/>
                <w:sz w:val="10"/>
                <w:szCs w:val="16"/>
              </w:rPr>
            </w:pPr>
            <w:r w:rsidRPr="00906AFB">
              <w:rPr>
                <w:rFonts w:ascii="Arial" w:hAnsi="Arial" w:cs="Arial"/>
                <w:bCs/>
                <w:sz w:val="10"/>
                <w:szCs w:val="16"/>
              </w:rPr>
              <w:t>Partido Acción Nacional (PAN)</w:t>
            </w:r>
          </w:p>
        </w:tc>
        <w:tc>
          <w:tcPr>
            <w:tcW w:w="60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717,918</w:t>
            </w:r>
          </w:p>
        </w:tc>
        <w:tc>
          <w:tcPr>
            <w:tcW w:w="60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717,918</w:t>
            </w:r>
          </w:p>
        </w:tc>
        <w:tc>
          <w:tcPr>
            <w:tcW w:w="60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717,918</w:t>
            </w:r>
          </w:p>
        </w:tc>
        <w:tc>
          <w:tcPr>
            <w:tcW w:w="60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717,918</w:t>
            </w:r>
          </w:p>
        </w:tc>
        <w:tc>
          <w:tcPr>
            <w:tcW w:w="60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717,918</w:t>
            </w:r>
          </w:p>
        </w:tc>
        <w:tc>
          <w:tcPr>
            <w:tcW w:w="60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717,918</w:t>
            </w:r>
          </w:p>
        </w:tc>
        <w:tc>
          <w:tcPr>
            <w:tcW w:w="60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717,918</w:t>
            </w:r>
          </w:p>
        </w:tc>
        <w:tc>
          <w:tcPr>
            <w:tcW w:w="60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717,918</w:t>
            </w:r>
          </w:p>
        </w:tc>
        <w:tc>
          <w:tcPr>
            <w:tcW w:w="60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717,918</w:t>
            </w:r>
          </w:p>
        </w:tc>
        <w:tc>
          <w:tcPr>
            <w:tcW w:w="60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717,918</w:t>
            </w:r>
          </w:p>
        </w:tc>
        <w:tc>
          <w:tcPr>
            <w:tcW w:w="60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717,918</w:t>
            </w:r>
          </w:p>
        </w:tc>
        <w:tc>
          <w:tcPr>
            <w:tcW w:w="60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717,918</w:t>
            </w:r>
          </w:p>
        </w:tc>
        <w:tc>
          <w:tcPr>
            <w:tcW w:w="834"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8,615,019</w:t>
            </w:r>
          </w:p>
        </w:tc>
      </w:tr>
      <w:tr w:rsidR="00906AFB" w:rsidRPr="00906AFB" w:rsidTr="00906AFB">
        <w:trPr>
          <w:trHeight w:val="390"/>
        </w:trPr>
        <w:tc>
          <w:tcPr>
            <w:tcW w:w="7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rPr>
                <w:rFonts w:ascii="Arial" w:hAnsi="Arial" w:cs="Arial"/>
                <w:bCs/>
                <w:sz w:val="10"/>
                <w:szCs w:val="16"/>
              </w:rPr>
            </w:pPr>
            <w:r w:rsidRPr="00906AFB">
              <w:rPr>
                <w:rFonts w:ascii="Arial" w:hAnsi="Arial" w:cs="Arial"/>
                <w:bCs/>
                <w:sz w:val="10"/>
                <w:szCs w:val="16"/>
              </w:rPr>
              <w:t>Partido Revolucionario Institucional (PRI)</w:t>
            </w:r>
          </w:p>
        </w:tc>
        <w:tc>
          <w:tcPr>
            <w:tcW w:w="60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574,568</w:t>
            </w:r>
          </w:p>
        </w:tc>
        <w:tc>
          <w:tcPr>
            <w:tcW w:w="60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574,568</w:t>
            </w:r>
          </w:p>
        </w:tc>
        <w:tc>
          <w:tcPr>
            <w:tcW w:w="60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574,568</w:t>
            </w:r>
          </w:p>
        </w:tc>
        <w:tc>
          <w:tcPr>
            <w:tcW w:w="60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574,568</w:t>
            </w:r>
          </w:p>
        </w:tc>
        <w:tc>
          <w:tcPr>
            <w:tcW w:w="60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574,568</w:t>
            </w:r>
          </w:p>
        </w:tc>
        <w:tc>
          <w:tcPr>
            <w:tcW w:w="60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574,568</w:t>
            </w:r>
          </w:p>
        </w:tc>
        <w:tc>
          <w:tcPr>
            <w:tcW w:w="60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574,568</w:t>
            </w:r>
          </w:p>
        </w:tc>
        <w:tc>
          <w:tcPr>
            <w:tcW w:w="60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574,568</w:t>
            </w:r>
          </w:p>
        </w:tc>
        <w:tc>
          <w:tcPr>
            <w:tcW w:w="60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574,568</w:t>
            </w:r>
          </w:p>
        </w:tc>
        <w:tc>
          <w:tcPr>
            <w:tcW w:w="60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574,568</w:t>
            </w:r>
          </w:p>
        </w:tc>
        <w:tc>
          <w:tcPr>
            <w:tcW w:w="60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574,568</w:t>
            </w:r>
          </w:p>
        </w:tc>
        <w:tc>
          <w:tcPr>
            <w:tcW w:w="60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574,568</w:t>
            </w:r>
          </w:p>
        </w:tc>
        <w:tc>
          <w:tcPr>
            <w:tcW w:w="834"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6,894,813</w:t>
            </w:r>
          </w:p>
        </w:tc>
      </w:tr>
      <w:tr w:rsidR="00906AFB" w:rsidRPr="00906AFB" w:rsidTr="00906AFB">
        <w:trPr>
          <w:trHeight w:val="285"/>
        </w:trPr>
        <w:tc>
          <w:tcPr>
            <w:tcW w:w="7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rPr>
                <w:rFonts w:ascii="Arial" w:hAnsi="Arial" w:cs="Arial"/>
                <w:bCs/>
                <w:sz w:val="10"/>
                <w:szCs w:val="16"/>
              </w:rPr>
            </w:pPr>
            <w:r w:rsidRPr="00906AFB">
              <w:rPr>
                <w:rFonts w:ascii="Arial" w:hAnsi="Arial" w:cs="Arial"/>
                <w:bCs/>
                <w:sz w:val="10"/>
                <w:szCs w:val="16"/>
              </w:rPr>
              <w:t>Partido Verde Ecologista de México (PVEM)</w:t>
            </w:r>
          </w:p>
        </w:tc>
        <w:tc>
          <w:tcPr>
            <w:tcW w:w="60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183,716</w:t>
            </w:r>
          </w:p>
        </w:tc>
        <w:tc>
          <w:tcPr>
            <w:tcW w:w="60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183,716</w:t>
            </w:r>
          </w:p>
        </w:tc>
        <w:tc>
          <w:tcPr>
            <w:tcW w:w="60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183,716</w:t>
            </w:r>
          </w:p>
        </w:tc>
        <w:tc>
          <w:tcPr>
            <w:tcW w:w="60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183,716</w:t>
            </w:r>
          </w:p>
        </w:tc>
        <w:tc>
          <w:tcPr>
            <w:tcW w:w="60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183,716</w:t>
            </w:r>
          </w:p>
        </w:tc>
        <w:tc>
          <w:tcPr>
            <w:tcW w:w="60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183,716</w:t>
            </w:r>
          </w:p>
        </w:tc>
        <w:tc>
          <w:tcPr>
            <w:tcW w:w="60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183,716</w:t>
            </w:r>
          </w:p>
        </w:tc>
        <w:tc>
          <w:tcPr>
            <w:tcW w:w="60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183,716</w:t>
            </w:r>
          </w:p>
        </w:tc>
        <w:tc>
          <w:tcPr>
            <w:tcW w:w="60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183,716</w:t>
            </w:r>
          </w:p>
        </w:tc>
        <w:tc>
          <w:tcPr>
            <w:tcW w:w="60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183,716</w:t>
            </w:r>
          </w:p>
        </w:tc>
        <w:tc>
          <w:tcPr>
            <w:tcW w:w="60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183,716</w:t>
            </w:r>
          </w:p>
        </w:tc>
        <w:tc>
          <w:tcPr>
            <w:tcW w:w="60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183,716</w:t>
            </w:r>
          </w:p>
        </w:tc>
        <w:tc>
          <w:tcPr>
            <w:tcW w:w="834"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2,204,597</w:t>
            </w:r>
          </w:p>
        </w:tc>
      </w:tr>
      <w:tr w:rsidR="00906AFB" w:rsidRPr="00906AFB" w:rsidTr="00906AFB">
        <w:trPr>
          <w:trHeight w:val="285"/>
        </w:trPr>
        <w:tc>
          <w:tcPr>
            <w:tcW w:w="7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rPr>
                <w:rFonts w:ascii="Arial" w:hAnsi="Arial" w:cs="Arial"/>
                <w:bCs/>
                <w:sz w:val="10"/>
                <w:szCs w:val="16"/>
              </w:rPr>
            </w:pPr>
            <w:r w:rsidRPr="00906AFB">
              <w:rPr>
                <w:rFonts w:ascii="Arial" w:hAnsi="Arial" w:cs="Arial"/>
                <w:bCs/>
                <w:sz w:val="10"/>
                <w:szCs w:val="16"/>
              </w:rPr>
              <w:t>Partido del Trabajo (PT)</w:t>
            </w:r>
          </w:p>
        </w:tc>
        <w:tc>
          <w:tcPr>
            <w:tcW w:w="60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142,310</w:t>
            </w:r>
          </w:p>
        </w:tc>
        <w:tc>
          <w:tcPr>
            <w:tcW w:w="60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142,310</w:t>
            </w:r>
          </w:p>
        </w:tc>
        <w:tc>
          <w:tcPr>
            <w:tcW w:w="60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142,310</w:t>
            </w:r>
          </w:p>
        </w:tc>
        <w:tc>
          <w:tcPr>
            <w:tcW w:w="60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142,310</w:t>
            </w:r>
          </w:p>
        </w:tc>
        <w:tc>
          <w:tcPr>
            <w:tcW w:w="60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142,310</w:t>
            </w:r>
          </w:p>
        </w:tc>
        <w:tc>
          <w:tcPr>
            <w:tcW w:w="60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142,310</w:t>
            </w:r>
          </w:p>
        </w:tc>
        <w:tc>
          <w:tcPr>
            <w:tcW w:w="60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142,310</w:t>
            </w:r>
          </w:p>
        </w:tc>
        <w:tc>
          <w:tcPr>
            <w:tcW w:w="60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142,310</w:t>
            </w:r>
          </w:p>
        </w:tc>
        <w:tc>
          <w:tcPr>
            <w:tcW w:w="60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142,310</w:t>
            </w:r>
          </w:p>
        </w:tc>
        <w:tc>
          <w:tcPr>
            <w:tcW w:w="60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142,310</w:t>
            </w:r>
          </w:p>
        </w:tc>
        <w:tc>
          <w:tcPr>
            <w:tcW w:w="60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142,310</w:t>
            </w:r>
          </w:p>
        </w:tc>
        <w:tc>
          <w:tcPr>
            <w:tcW w:w="60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142,310</w:t>
            </w:r>
          </w:p>
        </w:tc>
        <w:tc>
          <w:tcPr>
            <w:tcW w:w="834"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1,707,717</w:t>
            </w:r>
          </w:p>
        </w:tc>
      </w:tr>
      <w:tr w:rsidR="00906AFB" w:rsidRPr="00906AFB" w:rsidTr="00906AFB">
        <w:trPr>
          <w:trHeight w:val="285"/>
        </w:trPr>
        <w:tc>
          <w:tcPr>
            <w:tcW w:w="7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rPr>
                <w:rFonts w:ascii="Arial" w:hAnsi="Arial" w:cs="Arial"/>
                <w:bCs/>
                <w:sz w:val="10"/>
                <w:szCs w:val="16"/>
              </w:rPr>
            </w:pPr>
            <w:r w:rsidRPr="00906AFB">
              <w:rPr>
                <w:rFonts w:ascii="Arial" w:hAnsi="Arial" w:cs="Arial"/>
                <w:bCs/>
                <w:sz w:val="10"/>
                <w:szCs w:val="16"/>
              </w:rPr>
              <w:t>Partido Movimiento Ciudadano (MC)</w:t>
            </w:r>
          </w:p>
        </w:tc>
        <w:tc>
          <w:tcPr>
            <w:tcW w:w="60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187,944</w:t>
            </w:r>
          </w:p>
        </w:tc>
        <w:tc>
          <w:tcPr>
            <w:tcW w:w="60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187,944</w:t>
            </w:r>
          </w:p>
        </w:tc>
        <w:tc>
          <w:tcPr>
            <w:tcW w:w="60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187,944</w:t>
            </w:r>
          </w:p>
        </w:tc>
        <w:tc>
          <w:tcPr>
            <w:tcW w:w="60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187,944</w:t>
            </w:r>
          </w:p>
        </w:tc>
        <w:tc>
          <w:tcPr>
            <w:tcW w:w="60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187,944</w:t>
            </w:r>
          </w:p>
        </w:tc>
        <w:tc>
          <w:tcPr>
            <w:tcW w:w="60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187,944</w:t>
            </w:r>
          </w:p>
        </w:tc>
        <w:tc>
          <w:tcPr>
            <w:tcW w:w="60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187,944</w:t>
            </w:r>
          </w:p>
        </w:tc>
        <w:tc>
          <w:tcPr>
            <w:tcW w:w="60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187,944</w:t>
            </w:r>
          </w:p>
        </w:tc>
        <w:tc>
          <w:tcPr>
            <w:tcW w:w="60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187,944</w:t>
            </w:r>
          </w:p>
        </w:tc>
        <w:tc>
          <w:tcPr>
            <w:tcW w:w="60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187,944</w:t>
            </w:r>
          </w:p>
        </w:tc>
        <w:tc>
          <w:tcPr>
            <w:tcW w:w="60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187,944</w:t>
            </w:r>
          </w:p>
        </w:tc>
        <w:tc>
          <w:tcPr>
            <w:tcW w:w="60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187,944</w:t>
            </w:r>
          </w:p>
        </w:tc>
        <w:tc>
          <w:tcPr>
            <w:tcW w:w="834"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2,255,322</w:t>
            </w:r>
          </w:p>
        </w:tc>
      </w:tr>
      <w:tr w:rsidR="00906AFB" w:rsidRPr="00906AFB" w:rsidTr="00906AFB">
        <w:trPr>
          <w:trHeight w:val="285"/>
        </w:trPr>
        <w:tc>
          <w:tcPr>
            <w:tcW w:w="7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rPr>
                <w:rFonts w:ascii="Arial" w:hAnsi="Arial" w:cs="Arial"/>
                <w:bCs/>
                <w:sz w:val="10"/>
                <w:szCs w:val="16"/>
              </w:rPr>
            </w:pPr>
            <w:r w:rsidRPr="00906AFB">
              <w:rPr>
                <w:rFonts w:ascii="Arial" w:hAnsi="Arial" w:cs="Arial"/>
                <w:bCs/>
                <w:sz w:val="10"/>
                <w:szCs w:val="16"/>
              </w:rPr>
              <w:t>Partido Nueva Alianza (PNA)</w:t>
            </w:r>
          </w:p>
        </w:tc>
        <w:tc>
          <w:tcPr>
            <w:tcW w:w="60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170,457</w:t>
            </w:r>
          </w:p>
        </w:tc>
        <w:tc>
          <w:tcPr>
            <w:tcW w:w="60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170,457</w:t>
            </w:r>
          </w:p>
        </w:tc>
        <w:tc>
          <w:tcPr>
            <w:tcW w:w="60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170,457</w:t>
            </w:r>
          </w:p>
        </w:tc>
        <w:tc>
          <w:tcPr>
            <w:tcW w:w="60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170,457</w:t>
            </w:r>
          </w:p>
        </w:tc>
        <w:tc>
          <w:tcPr>
            <w:tcW w:w="60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170,457</w:t>
            </w:r>
          </w:p>
        </w:tc>
        <w:tc>
          <w:tcPr>
            <w:tcW w:w="60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170,457</w:t>
            </w:r>
          </w:p>
        </w:tc>
        <w:tc>
          <w:tcPr>
            <w:tcW w:w="60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170,457</w:t>
            </w:r>
          </w:p>
        </w:tc>
        <w:tc>
          <w:tcPr>
            <w:tcW w:w="60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170,457</w:t>
            </w:r>
          </w:p>
        </w:tc>
        <w:tc>
          <w:tcPr>
            <w:tcW w:w="60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170,457</w:t>
            </w:r>
          </w:p>
        </w:tc>
        <w:tc>
          <w:tcPr>
            <w:tcW w:w="60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170,457</w:t>
            </w:r>
          </w:p>
        </w:tc>
        <w:tc>
          <w:tcPr>
            <w:tcW w:w="60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170,457</w:t>
            </w:r>
          </w:p>
        </w:tc>
        <w:tc>
          <w:tcPr>
            <w:tcW w:w="60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170,457</w:t>
            </w:r>
          </w:p>
        </w:tc>
        <w:tc>
          <w:tcPr>
            <w:tcW w:w="834"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2,045,483</w:t>
            </w:r>
          </w:p>
        </w:tc>
      </w:tr>
      <w:tr w:rsidR="00906AFB" w:rsidRPr="00906AFB" w:rsidTr="00906AFB">
        <w:trPr>
          <w:trHeight w:val="285"/>
        </w:trPr>
        <w:tc>
          <w:tcPr>
            <w:tcW w:w="7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rPr>
                <w:rFonts w:ascii="Arial" w:hAnsi="Arial" w:cs="Arial"/>
                <w:bCs/>
                <w:sz w:val="10"/>
                <w:szCs w:val="16"/>
              </w:rPr>
            </w:pPr>
            <w:r w:rsidRPr="00906AFB">
              <w:rPr>
                <w:rFonts w:ascii="Arial" w:hAnsi="Arial" w:cs="Arial"/>
                <w:bCs/>
                <w:sz w:val="10"/>
                <w:szCs w:val="16"/>
              </w:rPr>
              <w:t>Partido de la Revolución Democrática (PRD)</w:t>
            </w:r>
          </w:p>
        </w:tc>
        <w:tc>
          <w:tcPr>
            <w:tcW w:w="60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13,715</w:t>
            </w:r>
          </w:p>
        </w:tc>
        <w:tc>
          <w:tcPr>
            <w:tcW w:w="60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13,715</w:t>
            </w:r>
          </w:p>
        </w:tc>
        <w:tc>
          <w:tcPr>
            <w:tcW w:w="60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13,715</w:t>
            </w:r>
          </w:p>
        </w:tc>
        <w:tc>
          <w:tcPr>
            <w:tcW w:w="60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13,715</w:t>
            </w:r>
          </w:p>
        </w:tc>
        <w:tc>
          <w:tcPr>
            <w:tcW w:w="60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13,715</w:t>
            </w:r>
          </w:p>
        </w:tc>
        <w:tc>
          <w:tcPr>
            <w:tcW w:w="60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13,715</w:t>
            </w:r>
          </w:p>
        </w:tc>
        <w:tc>
          <w:tcPr>
            <w:tcW w:w="60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13,715</w:t>
            </w:r>
          </w:p>
        </w:tc>
        <w:tc>
          <w:tcPr>
            <w:tcW w:w="60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13,715</w:t>
            </w:r>
          </w:p>
        </w:tc>
        <w:tc>
          <w:tcPr>
            <w:tcW w:w="60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13,715</w:t>
            </w:r>
          </w:p>
        </w:tc>
        <w:tc>
          <w:tcPr>
            <w:tcW w:w="60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13,715</w:t>
            </w:r>
          </w:p>
        </w:tc>
        <w:tc>
          <w:tcPr>
            <w:tcW w:w="60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13,715</w:t>
            </w:r>
          </w:p>
        </w:tc>
        <w:tc>
          <w:tcPr>
            <w:tcW w:w="60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13,715</w:t>
            </w:r>
          </w:p>
        </w:tc>
        <w:tc>
          <w:tcPr>
            <w:tcW w:w="834"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164,580</w:t>
            </w:r>
          </w:p>
        </w:tc>
      </w:tr>
      <w:tr w:rsidR="00906AFB" w:rsidRPr="00906AFB" w:rsidTr="00906AFB">
        <w:trPr>
          <w:trHeight w:val="285"/>
        </w:trPr>
        <w:tc>
          <w:tcPr>
            <w:tcW w:w="7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rPr>
                <w:rFonts w:ascii="Arial" w:hAnsi="Arial" w:cs="Arial"/>
                <w:bCs/>
                <w:sz w:val="10"/>
                <w:szCs w:val="16"/>
              </w:rPr>
            </w:pPr>
            <w:r w:rsidRPr="00906AFB">
              <w:rPr>
                <w:rFonts w:ascii="Arial" w:hAnsi="Arial" w:cs="Arial"/>
                <w:bCs/>
                <w:sz w:val="10"/>
                <w:szCs w:val="16"/>
              </w:rPr>
              <w:t>Partido Movimiento de Regeneración Nacional (MORENA)</w:t>
            </w:r>
          </w:p>
        </w:tc>
        <w:tc>
          <w:tcPr>
            <w:tcW w:w="60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13,715</w:t>
            </w:r>
          </w:p>
        </w:tc>
        <w:tc>
          <w:tcPr>
            <w:tcW w:w="60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13,715</w:t>
            </w:r>
          </w:p>
        </w:tc>
        <w:tc>
          <w:tcPr>
            <w:tcW w:w="60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13,715</w:t>
            </w:r>
          </w:p>
        </w:tc>
        <w:tc>
          <w:tcPr>
            <w:tcW w:w="60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13,715</w:t>
            </w:r>
          </w:p>
        </w:tc>
        <w:tc>
          <w:tcPr>
            <w:tcW w:w="60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13,715</w:t>
            </w:r>
          </w:p>
        </w:tc>
        <w:tc>
          <w:tcPr>
            <w:tcW w:w="60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13,715</w:t>
            </w:r>
          </w:p>
        </w:tc>
        <w:tc>
          <w:tcPr>
            <w:tcW w:w="60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13,715</w:t>
            </w:r>
          </w:p>
        </w:tc>
        <w:tc>
          <w:tcPr>
            <w:tcW w:w="60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13,715</w:t>
            </w:r>
          </w:p>
        </w:tc>
        <w:tc>
          <w:tcPr>
            <w:tcW w:w="60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13,715</w:t>
            </w:r>
          </w:p>
        </w:tc>
        <w:tc>
          <w:tcPr>
            <w:tcW w:w="60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13,715</w:t>
            </w:r>
          </w:p>
        </w:tc>
        <w:tc>
          <w:tcPr>
            <w:tcW w:w="60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13,715</w:t>
            </w:r>
          </w:p>
        </w:tc>
        <w:tc>
          <w:tcPr>
            <w:tcW w:w="60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13,715</w:t>
            </w:r>
          </w:p>
        </w:tc>
        <w:tc>
          <w:tcPr>
            <w:tcW w:w="834"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164,580</w:t>
            </w:r>
          </w:p>
        </w:tc>
      </w:tr>
      <w:tr w:rsidR="00906AFB" w:rsidRPr="00906AFB" w:rsidTr="00906AFB">
        <w:trPr>
          <w:trHeight w:val="300"/>
        </w:trPr>
        <w:tc>
          <w:tcPr>
            <w:tcW w:w="776"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bCs/>
                <w:sz w:val="10"/>
                <w:szCs w:val="16"/>
              </w:rPr>
            </w:pPr>
            <w:r w:rsidRPr="00906AFB">
              <w:rPr>
                <w:rFonts w:ascii="Arial" w:hAnsi="Arial" w:cs="Arial"/>
                <w:bCs/>
                <w:sz w:val="10"/>
                <w:szCs w:val="16"/>
              </w:rPr>
              <w:t>Partido Encuentro Social (PES)</w:t>
            </w:r>
          </w:p>
        </w:tc>
        <w:tc>
          <w:tcPr>
            <w:tcW w:w="60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13,715</w:t>
            </w:r>
          </w:p>
        </w:tc>
        <w:tc>
          <w:tcPr>
            <w:tcW w:w="60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13,715</w:t>
            </w:r>
          </w:p>
        </w:tc>
        <w:tc>
          <w:tcPr>
            <w:tcW w:w="60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13,715</w:t>
            </w:r>
          </w:p>
        </w:tc>
        <w:tc>
          <w:tcPr>
            <w:tcW w:w="60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13,715</w:t>
            </w:r>
          </w:p>
        </w:tc>
        <w:tc>
          <w:tcPr>
            <w:tcW w:w="60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13,715</w:t>
            </w:r>
          </w:p>
        </w:tc>
        <w:tc>
          <w:tcPr>
            <w:tcW w:w="60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13,715</w:t>
            </w:r>
          </w:p>
        </w:tc>
        <w:tc>
          <w:tcPr>
            <w:tcW w:w="60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13,715</w:t>
            </w:r>
          </w:p>
        </w:tc>
        <w:tc>
          <w:tcPr>
            <w:tcW w:w="60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13,715</w:t>
            </w:r>
          </w:p>
        </w:tc>
        <w:tc>
          <w:tcPr>
            <w:tcW w:w="60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13,715</w:t>
            </w:r>
          </w:p>
        </w:tc>
        <w:tc>
          <w:tcPr>
            <w:tcW w:w="60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13,715</w:t>
            </w:r>
          </w:p>
        </w:tc>
        <w:tc>
          <w:tcPr>
            <w:tcW w:w="60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13,715</w:t>
            </w:r>
          </w:p>
        </w:tc>
        <w:tc>
          <w:tcPr>
            <w:tcW w:w="60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13,715</w:t>
            </w:r>
          </w:p>
        </w:tc>
        <w:tc>
          <w:tcPr>
            <w:tcW w:w="834"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0"/>
                <w:szCs w:val="16"/>
              </w:rPr>
            </w:pPr>
            <w:r w:rsidRPr="00906AFB">
              <w:rPr>
                <w:rFonts w:ascii="Arial" w:hAnsi="Arial" w:cs="Arial"/>
                <w:sz w:val="10"/>
                <w:szCs w:val="16"/>
              </w:rPr>
              <w:t>164,580</w:t>
            </w:r>
          </w:p>
        </w:tc>
      </w:tr>
      <w:tr w:rsidR="00906AFB" w:rsidRPr="00906AFB" w:rsidTr="00906AFB">
        <w:trPr>
          <w:trHeight w:val="300"/>
        </w:trPr>
        <w:tc>
          <w:tcPr>
            <w:tcW w:w="776"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Cs/>
                <w:sz w:val="10"/>
                <w:szCs w:val="16"/>
              </w:rPr>
            </w:pPr>
            <w:r w:rsidRPr="00906AFB">
              <w:rPr>
                <w:rFonts w:ascii="Arial" w:hAnsi="Arial" w:cs="Arial"/>
                <w:bCs/>
                <w:sz w:val="10"/>
                <w:szCs w:val="16"/>
              </w:rPr>
              <w:t>Total</w:t>
            </w:r>
          </w:p>
        </w:tc>
        <w:tc>
          <w:tcPr>
            <w:tcW w:w="60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bCs/>
                <w:sz w:val="10"/>
                <w:szCs w:val="16"/>
              </w:rPr>
            </w:pPr>
            <w:r w:rsidRPr="00906AFB">
              <w:rPr>
                <w:rFonts w:ascii="Arial" w:hAnsi="Arial" w:cs="Arial"/>
                <w:bCs/>
                <w:sz w:val="10"/>
                <w:szCs w:val="16"/>
              </w:rPr>
              <w:t>2,018,058</w:t>
            </w:r>
          </w:p>
        </w:tc>
        <w:tc>
          <w:tcPr>
            <w:tcW w:w="60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bCs/>
                <w:sz w:val="10"/>
                <w:szCs w:val="16"/>
              </w:rPr>
            </w:pPr>
            <w:r w:rsidRPr="00906AFB">
              <w:rPr>
                <w:rFonts w:ascii="Arial" w:hAnsi="Arial" w:cs="Arial"/>
                <w:bCs/>
                <w:sz w:val="10"/>
                <w:szCs w:val="16"/>
              </w:rPr>
              <w:t>2,018,058</w:t>
            </w:r>
          </w:p>
        </w:tc>
        <w:tc>
          <w:tcPr>
            <w:tcW w:w="60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bCs/>
                <w:sz w:val="10"/>
                <w:szCs w:val="16"/>
              </w:rPr>
            </w:pPr>
            <w:r w:rsidRPr="00906AFB">
              <w:rPr>
                <w:rFonts w:ascii="Arial" w:hAnsi="Arial" w:cs="Arial"/>
                <w:bCs/>
                <w:sz w:val="10"/>
                <w:szCs w:val="16"/>
              </w:rPr>
              <w:t>2,018,058</w:t>
            </w:r>
          </w:p>
        </w:tc>
        <w:tc>
          <w:tcPr>
            <w:tcW w:w="60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bCs/>
                <w:sz w:val="10"/>
                <w:szCs w:val="16"/>
              </w:rPr>
            </w:pPr>
            <w:r w:rsidRPr="00906AFB">
              <w:rPr>
                <w:rFonts w:ascii="Arial" w:hAnsi="Arial" w:cs="Arial"/>
                <w:bCs/>
                <w:sz w:val="10"/>
                <w:szCs w:val="16"/>
              </w:rPr>
              <w:t>2,018,058</w:t>
            </w:r>
          </w:p>
        </w:tc>
        <w:tc>
          <w:tcPr>
            <w:tcW w:w="60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bCs/>
                <w:sz w:val="10"/>
                <w:szCs w:val="16"/>
              </w:rPr>
            </w:pPr>
            <w:r w:rsidRPr="00906AFB">
              <w:rPr>
                <w:rFonts w:ascii="Arial" w:hAnsi="Arial" w:cs="Arial"/>
                <w:bCs/>
                <w:sz w:val="10"/>
                <w:szCs w:val="16"/>
              </w:rPr>
              <w:t>2,018,058</w:t>
            </w:r>
          </w:p>
        </w:tc>
        <w:tc>
          <w:tcPr>
            <w:tcW w:w="60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bCs/>
                <w:sz w:val="10"/>
                <w:szCs w:val="16"/>
              </w:rPr>
            </w:pPr>
            <w:r w:rsidRPr="00906AFB">
              <w:rPr>
                <w:rFonts w:ascii="Arial" w:hAnsi="Arial" w:cs="Arial"/>
                <w:bCs/>
                <w:sz w:val="10"/>
                <w:szCs w:val="16"/>
              </w:rPr>
              <w:t>2,018,058</w:t>
            </w:r>
          </w:p>
        </w:tc>
        <w:tc>
          <w:tcPr>
            <w:tcW w:w="60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bCs/>
                <w:sz w:val="10"/>
                <w:szCs w:val="16"/>
              </w:rPr>
            </w:pPr>
            <w:r w:rsidRPr="00906AFB">
              <w:rPr>
                <w:rFonts w:ascii="Arial" w:hAnsi="Arial" w:cs="Arial"/>
                <w:bCs/>
                <w:sz w:val="10"/>
                <w:szCs w:val="16"/>
              </w:rPr>
              <w:t>2,018,058</w:t>
            </w:r>
          </w:p>
        </w:tc>
        <w:tc>
          <w:tcPr>
            <w:tcW w:w="60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bCs/>
                <w:sz w:val="10"/>
                <w:szCs w:val="16"/>
              </w:rPr>
            </w:pPr>
            <w:r w:rsidRPr="00906AFB">
              <w:rPr>
                <w:rFonts w:ascii="Arial" w:hAnsi="Arial" w:cs="Arial"/>
                <w:bCs/>
                <w:sz w:val="10"/>
                <w:szCs w:val="16"/>
              </w:rPr>
              <w:t>2,018,058</w:t>
            </w:r>
          </w:p>
        </w:tc>
        <w:tc>
          <w:tcPr>
            <w:tcW w:w="60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bCs/>
                <w:sz w:val="10"/>
                <w:szCs w:val="16"/>
              </w:rPr>
            </w:pPr>
            <w:r w:rsidRPr="00906AFB">
              <w:rPr>
                <w:rFonts w:ascii="Arial" w:hAnsi="Arial" w:cs="Arial"/>
                <w:bCs/>
                <w:sz w:val="10"/>
                <w:szCs w:val="16"/>
              </w:rPr>
              <w:t>2,018,058</w:t>
            </w:r>
          </w:p>
        </w:tc>
        <w:tc>
          <w:tcPr>
            <w:tcW w:w="60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bCs/>
                <w:sz w:val="10"/>
                <w:szCs w:val="16"/>
              </w:rPr>
            </w:pPr>
            <w:r w:rsidRPr="00906AFB">
              <w:rPr>
                <w:rFonts w:ascii="Arial" w:hAnsi="Arial" w:cs="Arial"/>
                <w:bCs/>
                <w:sz w:val="10"/>
                <w:szCs w:val="16"/>
              </w:rPr>
              <w:t>2,018,058</w:t>
            </w:r>
          </w:p>
        </w:tc>
        <w:tc>
          <w:tcPr>
            <w:tcW w:w="60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bCs/>
                <w:sz w:val="10"/>
                <w:szCs w:val="16"/>
              </w:rPr>
            </w:pPr>
            <w:r w:rsidRPr="00906AFB">
              <w:rPr>
                <w:rFonts w:ascii="Arial" w:hAnsi="Arial" w:cs="Arial"/>
                <w:bCs/>
                <w:sz w:val="10"/>
                <w:szCs w:val="16"/>
              </w:rPr>
              <w:t>2,018,058</w:t>
            </w:r>
          </w:p>
        </w:tc>
        <w:tc>
          <w:tcPr>
            <w:tcW w:w="60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bCs/>
                <w:sz w:val="10"/>
                <w:szCs w:val="16"/>
              </w:rPr>
            </w:pPr>
            <w:r w:rsidRPr="00906AFB">
              <w:rPr>
                <w:rFonts w:ascii="Arial" w:hAnsi="Arial" w:cs="Arial"/>
                <w:bCs/>
                <w:sz w:val="10"/>
                <w:szCs w:val="16"/>
              </w:rPr>
              <w:t>2,018,058</w:t>
            </w:r>
          </w:p>
        </w:tc>
        <w:tc>
          <w:tcPr>
            <w:tcW w:w="834"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bCs/>
                <w:sz w:val="10"/>
                <w:szCs w:val="16"/>
              </w:rPr>
            </w:pPr>
            <w:r w:rsidRPr="00906AFB">
              <w:rPr>
                <w:rFonts w:ascii="Arial" w:hAnsi="Arial" w:cs="Arial"/>
                <w:bCs/>
                <w:sz w:val="10"/>
                <w:szCs w:val="16"/>
              </w:rPr>
              <w:t>24,216,690</w:t>
            </w:r>
          </w:p>
        </w:tc>
      </w:tr>
    </w:tbl>
    <w:p w:rsidR="00906AFB" w:rsidRPr="00906AFB" w:rsidRDefault="00906AFB" w:rsidP="00906AFB">
      <w:pPr>
        <w:spacing w:after="0" w:line="240" w:lineRule="auto"/>
        <w:jc w:val="center"/>
        <w:rPr>
          <w:rFonts w:ascii="Arial" w:eastAsia="Calibri" w:hAnsi="Arial" w:cs="Arial"/>
          <w:b/>
          <w:sz w:val="20"/>
          <w:szCs w:val="24"/>
          <w:lang w:val="es-ES" w:eastAsia="en-US"/>
        </w:rPr>
      </w:pPr>
    </w:p>
    <w:p w:rsidR="00906AFB" w:rsidRPr="00906AFB" w:rsidRDefault="00906AFB" w:rsidP="00906AFB">
      <w:pPr>
        <w:spacing w:after="0" w:line="240" w:lineRule="auto"/>
        <w:jc w:val="center"/>
        <w:rPr>
          <w:rFonts w:ascii="Arial" w:eastAsia="Calibri" w:hAnsi="Arial" w:cs="Arial"/>
          <w:b/>
          <w:sz w:val="20"/>
          <w:szCs w:val="24"/>
          <w:lang w:val="es-ES" w:eastAsia="en-US"/>
        </w:rPr>
      </w:pPr>
    </w:p>
    <w:p w:rsidR="00906AFB" w:rsidRPr="00906AFB" w:rsidRDefault="00906AFB" w:rsidP="00906AFB">
      <w:pPr>
        <w:keepNext/>
        <w:keepLines/>
        <w:spacing w:after="0" w:line="240" w:lineRule="auto"/>
        <w:jc w:val="center"/>
        <w:outlineLvl w:val="1"/>
        <w:rPr>
          <w:rFonts w:ascii="Arial" w:eastAsia="Times New Roman" w:hAnsi="Arial" w:cs="Times New Roman"/>
          <w:b/>
          <w:sz w:val="20"/>
          <w:szCs w:val="26"/>
          <w:lang w:val="es-ES" w:eastAsia="en-US"/>
        </w:rPr>
      </w:pPr>
      <w:r w:rsidRPr="00906AFB">
        <w:rPr>
          <w:rFonts w:ascii="Arial" w:eastAsia="Times New Roman" w:hAnsi="Arial" w:cs="Times New Roman"/>
          <w:b/>
          <w:sz w:val="20"/>
          <w:szCs w:val="26"/>
          <w:lang w:val="es-ES" w:eastAsia="en-US"/>
        </w:rPr>
        <w:t>Tabla 14. Financiamiento a Partidos Políticos</w:t>
      </w:r>
    </w:p>
    <w:tbl>
      <w:tblPr>
        <w:tblStyle w:val="Tablaconcuadrcula2"/>
        <w:tblW w:w="0" w:type="auto"/>
        <w:jc w:val="center"/>
        <w:tblInd w:w="0" w:type="dxa"/>
        <w:tblLook w:val="04A0" w:firstRow="1" w:lastRow="0" w:firstColumn="1" w:lastColumn="0" w:noHBand="0" w:noVBand="1"/>
      </w:tblPr>
      <w:tblGrid>
        <w:gridCol w:w="4673"/>
        <w:gridCol w:w="2410"/>
      </w:tblGrid>
      <w:tr w:rsidR="00906AFB" w:rsidRPr="00906AFB" w:rsidTr="00906AFB">
        <w:trPr>
          <w:trHeight w:val="283"/>
          <w:jc w:val="center"/>
        </w:trPr>
        <w:tc>
          <w:tcPr>
            <w:tcW w:w="4673"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sz w:val="20"/>
                <w:szCs w:val="20"/>
              </w:rPr>
            </w:pPr>
            <w:r w:rsidRPr="00906AFB">
              <w:rPr>
                <w:rFonts w:ascii="Arial" w:hAnsi="Arial" w:cs="Arial"/>
                <w:b/>
                <w:sz w:val="20"/>
                <w:szCs w:val="20"/>
              </w:rPr>
              <w:t>Concepto</w:t>
            </w:r>
          </w:p>
        </w:tc>
        <w:tc>
          <w:tcPr>
            <w:tcW w:w="241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sz w:val="20"/>
                <w:szCs w:val="20"/>
              </w:rPr>
            </w:pPr>
            <w:r w:rsidRPr="00906AFB">
              <w:rPr>
                <w:rFonts w:ascii="Arial" w:hAnsi="Arial" w:cs="Arial"/>
                <w:b/>
                <w:sz w:val="20"/>
                <w:szCs w:val="20"/>
              </w:rPr>
              <w:t>Asignación Presupuestal</w:t>
            </w:r>
          </w:p>
        </w:tc>
      </w:tr>
      <w:tr w:rsidR="00906AFB" w:rsidRPr="00906AFB" w:rsidTr="00906AFB">
        <w:trPr>
          <w:trHeight w:val="283"/>
          <w:jc w:val="center"/>
        </w:trPr>
        <w:tc>
          <w:tcPr>
            <w:tcW w:w="4673"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20"/>
                <w:szCs w:val="20"/>
              </w:rPr>
            </w:pPr>
            <w:r w:rsidRPr="00906AFB">
              <w:rPr>
                <w:rFonts w:ascii="Arial" w:hAnsi="Arial" w:cs="Arial"/>
                <w:sz w:val="20"/>
                <w:szCs w:val="20"/>
              </w:rPr>
              <w:t>Financiamiento Ordinario</w:t>
            </w:r>
          </w:p>
        </w:tc>
        <w:tc>
          <w:tcPr>
            <w:tcW w:w="241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sz w:val="20"/>
                <w:szCs w:val="20"/>
              </w:rPr>
            </w:pPr>
            <w:r w:rsidRPr="00906AFB">
              <w:rPr>
                <w:rFonts w:ascii="Arial" w:hAnsi="Arial"/>
                <w:sz w:val="20"/>
                <w:szCs w:val="20"/>
              </w:rPr>
              <w:t>24,216,690</w:t>
            </w:r>
          </w:p>
        </w:tc>
      </w:tr>
      <w:tr w:rsidR="00906AFB" w:rsidRPr="00906AFB" w:rsidTr="00906AFB">
        <w:trPr>
          <w:trHeight w:val="283"/>
          <w:jc w:val="center"/>
        </w:trPr>
        <w:tc>
          <w:tcPr>
            <w:tcW w:w="4673"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20"/>
                <w:szCs w:val="20"/>
              </w:rPr>
            </w:pPr>
            <w:r w:rsidRPr="00906AFB">
              <w:rPr>
                <w:rFonts w:ascii="Arial" w:hAnsi="Arial" w:cs="Arial"/>
                <w:sz w:val="20"/>
                <w:szCs w:val="20"/>
              </w:rPr>
              <w:t>Financiamiento Adicional</w:t>
            </w:r>
          </w:p>
        </w:tc>
        <w:tc>
          <w:tcPr>
            <w:tcW w:w="241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sz w:val="20"/>
                <w:szCs w:val="20"/>
              </w:rPr>
            </w:pPr>
            <w:r w:rsidRPr="00906AFB">
              <w:rPr>
                <w:rFonts w:ascii="Arial" w:hAnsi="Arial"/>
                <w:sz w:val="20"/>
                <w:szCs w:val="20"/>
              </w:rPr>
              <w:t>0</w:t>
            </w:r>
          </w:p>
        </w:tc>
      </w:tr>
      <w:tr w:rsidR="00906AFB" w:rsidRPr="00906AFB" w:rsidTr="00906AFB">
        <w:trPr>
          <w:trHeight w:val="283"/>
          <w:jc w:val="center"/>
        </w:trPr>
        <w:tc>
          <w:tcPr>
            <w:tcW w:w="4673"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sz w:val="20"/>
                <w:szCs w:val="20"/>
              </w:rPr>
            </w:pPr>
            <w:r w:rsidRPr="00906AFB">
              <w:rPr>
                <w:rFonts w:ascii="Arial" w:hAnsi="Arial" w:cs="Arial"/>
                <w:b/>
                <w:sz w:val="20"/>
                <w:szCs w:val="20"/>
              </w:rPr>
              <w:t>Total</w:t>
            </w:r>
          </w:p>
        </w:tc>
        <w:tc>
          <w:tcPr>
            <w:tcW w:w="241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b/>
                <w:sz w:val="20"/>
                <w:szCs w:val="20"/>
              </w:rPr>
            </w:pPr>
            <w:r w:rsidRPr="00906AFB">
              <w:rPr>
                <w:rFonts w:ascii="Arial" w:hAnsi="Arial"/>
                <w:b/>
                <w:sz w:val="20"/>
                <w:szCs w:val="20"/>
              </w:rPr>
              <w:t>24,216,690</w:t>
            </w:r>
          </w:p>
        </w:tc>
      </w:tr>
    </w:tbl>
    <w:p w:rsidR="00906AFB" w:rsidRPr="00906AFB" w:rsidRDefault="00906AFB" w:rsidP="00906AFB">
      <w:pPr>
        <w:spacing w:after="0" w:line="240" w:lineRule="auto"/>
        <w:jc w:val="both"/>
        <w:rPr>
          <w:rFonts w:ascii="Arial" w:eastAsia="Calibri" w:hAnsi="Arial" w:cs="Arial"/>
          <w:b/>
          <w:sz w:val="24"/>
          <w:szCs w:val="24"/>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b/>
          <w:sz w:val="24"/>
          <w:szCs w:val="24"/>
          <w:lang w:val="es-ES" w:eastAsia="en-US"/>
        </w:rPr>
        <w:t>Artículo 15</w:t>
      </w:r>
      <w:r w:rsidRPr="00906AFB">
        <w:rPr>
          <w:rFonts w:ascii="Arial" w:eastAsia="Calibri" w:hAnsi="Arial" w:cs="Arial"/>
          <w:sz w:val="24"/>
          <w:szCs w:val="24"/>
          <w:lang w:val="es-ES" w:eastAsia="en-US"/>
        </w:rPr>
        <w:t xml:space="preserve">. Las asignaciones previstas para el </w:t>
      </w:r>
      <w:r w:rsidRPr="00906AFB">
        <w:rPr>
          <w:rFonts w:ascii="Arial" w:eastAsia="Calibri" w:hAnsi="Arial" w:cs="Arial"/>
          <w:b/>
          <w:sz w:val="24"/>
          <w:szCs w:val="24"/>
          <w:lang w:val="es-ES" w:eastAsia="en-US"/>
        </w:rPr>
        <w:t>Poder Legislativo</w:t>
      </w:r>
      <w:r w:rsidRPr="00906AFB">
        <w:rPr>
          <w:rFonts w:ascii="Arial" w:eastAsia="Calibri" w:hAnsi="Arial" w:cs="Arial"/>
          <w:sz w:val="24"/>
          <w:szCs w:val="24"/>
          <w:lang w:val="es-ES" w:eastAsia="en-US"/>
        </w:rPr>
        <w:t xml:space="preserve"> importan la cantidad de $123,280,000</w:t>
      </w:r>
      <w:r w:rsidR="00E22E97">
        <w:rPr>
          <w:rFonts w:ascii="Arial" w:eastAsia="Calibri" w:hAnsi="Arial" w:cs="Arial"/>
          <w:color w:val="FF0000"/>
          <w:sz w:val="24"/>
          <w:szCs w:val="24"/>
          <w:lang w:val="es-ES" w:eastAsia="en-US"/>
        </w:rPr>
        <w:t xml:space="preserve"> </w:t>
      </w:r>
      <w:r w:rsidRPr="00906AFB">
        <w:rPr>
          <w:rFonts w:ascii="Arial" w:eastAsia="Calibri" w:hAnsi="Arial" w:cs="Arial"/>
          <w:sz w:val="24"/>
          <w:szCs w:val="24"/>
          <w:lang w:val="es-ES" w:eastAsia="en-US"/>
        </w:rPr>
        <w:t>que comprende los recursos públicos asignados a:</w:t>
      </w:r>
    </w:p>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Pr="00906AFB" w:rsidRDefault="00906AFB" w:rsidP="00906AFB">
      <w:pPr>
        <w:keepNext/>
        <w:keepLines/>
        <w:spacing w:after="0" w:line="240" w:lineRule="auto"/>
        <w:jc w:val="center"/>
        <w:outlineLvl w:val="1"/>
        <w:rPr>
          <w:rFonts w:ascii="Arial" w:eastAsia="Times New Roman" w:hAnsi="Arial" w:cs="Times New Roman"/>
          <w:b/>
          <w:sz w:val="20"/>
          <w:szCs w:val="26"/>
          <w:lang w:val="es-ES" w:eastAsia="en-US"/>
        </w:rPr>
      </w:pPr>
      <w:r w:rsidRPr="00906AFB">
        <w:rPr>
          <w:rFonts w:ascii="Arial" w:eastAsia="Times New Roman" w:hAnsi="Arial" w:cs="Times New Roman"/>
          <w:b/>
          <w:sz w:val="20"/>
          <w:szCs w:val="26"/>
          <w:lang w:val="es-ES" w:eastAsia="en-US"/>
        </w:rPr>
        <w:t>Tabla 15. Asignación Presupuestaria al Poder Legislativo</w:t>
      </w:r>
    </w:p>
    <w:tbl>
      <w:tblPr>
        <w:tblStyle w:val="Tablaconcuadrcula2"/>
        <w:tblW w:w="0" w:type="auto"/>
        <w:tblInd w:w="392" w:type="dxa"/>
        <w:tblLook w:val="04A0" w:firstRow="1" w:lastRow="0" w:firstColumn="1" w:lastColumn="0" w:noHBand="0" w:noVBand="1"/>
      </w:tblPr>
      <w:tblGrid>
        <w:gridCol w:w="938"/>
        <w:gridCol w:w="5649"/>
        <w:gridCol w:w="1493"/>
      </w:tblGrid>
      <w:tr w:rsidR="00906AFB" w:rsidRPr="00906AFB" w:rsidTr="00906AFB">
        <w:trPr>
          <w:trHeight w:val="283"/>
        </w:trPr>
        <w:tc>
          <w:tcPr>
            <w:tcW w:w="93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bCs/>
                <w:sz w:val="20"/>
              </w:rPr>
            </w:pPr>
            <w:r w:rsidRPr="00906AFB">
              <w:rPr>
                <w:rFonts w:ascii="Arial" w:hAnsi="Arial" w:cs="Arial"/>
                <w:b/>
                <w:bCs/>
                <w:sz w:val="20"/>
              </w:rPr>
              <w:t>Partida</w:t>
            </w:r>
          </w:p>
        </w:tc>
        <w:tc>
          <w:tcPr>
            <w:tcW w:w="564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center"/>
              <w:rPr>
                <w:rFonts w:ascii="Arial" w:hAnsi="Arial" w:cs="Arial"/>
                <w:b/>
                <w:bCs/>
                <w:sz w:val="20"/>
              </w:rPr>
            </w:pPr>
            <w:r w:rsidRPr="00906AFB">
              <w:rPr>
                <w:rFonts w:ascii="Arial" w:hAnsi="Arial" w:cs="Arial"/>
                <w:b/>
                <w:bCs/>
                <w:sz w:val="20"/>
              </w:rPr>
              <w:t>Poder Legislativo</w:t>
            </w:r>
          </w:p>
        </w:tc>
        <w:tc>
          <w:tcPr>
            <w:tcW w:w="1493"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bCs/>
                <w:sz w:val="20"/>
              </w:rPr>
            </w:pPr>
            <w:r w:rsidRPr="00906AFB">
              <w:rPr>
                <w:rFonts w:ascii="Arial" w:hAnsi="Arial" w:cs="Arial"/>
                <w:b/>
                <w:bCs/>
                <w:sz w:val="20"/>
              </w:rPr>
              <w:t>Asignación Presupuestal</w:t>
            </w:r>
          </w:p>
        </w:tc>
      </w:tr>
      <w:tr w:rsidR="00906AFB" w:rsidRPr="00906AFB" w:rsidTr="00C041A9">
        <w:trPr>
          <w:trHeight w:val="459"/>
        </w:trPr>
        <w:tc>
          <w:tcPr>
            <w:tcW w:w="938"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center"/>
              <w:rPr>
                <w:rFonts w:ascii="Arial" w:hAnsi="Arial" w:cs="Arial"/>
                <w:sz w:val="20"/>
              </w:rPr>
            </w:pPr>
            <w:r w:rsidRPr="00906AFB">
              <w:rPr>
                <w:rFonts w:ascii="Arial" w:hAnsi="Arial" w:cs="Arial"/>
                <w:sz w:val="20"/>
              </w:rPr>
              <w:t>41201</w:t>
            </w:r>
          </w:p>
        </w:tc>
        <w:tc>
          <w:tcPr>
            <w:tcW w:w="5649"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20"/>
              </w:rPr>
            </w:pPr>
            <w:r w:rsidRPr="00906AFB">
              <w:rPr>
                <w:rFonts w:ascii="Arial" w:hAnsi="Arial" w:cs="Arial"/>
                <w:sz w:val="20"/>
              </w:rPr>
              <w:t>H. Congreso del Estado de Colima</w:t>
            </w:r>
          </w:p>
        </w:tc>
        <w:tc>
          <w:tcPr>
            <w:tcW w:w="1493"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20"/>
              </w:rPr>
            </w:pPr>
            <w:r w:rsidRPr="00906AFB">
              <w:rPr>
                <w:rFonts w:ascii="Arial" w:hAnsi="Arial" w:cs="Arial"/>
                <w:sz w:val="20"/>
              </w:rPr>
              <w:t xml:space="preserve">93,280,000 </w:t>
            </w:r>
          </w:p>
        </w:tc>
      </w:tr>
      <w:tr w:rsidR="00906AFB" w:rsidRPr="00906AFB" w:rsidTr="00C041A9">
        <w:trPr>
          <w:trHeight w:val="551"/>
        </w:trPr>
        <w:tc>
          <w:tcPr>
            <w:tcW w:w="938"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center"/>
              <w:rPr>
                <w:rFonts w:ascii="Arial" w:hAnsi="Arial" w:cs="Arial"/>
                <w:sz w:val="20"/>
              </w:rPr>
            </w:pPr>
            <w:r w:rsidRPr="00906AFB">
              <w:rPr>
                <w:rFonts w:ascii="Arial" w:hAnsi="Arial" w:cs="Arial"/>
                <w:sz w:val="20"/>
              </w:rPr>
              <w:t>41203</w:t>
            </w:r>
          </w:p>
        </w:tc>
        <w:tc>
          <w:tcPr>
            <w:tcW w:w="5649"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20"/>
              </w:rPr>
            </w:pPr>
            <w:r w:rsidRPr="00906AFB">
              <w:rPr>
                <w:rFonts w:ascii="Arial" w:hAnsi="Arial" w:cs="Arial"/>
                <w:sz w:val="20"/>
              </w:rPr>
              <w:t>Órgano Superior de Auditoría y Fiscalización Gubernamental del Estado</w:t>
            </w:r>
          </w:p>
        </w:tc>
        <w:tc>
          <w:tcPr>
            <w:tcW w:w="1493"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20"/>
              </w:rPr>
            </w:pPr>
            <w:r w:rsidRPr="00906AFB">
              <w:rPr>
                <w:rFonts w:ascii="Arial" w:hAnsi="Arial" w:cs="Arial"/>
                <w:sz w:val="20"/>
              </w:rPr>
              <w:t xml:space="preserve">30,000,000 </w:t>
            </w:r>
          </w:p>
        </w:tc>
      </w:tr>
      <w:tr w:rsidR="00906AFB" w:rsidRPr="00906AFB" w:rsidTr="00906AFB">
        <w:trPr>
          <w:trHeight w:val="283"/>
        </w:trPr>
        <w:tc>
          <w:tcPr>
            <w:tcW w:w="938"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before="120" w:after="120" w:line="360" w:lineRule="auto"/>
              <w:jc w:val="both"/>
              <w:rPr>
                <w:rFonts w:ascii="Arial" w:hAnsi="Arial" w:cs="Arial"/>
                <w:sz w:val="20"/>
              </w:rPr>
            </w:pPr>
          </w:p>
        </w:tc>
        <w:tc>
          <w:tcPr>
            <w:tcW w:w="564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center"/>
              <w:rPr>
                <w:rFonts w:ascii="Arial" w:hAnsi="Arial" w:cs="Arial"/>
                <w:b/>
                <w:bCs/>
                <w:sz w:val="20"/>
              </w:rPr>
            </w:pPr>
            <w:r w:rsidRPr="00906AFB">
              <w:rPr>
                <w:rFonts w:ascii="Arial" w:hAnsi="Arial" w:cs="Arial"/>
                <w:b/>
                <w:bCs/>
                <w:sz w:val="20"/>
              </w:rPr>
              <w:t>Total</w:t>
            </w:r>
          </w:p>
        </w:tc>
        <w:tc>
          <w:tcPr>
            <w:tcW w:w="1493"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b/>
                <w:sz w:val="20"/>
              </w:rPr>
            </w:pPr>
            <w:r w:rsidRPr="00906AFB">
              <w:rPr>
                <w:rFonts w:ascii="Arial" w:hAnsi="Arial" w:cs="Arial"/>
                <w:b/>
                <w:sz w:val="20"/>
              </w:rPr>
              <w:t xml:space="preserve">123,280,000 </w:t>
            </w:r>
          </w:p>
        </w:tc>
      </w:tr>
    </w:tbl>
    <w:p w:rsidR="00906AFB" w:rsidRPr="00906AFB" w:rsidRDefault="00906AFB" w:rsidP="00906AFB">
      <w:pPr>
        <w:spacing w:after="0" w:line="240" w:lineRule="auto"/>
        <w:jc w:val="both"/>
        <w:rPr>
          <w:rFonts w:ascii="Arial" w:eastAsia="Calibri" w:hAnsi="Arial" w:cs="Times New Roman"/>
          <w:lang w:val="es-ES" w:eastAsia="en-US"/>
        </w:rPr>
      </w:pPr>
    </w:p>
    <w:p w:rsidR="00906AFB" w:rsidRPr="00906AFB" w:rsidRDefault="00906AFB" w:rsidP="00906AFB">
      <w:pPr>
        <w:spacing w:after="0" w:line="240" w:lineRule="auto"/>
        <w:jc w:val="both"/>
        <w:rPr>
          <w:rFonts w:ascii="Arial" w:eastAsia="Calibri" w:hAnsi="Arial" w:cs="Arial"/>
          <w:bCs/>
          <w:color w:val="000000"/>
          <w:sz w:val="24"/>
          <w:szCs w:val="24"/>
          <w:lang w:val="es-ES" w:eastAsia="en-US"/>
        </w:rPr>
      </w:pPr>
      <w:r w:rsidRPr="00906AFB">
        <w:rPr>
          <w:rFonts w:ascii="Arial" w:eastAsia="Calibri" w:hAnsi="Arial" w:cs="Arial"/>
          <w:bCs/>
          <w:color w:val="000000"/>
          <w:sz w:val="24"/>
          <w:szCs w:val="24"/>
          <w:lang w:val="es-ES" w:eastAsia="en-US"/>
        </w:rPr>
        <w:lastRenderedPageBreak/>
        <w:t>Las asignaciones previstas para el</w:t>
      </w:r>
      <w:r w:rsidRPr="00906AFB">
        <w:rPr>
          <w:rFonts w:ascii="Arial" w:eastAsia="Calibri" w:hAnsi="Arial" w:cs="Arial"/>
          <w:b/>
          <w:bCs/>
          <w:color w:val="000000"/>
          <w:sz w:val="24"/>
          <w:szCs w:val="24"/>
          <w:lang w:val="es-ES" w:eastAsia="en-US"/>
        </w:rPr>
        <w:t xml:space="preserve"> Congreso del Estado de Colima</w:t>
      </w:r>
      <w:r w:rsidRPr="00906AFB">
        <w:rPr>
          <w:rFonts w:ascii="Arial" w:eastAsia="Calibri" w:hAnsi="Arial" w:cs="Arial"/>
          <w:bCs/>
          <w:color w:val="000000"/>
          <w:sz w:val="24"/>
          <w:szCs w:val="24"/>
          <w:lang w:val="es-ES" w:eastAsia="en-US"/>
        </w:rPr>
        <w:t xml:space="preserve"> equivalen a la cantidad de $93,280,000 y se integran de la siguiente manera, a nivel de capítulo de gasto:</w:t>
      </w:r>
    </w:p>
    <w:p w:rsidR="00906AFB" w:rsidRPr="00906AFB" w:rsidRDefault="00906AFB" w:rsidP="00906AFB">
      <w:pPr>
        <w:keepNext/>
        <w:keepLines/>
        <w:spacing w:after="0" w:line="240" w:lineRule="auto"/>
        <w:jc w:val="center"/>
        <w:outlineLvl w:val="1"/>
        <w:rPr>
          <w:rFonts w:ascii="Arial" w:eastAsia="Times New Roman" w:hAnsi="Arial" w:cs="Times New Roman"/>
          <w:b/>
          <w:sz w:val="20"/>
          <w:szCs w:val="26"/>
          <w:lang w:val="es-ES" w:eastAsia="en-US"/>
        </w:rPr>
      </w:pPr>
      <w:r w:rsidRPr="00906AFB">
        <w:rPr>
          <w:rFonts w:ascii="Arial" w:eastAsia="Times New Roman" w:hAnsi="Arial" w:cs="Times New Roman"/>
          <w:b/>
          <w:sz w:val="20"/>
          <w:szCs w:val="26"/>
          <w:lang w:val="es-ES" w:eastAsia="en-US"/>
        </w:rPr>
        <w:t>Tabla 16. Congreso del Estado Colima (Objeto del Gasto)</w:t>
      </w:r>
    </w:p>
    <w:tbl>
      <w:tblPr>
        <w:tblStyle w:val="Tablaconcuadrcula2"/>
        <w:tblW w:w="0" w:type="auto"/>
        <w:tblInd w:w="534" w:type="dxa"/>
        <w:tblLook w:val="04A0" w:firstRow="1" w:lastRow="0" w:firstColumn="1" w:lastColumn="0" w:noHBand="0" w:noVBand="1"/>
      </w:tblPr>
      <w:tblGrid>
        <w:gridCol w:w="1016"/>
        <w:gridCol w:w="5090"/>
        <w:gridCol w:w="1501"/>
      </w:tblGrid>
      <w:tr w:rsidR="00906AFB" w:rsidRPr="00906AFB" w:rsidTr="00906AFB">
        <w:trPr>
          <w:trHeight w:val="283"/>
        </w:trPr>
        <w:tc>
          <w:tcPr>
            <w:tcW w:w="1016"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bCs/>
                <w:sz w:val="20"/>
                <w:szCs w:val="20"/>
              </w:rPr>
            </w:pPr>
            <w:r w:rsidRPr="00906AFB">
              <w:rPr>
                <w:rFonts w:ascii="Arial" w:hAnsi="Arial" w:cs="Arial"/>
                <w:b/>
                <w:bCs/>
                <w:sz w:val="20"/>
                <w:szCs w:val="20"/>
              </w:rPr>
              <w:t>Capítulo</w:t>
            </w:r>
          </w:p>
        </w:tc>
        <w:tc>
          <w:tcPr>
            <w:tcW w:w="509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bCs/>
                <w:sz w:val="20"/>
                <w:szCs w:val="20"/>
              </w:rPr>
            </w:pPr>
            <w:r w:rsidRPr="00906AFB">
              <w:rPr>
                <w:rFonts w:ascii="Arial" w:hAnsi="Arial" w:cs="Arial"/>
                <w:b/>
                <w:bCs/>
                <w:sz w:val="20"/>
                <w:szCs w:val="20"/>
              </w:rPr>
              <w:t>Concepto</w:t>
            </w:r>
          </w:p>
        </w:tc>
        <w:tc>
          <w:tcPr>
            <w:tcW w:w="1501"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bCs/>
                <w:sz w:val="20"/>
                <w:szCs w:val="20"/>
              </w:rPr>
            </w:pPr>
            <w:r w:rsidRPr="00906AFB">
              <w:rPr>
                <w:rFonts w:ascii="Arial" w:hAnsi="Arial" w:cs="Arial"/>
                <w:b/>
                <w:bCs/>
                <w:sz w:val="20"/>
                <w:szCs w:val="20"/>
              </w:rPr>
              <w:t>Asignación Presupuestal</w:t>
            </w:r>
          </w:p>
        </w:tc>
      </w:tr>
      <w:tr w:rsidR="00906AFB" w:rsidRPr="00906AFB" w:rsidTr="00906AFB">
        <w:trPr>
          <w:trHeight w:val="283"/>
        </w:trPr>
        <w:tc>
          <w:tcPr>
            <w:tcW w:w="1016"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sz w:val="20"/>
                <w:szCs w:val="20"/>
              </w:rPr>
            </w:pPr>
            <w:r w:rsidRPr="00906AFB">
              <w:rPr>
                <w:rFonts w:ascii="Arial" w:hAnsi="Arial" w:cs="Arial"/>
                <w:sz w:val="20"/>
                <w:szCs w:val="20"/>
              </w:rPr>
              <w:t>10000</w:t>
            </w:r>
          </w:p>
        </w:tc>
        <w:tc>
          <w:tcPr>
            <w:tcW w:w="509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20"/>
                <w:szCs w:val="20"/>
              </w:rPr>
            </w:pPr>
            <w:r w:rsidRPr="00906AFB">
              <w:rPr>
                <w:rFonts w:ascii="Arial" w:hAnsi="Arial" w:cs="Arial"/>
                <w:sz w:val="20"/>
                <w:szCs w:val="20"/>
              </w:rPr>
              <w:t>Servicios Personales</w:t>
            </w:r>
          </w:p>
        </w:tc>
        <w:tc>
          <w:tcPr>
            <w:tcW w:w="150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rPr>
            </w:pPr>
            <w:r w:rsidRPr="00906AFB">
              <w:rPr>
                <w:rFonts w:ascii="Arial" w:hAnsi="Arial"/>
              </w:rPr>
              <w:t>66,446,837</w:t>
            </w:r>
          </w:p>
        </w:tc>
      </w:tr>
      <w:tr w:rsidR="00906AFB" w:rsidRPr="00906AFB" w:rsidTr="00906AFB">
        <w:trPr>
          <w:trHeight w:val="283"/>
        </w:trPr>
        <w:tc>
          <w:tcPr>
            <w:tcW w:w="1016"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sz w:val="20"/>
                <w:szCs w:val="20"/>
              </w:rPr>
            </w:pPr>
            <w:r w:rsidRPr="00906AFB">
              <w:rPr>
                <w:rFonts w:ascii="Arial" w:hAnsi="Arial" w:cs="Arial"/>
                <w:sz w:val="20"/>
                <w:szCs w:val="20"/>
              </w:rPr>
              <w:t>20000</w:t>
            </w:r>
          </w:p>
        </w:tc>
        <w:tc>
          <w:tcPr>
            <w:tcW w:w="509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20"/>
                <w:szCs w:val="20"/>
              </w:rPr>
            </w:pPr>
            <w:r w:rsidRPr="00906AFB">
              <w:rPr>
                <w:rFonts w:ascii="Arial" w:hAnsi="Arial" w:cs="Arial"/>
                <w:sz w:val="20"/>
                <w:szCs w:val="20"/>
              </w:rPr>
              <w:t>Materiales y Suministros</w:t>
            </w:r>
          </w:p>
        </w:tc>
        <w:tc>
          <w:tcPr>
            <w:tcW w:w="150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rPr>
            </w:pPr>
            <w:r w:rsidRPr="00906AFB">
              <w:rPr>
                <w:rFonts w:ascii="Arial" w:hAnsi="Arial"/>
              </w:rPr>
              <w:t>4,412,890</w:t>
            </w:r>
          </w:p>
        </w:tc>
      </w:tr>
      <w:tr w:rsidR="00906AFB" w:rsidRPr="00906AFB" w:rsidTr="00906AFB">
        <w:trPr>
          <w:trHeight w:val="283"/>
        </w:trPr>
        <w:tc>
          <w:tcPr>
            <w:tcW w:w="1016"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sz w:val="20"/>
                <w:szCs w:val="20"/>
              </w:rPr>
            </w:pPr>
            <w:r w:rsidRPr="00906AFB">
              <w:rPr>
                <w:rFonts w:ascii="Arial" w:hAnsi="Arial" w:cs="Arial"/>
                <w:sz w:val="20"/>
                <w:szCs w:val="20"/>
              </w:rPr>
              <w:t>30000</w:t>
            </w:r>
          </w:p>
        </w:tc>
        <w:tc>
          <w:tcPr>
            <w:tcW w:w="509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20"/>
                <w:szCs w:val="20"/>
              </w:rPr>
            </w:pPr>
            <w:r w:rsidRPr="00906AFB">
              <w:rPr>
                <w:rFonts w:ascii="Arial" w:hAnsi="Arial" w:cs="Arial"/>
                <w:sz w:val="20"/>
                <w:szCs w:val="20"/>
              </w:rPr>
              <w:t>Servicios Generales</w:t>
            </w:r>
          </w:p>
        </w:tc>
        <w:tc>
          <w:tcPr>
            <w:tcW w:w="150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rPr>
            </w:pPr>
            <w:r w:rsidRPr="00906AFB">
              <w:rPr>
                <w:rFonts w:ascii="Arial" w:hAnsi="Arial"/>
              </w:rPr>
              <w:t>10,921,981</w:t>
            </w:r>
          </w:p>
        </w:tc>
      </w:tr>
      <w:tr w:rsidR="00906AFB" w:rsidRPr="00906AFB" w:rsidTr="00906AFB">
        <w:trPr>
          <w:trHeight w:val="283"/>
        </w:trPr>
        <w:tc>
          <w:tcPr>
            <w:tcW w:w="1016"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sz w:val="20"/>
                <w:szCs w:val="20"/>
              </w:rPr>
            </w:pPr>
            <w:r w:rsidRPr="00906AFB">
              <w:rPr>
                <w:rFonts w:ascii="Arial" w:hAnsi="Arial" w:cs="Arial"/>
                <w:sz w:val="20"/>
                <w:szCs w:val="20"/>
              </w:rPr>
              <w:t>40000</w:t>
            </w:r>
          </w:p>
        </w:tc>
        <w:tc>
          <w:tcPr>
            <w:tcW w:w="509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20"/>
                <w:szCs w:val="20"/>
              </w:rPr>
            </w:pPr>
            <w:r w:rsidRPr="00906AFB">
              <w:rPr>
                <w:rFonts w:ascii="Arial" w:hAnsi="Arial" w:cs="Arial"/>
                <w:sz w:val="20"/>
                <w:szCs w:val="20"/>
              </w:rPr>
              <w:t>Transferencias, Asignaciones, Subsidios y Otras Ayudas</w:t>
            </w:r>
          </w:p>
        </w:tc>
        <w:tc>
          <w:tcPr>
            <w:tcW w:w="150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rPr>
            </w:pPr>
            <w:r w:rsidRPr="00906AFB">
              <w:rPr>
                <w:rFonts w:ascii="Arial" w:hAnsi="Arial"/>
              </w:rPr>
              <w:t>10,354,856</w:t>
            </w:r>
          </w:p>
        </w:tc>
      </w:tr>
      <w:tr w:rsidR="00906AFB" w:rsidRPr="00906AFB" w:rsidTr="00906AFB">
        <w:trPr>
          <w:trHeight w:val="283"/>
        </w:trPr>
        <w:tc>
          <w:tcPr>
            <w:tcW w:w="1016"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sz w:val="20"/>
                <w:szCs w:val="20"/>
              </w:rPr>
            </w:pPr>
            <w:r w:rsidRPr="00906AFB">
              <w:rPr>
                <w:rFonts w:ascii="Arial" w:hAnsi="Arial" w:cs="Arial"/>
                <w:sz w:val="20"/>
                <w:szCs w:val="20"/>
              </w:rPr>
              <w:t>50000</w:t>
            </w:r>
          </w:p>
        </w:tc>
        <w:tc>
          <w:tcPr>
            <w:tcW w:w="509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20"/>
                <w:szCs w:val="20"/>
              </w:rPr>
            </w:pPr>
            <w:r w:rsidRPr="00906AFB">
              <w:rPr>
                <w:rFonts w:ascii="Arial" w:hAnsi="Arial" w:cs="Arial"/>
                <w:sz w:val="20"/>
                <w:szCs w:val="20"/>
              </w:rPr>
              <w:t>Bienes Muebles, Inmuebles e Intangibles</w:t>
            </w:r>
          </w:p>
        </w:tc>
        <w:tc>
          <w:tcPr>
            <w:tcW w:w="1501" w:type="dxa"/>
            <w:tcBorders>
              <w:top w:val="single" w:sz="4" w:space="0" w:color="auto"/>
              <w:left w:val="single" w:sz="4" w:space="0" w:color="auto"/>
              <w:bottom w:val="single" w:sz="4" w:space="0" w:color="auto"/>
              <w:right w:val="single" w:sz="4" w:space="0" w:color="auto"/>
            </w:tcBorders>
            <w:noWrap/>
            <w:hideMark/>
          </w:tcPr>
          <w:p w:rsidR="00906AFB" w:rsidRPr="00906AFB" w:rsidRDefault="00906AFB" w:rsidP="00906AFB">
            <w:pPr>
              <w:jc w:val="right"/>
              <w:rPr>
                <w:rFonts w:ascii="Arial" w:hAnsi="Arial"/>
              </w:rPr>
            </w:pPr>
            <w:r w:rsidRPr="00906AFB">
              <w:rPr>
                <w:rFonts w:ascii="Arial" w:hAnsi="Arial"/>
              </w:rPr>
              <w:t>1,143,436</w:t>
            </w:r>
          </w:p>
        </w:tc>
      </w:tr>
      <w:tr w:rsidR="00906AFB" w:rsidRPr="00906AFB" w:rsidTr="00906AFB">
        <w:trPr>
          <w:trHeight w:val="283"/>
        </w:trPr>
        <w:tc>
          <w:tcPr>
            <w:tcW w:w="1016"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before="120" w:after="120" w:line="360" w:lineRule="auto"/>
              <w:jc w:val="both"/>
              <w:rPr>
                <w:rFonts w:ascii="Arial" w:hAnsi="Arial"/>
              </w:rPr>
            </w:pPr>
          </w:p>
        </w:tc>
        <w:tc>
          <w:tcPr>
            <w:tcW w:w="509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bCs/>
                <w:sz w:val="20"/>
                <w:szCs w:val="20"/>
              </w:rPr>
            </w:pPr>
            <w:r w:rsidRPr="00906AFB">
              <w:rPr>
                <w:rFonts w:ascii="Arial" w:hAnsi="Arial" w:cs="Arial"/>
                <w:b/>
                <w:bCs/>
                <w:sz w:val="20"/>
                <w:szCs w:val="20"/>
              </w:rPr>
              <w:t>Total</w:t>
            </w:r>
          </w:p>
        </w:tc>
        <w:tc>
          <w:tcPr>
            <w:tcW w:w="1501" w:type="dxa"/>
            <w:tcBorders>
              <w:top w:val="single" w:sz="4" w:space="0" w:color="auto"/>
              <w:left w:val="single" w:sz="4" w:space="0" w:color="auto"/>
              <w:bottom w:val="single" w:sz="4" w:space="0" w:color="auto"/>
              <w:right w:val="single" w:sz="4" w:space="0" w:color="auto"/>
            </w:tcBorders>
            <w:hideMark/>
          </w:tcPr>
          <w:p w:rsidR="00906AFB" w:rsidRPr="00906AFB" w:rsidRDefault="00906AFB" w:rsidP="00906AFB">
            <w:pPr>
              <w:jc w:val="right"/>
              <w:rPr>
                <w:rFonts w:ascii="Arial" w:hAnsi="Arial"/>
                <w:b/>
              </w:rPr>
            </w:pPr>
            <w:r w:rsidRPr="00906AFB">
              <w:rPr>
                <w:rFonts w:ascii="Arial" w:hAnsi="Arial"/>
                <w:b/>
              </w:rPr>
              <w:t>93,280,000</w:t>
            </w:r>
          </w:p>
        </w:tc>
      </w:tr>
    </w:tbl>
    <w:p w:rsidR="00906AFB" w:rsidRPr="00906AFB" w:rsidRDefault="00906AFB" w:rsidP="00906AFB">
      <w:pPr>
        <w:spacing w:after="0" w:line="240" w:lineRule="auto"/>
        <w:rPr>
          <w:rFonts w:ascii="Colaborate-Regular" w:eastAsia="Calibri" w:hAnsi="Colaborate-Regular" w:cs="Times New Roman"/>
          <w:sz w:val="20"/>
          <w:lang w:val="es-ES" w:eastAsia="en-US"/>
        </w:rPr>
      </w:pPr>
    </w:p>
    <w:p w:rsidR="00906AFB" w:rsidRPr="00906AFB" w:rsidRDefault="00906AFB" w:rsidP="00906AFB">
      <w:pPr>
        <w:shd w:val="clear" w:color="auto" w:fill="FFFFFF"/>
        <w:spacing w:after="0" w:line="240" w:lineRule="auto"/>
        <w:jc w:val="both"/>
        <w:rPr>
          <w:rFonts w:ascii="Arial" w:eastAsia="Calibri" w:hAnsi="Arial" w:cs="Arial"/>
          <w:sz w:val="24"/>
          <w:szCs w:val="24"/>
        </w:rPr>
      </w:pPr>
      <w:r w:rsidRPr="00906AFB">
        <w:rPr>
          <w:rFonts w:ascii="Arial" w:eastAsia="Calibri" w:hAnsi="Arial" w:cs="Arial"/>
          <w:sz w:val="24"/>
          <w:szCs w:val="24"/>
        </w:rPr>
        <w:t xml:space="preserve">Al </w:t>
      </w:r>
      <w:r w:rsidRPr="00906AFB">
        <w:rPr>
          <w:rFonts w:ascii="Arial" w:eastAsia="Calibri" w:hAnsi="Arial" w:cs="Arial"/>
          <w:b/>
          <w:sz w:val="24"/>
          <w:szCs w:val="24"/>
        </w:rPr>
        <w:t>Órgano Superior de Auditoría y Fiscalización Gubernamental del Estado</w:t>
      </w:r>
      <w:r w:rsidRPr="00906AFB">
        <w:rPr>
          <w:rFonts w:ascii="Arial" w:eastAsia="Calibri" w:hAnsi="Arial" w:cs="Arial"/>
          <w:sz w:val="24"/>
          <w:szCs w:val="24"/>
        </w:rPr>
        <w:t>, se le establece un presupuesto de $30,000,000</w:t>
      </w:r>
      <w:r w:rsidRPr="00906AFB">
        <w:rPr>
          <w:rFonts w:ascii="Arial" w:eastAsia="Calibri" w:hAnsi="Arial" w:cs="Arial"/>
          <w:color w:val="FF0000"/>
          <w:sz w:val="24"/>
          <w:szCs w:val="24"/>
        </w:rPr>
        <w:t xml:space="preserve"> </w:t>
      </w:r>
      <w:r w:rsidRPr="00906AFB">
        <w:rPr>
          <w:rFonts w:ascii="Arial" w:eastAsia="Calibri" w:hAnsi="Arial" w:cs="Arial"/>
          <w:sz w:val="24"/>
          <w:szCs w:val="24"/>
        </w:rPr>
        <w:t>el cual se conforma de los siguientes capítulos:</w:t>
      </w:r>
    </w:p>
    <w:p w:rsidR="00906AFB" w:rsidRPr="00906AFB" w:rsidRDefault="00906AFB" w:rsidP="00906AFB">
      <w:pPr>
        <w:spacing w:after="0" w:line="240" w:lineRule="auto"/>
        <w:rPr>
          <w:rFonts w:ascii="Colaborate-Regular" w:eastAsia="Calibri" w:hAnsi="Colaborate-Regular" w:cs="Times New Roman"/>
          <w:sz w:val="20"/>
          <w:lang w:eastAsia="en-US"/>
        </w:rPr>
      </w:pPr>
    </w:p>
    <w:p w:rsidR="00906AFB" w:rsidRPr="00664E06" w:rsidRDefault="00906AFB" w:rsidP="00906AFB">
      <w:pPr>
        <w:keepNext/>
        <w:keepLines/>
        <w:spacing w:after="0" w:line="240" w:lineRule="auto"/>
        <w:jc w:val="center"/>
        <w:outlineLvl w:val="1"/>
        <w:rPr>
          <w:rFonts w:ascii="Arial" w:eastAsia="Times New Roman" w:hAnsi="Arial" w:cs="Times New Roman"/>
          <w:b/>
          <w:sz w:val="18"/>
          <w:szCs w:val="26"/>
          <w:lang w:val="es-ES" w:eastAsia="en-US"/>
        </w:rPr>
      </w:pPr>
      <w:r w:rsidRPr="00664E06">
        <w:rPr>
          <w:rFonts w:ascii="Arial" w:eastAsia="Times New Roman" w:hAnsi="Arial" w:cs="Times New Roman"/>
          <w:b/>
          <w:sz w:val="18"/>
          <w:szCs w:val="26"/>
          <w:lang w:val="es-ES" w:eastAsia="en-US"/>
        </w:rPr>
        <w:t>Tabla 17. Órgano Superior de Auditoría y Fiscalización Gubernamental del Estado   (Objeto del Gasto)</w:t>
      </w:r>
    </w:p>
    <w:tbl>
      <w:tblPr>
        <w:tblStyle w:val="Tablaconcuadrcula2"/>
        <w:tblW w:w="0" w:type="auto"/>
        <w:tblInd w:w="534" w:type="dxa"/>
        <w:tblLook w:val="04A0" w:firstRow="1" w:lastRow="0" w:firstColumn="1" w:lastColumn="0" w:noHBand="0" w:noVBand="1"/>
      </w:tblPr>
      <w:tblGrid>
        <w:gridCol w:w="1016"/>
        <w:gridCol w:w="5090"/>
        <w:gridCol w:w="1501"/>
      </w:tblGrid>
      <w:tr w:rsidR="00906AFB" w:rsidRPr="00906AFB" w:rsidTr="00906AFB">
        <w:trPr>
          <w:trHeight w:val="283"/>
        </w:trPr>
        <w:tc>
          <w:tcPr>
            <w:tcW w:w="1016"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bCs/>
                <w:sz w:val="20"/>
                <w:szCs w:val="20"/>
              </w:rPr>
            </w:pPr>
            <w:r w:rsidRPr="00906AFB">
              <w:rPr>
                <w:rFonts w:ascii="Arial" w:hAnsi="Arial" w:cs="Arial"/>
                <w:b/>
                <w:bCs/>
                <w:sz w:val="20"/>
                <w:szCs w:val="20"/>
              </w:rPr>
              <w:t>Capítulo</w:t>
            </w:r>
          </w:p>
        </w:tc>
        <w:tc>
          <w:tcPr>
            <w:tcW w:w="509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bCs/>
                <w:sz w:val="20"/>
                <w:szCs w:val="20"/>
              </w:rPr>
            </w:pPr>
            <w:r w:rsidRPr="00906AFB">
              <w:rPr>
                <w:rFonts w:ascii="Arial" w:hAnsi="Arial" w:cs="Arial"/>
                <w:b/>
                <w:bCs/>
                <w:sz w:val="20"/>
                <w:szCs w:val="20"/>
              </w:rPr>
              <w:t>Concepto</w:t>
            </w:r>
          </w:p>
        </w:tc>
        <w:tc>
          <w:tcPr>
            <w:tcW w:w="1501"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bCs/>
                <w:sz w:val="20"/>
                <w:szCs w:val="20"/>
              </w:rPr>
            </w:pPr>
            <w:r w:rsidRPr="00906AFB">
              <w:rPr>
                <w:rFonts w:ascii="Arial" w:hAnsi="Arial" w:cs="Arial"/>
                <w:b/>
                <w:bCs/>
                <w:sz w:val="20"/>
                <w:szCs w:val="20"/>
              </w:rPr>
              <w:t>Asignación Presupuestal</w:t>
            </w:r>
          </w:p>
        </w:tc>
      </w:tr>
      <w:tr w:rsidR="00906AFB" w:rsidRPr="00906AFB" w:rsidTr="00906AFB">
        <w:trPr>
          <w:trHeight w:val="283"/>
        </w:trPr>
        <w:tc>
          <w:tcPr>
            <w:tcW w:w="1016"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sz w:val="20"/>
                <w:szCs w:val="20"/>
              </w:rPr>
            </w:pPr>
            <w:r w:rsidRPr="00906AFB">
              <w:rPr>
                <w:rFonts w:ascii="Arial" w:hAnsi="Arial" w:cs="Arial"/>
                <w:sz w:val="20"/>
                <w:szCs w:val="20"/>
              </w:rPr>
              <w:t>10000</w:t>
            </w:r>
          </w:p>
        </w:tc>
        <w:tc>
          <w:tcPr>
            <w:tcW w:w="509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20"/>
                <w:szCs w:val="20"/>
              </w:rPr>
            </w:pPr>
            <w:r w:rsidRPr="00906AFB">
              <w:rPr>
                <w:rFonts w:ascii="Arial" w:hAnsi="Arial" w:cs="Arial"/>
                <w:sz w:val="20"/>
                <w:szCs w:val="20"/>
              </w:rPr>
              <w:t>Servicios Personales</w:t>
            </w:r>
          </w:p>
        </w:tc>
        <w:tc>
          <w:tcPr>
            <w:tcW w:w="150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rPr>
            </w:pPr>
            <w:r w:rsidRPr="00906AFB">
              <w:rPr>
                <w:rFonts w:ascii="Arial" w:hAnsi="Arial"/>
              </w:rPr>
              <w:t>28,515,986</w:t>
            </w:r>
          </w:p>
        </w:tc>
      </w:tr>
      <w:tr w:rsidR="00906AFB" w:rsidRPr="00906AFB" w:rsidTr="00906AFB">
        <w:trPr>
          <w:trHeight w:val="283"/>
        </w:trPr>
        <w:tc>
          <w:tcPr>
            <w:tcW w:w="1016"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sz w:val="20"/>
                <w:szCs w:val="20"/>
              </w:rPr>
            </w:pPr>
            <w:r w:rsidRPr="00906AFB">
              <w:rPr>
                <w:rFonts w:ascii="Arial" w:hAnsi="Arial" w:cs="Arial"/>
                <w:sz w:val="20"/>
                <w:szCs w:val="20"/>
              </w:rPr>
              <w:t>20000</w:t>
            </w:r>
          </w:p>
        </w:tc>
        <w:tc>
          <w:tcPr>
            <w:tcW w:w="509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20"/>
                <w:szCs w:val="20"/>
              </w:rPr>
            </w:pPr>
            <w:r w:rsidRPr="00906AFB">
              <w:rPr>
                <w:rFonts w:ascii="Arial" w:hAnsi="Arial" w:cs="Arial"/>
                <w:sz w:val="20"/>
                <w:szCs w:val="20"/>
              </w:rPr>
              <w:t>Materiales y Suministros</w:t>
            </w:r>
          </w:p>
        </w:tc>
        <w:tc>
          <w:tcPr>
            <w:tcW w:w="150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rPr>
            </w:pPr>
            <w:r w:rsidRPr="00906AFB">
              <w:rPr>
                <w:rFonts w:ascii="Arial" w:hAnsi="Arial"/>
              </w:rPr>
              <w:t>221,095</w:t>
            </w:r>
          </w:p>
        </w:tc>
      </w:tr>
      <w:tr w:rsidR="00906AFB" w:rsidRPr="00906AFB" w:rsidTr="00906AFB">
        <w:trPr>
          <w:trHeight w:val="283"/>
        </w:trPr>
        <w:tc>
          <w:tcPr>
            <w:tcW w:w="1016"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sz w:val="20"/>
                <w:szCs w:val="20"/>
              </w:rPr>
            </w:pPr>
            <w:r w:rsidRPr="00906AFB">
              <w:rPr>
                <w:rFonts w:ascii="Arial" w:hAnsi="Arial" w:cs="Arial"/>
                <w:sz w:val="20"/>
                <w:szCs w:val="20"/>
              </w:rPr>
              <w:t>30000</w:t>
            </w:r>
          </w:p>
        </w:tc>
        <w:tc>
          <w:tcPr>
            <w:tcW w:w="509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20"/>
                <w:szCs w:val="20"/>
              </w:rPr>
            </w:pPr>
            <w:r w:rsidRPr="00906AFB">
              <w:rPr>
                <w:rFonts w:ascii="Arial" w:hAnsi="Arial" w:cs="Arial"/>
                <w:sz w:val="20"/>
                <w:szCs w:val="20"/>
              </w:rPr>
              <w:t>Servicios Generales</w:t>
            </w:r>
          </w:p>
        </w:tc>
        <w:tc>
          <w:tcPr>
            <w:tcW w:w="150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rPr>
            </w:pPr>
            <w:r w:rsidRPr="00906AFB">
              <w:rPr>
                <w:rFonts w:ascii="Arial" w:hAnsi="Arial"/>
              </w:rPr>
              <w:t>1,262,920</w:t>
            </w:r>
          </w:p>
        </w:tc>
      </w:tr>
      <w:tr w:rsidR="00906AFB" w:rsidRPr="00906AFB" w:rsidTr="00906AFB">
        <w:trPr>
          <w:trHeight w:val="283"/>
        </w:trPr>
        <w:tc>
          <w:tcPr>
            <w:tcW w:w="1016"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sz w:val="20"/>
                <w:szCs w:val="20"/>
              </w:rPr>
            </w:pPr>
            <w:r w:rsidRPr="00906AFB">
              <w:rPr>
                <w:rFonts w:ascii="Arial" w:hAnsi="Arial" w:cs="Arial"/>
                <w:sz w:val="20"/>
                <w:szCs w:val="20"/>
              </w:rPr>
              <w:t>40000</w:t>
            </w:r>
          </w:p>
        </w:tc>
        <w:tc>
          <w:tcPr>
            <w:tcW w:w="509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20"/>
                <w:szCs w:val="20"/>
              </w:rPr>
            </w:pPr>
            <w:r w:rsidRPr="00906AFB">
              <w:rPr>
                <w:rFonts w:ascii="Arial" w:hAnsi="Arial" w:cs="Arial"/>
                <w:sz w:val="20"/>
                <w:szCs w:val="20"/>
              </w:rPr>
              <w:t>Transferencias, Asignaciones, Subsidios y Otras Ayudas</w:t>
            </w:r>
          </w:p>
        </w:tc>
        <w:tc>
          <w:tcPr>
            <w:tcW w:w="150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rPr>
            </w:pPr>
            <w:r w:rsidRPr="00906AFB">
              <w:rPr>
                <w:rFonts w:ascii="Arial" w:hAnsi="Arial"/>
              </w:rPr>
              <w:t>0</w:t>
            </w:r>
          </w:p>
        </w:tc>
      </w:tr>
      <w:tr w:rsidR="00906AFB" w:rsidRPr="00906AFB" w:rsidTr="00906AFB">
        <w:trPr>
          <w:trHeight w:val="283"/>
        </w:trPr>
        <w:tc>
          <w:tcPr>
            <w:tcW w:w="1016"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sz w:val="20"/>
                <w:szCs w:val="20"/>
              </w:rPr>
            </w:pPr>
            <w:r w:rsidRPr="00906AFB">
              <w:rPr>
                <w:rFonts w:ascii="Arial" w:hAnsi="Arial" w:cs="Arial"/>
                <w:sz w:val="20"/>
                <w:szCs w:val="20"/>
              </w:rPr>
              <w:t>50000</w:t>
            </w:r>
          </w:p>
        </w:tc>
        <w:tc>
          <w:tcPr>
            <w:tcW w:w="509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20"/>
                <w:szCs w:val="20"/>
              </w:rPr>
            </w:pPr>
            <w:r w:rsidRPr="00906AFB">
              <w:rPr>
                <w:rFonts w:ascii="Arial" w:hAnsi="Arial" w:cs="Arial"/>
                <w:sz w:val="20"/>
                <w:szCs w:val="20"/>
              </w:rPr>
              <w:t>Bienes Muebles, Inmuebles e Intangibles</w:t>
            </w:r>
          </w:p>
        </w:tc>
        <w:tc>
          <w:tcPr>
            <w:tcW w:w="150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rPr>
            </w:pPr>
            <w:r w:rsidRPr="00906AFB">
              <w:rPr>
                <w:rFonts w:ascii="Arial" w:hAnsi="Arial"/>
              </w:rPr>
              <w:t>0</w:t>
            </w:r>
          </w:p>
        </w:tc>
      </w:tr>
      <w:tr w:rsidR="00906AFB" w:rsidRPr="00906AFB" w:rsidTr="00906AFB">
        <w:trPr>
          <w:trHeight w:val="283"/>
        </w:trPr>
        <w:tc>
          <w:tcPr>
            <w:tcW w:w="1016"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before="120" w:after="120" w:line="360" w:lineRule="auto"/>
              <w:jc w:val="both"/>
              <w:rPr>
                <w:rFonts w:ascii="Arial" w:hAnsi="Arial"/>
              </w:rPr>
            </w:pPr>
          </w:p>
        </w:tc>
        <w:tc>
          <w:tcPr>
            <w:tcW w:w="509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bCs/>
                <w:sz w:val="20"/>
                <w:szCs w:val="20"/>
              </w:rPr>
            </w:pPr>
            <w:r w:rsidRPr="00906AFB">
              <w:rPr>
                <w:rFonts w:ascii="Arial" w:hAnsi="Arial" w:cs="Arial"/>
                <w:b/>
                <w:bCs/>
                <w:sz w:val="20"/>
                <w:szCs w:val="20"/>
              </w:rPr>
              <w:t>Total</w:t>
            </w:r>
          </w:p>
        </w:tc>
        <w:tc>
          <w:tcPr>
            <w:tcW w:w="1501"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b/>
              </w:rPr>
            </w:pPr>
            <w:r w:rsidRPr="00906AFB">
              <w:rPr>
                <w:rFonts w:ascii="Arial" w:hAnsi="Arial"/>
                <w:b/>
              </w:rPr>
              <w:t>30,000,000</w:t>
            </w:r>
          </w:p>
        </w:tc>
      </w:tr>
    </w:tbl>
    <w:p w:rsidR="00906AFB" w:rsidRPr="00C16A91" w:rsidRDefault="00906AFB" w:rsidP="00906AFB">
      <w:pPr>
        <w:spacing w:after="0" w:line="240" w:lineRule="auto"/>
        <w:rPr>
          <w:rFonts w:ascii="Colaborate-Regular" w:eastAsia="Calibri" w:hAnsi="Colaborate-Regular" w:cs="Times New Roman"/>
          <w:sz w:val="12"/>
          <w:lang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sz w:val="24"/>
          <w:szCs w:val="24"/>
          <w:lang w:eastAsia="en-US"/>
        </w:rPr>
        <w:t>En el</w:t>
      </w:r>
      <w:r w:rsidRPr="00906AFB">
        <w:rPr>
          <w:rFonts w:ascii="Arial" w:eastAsia="Calibri" w:hAnsi="Arial" w:cs="Arial"/>
          <w:sz w:val="24"/>
          <w:szCs w:val="24"/>
          <w:lang w:val="es-ES" w:eastAsia="en-US"/>
        </w:rPr>
        <w:t xml:space="preserve"> </w:t>
      </w:r>
      <w:r w:rsidRPr="00906AFB">
        <w:rPr>
          <w:rFonts w:ascii="Arial" w:eastAsia="Calibri" w:hAnsi="Arial" w:cs="Arial"/>
          <w:b/>
          <w:sz w:val="24"/>
          <w:szCs w:val="24"/>
          <w:lang w:val="es-ES" w:eastAsia="en-US"/>
        </w:rPr>
        <w:t>Anexo 3</w:t>
      </w:r>
      <w:r w:rsidRPr="00906AFB">
        <w:rPr>
          <w:rFonts w:ascii="Arial" w:eastAsia="Calibri" w:hAnsi="Arial" w:cs="Arial"/>
          <w:sz w:val="24"/>
          <w:szCs w:val="24"/>
          <w:lang w:val="es-ES" w:eastAsia="en-US"/>
        </w:rPr>
        <w:t xml:space="preserve"> del presente Decreto, se detallan las asignaciones presupuestales al Poder Legislativo, de acuerdo a la Clasificación por Objeto del Gasto a nivel de Capítulo, Concepto, Partida Genérica y Partida Específica. </w:t>
      </w:r>
    </w:p>
    <w:p w:rsidR="00906AFB" w:rsidRPr="00906AFB" w:rsidRDefault="00906AFB" w:rsidP="00906AFB">
      <w:pPr>
        <w:spacing w:after="0" w:line="240" w:lineRule="auto"/>
        <w:jc w:val="both"/>
        <w:rPr>
          <w:rFonts w:ascii="Arial" w:eastAsia="Calibri" w:hAnsi="Arial" w:cs="Arial"/>
          <w:b/>
          <w:sz w:val="24"/>
          <w:szCs w:val="24"/>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b/>
          <w:sz w:val="24"/>
          <w:szCs w:val="24"/>
          <w:lang w:val="es-ES" w:eastAsia="en-US"/>
        </w:rPr>
        <w:t>Artículo 16</w:t>
      </w:r>
      <w:r w:rsidRPr="00906AFB">
        <w:rPr>
          <w:rFonts w:ascii="Arial" w:eastAsia="Calibri" w:hAnsi="Arial" w:cs="Arial"/>
          <w:sz w:val="24"/>
          <w:szCs w:val="24"/>
          <w:lang w:val="es-ES" w:eastAsia="en-US"/>
        </w:rPr>
        <w:t xml:space="preserve">. Las asignaciones previstas para el </w:t>
      </w:r>
      <w:r w:rsidRPr="00906AFB">
        <w:rPr>
          <w:rFonts w:ascii="Arial" w:eastAsia="Calibri" w:hAnsi="Arial" w:cs="Arial"/>
          <w:b/>
          <w:sz w:val="24"/>
          <w:szCs w:val="24"/>
          <w:lang w:val="es-ES" w:eastAsia="en-US"/>
        </w:rPr>
        <w:t>Poder Judicial</w:t>
      </w:r>
      <w:r w:rsidRPr="00906AFB">
        <w:rPr>
          <w:rFonts w:ascii="Arial" w:eastAsia="Calibri" w:hAnsi="Arial" w:cs="Arial"/>
          <w:sz w:val="24"/>
          <w:szCs w:val="24"/>
          <w:lang w:val="es-ES" w:eastAsia="en-US"/>
        </w:rPr>
        <w:t xml:space="preserve"> importan la cantidad de $185,878,250</w:t>
      </w:r>
      <w:r w:rsidRPr="00906AFB">
        <w:rPr>
          <w:rFonts w:ascii="Arial" w:eastAsia="Calibri" w:hAnsi="Arial" w:cs="Arial"/>
          <w:color w:val="FF0000"/>
          <w:sz w:val="24"/>
          <w:szCs w:val="24"/>
          <w:lang w:val="es-ES" w:eastAsia="en-US"/>
        </w:rPr>
        <w:t xml:space="preserve"> </w:t>
      </w:r>
      <w:r w:rsidRPr="00906AFB">
        <w:rPr>
          <w:rFonts w:ascii="Arial" w:eastAsia="Calibri" w:hAnsi="Arial" w:cs="Arial"/>
          <w:sz w:val="24"/>
          <w:szCs w:val="24"/>
          <w:lang w:val="es-ES" w:eastAsia="en-US"/>
        </w:rPr>
        <w:t>y se desglosan a nivel capítulo de la siguiente forma:</w:t>
      </w:r>
    </w:p>
    <w:p w:rsidR="00906AFB" w:rsidRPr="00C16A91" w:rsidRDefault="00906AFB" w:rsidP="00906AFB">
      <w:pPr>
        <w:spacing w:after="0" w:line="240" w:lineRule="auto"/>
        <w:jc w:val="both"/>
        <w:rPr>
          <w:rFonts w:ascii="Arial" w:eastAsia="Calibri" w:hAnsi="Arial" w:cs="Arial"/>
          <w:sz w:val="12"/>
          <w:szCs w:val="24"/>
          <w:lang w:val="es-ES" w:eastAsia="en-US"/>
        </w:rPr>
      </w:pPr>
    </w:p>
    <w:p w:rsidR="00906AFB" w:rsidRPr="00906AFB" w:rsidRDefault="00906AFB" w:rsidP="00906AFB">
      <w:pPr>
        <w:keepNext/>
        <w:keepLines/>
        <w:spacing w:after="0" w:line="240" w:lineRule="auto"/>
        <w:jc w:val="center"/>
        <w:outlineLvl w:val="1"/>
        <w:rPr>
          <w:rFonts w:ascii="Arial" w:eastAsia="Times New Roman" w:hAnsi="Arial" w:cs="Times New Roman"/>
          <w:b/>
          <w:sz w:val="20"/>
          <w:szCs w:val="26"/>
          <w:lang w:val="es-ES" w:eastAsia="en-US"/>
        </w:rPr>
      </w:pPr>
      <w:r w:rsidRPr="00906AFB">
        <w:rPr>
          <w:rFonts w:ascii="Arial" w:eastAsia="Times New Roman" w:hAnsi="Arial" w:cs="Times New Roman"/>
          <w:b/>
          <w:sz w:val="20"/>
          <w:szCs w:val="26"/>
          <w:lang w:val="es-ES" w:eastAsia="en-US"/>
        </w:rPr>
        <w:t>Tabla 18. Poder Judicial (Objeto del Gasto)</w:t>
      </w:r>
    </w:p>
    <w:tbl>
      <w:tblPr>
        <w:tblStyle w:val="Tablaconcuadrcula2"/>
        <w:tblW w:w="0" w:type="auto"/>
        <w:tblInd w:w="534" w:type="dxa"/>
        <w:tblLook w:val="04A0" w:firstRow="1" w:lastRow="0" w:firstColumn="1" w:lastColumn="0" w:noHBand="0" w:noVBand="1"/>
      </w:tblPr>
      <w:tblGrid>
        <w:gridCol w:w="1016"/>
        <w:gridCol w:w="5090"/>
        <w:gridCol w:w="1501"/>
      </w:tblGrid>
      <w:tr w:rsidR="00906AFB" w:rsidRPr="00906AFB" w:rsidTr="00906AFB">
        <w:trPr>
          <w:trHeight w:val="283"/>
        </w:trPr>
        <w:tc>
          <w:tcPr>
            <w:tcW w:w="1016"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bCs/>
                <w:sz w:val="20"/>
                <w:szCs w:val="20"/>
              </w:rPr>
            </w:pPr>
            <w:r w:rsidRPr="00906AFB">
              <w:rPr>
                <w:rFonts w:ascii="Arial" w:hAnsi="Arial" w:cs="Arial"/>
                <w:b/>
                <w:bCs/>
                <w:sz w:val="20"/>
                <w:szCs w:val="20"/>
              </w:rPr>
              <w:t>Capítulo</w:t>
            </w:r>
          </w:p>
        </w:tc>
        <w:tc>
          <w:tcPr>
            <w:tcW w:w="509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bCs/>
                <w:sz w:val="20"/>
                <w:szCs w:val="20"/>
              </w:rPr>
            </w:pPr>
            <w:r w:rsidRPr="00906AFB">
              <w:rPr>
                <w:rFonts w:ascii="Arial" w:hAnsi="Arial" w:cs="Arial"/>
                <w:b/>
                <w:bCs/>
                <w:sz w:val="20"/>
                <w:szCs w:val="20"/>
              </w:rPr>
              <w:t>Concepto</w:t>
            </w:r>
          </w:p>
        </w:tc>
        <w:tc>
          <w:tcPr>
            <w:tcW w:w="1501"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bCs/>
                <w:sz w:val="20"/>
                <w:szCs w:val="20"/>
              </w:rPr>
            </w:pPr>
            <w:r w:rsidRPr="00906AFB">
              <w:rPr>
                <w:rFonts w:ascii="Arial" w:hAnsi="Arial" w:cs="Arial"/>
                <w:b/>
                <w:bCs/>
                <w:sz w:val="20"/>
                <w:szCs w:val="20"/>
              </w:rPr>
              <w:t>Asignación Presupuestal</w:t>
            </w:r>
          </w:p>
        </w:tc>
      </w:tr>
      <w:tr w:rsidR="00906AFB" w:rsidRPr="00906AFB" w:rsidTr="00906AFB">
        <w:trPr>
          <w:trHeight w:val="283"/>
        </w:trPr>
        <w:tc>
          <w:tcPr>
            <w:tcW w:w="1016"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sz w:val="20"/>
                <w:szCs w:val="20"/>
              </w:rPr>
            </w:pPr>
            <w:r w:rsidRPr="00906AFB">
              <w:rPr>
                <w:rFonts w:ascii="Arial" w:hAnsi="Arial" w:cs="Arial"/>
                <w:sz w:val="20"/>
                <w:szCs w:val="20"/>
              </w:rPr>
              <w:t>10000</w:t>
            </w:r>
          </w:p>
        </w:tc>
        <w:tc>
          <w:tcPr>
            <w:tcW w:w="509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20"/>
                <w:szCs w:val="20"/>
              </w:rPr>
            </w:pPr>
            <w:r w:rsidRPr="00906AFB">
              <w:rPr>
                <w:rFonts w:ascii="Arial" w:hAnsi="Arial" w:cs="Arial"/>
                <w:sz w:val="20"/>
                <w:szCs w:val="20"/>
              </w:rPr>
              <w:t>Servicios Personales</w:t>
            </w:r>
          </w:p>
        </w:tc>
        <w:tc>
          <w:tcPr>
            <w:tcW w:w="150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rPr>
            </w:pPr>
            <w:r w:rsidRPr="00906AFB">
              <w:rPr>
                <w:rFonts w:ascii="Arial" w:hAnsi="Arial"/>
              </w:rPr>
              <w:t>130,255,606</w:t>
            </w:r>
          </w:p>
        </w:tc>
      </w:tr>
      <w:tr w:rsidR="00906AFB" w:rsidRPr="00906AFB" w:rsidTr="00906AFB">
        <w:trPr>
          <w:trHeight w:val="283"/>
        </w:trPr>
        <w:tc>
          <w:tcPr>
            <w:tcW w:w="1016"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sz w:val="20"/>
                <w:szCs w:val="20"/>
              </w:rPr>
            </w:pPr>
            <w:r w:rsidRPr="00906AFB">
              <w:rPr>
                <w:rFonts w:ascii="Arial" w:hAnsi="Arial" w:cs="Arial"/>
                <w:sz w:val="20"/>
                <w:szCs w:val="20"/>
              </w:rPr>
              <w:t>20000</w:t>
            </w:r>
          </w:p>
        </w:tc>
        <w:tc>
          <w:tcPr>
            <w:tcW w:w="509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20"/>
                <w:szCs w:val="20"/>
              </w:rPr>
            </w:pPr>
            <w:r w:rsidRPr="00906AFB">
              <w:rPr>
                <w:rFonts w:ascii="Arial" w:hAnsi="Arial" w:cs="Arial"/>
                <w:sz w:val="20"/>
                <w:szCs w:val="20"/>
              </w:rPr>
              <w:t>Materiales y Suministros</w:t>
            </w:r>
          </w:p>
        </w:tc>
        <w:tc>
          <w:tcPr>
            <w:tcW w:w="150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rPr>
            </w:pPr>
            <w:r w:rsidRPr="00906AFB">
              <w:rPr>
                <w:rFonts w:ascii="Arial" w:hAnsi="Arial"/>
              </w:rPr>
              <w:t>7,098,936</w:t>
            </w:r>
          </w:p>
        </w:tc>
      </w:tr>
      <w:tr w:rsidR="00906AFB" w:rsidRPr="00906AFB" w:rsidTr="00906AFB">
        <w:trPr>
          <w:trHeight w:val="283"/>
        </w:trPr>
        <w:tc>
          <w:tcPr>
            <w:tcW w:w="1016"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sz w:val="20"/>
                <w:szCs w:val="20"/>
              </w:rPr>
            </w:pPr>
            <w:r w:rsidRPr="00906AFB">
              <w:rPr>
                <w:rFonts w:ascii="Arial" w:hAnsi="Arial" w:cs="Arial"/>
                <w:sz w:val="20"/>
                <w:szCs w:val="20"/>
              </w:rPr>
              <w:t>30000</w:t>
            </w:r>
          </w:p>
        </w:tc>
        <w:tc>
          <w:tcPr>
            <w:tcW w:w="509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20"/>
                <w:szCs w:val="20"/>
              </w:rPr>
            </w:pPr>
            <w:r w:rsidRPr="00906AFB">
              <w:rPr>
                <w:rFonts w:ascii="Arial" w:hAnsi="Arial" w:cs="Arial"/>
                <w:sz w:val="20"/>
                <w:szCs w:val="20"/>
              </w:rPr>
              <w:t>Servicios Generales</w:t>
            </w:r>
          </w:p>
        </w:tc>
        <w:tc>
          <w:tcPr>
            <w:tcW w:w="150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rPr>
            </w:pPr>
            <w:r w:rsidRPr="00906AFB">
              <w:rPr>
                <w:rFonts w:ascii="Arial" w:hAnsi="Arial"/>
              </w:rPr>
              <w:t>10,392,084</w:t>
            </w:r>
          </w:p>
        </w:tc>
      </w:tr>
      <w:tr w:rsidR="00906AFB" w:rsidRPr="00906AFB" w:rsidTr="00906AFB">
        <w:trPr>
          <w:trHeight w:val="283"/>
        </w:trPr>
        <w:tc>
          <w:tcPr>
            <w:tcW w:w="1016"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sz w:val="20"/>
                <w:szCs w:val="20"/>
              </w:rPr>
            </w:pPr>
            <w:r w:rsidRPr="00906AFB">
              <w:rPr>
                <w:rFonts w:ascii="Arial" w:hAnsi="Arial" w:cs="Arial"/>
                <w:sz w:val="20"/>
                <w:szCs w:val="20"/>
              </w:rPr>
              <w:t>40000</w:t>
            </w:r>
          </w:p>
        </w:tc>
        <w:tc>
          <w:tcPr>
            <w:tcW w:w="509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20"/>
                <w:szCs w:val="20"/>
              </w:rPr>
            </w:pPr>
            <w:r w:rsidRPr="00906AFB">
              <w:rPr>
                <w:rFonts w:ascii="Arial" w:hAnsi="Arial" w:cs="Arial"/>
                <w:sz w:val="20"/>
                <w:szCs w:val="20"/>
              </w:rPr>
              <w:t>Transferencias, Asignaciones, Subsidios y Otras Ayudas</w:t>
            </w:r>
          </w:p>
        </w:tc>
        <w:tc>
          <w:tcPr>
            <w:tcW w:w="150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rPr>
            </w:pPr>
            <w:r w:rsidRPr="00906AFB">
              <w:rPr>
                <w:rFonts w:ascii="Arial" w:hAnsi="Arial"/>
              </w:rPr>
              <w:t>36,646,831</w:t>
            </w:r>
          </w:p>
        </w:tc>
      </w:tr>
      <w:tr w:rsidR="00906AFB" w:rsidRPr="00906AFB" w:rsidTr="00906AFB">
        <w:trPr>
          <w:trHeight w:val="283"/>
        </w:trPr>
        <w:tc>
          <w:tcPr>
            <w:tcW w:w="1016"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sz w:val="20"/>
                <w:szCs w:val="20"/>
              </w:rPr>
            </w:pPr>
            <w:r w:rsidRPr="00906AFB">
              <w:rPr>
                <w:rFonts w:ascii="Arial" w:hAnsi="Arial" w:cs="Arial"/>
                <w:sz w:val="20"/>
                <w:szCs w:val="20"/>
              </w:rPr>
              <w:lastRenderedPageBreak/>
              <w:t>50000</w:t>
            </w:r>
          </w:p>
        </w:tc>
        <w:tc>
          <w:tcPr>
            <w:tcW w:w="509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20"/>
                <w:szCs w:val="20"/>
              </w:rPr>
            </w:pPr>
            <w:r w:rsidRPr="00906AFB">
              <w:rPr>
                <w:rFonts w:ascii="Arial" w:hAnsi="Arial" w:cs="Arial"/>
                <w:sz w:val="20"/>
                <w:szCs w:val="20"/>
              </w:rPr>
              <w:t>Bienes Muebles, Inmuebles e Intangibles</w:t>
            </w:r>
          </w:p>
        </w:tc>
        <w:tc>
          <w:tcPr>
            <w:tcW w:w="150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rPr>
            </w:pPr>
            <w:r w:rsidRPr="00906AFB">
              <w:rPr>
                <w:rFonts w:ascii="Arial" w:hAnsi="Arial"/>
              </w:rPr>
              <w:t>1,368,860</w:t>
            </w:r>
          </w:p>
        </w:tc>
      </w:tr>
      <w:tr w:rsidR="00906AFB" w:rsidRPr="00906AFB" w:rsidTr="00906AFB">
        <w:trPr>
          <w:trHeight w:val="283"/>
        </w:trPr>
        <w:tc>
          <w:tcPr>
            <w:tcW w:w="1016"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sz w:val="20"/>
                <w:szCs w:val="20"/>
              </w:rPr>
            </w:pPr>
            <w:r w:rsidRPr="00906AFB">
              <w:rPr>
                <w:rFonts w:ascii="Arial" w:hAnsi="Arial" w:cs="Arial"/>
                <w:sz w:val="20"/>
                <w:szCs w:val="20"/>
              </w:rPr>
              <w:t>60000</w:t>
            </w:r>
          </w:p>
        </w:tc>
        <w:tc>
          <w:tcPr>
            <w:tcW w:w="509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20"/>
                <w:szCs w:val="20"/>
              </w:rPr>
            </w:pPr>
            <w:r w:rsidRPr="00906AFB">
              <w:rPr>
                <w:rFonts w:ascii="Arial" w:hAnsi="Arial" w:cs="Arial"/>
                <w:sz w:val="20"/>
                <w:szCs w:val="20"/>
              </w:rPr>
              <w:t>Inversión Pública</w:t>
            </w:r>
          </w:p>
        </w:tc>
        <w:tc>
          <w:tcPr>
            <w:tcW w:w="150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rPr>
            </w:pPr>
            <w:r w:rsidRPr="00906AFB">
              <w:rPr>
                <w:rFonts w:ascii="Arial" w:hAnsi="Arial"/>
              </w:rPr>
              <w:t>115,933</w:t>
            </w:r>
          </w:p>
        </w:tc>
      </w:tr>
      <w:tr w:rsidR="00906AFB" w:rsidRPr="00906AFB" w:rsidTr="00906AFB">
        <w:trPr>
          <w:trHeight w:val="283"/>
        </w:trPr>
        <w:tc>
          <w:tcPr>
            <w:tcW w:w="1016"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before="120" w:after="120" w:line="360" w:lineRule="auto"/>
              <w:jc w:val="both"/>
              <w:rPr>
                <w:rFonts w:ascii="Arial" w:hAnsi="Arial"/>
              </w:rPr>
            </w:pPr>
          </w:p>
        </w:tc>
        <w:tc>
          <w:tcPr>
            <w:tcW w:w="509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bCs/>
                <w:sz w:val="20"/>
                <w:szCs w:val="20"/>
              </w:rPr>
            </w:pPr>
            <w:r w:rsidRPr="00906AFB">
              <w:rPr>
                <w:rFonts w:ascii="Arial" w:hAnsi="Arial" w:cs="Arial"/>
                <w:b/>
                <w:bCs/>
                <w:sz w:val="20"/>
                <w:szCs w:val="20"/>
              </w:rPr>
              <w:t>Total</w:t>
            </w:r>
          </w:p>
        </w:tc>
        <w:tc>
          <w:tcPr>
            <w:tcW w:w="1501"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b/>
              </w:rPr>
            </w:pPr>
            <w:r w:rsidRPr="00906AFB">
              <w:rPr>
                <w:rFonts w:ascii="Arial" w:hAnsi="Arial"/>
                <w:b/>
              </w:rPr>
              <w:t>185,878,250</w:t>
            </w:r>
          </w:p>
        </w:tc>
      </w:tr>
    </w:tbl>
    <w:p w:rsidR="00906AFB" w:rsidRPr="00906AFB" w:rsidRDefault="00906AFB" w:rsidP="00906AFB">
      <w:pPr>
        <w:spacing w:after="0" w:line="240" w:lineRule="auto"/>
        <w:jc w:val="center"/>
        <w:rPr>
          <w:rFonts w:ascii="Arial" w:eastAsia="Calibri" w:hAnsi="Arial" w:cs="Arial"/>
          <w:sz w:val="24"/>
          <w:szCs w:val="24"/>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sz w:val="24"/>
          <w:szCs w:val="24"/>
          <w:lang w:val="es-ES" w:eastAsia="en-US"/>
        </w:rPr>
        <w:t>De acuerdo a la Clasificación por Objeto del Gasto a nivel de Capítulo, Concepto, Partida Genérica y Partida Específica, las asignaciones pr</w:t>
      </w:r>
      <w:r w:rsidR="00E22E97">
        <w:rPr>
          <w:rFonts w:ascii="Arial" w:eastAsia="Calibri" w:hAnsi="Arial" w:cs="Arial"/>
          <w:sz w:val="24"/>
          <w:szCs w:val="24"/>
          <w:lang w:val="es-ES" w:eastAsia="en-US"/>
        </w:rPr>
        <w:t xml:space="preserve">evistas para el Poder Judicial </w:t>
      </w:r>
      <w:r w:rsidRPr="00906AFB">
        <w:rPr>
          <w:rFonts w:ascii="Arial" w:eastAsia="Calibri" w:hAnsi="Arial" w:cs="Arial"/>
          <w:sz w:val="24"/>
          <w:szCs w:val="24"/>
          <w:lang w:val="es-ES" w:eastAsia="en-US"/>
        </w:rPr>
        <w:t xml:space="preserve">se integran conforme al </w:t>
      </w:r>
      <w:r w:rsidRPr="00906AFB">
        <w:rPr>
          <w:rFonts w:ascii="Arial" w:eastAsia="Calibri" w:hAnsi="Arial" w:cs="Arial"/>
          <w:b/>
          <w:sz w:val="24"/>
          <w:szCs w:val="24"/>
          <w:lang w:val="es-ES" w:eastAsia="en-US"/>
        </w:rPr>
        <w:t>Anexo 4</w:t>
      </w:r>
      <w:r w:rsidRPr="00906AFB">
        <w:rPr>
          <w:rFonts w:ascii="Arial" w:eastAsia="Calibri" w:hAnsi="Arial" w:cs="Arial"/>
          <w:sz w:val="24"/>
          <w:szCs w:val="24"/>
          <w:lang w:val="es-ES" w:eastAsia="en-US"/>
        </w:rPr>
        <w:t xml:space="preserve"> del presente Decreto.</w:t>
      </w:r>
    </w:p>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b/>
          <w:sz w:val="24"/>
          <w:szCs w:val="24"/>
          <w:lang w:val="es-ES" w:eastAsia="en-US"/>
        </w:rPr>
        <w:t>Artículo 17</w:t>
      </w:r>
      <w:r w:rsidRPr="00906AFB">
        <w:rPr>
          <w:rFonts w:ascii="Arial" w:eastAsia="Calibri" w:hAnsi="Arial" w:cs="Arial"/>
          <w:sz w:val="24"/>
          <w:szCs w:val="24"/>
          <w:lang w:val="es-ES" w:eastAsia="en-US"/>
        </w:rPr>
        <w:t>. Las erogaciones previstas en este Decreto, de acuerdo con la Clasificación Administrativa se distribuyen de la siguiente manera:</w:t>
      </w:r>
    </w:p>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Pr="00906AFB" w:rsidRDefault="00906AFB" w:rsidP="00906AFB">
      <w:pPr>
        <w:keepNext/>
        <w:keepLines/>
        <w:spacing w:after="0" w:line="240" w:lineRule="auto"/>
        <w:jc w:val="center"/>
        <w:outlineLvl w:val="1"/>
        <w:rPr>
          <w:rFonts w:ascii="Arial" w:eastAsia="Times New Roman" w:hAnsi="Arial" w:cs="Times New Roman"/>
          <w:b/>
          <w:sz w:val="20"/>
          <w:szCs w:val="26"/>
          <w:lang w:val="es-ES" w:eastAsia="en-US"/>
        </w:rPr>
      </w:pPr>
      <w:r w:rsidRPr="00906AFB">
        <w:rPr>
          <w:rFonts w:ascii="Arial" w:eastAsia="Times New Roman" w:hAnsi="Arial" w:cs="Times New Roman"/>
          <w:b/>
          <w:sz w:val="20"/>
          <w:szCs w:val="26"/>
          <w:lang w:val="es-ES" w:eastAsia="en-US"/>
        </w:rPr>
        <w:t>Tabla 19. Clasificación Administrativa a Nivel Agregado</w:t>
      </w:r>
    </w:p>
    <w:tbl>
      <w:tblPr>
        <w:tblStyle w:val="Tablaconcuadrcula2"/>
        <w:tblW w:w="0" w:type="auto"/>
        <w:jc w:val="center"/>
        <w:tblInd w:w="0" w:type="dxa"/>
        <w:tblLook w:val="04A0" w:firstRow="1" w:lastRow="0" w:firstColumn="1" w:lastColumn="0" w:noHBand="0" w:noVBand="1"/>
      </w:tblPr>
      <w:tblGrid>
        <w:gridCol w:w="1008"/>
        <w:gridCol w:w="5796"/>
        <w:gridCol w:w="1607"/>
      </w:tblGrid>
      <w:tr w:rsidR="00906AFB" w:rsidRPr="00906AFB" w:rsidTr="00664E06">
        <w:trPr>
          <w:trHeight w:val="283"/>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bCs/>
                <w:sz w:val="20"/>
                <w:szCs w:val="20"/>
              </w:rPr>
            </w:pPr>
            <w:r w:rsidRPr="00906AFB">
              <w:rPr>
                <w:rFonts w:ascii="Arial" w:hAnsi="Arial" w:cs="Arial"/>
                <w:b/>
                <w:bCs/>
                <w:sz w:val="20"/>
                <w:szCs w:val="20"/>
              </w:rPr>
              <w:t>Clave</w:t>
            </w:r>
          </w:p>
        </w:tc>
        <w:tc>
          <w:tcPr>
            <w:tcW w:w="5796"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bCs/>
                <w:sz w:val="20"/>
                <w:szCs w:val="20"/>
              </w:rPr>
            </w:pPr>
            <w:r w:rsidRPr="00906AFB">
              <w:rPr>
                <w:rFonts w:ascii="Arial" w:hAnsi="Arial" w:cs="Arial"/>
                <w:b/>
                <w:bCs/>
                <w:sz w:val="20"/>
                <w:szCs w:val="20"/>
              </w:rPr>
              <w:t>Concepto</w:t>
            </w:r>
          </w:p>
        </w:tc>
        <w:tc>
          <w:tcPr>
            <w:tcW w:w="160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bCs/>
                <w:sz w:val="20"/>
                <w:szCs w:val="20"/>
              </w:rPr>
            </w:pPr>
            <w:r w:rsidRPr="00906AFB">
              <w:rPr>
                <w:rFonts w:ascii="Arial" w:hAnsi="Arial" w:cs="Arial"/>
                <w:b/>
                <w:bCs/>
                <w:sz w:val="20"/>
                <w:szCs w:val="20"/>
              </w:rPr>
              <w:t>Asignación Presupuestal</w:t>
            </w:r>
          </w:p>
        </w:tc>
      </w:tr>
      <w:tr w:rsidR="00906AFB" w:rsidRPr="00906AFB" w:rsidTr="00664E06">
        <w:trPr>
          <w:trHeight w:val="283"/>
          <w:jc w:val="center"/>
        </w:trPr>
        <w:tc>
          <w:tcPr>
            <w:tcW w:w="1008"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center"/>
              <w:rPr>
                <w:rFonts w:ascii="Arial" w:hAnsi="Arial" w:cs="Arial"/>
                <w:b/>
                <w:bCs/>
                <w:sz w:val="20"/>
                <w:szCs w:val="20"/>
              </w:rPr>
            </w:pPr>
            <w:r w:rsidRPr="00906AFB">
              <w:rPr>
                <w:rFonts w:ascii="Arial" w:hAnsi="Arial" w:cs="Arial"/>
                <w:b/>
                <w:bCs/>
                <w:sz w:val="20"/>
                <w:szCs w:val="20"/>
              </w:rPr>
              <w:t>20000</w:t>
            </w:r>
          </w:p>
        </w:tc>
        <w:tc>
          <w:tcPr>
            <w:tcW w:w="5796"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b/>
                <w:bCs/>
                <w:sz w:val="20"/>
                <w:szCs w:val="20"/>
              </w:rPr>
            </w:pPr>
            <w:r w:rsidRPr="00906AFB">
              <w:rPr>
                <w:rFonts w:ascii="Arial" w:hAnsi="Arial" w:cs="Arial"/>
                <w:b/>
                <w:bCs/>
                <w:sz w:val="20"/>
                <w:szCs w:val="20"/>
              </w:rPr>
              <w:t>Sector Público de las Entidades Federativas</w:t>
            </w:r>
          </w:p>
        </w:tc>
        <w:tc>
          <w:tcPr>
            <w:tcW w:w="1607" w:type="dxa"/>
            <w:tcBorders>
              <w:top w:val="single" w:sz="4" w:space="0" w:color="auto"/>
              <w:left w:val="single" w:sz="4" w:space="0" w:color="auto"/>
              <w:bottom w:val="single" w:sz="4" w:space="0" w:color="auto"/>
              <w:right w:val="single" w:sz="4" w:space="0" w:color="auto"/>
            </w:tcBorders>
            <w:noWrap/>
            <w:vAlign w:val="center"/>
            <w:hideMark/>
          </w:tcPr>
          <w:p w:rsidR="00906AFB" w:rsidRPr="00664E06" w:rsidRDefault="00C041A9" w:rsidP="00664E06">
            <w:pPr>
              <w:jc w:val="right"/>
              <w:rPr>
                <w:rFonts w:ascii="Arial" w:hAnsi="Arial"/>
                <w:b/>
                <w:sz w:val="20"/>
                <w:szCs w:val="20"/>
              </w:rPr>
            </w:pPr>
            <w:r>
              <w:rPr>
                <w:rFonts w:ascii="Arial" w:hAnsi="Arial"/>
                <w:b/>
                <w:sz w:val="20"/>
                <w:szCs w:val="20"/>
              </w:rPr>
              <w:t>15,517,525,000</w:t>
            </w:r>
          </w:p>
        </w:tc>
      </w:tr>
      <w:tr w:rsidR="00906AFB" w:rsidRPr="00906AFB" w:rsidTr="00664E06">
        <w:trPr>
          <w:trHeight w:val="283"/>
          <w:jc w:val="center"/>
        </w:trPr>
        <w:tc>
          <w:tcPr>
            <w:tcW w:w="1008"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center"/>
              <w:rPr>
                <w:rFonts w:ascii="Arial" w:hAnsi="Arial" w:cs="Arial"/>
                <w:b/>
                <w:bCs/>
                <w:sz w:val="20"/>
                <w:szCs w:val="20"/>
              </w:rPr>
            </w:pPr>
            <w:r w:rsidRPr="00906AFB">
              <w:rPr>
                <w:rFonts w:ascii="Arial" w:hAnsi="Arial" w:cs="Arial"/>
                <w:b/>
                <w:bCs/>
                <w:sz w:val="20"/>
                <w:szCs w:val="20"/>
              </w:rPr>
              <w:t>21000</w:t>
            </w:r>
          </w:p>
        </w:tc>
        <w:tc>
          <w:tcPr>
            <w:tcW w:w="5796"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b/>
                <w:bCs/>
                <w:sz w:val="20"/>
                <w:szCs w:val="20"/>
              </w:rPr>
            </w:pPr>
            <w:r w:rsidRPr="00906AFB">
              <w:rPr>
                <w:rFonts w:ascii="Arial" w:hAnsi="Arial" w:cs="Arial"/>
                <w:b/>
                <w:bCs/>
                <w:sz w:val="20"/>
                <w:szCs w:val="20"/>
              </w:rPr>
              <w:t>Sector Público No Financiero</w:t>
            </w:r>
          </w:p>
        </w:tc>
        <w:tc>
          <w:tcPr>
            <w:tcW w:w="1607" w:type="dxa"/>
            <w:tcBorders>
              <w:top w:val="single" w:sz="4" w:space="0" w:color="auto"/>
              <w:left w:val="single" w:sz="4" w:space="0" w:color="auto"/>
              <w:bottom w:val="single" w:sz="4" w:space="0" w:color="auto"/>
              <w:right w:val="single" w:sz="4" w:space="0" w:color="auto"/>
            </w:tcBorders>
            <w:noWrap/>
            <w:vAlign w:val="center"/>
            <w:hideMark/>
          </w:tcPr>
          <w:p w:rsidR="00906AFB" w:rsidRPr="00664E06" w:rsidRDefault="00C041A9" w:rsidP="00664E06">
            <w:pPr>
              <w:jc w:val="right"/>
              <w:rPr>
                <w:rFonts w:ascii="Arial" w:hAnsi="Arial"/>
                <w:b/>
                <w:sz w:val="20"/>
                <w:szCs w:val="20"/>
              </w:rPr>
            </w:pPr>
            <w:r>
              <w:rPr>
                <w:rFonts w:ascii="Arial" w:hAnsi="Arial"/>
                <w:b/>
                <w:sz w:val="20"/>
                <w:szCs w:val="20"/>
              </w:rPr>
              <w:t>15,517,525,000</w:t>
            </w:r>
          </w:p>
        </w:tc>
      </w:tr>
      <w:tr w:rsidR="00906AFB" w:rsidRPr="00906AFB" w:rsidTr="00664E06">
        <w:trPr>
          <w:trHeight w:val="283"/>
          <w:jc w:val="center"/>
        </w:trPr>
        <w:tc>
          <w:tcPr>
            <w:tcW w:w="1008"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center"/>
              <w:rPr>
                <w:rFonts w:ascii="Arial" w:hAnsi="Arial" w:cs="Arial"/>
                <w:b/>
                <w:bCs/>
                <w:sz w:val="20"/>
                <w:szCs w:val="20"/>
              </w:rPr>
            </w:pPr>
            <w:r w:rsidRPr="00906AFB">
              <w:rPr>
                <w:rFonts w:ascii="Arial" w:hAnsi="Arial" w:cs="Arial"/>
                <w:b/>
                <w:bCs/>
                <w:sz w:val="20"/>
                <w:szCs w:val="20"/>
              </w:rPr>
              <w:t>21100</w:t>
            </w:r>
          </w:p>
        </w:tc>
        <w:tc>
          <w:tcPr>
            <w:tcW w:w="5796"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b/>
                <w:bCs/>
                <w:sz w:val="20"/>
                <w:szCs w:val="20"/>
              </w:rPr>
            </w:pPr>
            <w:r w:rsidRPr="00906AFB">
              <w:rPr>
                <w:rFonts w:ascii="Arial" w:hAnsi="Arial" w:cs="Arial"/>
                <w:b/>
                <w:bCs/>
                <w:sz w:val="20"/>
                <w:szCs w:val="20"/>
              </w:rPr>
              <w:t>Gobierno General Estatal o del Distrito Federal</w:t>
            </w:r>
          </w:p>
        </w:tc>
        <w:tc>
          <w:tcPr>
            <w:tcW w:w="1607" w:type="dxa"/>
            <w:tcBorders>
              <w:top w:val="single" w:sz="4" w:space="0" w:color="auto"/>
              <w:left w:val="single" w:sz="4" w:space="0" w:color="auto"/>
              <w:bottom w:val="single" w:sz="4" w:space="0" w:color="auto"/>
              <w:right w:val="single" w:sz="4" w:space="0" w:color="auto"/>
            </w:tcBorders>
            <w:noWrap/>
            <w:vAlign w:val="center"/>
            <w:hideMark/>
          </w:tcPr>
          <w:p w:rsidR="00906AFB" w:rsidRPr="00664E06" w:rsidRDefault="00C041A9" w:rsidP="00664E06">
            <w:pPr>
              <w:jc w:val="right"/>
              <w:rPr>
                <w:rFonts w:ascii="Arial" w:hAnsi="Arial"/>
                <w:b/>
                <w:sz w:val="20"/>
                <w:szCs w:val="20"/>
              </w:rPr>
            </w:pPr>
            <w:r>
              <w:rPr>
                <w:rFonts w:ascii="Arial" w:hAnsi="Arial"/>
                <w:b/>
                <w:sz w:val="20"/>
                <w:szCs w:val="20"/>
              </w:rPr>
              <w:t>15,517,525,000</w:t>
            </w:r>
          </w:p>
        </w:tc>
      </w:tr>
      <w:tr w:rsidR="00906AFB" w:rsidRPr="00906AFB" w:rsidTr="00664E06">
        <w:trPr>
          <w:trHeight w:val="283"/>
          <w:jc w:val="center"/>
        </w:trPr>
        <w:tc>
          <w:tcPr>
            <w:tcW w:w="1008"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center"/>
              <w:rPr>
                <w:rFonts w:ascii="Arial" w:hAnsi="Arial" w:cs="Arial"/>
                <w:b/>
                <w:bCs/>
                <w:sz w:val="20"/>
                <w:szCs w:val="20"/>
              </w:rPr>
            </w:pPr>
            <w:r w:rsidRPr="00906AFB">
              <w:rPr>
                <w:rFonts w:ascii="Arial" w:hAnsi="Arial" w:cs="Arial"/>
                <w:b/>
                <w:bCs/>
                <w:sz w:val="20"/>
                <w:szCs w:val="20"/>
              </w:rPr>
              <w:t>21110</w:t>
            </w:r>
          </w:p>
        </w:tc>
        <w:tc>
          <w:tcPr>
            <w:tcW w:w="5796"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b/>
                <w:bCs/>
                <w:sz w:val="20"/>
                <w:szCs w:val="20"/>
              </w:rPr>
            </w:pPr>
            <w:r w:rsidRPr="00906AFB">
              <w:rPr>
                <w:rFonts w:ascii="Arial" w:hAnsi="Arial" w:cs="Arial"/>
                <w:b/>
                <w:bCs/>
                <w:sz w:val="20"/>
                <w:szCs w:val="20"/>
              </w:rPr>
              <w:t>Gobierno del Estado de Colima</w:t>
            </w:r>
          </w:p>
        </w:tc>
        <w:tc>
          <w:tcPr>
            <w:tcW w:w="1607" w:type="dxa"/>
            <w:tcBorders>
              <w:top w:val="single" w:sz="4" w:space="0" w:color="auto"/>
              <w:left w:val="single" w:sz="4" w:space="0" w:color="auto"/>
              <w:bottom w:val="single" w:sz="4" w:space="0" w:color="auto"/>
              <w:right w:val="single" w:sz="4" w:space="0" w:color="auto"/>
            </w:tcBorders>
            <w:noWrap/>
            <w:vAlign w:val="center"/>
            <w:hideMark/>
          </w:tcPr>
          <w:p w:rsidR="00906AFB" w:rsidRPr="00664E06" w:rsidRDefault="00C041A9" w:rsidP="00664E06">
            <w:pPr>
              <w:jc w:val="right"/>
              <w:rPr>
                <w:rFonts w:ascii="Arial" w:hAnsi="Arial"/>
                <w:b/>
                <w:sz w:val="20"/>
                <w:szCs w:val="20"/>
              </w:rPr>
            </w:pPr>
            <w:r w:rsidRPr="00C041A9">
              <w:rPr>
                <w:rFonts w:ascii="Arial" w:hAnsi="Arial"/>
                <w:b/>
                <w:sz w:val="20"/>
                <w:szCs w:val="20"/>
              </w:rPr>
              <w:t>10,252,987,871</w:t>
            </w:r>
          </w:p>
        </w:tc>
      </w:tr>
      <w:tr w:rsidR="00664E06" w:rsidRPr="00906AFB" w:rsidTr="00664E06">
        <w:trPr>
          <w:trHeight w:val="283"/>
          <w:jc w:val="center"/>
        </w:trPr>
        <w:tc>
          <w:tcPr>
            <w:tcW w:w="1008" w:type="dxa"/>
            <w:tcBorders>
              <w:top w:val="single" w:sz="4" w:space="0" w:color="auto"/>
              <w:left w:val="single" w:sz="4" w:space="0" w:color="auto"/>
              <w:bottom w:val="single" w:sz="4" w:space="0" w:color="auto"/>
              <w:right w:val="single" w:sz="4" w:space="0" w:color="auto"/>
            </w:tcBorders>
            <w:noWrap/>
            <w:vAlign w:val="center"/>
            <w:hideMark/>
          </w:tcPr>
          <w:p w:rsidR="00664E06" w:rsidRPr="00906AFB" w:rsidRDefault="00664E06" w:rsidP="00664E06">
            <w:pPr>
              <w:jc w:val="center"/>
              <w:rPr>
                <w:rFonts w:ascii="Arial" w:hAnsi="Arial" w:cs="Arial"/>
                <w:sz w:val="20"/>
                <w:szCs w:val="20"/>
              </w:rPr>
            </w:pPr>
            <w:r w:rsidRPr="00906AFB">
              <w:rPr>
                <w:rFonts w:ascii="Arial" w:hAnsi="Arial" w:cs="Arial"/>
                <w:sz w:val="20"/>
                <w:szCs w:val="20"/>
              </w:rPr>
              <w:t>21111</w:t>
            </w:r>
          </w:p>
        </w:tc>
        <w:tc>
          <w:tcPr>
            <w:tcW w:w="5796" w:type="dxa"/>
            <w:tcBorders>
              <w:top w:val="single" w:sz="4" w:space="0" w:color="auto"/>
              <w:left w:val="single" w:sz="4" w:space="0" w:color="auto"/>
              <w:bottom w:val="single" w:sz="4" w:space="0" w:color="auto"/>
              <w:right w:val="single" w:sz="4" w:space="0" w:color="auto"/>
            </w:tcBorders>
            <w:vAlign w:val="center"/>
            <w:hideMark/>
          </w:tcPr>
          <w:p w:rsidR="00664E06" w:rsidRPr="00906AFB" w:rsidRDefault="00664E06" w:rsidP="00664E06">
            <w:pPr>
              <w:rPr>
                <w:rFonts w:ascii="Arial" w:hAnsi="Arial" w:cs="Arial"/>
                <w:sz w:val="20"/>
                <w:szCs w:val="20"/>
              </w:rPr>
            </w:pPr>
            <w:r w:rsidRPr="00906AFB">
              <w:rPr>
                <w:rFonts w:ascii="Arial" w:hAnsi="Arial" w:cs="Arial"/>
                <w:sz w:val="20"/>
                <w:szCs w:val="20"/>
              </w:rPr>
              <w:t>Poder Ejecutivo</w:t>
            </w:r>
          </w:p>
        </w:tc>
        <w:tc>
          <w:tcPr>
            <w:tcW w:w="1607" w:type="dxa"/>
            <w:tcBorders>
              <w:top w:val="single" w:sz="4" w:space="0" w:color="auto"/>
              <w:left w:val="single" w:sz="4" w:space="0" w:color="auto"/>
              <w:bottom w:val="single" w:sz="4" w:space="0" w:color="auto"/>
              <w:right w:val="single" w:sz="4" w:space="0" w:color="auto"/>
            </w:tcBorders>
            <w:vAlign w:val="center"/>
            <w:hideMark/>
          </w:tcPr>
          <w:p w:rsidR="00664E06" w:rsidRPr="00664E06" w:rsidRDefault="00C041A9" w:rsidP="00664E06">
            <w:pPr>
              <w:jc w:val="right"/>
              <w:rPr>
                <w:rFonts w:ascii="Arial" w:hAnsi="Arial" w:cs="Arial"/>
                <w:sz w:val="20"/>
              </w:rPr>
            </w:pPr>
            <w:r w:rsidRPr="00C041A9">
              <w:rPr>
                <w:rFonts w:ascii="Arial" w:hAnsi="Arial" w:cs="Arial"/>
                <w:sz w:val="20"/>
              </w:rPr>
              <w:t>9,609,362,221</w:t>
            </w:r>
          </w:p>
        </w:tc>
      </w:tr>
      <w:tr w:rsidR="00664E06" w:rsidRPr="00906AFB" w:rsidTr="00664E06">
        <w:trPr>
          <w:trHeight w:val="283"/>
          <w:jc w:val="center"/>
        </w:trPr>
        <w:tc>
          <w:tcPr>
            <w:tcW w:w="1008" w:type="dxa"/>
            <w:tcBorders>
              <w:top w:val="single" w:sz="4" w:space="0" w:color="auto"/>
              <w:left w:val="single" w:sz="4" w:space="0" w:color="auto"/>
              <w:bottom w:val="single" w:sz="4" w:space="0" w:color="auto"/>
              <w:right w:val="single" w:sz="4" w:space="0" w:color="auto"/>
            </w:tcBorders>
            <w:noWrap/>
            <w:vAlign w:val="center"/>
            <w:hideMark/>
          </w:tcPr>
          <w:p w:rsidR="00664E06" w:rsidRPr="00906AFB" w:rsidRDefault="00664E06" w:rsidP="00664E06">
            <w:pPr>
              <w:jc w:val="center"/>
              <w:rPr>
                <w:rFonts w:ascii="Arial" w:hAnsi="Arial" w:cs="Arial"/>
                <w:sz w:val="20"/>
                <w:szCs w:val="20"/>
              </w:rPr>
            </w:pPr>
            <w:r w:rsidRPr="00906AFB">
              <w:rPr>
                <w:rFonts w:ascii="Arial" w:hAnsi="Arial" w:cs="Arial"/>
                <w:sz w:val="20"/>
                <w:szCs w:val="20"/>
              </w:rPr>
              <w:t>21112</w:t>
            </w:r>
          </w:p>
        </w:tc>
        <w:tc>
          <w:tcPr>
            <w:tcW w:w="5796" w:type="dxa"/>
            <w:tcBorders>
              <w:top w:val="single" w:sz="4" w:space="0" w:color="auto"/>
              <w:left w:val="single" w:sz="4" w:space="0" w:color="auto"/>
              <w:bottom w:val="single" w:sz="4" w:space="0" w:color="auto"/>
              <w:right w:val="single" w:sz="4" w:space="0" w:color="auto"/>
            </w:tcBorders>
            <w:vAlign w:val="center"/>
            <w:hideMark/>
          </w:tcPr>
          <w:p w:rsidR="00664E06" w:rsidRPr="00906AFB" w:rsidRDefault="00664E06" w:rsidP="00664E06">
            <w:pPr>
              <w:rPr>
                <w:rFonts w:ascii="Arial" w:hAnsi="Arial" w:cs="Arial"/>
                <w:sz w:val="20"/>
                <w:szCs w:val="20"/>
              </w:rPr>
            </w:pPr>
            <w:r w:rsidRPr="00906AFB">
              <w:rPr>
                <w:rFonts w:ascii="Arial" w:hAnsi="Arial" w:cs="Arial"/>
                <w:sz w:val="20"/>
                <w:szCs w:val="20"/>
              </w:rPr>
              <w:t>Poder Legislativo</w:t>
            </w:r>
          </w:p>
        </w:tc>
        <w:tc>
          <w:tcPr>
            <w:tcW w:w="1607" w:type="dxa"/>
            <w:tcBorders>
              <w:top w:val="single" w:sz="4" w:space="0" w:color="auto"/>
              <w:left w:val="single" w:sz="4" w:space="0" w:color="auto"/>
              <w:bottom w:val="single" w:sz="4" w:space="0" w:color="auto"/>
              <w:right w:val="single" w:sz="4" w:space="0" w:color="auto"/>
            </w:tcBorders>
            <w:vAlign w:val="center"/>
            <w:hideMark/>
          </w:tcPr>
          <w:p w:rsidR="00664E06" w:rsidRPr="00664E06" w:rsidRDefault="00664E06" w:rsidP="00664E06">
            <w:pPr>
              <w:jc w:val="right"/>
              <w:rPr>
                <w:rFonts w:ascii="Arial" w:hAnsi="Arial" w:cs="Arial"/>
                <w:sz w:val="20"/>
              </w:rPr>
            </w:pPr>
            <w:r w:rsidRPr="00664E06">
              <w:rPr>
                <w:rFonts w:ascii="Arial" w:hAnsi="Arial" w:cs="Arial"/>
                <w:sz w:val="20"/>
              </w:rPr>
              <w:t>123,280,000</w:t>
            </w:r>
          </w:p>
        </w:tc>
      </w:tr>
      <w:tr w:rsidR="00664E06" w:rsidRPr="00906AFB" w:rsidTr="00664E06">
        <w:trPr>
          <w:trHeight w:val="283"/>
          <w:jc w:val="center"/>
        </w:trPr>
        <w:tc>
          <w:tcPr>
            <w:tcW w:w="1008" w:type="dxa"/>
            <w:tcBorders>
              <w:top w:val="single" w:sz="4" w:space="0" w:color="auto"/>
              <w:left w:val="single" w:sz="4" w:space="0" w:color="auto"/>
              <w:bottom w:val="single" w:sz="4" w:space="0" w:color="auto"/>
              <w:right w:val="single" w:sz="4" w:space="0" w:color="auto"/>
            </w:tcBorders>
            <w:noWrap/>
            <w:vAlign w:val="center"/>
            <w:hideMark/>
          </w:tcPr>
          <w:p w:rsidR="00664E06" w:rsidRPr="00906AFB" w:rsidRDefault="00664E06" w:rsidP="00664E06">
            <w:pPr>
              <w:jc w:val="center"/>
              <w:rPr>
                <w:rFonts w:ascii="Arial" w:hAnsi="Arial" w:cs="Arial"/>
                <w:sz w:val="20"/>
                <w:szCs w:val="20"/>
              </w:rPr>
            </w:pPr>
            <w:r w:rsidRPr="00906AFB">
              <w:rPr>
                <w:rFonts w:ascii="Arial" w:hAnsi="Arial" w:cs="Arial"/>
                <w:sz w:val="20"/>
                <w:szCs w:val="20"/>
              </w:rPr>
              <w:t>21113</w:t>
            </w:r>
          </w:p>
        </w:tc>
        <w:tc>
          <w:tcPr>
            <w:tcW w:w="5796" w:type="dxa"/>
            <w:tcBorders>
              <w:top w:val="single" w:sz="4" w:space="0" w:color="auto"/>
              <w:left w:val="single" w:sz="4" w:space="0" w:color="auto"/>
              <w:bottom w:val="single" w:sz="4" w:space="0" w:color="auto"/>
              <w:right w:val="single" w:sz="4" w:space="0" w:color="auto"/>
            </w:tcBorders>
            <w:vAlign w:val="center"/>
            <w:hideMark/>
          </w:tcPr>
          <w:p w:rsidR="00664E06" w:rsidRPr="00906AFB" w:rsidRDefault="00664E06" w:rsidP="00664E06">
            <w:pPr>
              <w:rPr>
                <w:rFonts w:ascii="Arial" w:hAnsi="Arial" w:cs="Arial"/>
                <w:sz w:val="20"/>
                <w:szCs w:val="20"/>
              </w:rPr>
            </w:pPr>
            <w:r w:rsidRPr="00906AFB">
              <w:rPr>
                <w:rFonts w:ascii="Arial" w:hAnsi="Arial" w:cs="Arial"/>
                <w:sz w:val="20"/>
                <w:szCs w:val="20"/>
              </w:rPr>
              <w:t>Poder Judicial</w:t>
            </w:r>
          </w:p>
        </w:tc>
        <w:tc>
          <w:tcPr>
            <w:tcW w:w="1607" w:type="dxa"/>
            <w:tcBorders>
              <w:top w:val="single" w:sz="4" w:space="0" w:color="auto"/>
              <w:left w:val="single" w:sz="4" w:space="0" w:color="auto"/>
              <w:bottom w:val="single" w:sz="4" w:space="0" w:color="auto"/>
              <w:right w:val="single" w:sz="4" w:space="0" w:color="auto"/>
            </w:tcBorders>
            <w:vAlign w:val="center"/>
            <w:hideMark/>
          </w:tcPr>
          <w:p w:rsidR="00664E06" w:rsidRPr="00664E06" w:rsidRDefault="00664E06" w:rsidP="00664E06">
            <w:pPr>
              <w:jc w:val="right"/>
              <w:rPr>
                <w:rFonts w:ascii="Arial" w:hAnsi="Arial" w:cs="Arial"/>
                <w:sz w:val="20"/>
              </w:rPr>
            </w:pPr>
            <w:r w:rsidRPr="00664E06">
              <w:rPr>
                <w:rFonts w:ascii="Arial" w:hAnsi="Arial" w:cs="Arial"/>
                <w:sz w:val="20"/>
              </w:rPr>
              <w:t>185,878,250</w:t>
            </w:r>
          </w:p>
        </w:tc>
      </w:tr>
      <w:tr w:rsidR="00664E06" w:rsidRPr="00906AFB" w:rsidTr="00664E06">
        <w:trPr>
          <w:trHeight w:val="283"/>
          <w:jc w:val="center"/>
        </w:trPr>
        <w:tc>
          <w:tcPr>
            <w:tcW w:w="1008" w:type="dxa"/>
            <w:tcBorders>
              <w:top w:val="single" w:sz="4" w:space="0" w:color="auto"/>
              <w:left w:val="single" w:sz="4" w:space="0" w:color="auto"/>
              <w:bottom w:val="single" w:sz="4" w:space="0" w:color="auto"/>
              <w:right w:val="single" w:sz="4" w:space="0" w:color="auto"/>
            </w:tcBorders>
            <w:noWrap/>
            <w:vAlign w:val="center"/>
            <w:hideMark/>
          </w:tcPr>
          <w:p w:rsidR="00664E06" w:rsidRPr="00906AFB" w:rsidRDefault="00664E06" w:rsidP="00664E06">
            <w:pPr>
              <w:jc w:val="center"/>
              <w:rPr>
                <w:rFonts w:ascii="Arial" w:hAnsi="Arial" w:cs="Arial"/>
                <w:sz w:val="20"/>
                <w:szCs w:val="20"/>
              </w:rPr>
            </w:pPr>
            <w:r w:rsidRPr="00906AFB">
              <w:rPr>
                <w:rFonts w:ascii="Arial" w:hAnsi="Arial" w:cs="Arial"/>
                <w:sz w:val="20"/>
                <w:szCs w:val="20"/>
              </w:rPr>
              <w:t>21114</w:t>
            </w:r>
          </w:p>
        </w:tc>
        <w:tc>
          <w:tcPr>
            <w:tcW w:w="5796" w:type="dxa"/>
            <w:tcBorders>
              <w:top w:val="single" w:sz="4" w:space="0" w:color="auto"/>
              <w:left w:val="single" w:sz="4" w:space="0" w:color="auto"/>
              <w:bottom w:val="single" w:sz="4" w:space="0" w:color="auto"/>
              <w:right w:val="single" w:sz="4" w:space="0" w:color="auto"/>
            </w:tcBorders>
            <w:vAlign w:val="center"/>
            <w:hideMark/>
          </w:tcPr>
          <w:p w:rsidR="00664E06" w:rsidRPr="00906AFB" w:rsidRDefault="00664E06" w:rsidP="00664E06">
            <w:pPr>
              <w:rPr>
                <w:rFonts w:ascii="Arial" w:hAnsi="Arial" w:cs="Arial"/>
                <w:sz w:val="20"/>
                <w:szCs w:val="20"/>
              </w:rPr>
            </w:pPr>
            <w:r w:rsidRPr="00906AFB">
              <w:rPr>
                <w:rFonts w:ascii="Arial" w:hAnsi="Arial" w:cs="Arial"/>
                <w:sz w:val="20"/>
                <w:szCs w:val="20"/>
              </w:rPr>
              <w:t>Órganos Autónomos</w:t>
            </w:r>
          </w:p>
        </w:tc>
        <w:tc>
          <w:tcPr>
            <w:tcW w:w="1607" w:type="dxa"/>
            <w:tcBorders>
              <w:top w:val="single" w:sz="4" w:space="0" w:color="auto"/>
              <w:left w:val="single" w:sz="4" w:space="0" w:color="auto"/>
              <w:bottom w:val="single" w:sz="4" w:space="0" w:color="auto"/>
              <w:right w:val="single" w:sz="4" w:space="0" w:color="auto"/>
            </w:tcBorders>
            <w:vAlign w:val="center"/>
            <w:hideMark/>
          </w:tcPr>
          <w:p w:rsidR="00664E06" w:rsidRPr="00664E06" w:rsidRDefault="00664E06" w:rsidP="00664E06">
            <w:pPr>
              <w:jc w:val="right"/>
              <w:rPr>
                <w:rFonts w:ascii="Arial" w:hAnsi="Arial" w:cs="Arial"/>
                <w:sz w:val="20"/>
              </w:rPr>
            </w:pPr>
            <w:r w:rsidRPr="00664E06">
              <w:rPr>
                <w:rFonts w:ascii="Arial" w:hAnsi="Arial" w:cs="Arial"/>
                <w:sz w:val="20"/>
              </w:rPr>
              <w:t>334,467,400</w:t>
            </w:r>
          </w:p>
        </w:tc>
      </w:tr>
      <w:tr w:rsidR="00906AFB" w:rsidRPr="00906AFB" w:rsidTr="00664E06">
        <w:trPr>
          <w:trHeight w:val="283"/>
          <w:jc w:val="center"/>
        </w:trPr>
        <w:tc>
          <w:tcPr>
            <w:tcW w:w="1008"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center"/>
              <w:rPr>
                <w:rFonts w:ascii="Arial" w:hAnsi="Arial" w:cs="Arial"/>
                <w:b/>
                <w:bCs/>
                <w:sz w:val="20"/>
                <w:szCs w:val="20"/>
              </w:rPr>
            </w:pPr>
            <w:r w:rsidRPr="00906AFB">
              <w:rPr>
                <w:rFonts w:ascii="Arial" w:hAnsi="Arial" w:cs="Arial"/>
                <w:b/>
                <w:bCs/>
                <w:sz w:val="20"/>
                <w:szCs w:val="20"/>
              </w:rPr>
              <w:t>21120</w:t>
            </w:r>
          </w:p>
        </w:tc>
        <w:tc>
          <w:tcPr>
            <w:tcW w:w="5796"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b/>
                <w:bCs/>
                <w:sz w:val="20"/>
                <w:szCs w:val="20"/>
              </w:rPr>
            </w:pPr>
            <w:r w:rsidRPr="00906AFB">
              <w:rPr>
                <w:rFonts w:ascii="Arial" w:hAnsi="Arial" w:cs="Arial"/>
                <w:b/>
                <w:bCs/>
                <w:sz w:val="20"/>
                <w:szCs w:val="20"/>
              </w:rPr>
              <w:t>Entidades Paraestatales y Fideicomisos No Empresariales y No Financieros</w:t>
            </w:r>
          </w:p>
        </w:tc>
        <w:tc>
          <w:tcPr>
            <w:tcW w:w="1607" w:type="dxa"/>
            <w:tcBorders>
              <w:top w:val="single" w:sz="4" w:space="0" w:color="auto"/>
              <w:left w:val="single" w:sz="4" w:space="0" w:color="auto"/>
              <w:bottom w:val="single" w:sz="4" w:space="0" w:color="auto"/>
              <w:right w:val="single" w:sz="4" w:space="0" w:color="auto"/>
            </w:tcBorders>
            <w:noWrap/>
            <w:vAlign w:val="center"/>
            <w:hideMark/>
          </w:tcPr>
          <w:p w:rsidR="00906AFB" w:rsidRPr="00664E06" w:rsidRDefault="00C041A9" w:rsidP="00664E06">
            <w:pPr>
              <w:jc w:val="right"/>
              <w:rPr>
                <w:rFonts w:ascii="Arial" w:hAnsi="Arial"/>
                <w:b/>
                <w:sz w:val="20"/>
                <w:szCs w:val="20"/>
              </w:rPr>
            </w:pPr>
            <w:r w:rsidRPr="00C041A9">
              <w:rPr>
                <w:rFonts w:ascii="Arial" w:hAnsi="Arial"/>
                <w:b/>
                <w:sz w:val="20"/>
                <w:szCs w:val="20"/>
              </w:rPr>
              <w:t>5,264,537,129</w:t>
            </w:r>
          </w:p>
        </w:tc>
      </w:tr>
      <w:tr w:rsidR="00906AFB" w:rsidRPr="00906AFB" w:rsidTr="00664E06">
        <w:trPr>
          <w:trHeight w:val="283"/>
          <w:jc w:val="center"/>
        </w:trPr>
        <w:tc>
          <w:tcPr>
            <w:tcW w:w="1008"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center"/>
              <w:rPr>
                <w:rFonts w:ascii="Arial" w:hAnsi="Arial" w:cs="Arial"/>
                <w:sz w:val="20"/>
                <w:szCs w:val="20"/>
              </w:rPr>
            </w:pPr>
            <w:r w:rsidRPr="00906AFB">
              <w:rPr>
                <w:rFonts w:ascii="Arial" w:hAnsi="Arial" w:cs="Arial"/>
                <w:sz w:val="20"/>
                <w:szCs w:val="20"/>
              </w:rPr>
              <w:t>21122</w:t>
            </w:r>
          </w:p>
        </w:tc>
        <w:tc>
          <w:tcPr>
            <w:tcW w:w="5796"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20"/>
                <w:szCs w:val="20"/>
              </w:rPr>
            </w:pPr>
            <w:r w:rsidRPr="00906AFB">
              <w:rPr>
                <w:rFonts w:ascii="Arial" w:hAnsi="Arial" w:cs="Arial"/>
                <w:sz w:val="20"/>
                <w:szCs w:val="20"/>
              </w:rPr>
              <w:t>Transferencias internas otorgadas a entidades paraestatales no empresariales y no financieras</w:t>
            </w:r>
          </w:p>
        </w:tc>
        <w:tc>
          <w:tcPr>
            <w:tcW w:w="1607" w:type="dxa"/>
            <w:tcBorders>
              <w:top w:val="single" w:sz="4" w:space="0" w:color="auto"/>
              <w:left w:val="single" w:sz="4" w:space="0" w:color="auto"/>
              <w:bottom w:val="single" w:sz="4" w:space="0" w:color="auto"/>
              <w:right w:val="single" w:sz="4" w:space="0" w:color="auto"/>
            </w:tcBorders>
            <w:noWrap/>
            <w:vAlign w:val="center"/>
            <w:hideMark/>
          </w:tcPr>
          <w:p w:rsidR="00906AFB" w:rsidRPr="00C041A9" w:rsidRDefault="00906AFB" w:rsidP="00664E06">
            <w:pPr>
              <w:jc w:val="right"/>
              <w:rPr>
                <w:rFonts w:ascii="Arial" w:hAnsi="Arial"/>
                <w:sz w:val="20"/>
                <w:szCs w:val="20"/>
              </w:rPr>
            </w:pPr>
            <w:r w:rsidRPr="00C041A9">
              <w:rPr>
                <w:rFonts w:ascii="Arial" w:hAnsi="Arial"/>
                <w:sz w:val="20"/>
                <w:szCs w:val="20"/>
              </w:rPr>
              <w:t>5,213,048,829</w:t>
            </w:r>
          </w:p>
        </w:tc>
      </w:tr>
      <w:tr w:rsidR="00906AFB" w:rsidRPr="00906AFB" w:rsidTr="00664E06">
        <w:trPr>
          <w:trHeight w:val="283"/>
          <w:jc w:val="center"/>
        </w:trPr>
        <w:tc>
          <w:tcPr>
            <w:tcW w:w="1008"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center"/>
              <w:rPr>
                <w:rFonts w:ascii="Arial" w:hAnsi="Arial" w:cs="Arial"/>
                <w:sz w:val="20"/>
                <w:szCs w:val="20"/>
              </w:rPr>
            </w:pPr>
            <w:r w:rsidRPr="00906AFB">
              <w:rPr>
                <w:rFonts w:ascii="Arial" w:hAnsi="Arial" w:cs="Arial"/>
                <w:sz w:val="20"/>
                <w:szCs w:val="20"/>
              </w:rPr>
              <w:t>21123</w:t>
            </w:r>
          </w:p>
        </w:tc>
        <w:tc>
          <w:tcPr>
            <w:tcW w:w="5796"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20"/>
                <w:szCs w:val="20"/>
              </w:rPr>
            </w:pPr>
            <w:r w:rsidRPr="00906AFB">
              <w:rPr>
                <w:rFonts w:ascii="Arial" w:hAnsi="Arial" w:cs="Arial"/>
                <w:sz w:val="20"/>
                <w:szCs w:val="20"/>
              </w:rPr>
              <w:t>Transferencias internas otorgadas a fideicomisos públicos financieros</w:t>
            </w:r>
          </w:p>
        </w:tc>
        <w:tc>
          <w:tcPr>
            <w:tcW w:w="1607" w:type="dxa"/>
            <w:tcBorders>
              <w:top w:val="single" w:sz="4" w:space="0" w:color="auto"/>
              <w:left w:val="single" w:sz="4" w:space="0" w:color="auto"/>
              <w:bottom w:val="single" w:sz="4" w:space="0" w:color="auto"/>
              <w:right w:val="single" w:sz="4" w:space="0" w:color="auto"/>
            </w:tcBorders>
            <w:noWrap/>
            <w:vAlign w:val="center"/>
            <w:hideMark/>
          </w:tcPr>
          <w:p w:rsidR="00906AFB" w:rsidRPr="00C041A9" w:rsidRDefault="00C041A9" w:rsidP="00664E06">
            <w:pPr>
              <w:jc w:val="right"/>
              <w:rPr>
                <w:rFonts w:ascii="Arial" w:hAnsi="Arial"/>
                <w:sz w:val="20"/>
                <w:szCs w:val="20"/>
              </w:rPr>
            </w:pPr>
            <w:r w:rsidRPr="00C041A9">
              <w:rPr>
                <w:rFonts w:ascii="Arial" w:hAnsi="Arial"/>
                <w:sz w:val="20"/>
                <w:szCs w:val="20"/>
              </w:rPr>
              <w:t>51,488,300</w:t>
            </w:r>
          </w:p>
        </w:tc>
      </w:tr>
    </w:tbl>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sz w:val="24"/>
          <w:szCs w:val="24"/>
          <w:lang w:val="es-ES" w:eastAsia="en-US"/>
        </w:rPr>
        <w:t xml:space="preserve">En el </w:t>
      </w:r>
      <w:r w:rsidRPr="00906AFB">
        <w:rPr>
          <w:rFonts w:ascii="Arial" w:eastAsia="Calibri" w:hAnsi="Arial" w:cs="Arial"/>
          <w:b/>
          <w:sz w:val="24"/>
          <w:szCs w:val="24"/>
          <w:lang w:val="es-ES" w:eastAsia="en-US"/>
        </w:rPr>
        <w:t>Anexo 5</w:t>
      </w:r>
      <w:r w:rsidRPr="00906AFB">
        <w:rPr>
          <w:rFonts w:ascii="Arial" w:eastAsia="Calibri" w:hAnsi="Arial" w:cs="Arial"/>
          <w:sz w:val="24"/>
          <w:szCs w:val="24"/>
          <w:lang w:val="es-ES" w:eastAsia="en-US"/>
        </w:rPr>
        <w:t xml:space="preserve"> se presenta la desagregación de acuerdo con la Clasificación Administrativa:</w:t>
      </w:r>
    </w:p>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Pr="00906AFB" w:rsidRDefault="00906AFB" w:rsidP="00F859A4">
      <w:pPr>
        <w:numPr>
          <w:ilvl w:val="0"/>
          <w:numId w:val="9"/>
        </w:numPr>
        <w:spacing w:before="120" w:after="0" w:line="240" w:lineRule="auto"/>
        <w:ind w:left="0" w:firstLine="0"/>
        <w:contextualSpacing/>
        <w:jc w:val="both"/>
        <w:rPr>
          <w:rFonts w:ascii="Arial" w:eastAsia="Times New Roman" w:hAnsi="Arial" w:cs="Arial"/>
          <w:sz w:val="24"/>
          <w:szCs w:val="24"/>
        </w:rPr>
      </w:pPr>
      <w:r w:rsidRPr="00906AFB">
        <w:rPr>
          <w:rFonts w:ascii="Arial" w:eastAsia="Times New Roman" w:hAnsi="Arial" w:cs="Arial"/>
          <w:sz w:val="24"/>
          <w:szCs w:val="24"/>
        </w:rPr>
        <w:t>Sector Público del Estado de Colima;</w:t>
      </w:r>
    </w:p>
    <w:p w:rsidR="00906AFB" w:rsidRPr="00906AFB" w:rsidRDefault="00906AFB" w:rsidP="00906AFB">
      <w:pPr>
        <w:spacing w:after="0" w:line="240" w:lineRule="auto"/>
        <w:contextualSpacing/>
        <w:jc w:val="both"/>
        <w:rPr>
          <w:rFonts w:ascii="Arial" w:eastAsia="Times New Roman" w:hAnsi="Arial" w:cs="Arial"/>
          <w:sz w:val="24"/>
          <w:szCs w:val="24"/>
        </w:rPr>
      </w:pPr>
    </w:p>
    <w:p w:rsidR="00906AFB" w:rsidRPr="00906AFB" w:rsidRDefault="00906AFB" w:rsidP="00F859A4">
      <w:pPr>
        <w:numPr>
          <w:ilvl w:val="0"/>
          <w:numId w:val="9"/>
        </w:numPr>
        <w:spacing w:before="120" w:after="0" w:line="240" w:lineRule="auto"/>
        <w:ind w:left="0" w:firstLine="0"/>
        <w:contextualSpacing/>
        <w:jc w:val="both"/>
        <w:rPr>
          <w:rFonts w:ascii="Arial" w:eastAsia="Times New Roman" w:hAnsi="Arial" w:cs="Arial"/>
          <w:sz w:val="24"/>
          <w:szCs w:val="24"/>
        </w:rPr>
      </w:pPr>
      <w:r w:rsidRPr="00906AFB">
        <w:rPr>
          <w:rFonts w:ascii="Arial" w:eastAsia="Times New Roman" w:hAnsi="Arial" w:cs="Arial"/>
          <w:sz w:val="24"/>
          <w:szCs w:val="24"/>
        </w:rPr>
        <w:t>Sector Público del Estado de Colima por Unidad Responsable (UR);</w:t>
      </w:r>
    </w:p>
    <w:p w:rsidR="00906AFB" w:rsidRPr="00906AFB" w:rsidRDefault="00906AFB" w:rsidP="00906AFB">
      <w:pPr>
        <w:spacing w:after="0" w:line="240" w:lineRule="auto"/>
        <w:contextualSpacing/>
        <w:jc w:val="both"/>
        <w:rPr>
          <w:rFonts w:ascii="Arial" w:eastAsia="Times New Roman" w:hAnsi="Arial" w:cs="Arial"/>
          <w:sz w:val="24"/>
          <w:szCs w:val="24"/>
        </w:rPr>
      </w:pPr>
    </w:p>
    <w:p w:rsidR="00906AFB" w:rsidRPr="00906AFB" w:rsidRDefault="00906AFB" w:rsidP="00F859A4">
      <w:pPr>
        <w:numPr>
          <w:ilvl w:val="0"/>
          <w:numId w:val="9"/>
        </w:numPr>
        <w:spacing w:before="120" w:after="0" w:line="240" w:lineRule="auto"/>
        <w:ind w:left="709" w:hanging="709"/>
        <w:contextualSpacing/>
        <w:jc w:val="both"/>
        <w:rPr>
          <w:rFonts w:ascii="Arial" w:eastAsia="Times New Roman" w:hAnsi="Arial" w:cs="Arial"/>
          <w:sz w:val="24"/>
          <w:szCs w:val="24"/>
        </w:rPr>
      </w:pPr>
      <w:r w:rsidRPr="00906AFB">
        <w:rPr>
          <w:rFonts w:ascii="Arial" w:eastAsia="Times New Roman" w:hAnsi="Arial" w:cs="Arial"/>
          <w:sz w:val="24"/>
          <w:szCs w:val="24"/>
        </w:rPr>
        <w:t>Administración centralizada, incluyendo los ramos generales y dependencias;</w:t>
      </w:r>
    </w:p>
    <w:p w:rsidR="00906AFB" w:rsidRPr="00906AFB" w:rsidRDefault="00906AFB" w:rsidP="00906AFB">
      <w:pPr>
        <w:spacing w:after="0" w:line="240" w:lineRule="auto"/>
        <w:contextualSpacing/>
        <w:jc w:val="both"/>
        <w:rPr>
          <w:rFonts w:ascii="Arial" w:eastAsia="Times New Roman" w:hAnsi="Arial" w:cs="Arial"/>
          <w:sz w:val="24"/>
          <w:szCs w:val="24"/>
        </w:rPr>
      </w:pPr>
    </w:p>
    <w:p w:rsidR="00906AFB" w:rsidRPr="00906AFB" w:rsidRDefault="00906AFB" w:rsidP="00F859A4">
      <w:pPr>
        <w:numPr>
          <w:ilvl w:val="0"/>
          <w:numId w:val="9"/>
        </w:numPr>
        <w:spacing w:before="120" w:after="0" w:line="240" w:lineRule="auto"/>
        <w:ind w:left="709" w:hanging="709"/>
        <w:contextualSpacing/>
        <w:jc w:val="both"/>
        <w:rPr>
          <w:rFonts w:ascii="Arial" w:eastAsia="Times New Roman" w:hAnsi="Arial" w:cs="Arial"/>
          <w:sz w:val="24"/>
          <w:szCs w:val="24"/>
        </w:rPr>
      </w:pPr>
      <w:r w:rsidRPr="00906AFB">
        <w:rPr>
          <w:rFonts w:ascii="Arial" w:eastAsia="Times New Roman" w:hAnsi="Arial" w:cs="Arial"/>
          <w:sz w:val="24"/>
          <w:szCs w:val="24"/>
        </w:rPr>
        <w:t>Administración descentralizada, incluyendo los organismos y paraestatales; y</w:t>
      </w:r>
    </w:p>
    <w:p w:rsidR="00906AFB" w:rsidRPr="00906AFB" w:rsidRDefault="00906AFB" w:rsidP="00906AFB">
      <w:pPr>
        <w:spacing w:after="0" w:line="240" w:lineRule="auto"/>
        <w:contextualSpacing/>
        <w:jc w:val="both"/>
        <w:rPr>
          <w:rFonts w:ascii="Arial" w:eastAsia="Times New Roman" w:hAnsi="Arial" w:cs="Arial"/>
          <w:sz w:val="24"/>
          <w:szCs w:val="24"/>
        </w:rPr>
      </w:pPr>
    </w:p>
    <w:p w:rsidR="00906AFB" w:rsidRPr="00906AFB" w:rsidRDefault="00906AFB" w:rsidP="00F859A4">
      <w:pPr>
        <w:numPr>
          <w:ilvl w:val="0"/>
          <w:numId w:val="9"/>
        </w:numPr>
        <w:spacing w:before="120" w:after="0" w:line="240" w:lineRule="auto"/>
        <w:ind w:left="0" w:firstLine="0"/>
        <w:contextualSpacing/>
        <w:jc w:val="both"/>
        <w:rPr>
          <w:rFonts w:ascii="Arial" w:eastAsia="Times New Roman" w:hAnsi="Arial" w:cs="Arial"/>
          <w:sz w:val="24"/>
          <w:szCs w:val="24"/>
        </w:rPr>
      </w:pPr>
      <w:r w:rsidRPr="00906AFB">
        <w:rPr>
          <w:rFonts w:ascii="Arial" w:eastAsia="Times New Roman" w:hAnsi="Arial" w:cs="Arial"/>
          <w:sz w:val="24"/>
          <w:szCs w:val="24"/>
        </w:rPr>
        <w:lastRenderedPageBreak/>
        <w:t>Organismos autónomos.</w:t>
      </w:r>
    </w:p>
    <w:p w:rsidR="00906AFB" w:rsidRPr="00906AFB" w:rsidRDefault="00906AFB" w:rsidP="00906AFB">
      <w:pPr>
        <w:spacing w:after="0" w:line="240" w:lineRule="auto"/>
        <w:jc w:val="both"/>
        <w:rPr>
          <w:rFonts w:ascii="Arial" w:eastAsia="Times New Roman" w:hAnsi="Arial" w:cs="Arial"/>
          <w:sz w:val="24"/>
          <w:szCs w:val="24"/>
        </w:rPr>
      </w:pPr>
    </w:p>
    <w:p w:rsidR="00906AFB" w:rsidRPr="00906AFB" w:rsidRDefault="00906AFB" w:rsidP="00906AFB">
      <w:pPr>
        <w:spacing w:after="0" w:line="240" w:lineRule="auto"/>
        <w:jc w:val="both"/>
        <w:rPr>
          <w:rFonts w:ascii="Arial" w:eastAsia="Times New Roman" w:hAnsi="Arial" w:cs="Arial"/>
          <w:sz w:val="24"/>
          <w:szCs w:val="24"/>
        </w:rPr>
      </w:pPr>
      <w:r w:rsidRPr="00906AFB">
        <w:rPr>
          <w:rFonts w:ascii="Arial" w:eastAsia="Times New Roman" w:hAnsi="Arial" w:cs="Arial"/>
          <w:sz w:val="24"/>
          <w:szCs w:val="24"/>
        </w:rPr>
        <w:t>Las erogaciones previstas para gasto corriente y de inversión de las Dependencias, Ramos Generales y Transferencias se distribuyen de la siguiente forma según la Clasificación Administrativa:</w:t>
      </w:r>
    </w:p>
    <w:p w:rsidR="00906AFB" w:rsidRPr="00C16A91" w:rsidRDefault="00906AFB" w:rsidP="00906AFB">
      <w:pPr>
        <w:spacing w:after="0" w:line="240" w:lineRule="auto"/>
        <w:jc w:val="both"/>
        <w:rPr>
          <w:rFonts w:ascii="Arial" w:eastAsia="Times New Roman" w:hAnsi="Arial" w:cs="Arial"/>
          <w:sz w:val="32"/>
          <w:szCs w:val="24"/>
        </w:rPr>
      </w:pPr>
    </w:p>
    <w:p w:rsidR="00906AFB" w:rsidRPr="00906AFB" w:rsidRDefault="00906AFB" w:rsidP="00906AFB">
      <w:pPr>
        <w:keepNext/>
        <w:keepLines/>
        <w:spacing w:after="0" w:line="240" w:lineRule="auto"/>
        <w:jc w:val="center"/>
        <w:outlineLvl w:val="1"/>
        <w:rPr>
          <w:rFonts w:ascii="Arial" w:eastAsia="Times New Roman" w:hAnsi="Arial" w:cs="Times New Roman"/>
          <w:b/>
          <w:sz w:val="20"/>
          <w:szCs w:val="26"/>
          <w:lang w:val="es-ES" w:eastAsia="en-US"/>
        </w:rPr>
      </w:pPr>
      <w:r w:rsidRPr="00906AFB">
        <w:rPr>
          <w:rFonts w:ascii="Arial" w:eastAsia="Times New Roman" w:hAnsi="Arial" w:cs="Times New Roman"/>
          <w:b/>
          <w:sz w:val="20"/>
          <w:szCs w:val="26"/>
          <w:lang w:val="es-ES" w:eastAsia="en-US"/>
        </w:rPr>
        <w:t>Tabla 20. Dependencias del Ejecutivo, Transferencias y Ramos Generales</w:t>
      </w:r>
    </w:p>
    <w:tbl>
      <w:tblPr>
        <w:tblStyle w:val="Tablaconcuadrcula2"/>
        <w:tblW w:w="0" w:type="auto"/>
        <w:tblInd w:w="392" w:type="dxa"/>
        <w:tblLook w:val="04A0" w:firstRow="1" w:lastRow="0" w:firstColumn="1" w:lastColumn="0" w:noHBand="0" w:noVBand="1"/>
      </w:tblPr>
      <w:tblGrid>
        <w:gridCol w:w="709"/>
        <w:gridCol w:w="5244"/>
        <w:gridCol w:w="1607"/>
      </w:tblGrid>
      <w:tr w:rsidR="00906AFB" w:rsidRPr="00906AFB" w:rsidTr="00383CE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contextualSpacing/>
              <w:jc w:val="center"/>
              <w:rPr>
                <w:rFonts w:ascii="Arial" w:hAnsi="Arial" w:cs="Arial"/>
                <w:b/>
                <w:bCs/>
                <w:sz w:val="20"/>
                <w:szCs w:val="20"/>
              </w:rPr>
            </w:pPr>
            <w:r w:rsidRPr="00906AFB">
              <w:rPr>
                <w:rFonts w:ascii="Arial" w:hAnsi="Arial" w:cs="Arial"/>
                <w:b/>
                <w:bCs/>
                <w:sz w:val="20"/>
                <w:szCs w:val="20"/>
              </w:rPr>
              <w:t>U.P.</w:t>
            </w:r>
          </w:p>
        </w:tc>
        <w:tc>
          <w:tcPr>
            <w:tcW w:w="5244"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contextualSpacing/>
              <w:jc w:val="center"/>
              <w:rPr>
                <w:rFonts w:ascii="Arial" w:hAnsi="Arial" w:cs="Arial"/>
                <w:b/>
                <w:bCs/>
                <w:sz w:val="20"/>
                <w:szCs w:val="20"/>
              </w:rPr>
            </w:pPr>
            <w:r w:rsidRPr="00906AFB">
              <w:rPr>
                <w:rFonts w:ascii="Arial" w:hAnsi="Arial" w:cs="Arial"/>
                <w:b/>
                <w:bCs/>
                <w:sz w:val="20"/>
                <w:szCs w:val="20"/>
              </w:rPr>
              <w:t>Unidad Presupuestal</w:t>
            </w:r>
          </w:p>
        </w:tc>
        <w:tc>
          <w:tcPr>
            <w:tcW w:w="1607" w:type="dxa"/>
            <w:tcBorders>
              <w:top w:val="single" w:sz="4" w:space="0" w:color="auto"/>
              <w:left w:val="single" w:sz="4" w:space="0" w:color="auto"/>
              <w:bottom w:val="single" w:sz="4" w:space="0" w:color="auto"/>
              <w:right w:val="single" w:sz="4" w:space="0" w:color="auto"/>
            </w:tcBorders>
            <w:vAlign w:val="center"/>
            <w:hideMark/>
          </w:tcPr>
          <w:p w:rsidR="00906AFB" w:rsidRPr="00383CE8" w:rsidRDefault="00906AFB" w:rsidP="00383CE8">
            <w:pPr>
              <w:contextualSpacing/>
              <w:jc w:val="center"/>
              <w:rPr>
                <w:rFonts w:ascii="Arial" w:hAnsi="Arial" w:cs="Arial"/>
                <w:b/>
                <w:bCs/>
                <w:sz w:val="20"/>
                <w:szCs w:val="20"/>
              </w:rPr>
            </w:pPr>
            <w:r w:rsidRPr="00383CE8">
              <w:rPr>
                <w:rFonts w:ascii="Arial" w:hAnsi="Arial" w:cs="Arial"/>
                <w:b/>
                <w:bCs/>
                <w:sz w:val="20"/>
                <w:szCs w:val="20"/>
              </w:rPr>
              <w:t>Asignación Presupuestal</w:t>
            </w:r>
          </w:p>
        </w:tc>
      </w:tr>
      <w:tr w:rsidR="00383CE8" w:rsidRPr="00906AFB" w:rsidTr="00383CE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83CE8" w:rsidRPr="00906AFB" w:rsidRDefault="00383CE8" w:rsidP="00383CE8">
            <w:pPr>
              <w:contextualSpacing/>
              <w:jc w:val="center"/>
              <w:rPr>
                <w:rFonts w:ascii="Arial" w:hAnsi="Arial" w:cs="Arial"/>
                <w:sz w:val="20"/>
                <w:szCs w:val="20"/>
              </w:rPr>
            </w:pPr>
            <w:r w:rsidRPr="00906AFB">
              <w:rPr>
                <w:rFonts w:ascii="Arial" w:hAnsi="Arial" w:cs="Arial"/>
                <w:sz w:val="20"/>
                <w:szCs w:val="20"/>
              </w:rPr>
              <w:t>01</w:t>
            </w:r>
          </w:p>
        </w:tc>
        <w:tc>
          <w:tcPr>
            <w:tcW w:w="5244" w:type="dxa"/>
            <w:tcBorders>
              <w:top w:val="single" w:sz="4" w:space="0" w:color="auto"/>
              <w:left w:val="single" w:sz="4" w:space="0" w:color="auto"/>
              <w:bottom w:val="single" w:sz="4" w:space="0" w:color="auto"/>
              <w:right w:val="single" w:sz="4" w:space="0" w:color="auto"/>
            </w:tcBorders>
            <w:vAlign w:val="center"/>
            <w:hideMark/>
          </w:tcPr>
          <w:p w:rsidR="00383CE8" w:rsidRPr="00906AFB" w:rsidRDefault="00383CE8" w:rsidP="00383CE8">
            <w:pPr>
              <w:contextualSpacing/>
              <w:rPr>
                <w:rFonts w:ascii="Arial" w:hAnsi="Arial" w:cs="Arial"/>
                <w:sz w:val="20"/>
                <w:szCs w:val="20"/>
              </w:rPr>
            </w:pPr>
            <w:r w:rsidRPr="00906AFB">
              <w:rPr>
                <w:rFonts w:ascii="Arial" w:hAnsi="Arial" w:cs="Arial"/>
                <w:sz w:val="20"/>
                <w:szCs w:val="20"/>
              </w:rPr>
              <w:t>Poder Ejecutivo</w:t>
            </w:r>
          </w:p>
        </w:tc>
        <w:tc>
          <w:tcPr>
            <w:tcW w:w="1607" w:type="dxa"/>
            <w:tcBorders>
              <w:top w:val="single" w:sz="4" w:space="0" w:color="auto"/>
              <w:left w:val="single" w:sz="4" w:space="0" w:color="auto"/>
              <w:bottom w:val="single" w:sz="4" w:space="0" w:color="auto"/>
              <w:right w:val="single" w:sz="4" w:space="0" w:color="auto"/>
            </w:tcBorders>
            <w:noWrap/>
            <w:vAlign w:val="center"/>
          </w:tcPr>
          <w:p w:rsidR="00383CE8" w:rsidRPr="00383CE8" w:rsidRDefault="00383CE8" w:rsidP="00383CE8">
            <w:pPr>
              <w:jc w:val="right"/>
              <w:rPr>
                <w:rFonts w:ascii="Arial" w:hAnsi="Arial" w:cs="Arial"/>
                <w:sz w:val="20"/>
                <w:szCs w:val="20"/>
              </w:rPr>
            </w:pPr>
            <w:r w:rsidRPr="00383CE8">
              <w:rPr>
                <w:rFonts w:ascii="Arial" w:hAnsi="Arial" w:cs="Arial"/>
                <w:sz w:val="20"/>
                <w:szCs w:val="20"/>
              </w:rPr>
              <w:t>288,039,202</w:t>
            </w:r>
          </w:p>
        </w:tc>
      </w:tr>
      <w:tr w:rsidR="00383CE8" w:rsidRPr="00906AFB" w:rsidTr="00383CE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83CE8" w:rsidRPr="00906AFB" w:rsidRDefault="00383CE8" w:rsidP="00383CE8">
            <w:pPr>
              <w:contextualSpacing/>
              <w:jc w:val="center"/>
              <w:rPr>
                <w:rFonts w:ascii="Arial" w:hAnsi="Arial" w:cs="Arial"/>
                <w:sz w:val="20"/>
                <w:szCs w:val="20"/>
              </w:rPr>
            </w:pPr>
            <w:r w:rsidRPr="00906AFB">
              <w:rPr>
                <w:rFonts w:ascii="Arial" w:hAnsi="Arial" w:cs="Arial"/>
                <w:sz w:val="20"/>
                <w:szCs w:val="20"/>
              </w:rPr>
              <w:t>02</w:t>
            </w:r>
          </w:p>
        </w:tc>
        <w:tc>
          <w:tcPr>
            <w:tcW w:w="5244" w:type="dxa"/>
            <w:tcBorders>
              <w:top w:val="single" w:sz="4" w:space="0" w:color="auto"/>
              <w:left w:val="single" w:sz="4" w:space="0" w:color="auto"/>
              <w:bottom w:val="single" w:sz="4" w:space="0" w:color="auto"/>
              <w:right w:val="single" w:sz="4" w:space="0" w:color="auto"/>
            </w:tcBorders>
            <w:vAlign w:val="center"/>
            <w:hideMark/>
          </w:tcPr>
          <w:p w:rsidR="00383CE8" w:rsidRPr="00906AFB" w:rsidRDefault="00383CE8" w:rsidP="00383CE8">
            <w:pPr>
              <w:contextualSpacing/>
              <w:rPr>
                <w:rFonts w:ascii="Arial" w:hAnsi="Arial" w:cs="Arial"/>
                <w:sz w:val="20"/>
                <w:szCs w:val="20"/>
              </w:rPr>
            </w:pPr>
            <w:r w:rsidRPr="00906AFB">
              <w:rPr>
                <w:rFonts w:ascii="Arial" w:hAnsi="Arial" w:cs="Arial"/>
                <w:sz w:val="20"/>
                <w:szCs w:val="20"/>
              </w:rPr>
              <w:t>Secretaría General de Gobierno</w:t>
            </w:r>
          </w:p>
        </w:tc>
        <w:tc>
          <w:tcPr>
            <w:tcW w:w="1607" w:type="dxa"/>
            <w:tcBorders>
              <w:top w:val="single" w:sz="4" w:space="0" w:color="auto"/>
              <w:left w:val="single" w:sz="4" w:space="0" w:color="auto"/>
              <w:bottom w:val="single" w:sz="4" w:space="0" w:color="auto"/>
              <w:right w:val="single" w:sz="4" w:space="0" w:color="auto"/>
            </w:tcBorders>
            <w:noWrap/>
            <w:vAlign w:val="center"/>
          </w:tcPr>
          <w:p w:rsidR="00383CE8" w:rsidRPr="00383CE8" w:rsidRDefault="00383CE8" w:rsidP="00383CE8">
            <w:pPr>
              <w:jc w:val="right"/>
              <w:rPr>
                <w:rFonts w:ascii="Arial" w:hAnsi="Arial" w:cs="Arial"/>
                <w:sz w:val="20"/>
                <w:szCs w:val="20"/>
              </w:rPr>
            </w:pPr>
            <w:r w:rsidRPr="00383CE8">
              <w:rPr>
                <w:rFonts w:ascii="Arial" w:hAnsi="Arial" w:cs="Arial"/>
                <w:sz w:val="20"/>
                <w:szCs w:val="20"/>
              </w:rPr>
              <w:t>358,398,916</w:t>
            </w:r>
          </w:p>
        </w:tc>
      </w:tr>
      <w:tr w:rsidR="00383CE8" w:rsidRPr="00906AFB" w:rsidTr="00383CE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83CE8" w:rsidRPr="00906AFB" w:rsidRDefault="00383CE8" w:rsidP="00383CE8">
            <w:pPr>
              <w:contextualSpacing/>
              <w:jc w:val="center"/>
              <w:rPr>
                <w:rFonts w:ascii="Arial" w:hAnsi="Arial" w:cs="Arial"/>
                <w:sz w:val="20"/>
                <w:szCs w:val="20"/>
              </w:rPr>
            </w:pPr>
            <w:r w:rsidRPr="00906AFB">
              <w:rPr>
                <w:rFonts w:ascii="Arial" w:hAnsi="Arial" w:cs="Arial"/>
                <w:sz w:val="20"/>
                <w:szCs w:val="20"/>
              </w:rPr>
              <w:t>03</w:t>
            </w:r>
          </w:p>
        </w:tc>
        <w:tc>
          <w:tcPr>
            <w:tcW w:w="5244" w:type="dxa"/>
            <w:tcBorders>
              <w:top w:val="single" w:sz="4" w:space="0" w:color="auto"/>
              <w:left w:val="single" w:sz="4" w:space="0" w:color="auto"/>
              <w:bottom w:val="single" w:sz="4" w:space="0" w:color="auto"/>
              <w:right w:val="single" w:sz="4" w:space="0" w:color="auto"/>
            </w:tcBorders>
            <w:vAlign w:val="center"/>
            <w:hideMark/>
          </w:tcPr>
          <w:p w:rsidR="00383CE8" w:rsidRPr="00906AFB" w:rsidRDefault="00383CE8" w:rsidP="00383CE8">
            <w:pPr>
              <w:contextualSpacing/>
              <w:rPr>
                <w:rFonts w:ascii="Arial" w:hAnsi="Arial" w:cs="Arial"/>
                <w:sz w:val="20"/>
                <w:szCs w:val="20"/>
              </w:rPr>
            </w:pPr>
            <w:r w:rsidRPr="00906AFB">
              <w:rPr>
                <w:rFonts w:ascii="Arial" w:hAnsi="Arial" w:cs="Arial"/>
                <w:sz w:val="20"/>
                <w:szCs w:val="20"/>
              </w:rPr>
              <w:t>Secretaría de Planeación y Finanzas</w:t>
            </w:r>
          </w:p>
        </w:tc>
        <w:tc>
          <w:tcPr>
            <w:tcW w:w="1607" w:type="dxa"/>
            <w:tcBorders>
              <w:top w:val="single" w:sz="4" w:space="0" w:color="auto"/>
              <w:left w:val="single" w:sz="4" w:space="0" w:color="auto"/>
              <w:bottom w:val="single" w:sz="4" w:space="0" w:color="auto"/>
              <w:right w:val="single" w:sz="4" w:space="0" w:color="auto"/>
            </w:tcBorders>
            <w:noWrap/>
            <w:vAlign w:val="center"/>
          </w:tcPr>
          <w:p w:rsidR="00383CE8" w:rsidRPr="00383CE8" w:rsidRDefault="00383CE8" w:rsidP="00383CE8">
            <w:pPr>
              <w:jc w:val="right"/>
              <w:rPr>
                <w:rFonts w:ascii="Arial" w:hAnsi="Arial" w:cs="Arial"/>
                <w:sz w:val="20"/>
                <w:szCs w:val="20"/>
              </w:rPr>
            </w:pPr>
            <w:r w:rsidRPr="00383CE8">
              <w:rPr>
                <w:rFonts w:ascii="Arial" w:hAnsi="Arial" w:cs="Arial"/>
                <w:sz w:val="20"/>
                <w:szCs w:val="20"/>
              </w:rPr>
              <w:t>187,703,995</w:t>
            </w:r>
          </w:p>
        </w:tc>
      </w:tr>
      <w:tr w:rsidR="00383CE8" w:rsidRPr="00906AFB" w:rsidTr="00383CE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83CE8" w:rsidRPr="00906AFB" w:rsidRDefault="00383CE8" w:rsidP="00383CE8">
            <w:pPr>
              <w:contextualSpacing/>
              <w:jc w:val="center"/>
              <w:rPr>
                <w:rFonts w:ascii="Arial" w:hAnsi="Arial" w:cs="Arial"/>
                <w:sz w:val="20"/>
                <w:szCs w:val="20"/>
              </w:rPr>
            </w:pPr>
            <w:r w:rsidRPr="00906AFB">
              <w:rPr>
                <w:rFonts w:ascii="Arial" w:hAnsi="Arial" w:cs="Arial"/>
                <w:sz w:val="20"/>
                <w:szCs w:val="20"/>
              </w:rPr>
              <w:t>04</w:t>
            </w:r>
          </w:p>
        </w:tc>
        <w:tc>
          <w:tcPr>
            <w:tcW w:w="5244" w:type="dxa"/>
            <w:tcBorders>
              <w:top w:val="single" w:sz="4" w:space="0" w:color="auto"/>
              <w:left w:val="single" w:sz="4" w:space="0" w:color="auto"/>
              <w:bottom w:val="single" w:sz="4" w:space="0" w:color="auto"/>
              <w:right w:val="single" w:sz="4" w:space="0" w:color="auto"/>
            </w:tcBorders>
            <w:vAlign w:val="center"/>
            <w:hideMark/>
          </w:tcPr>
          <w:p w:rsidR="00383CE8" w:rsidRPr="00906AFB" w:rsidRDefault="00383CE8" w:rsidP="00383CE8">
            <w:pPr>
              <w:contextualSpacing/>
              <w:rPr>
                <w:rFonts w:ascii="Arial" w:hAnsi="Arial" w:cs="Arial"/>
                <w:sz w:val="20"/>
                <w:szCs w:val="20"/>
              </w:rPr>
            </w:pPr>
            <w:r w:rsidRPr="00906AFB">
              <w:rPr>
                <w:rFonts w:ascii="Arial" w:hAnsi="Arial" w:cs="Arial"/>
                <w:sz w:val="20"/>
                <w:szCs w:val="20"/>
              </w:rPr>
              <w:t>Secretaría de Desarrollo Social</w:t>
            </w:r>
          </w:p>
        </w:tc>
        <w:tc>
          <w:tcPr>
            <w:tcW w:w="1607" w:type="dxa"/>
            <w:tcBorders>
              <w:top w:val="single" w:sz="4" w:space="0" w:color="auto"/>
              <w:left w:val="single" w:sz="4" w:space="0" w:color="auto"/>
              <w:bottom w:val="single" w:sz="4" w:space="0" w:color="auto"/>
              <w:right w:val="single" w:sz="4" w:space="0" w:color="auto"/>
            </w:tcBorders>
            <w:noWrap/>
            <w:vAlign w:val="center"/>
          </w:tcPr>
          <w:p w:rsidR="00383CE8" w:rsidRPr="00383CE8" w:rsidRDefault="00383CE8" w:rsidP="00383CE8">
            <w:pPr>
              <w:jc w:val="right"/>
              <w:rPr>
                <w:rFonts w:ascii="Arial" w:hAnsi="Arial" w:cs="Arial"/>
                <w:sz w:val="20"/>
                <w:szCs w:val="20"/>
              </w:rPr>
            </w:pPr>
            <w:r w:rsidRPr="00383CE8">
              <w:rPr>
                <w:rFonts w:ascii="Arial" w:hAnsi="Arial" w:cs="Arial"/>
                <w:sz w:val="20"/>
                <w:szCs w:val="20"/>
              </w:rPr>
              <w:t>124,082,574</w:t>
            </w:r>
          </w:p>
        </w:tc>
      </w:tr>
      <w:tr w:rsidR="00383CE8" w:rsidRPr="00906AFB" w:rsidTr="00383CE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83CE8" w:rsidRPr="00906AFB" w:rsidRDefault="00383CE8" w:rsidP="00383CE8">
            <w:pPr>
              <w:contextualSpacing/>
              <w:jc w:val="center"/>
              <w:rPr>
                <w:rFonts w:ascii="Arial" w:hAnsi="Arial" w:cs="Arial"/>
                <w:sz w:val="20"/>
                <w:szCs w:val="20"/>
              </w:rPr>
            </w:pPr>
            <w:r w:rsidRPr="00906AFB">
              <w:rPr>
                <w:rFonts w:ascii="Arial" w:hAnsi="Arial" w:cs="Arial"/>
                <w:sz w:val="20"/>
                <w:szCs w:val="20"/>
              </w:rPr>
              <w:t>05</w:t>
            </w:r>
          </w:p>
        </w:tc>
        <w:tc>
          <w:tcPr>
            <w:tcW w:w="5244" w:type="dxa"/>
            <w:tcBorders>
              <w:top w:val="single" w:sz="4" w:space="0" w:color="auto"/>
              <w:left w:val="single" w:sz="4" w:space="0" w:color="auto"/>
              <w:bottom w:val="single" w:sz="4" w:space="0" w:color="auto"/>
              <w:right w:val="single" w:sz="4" w:space="0" w:color="auto"/>
            </w:tcBorders>
            <w:vAlign w:val="center"/>
            <w:hideMark/>
          </w:tcPr>
          <w:p w:rsidR="00383CE8" w:rsidRPr="00906AFB" w:rsidRDefault="00383CE8" w:rsidP="00383CE8">
            <w:pPr>
              <w:contextualSpacing/>
              <w:rPr>
                <w:rFonts w:ascii="Arial" w:hAnsi="Arial" w:cs="Arial"/>
                <w:sz w:val="20"/>
                <w:szCs w:val="20"/>
              </w:rPr>
            </w:pPr>
            <w:r w:rsidRPr="00906AFB">
              <w:rPr>
                <w:rFonts w:ascii="Arial" w:hAnsi="Arial" w:cs="Arial"/>
                <w:sz w:val="20"/>
                <w:szCs w:val="20"/>
              </w:rPr>
              <w:t>Secretaría de Infraestructura y Desarrollo Urbano</w:t>
            </w:r>
          </w:p>
        </w:tc>
        <w:tc>
          <w:tcPr>
            <w:tcW w:w="1607" w:type="dxa"/>
            <w:tcBorders>
              <w:top w:val="single" w:sz="4" w:space="0" w:color="auto"/>
              <w:left w:val="single" w:sz="4" w:space="0" w:color="auto"/>
              <w:bottom w:val="single" w:sz="4" w:space="0" w:color="auto"/>
              <w:right w:val="single" w:sz="4" w:space="0" w:color="auto"/>
            </w:tcBorders>
            <w:noWrap/>
            <w:vAlign w:val="center"/>
          </w:tcPr>
          <w:p w:rsidR="00383CE8" w:rsidRPr="00383CE8" w:rsidRDefault="00383CE8" w:rsidP="00383CE8">
            <w:pPr>
              <w:jc w:val="right"/>
              <w:rPr>
                <w:rFonts w:ascii="Arial" w:hAnsi="Arial" w:cs="Arial"/>
                <w:sz w:val="20"/>
                <w:szCs w:val="20"/>
              </w:rPr>
            </w:pPr>
            <w:r w:rsidRPr="00383CE8">
              <w:rPr>
                <w:rFonts w:ascii="Arial" w:hAnsi="Arial" w:cs="Arial"/>
                <w:sz w:val="20"/>
                <w:szCs w:val="20"/>
              </w:rPr>
              <w:t>658,010,760</w:t>
            </w:r>
          </w:p>
        </w:tc>
      </w:tr>
      <w:tr w:rsidR="00383CE8" w:rsidRPr="00906AFB" w:rsidTr="00383CE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83CE8" w:rsidRPr="00906AFB" w:rsidRDefault="00383CE8" w:rsidP="00383CE8">
            <w:pPr>
              <w:contextualSpacing/>
              <w:jc w:val="center"/>
              <w:rPr>
                <w:rFonts w:ascii="Arial" w:hAnsi="Arial" w:cs="Arial"/>
                <w:sz w:val="20"/>
                <w:szCs w:val="20"/>
              </w:rPr>
            </w:pPr>
            <w:r w:rsidRPr="00906AFB">
              <w:rPr>
                <w:rFonts w:ascii="Arial" w:hAnsi="Arial" w:cs="Arial"/>
                <w:sz w:val="20"/>
                <w:szCs w:val="20"/>
              </w:rPr>
              <w:t>06</w:t>
            </w:r>
          </w:p>
        </w:tc>
        <w:tc>
          <w:tcPr>
            <w:tcW w:w="5244" w:type="dxa"/>
            <w:tcBorders>
              <w:top w:val="single" w:sz="4" w:space="0" w:color="auto"/>
              <w:left w:val="single" w:sz="4" w:space="0" w:color="auto"/>
              <w:bottom w:val="single" w:sz="4" w:space="0" w:color="auto"/>
              <w:right w:val="single" w:sz="4" w:space="0" w:color="auto"/>
            </w:tcBorders>
            <w:vAlign w:val="center"/>
            <w:hideMark/>
          </w:tcPr>
          <w:p w:rsidR="00383CE8" w:rsidRPr="00906AFB" w:rsidRDefault="00383CE8" w:rsidP="00383CE8">
            <w:pPr>
              <w:contextualSpacing/>
              <w:rPr>
                <w:rFonts w:ascii="Arial" w:hAnsi="Arial" w:cs="Arial"/>
                <w:sz w:val="20"/>
                <w:szCs w:val="20"/>
              </w:rPr>
            </w:pPr>
            <w:r w:rsidRPr="00906AFB">
              <w:rPr>
                <w:rFonts w:ascii="Arial" w:hAnsi="Arial" w:cs="Arial"/>
                <w:sz w:val="20"/>
                <w:szCs w:val="20"/>
              </w:rPr>
              <w:t>Secretaría de Desarrollo Rural</w:t>
            </w:r>
          </w:p>
        </w:tc>
        <w:tc>
          <w:tcPr>
            <w:tcW w:w="1607" w:type="dxa"/>
            <w:tcBorders>
              <w:top w:val="single" w:sz="4" w:space="0" w:color="auto"/>
              <w:left w:val="single" w:sz="4" w:space="0" w:color="auto"/>
              <w:bottom w:val="single" w:sz="4" w:space="0" w:color="auto"/>
              <w:right w:val="single" w:sz="4" w:space="0" w:color="auto"/>
            </w:tcBorders>
            <w:noWrap/>
            <w:vAlign w:val="center"/>
          </w:tcPr>
          <w:p w:rsidR="00383CE8" w:rsidRPr="00383CE8" w:rsidRDefault="00383CE8" w:rsidP="00383CE8">
            <w:pPr>
              <w:jc w:val="right"/>
              <w:rPr>
                <w:rFonts w:ascii="Arial" w:hAnsi="Arial" w:cs="Arial"/>
                <w:sz w:val="20"/>
                <w:szCs w:val="20"/>
              </w:rPr>
            </w:pPr>
            <w:r w:rsidRPr="00383CE8">
              <w:rPr>
                <w:rFonts w:ascii="Arial" w:hAnsi="Arial" w:cs="Arial"/>
                <w:sz w:val="20"/>
                <w:szCs w:val="20"/>
              </w:rPr>
              <w:t>822,596,655</w:t>
            </w:r>
          </w:p>
        </w:tc>
      </w:tr>
      <w:tr w:rsidR="00383CE8" w:rsidRPr="00906AFB" w:rsidTr="00383CE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83CE8" w:rsidRPr="00906AFB" w:rsidRDefault="00383CE8" w:rsidP="00383CE8">
            <w:pPr>
              <w:contextualSpacing/>
              <w:jc w:val="center"/>
              <w:rPr>
                <w:rFonts w:ascii="Arial" w:hAnsi="Arial" w:cs="Arial"/>
                <w:sz w:val="20"/>
                <w:szCs w:val="20"/>
              </w:rPr>
            </w:pPr>
            <w:r w:rsidRPr="00906AFB">
              <w:rPr>
                <w:rFonts w:ascii="Arial" w:hAnsi="Arial" w:cs="Arial"/>
                <w:sz w:val="20"/>
                <w:szCs w:val="20"/>
              </w:rPr>
              <w:t>07</w:t>
            </w:r>
          </w:p>
        </w:tc>
        <w:tc>
          <w:tcPr>
            <w:tcW w:w="5244" w:type="dxa"/>
            <w:tcBorders>
              <w:top w:val="single" w:sz="4" w:space="0" w:color="auto"/>
              <w:left w:val="single" w:sz="4" w:space="0" w:color="auto"/>
              <w:bottom w:val="single" w:sz="4" w:space="0" w:color="auto"/>
              <w:right w:val="single" w:sz="4" w:space="0" w:color="auto"/>
            </w:tcBorders>
            <w:vAlign w:val="center"/>
            <w:hideMark/>
          </w:tcPr>
          <w:p w:rsidR="00383CE8" w:rsidRPr="00906AFB" w:rsidRDefault="00383CE8" w:rsidP="00383CE8">
            <w:pPr>
              <w:contextualSpacing/>
              <w:rPr>
                <w:rFonts w:ascii="Arial" w:hAnsi="Arial" w:cs="Arial"/>
                <w:sz w:val="20"/>
                <w:szCs w:val="20"/>
              </w:rPr>
            </w:pPr>
            <w:r w:rsidRPr="00906AFB">
              <w:rPr>
                <w:rFonts w:ascii="Arial" w:hAnsi="Arial" w:cs="Arial"/>
                <w:sz w:val="20"/>
                <w:szCs w:val="20"/>
              </w:rPr>
              <w:t>Secretaría de Educación</w:t>
            </w:r>
          </w:p>
        </w:tc>
        <w:tc>
          <w:tcPr>
            <w:tcW w:w="1607" w:type="dxa"/>
            <w:tcBorders>
              <w:top w:val="single" w:sz="4" w:space="0" w:color="auto"/>
              <w:left w:val="single" w:sz="4" w:space="0" w:color="auto"/>
              <w:bottom w:val="single" w:sz="4" w:space="0" w:color="auto"/>
              <w:right w:val="single" w:sz="4" w:space="0" w:color="auto"/>
            </w:tcBorders>
            <w:noWrap/>
            <w:vAlign w:val="center"/>
          </w:tcPr>
          <w:p w:rsidR="00383CE8" w:rsidRPr="00383CE8" w:rsidRDefault="00383CE8" w:rsidP="00383CE8">
            <w:pPr>
              <w:jc w:val="right"/>
              <w:rPr>
                <w:rFonts w:ascii="Arial" w:hAnsi="Arial" w:cs="Arial"/>
                <w:sz w:val="20"/>
                <w:szCs w:val="20"/>
              </w:rPr>
            </w:pPr>
            <w:r w:rsidRPr="00383CE8">
              <w:rPr>
                <w:rFonts w:ascii="Arial" w:hAnsi="Arial" w:cs="Arial"/>
                <w:sz w:val="20"/>
                <w:szCs w:val="20"/>
              </w:rPr>
              <w:t>6,083,395,383</w:t>
            </w:r>
          </w:p>
        </w:tc>
      </w:tr>
      <w:tr w:rsidR="00383CE8" w:rsidRPr="00906AFB" w:rsidTr="00383CE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83CE8" w:rsidRPr="00906AFB" w:rsidRDefault="00383CE8" w:rsidP="00383CE8">
            <w:pPr>
              <w:contextualSpacing/>
              <w:jc w:val="center"/>
              <w:rPr>
                <w:rFonts w:ascii="Arial" w:hAnsi="Arial" w:cs="Arial"/>
                <w:sz w:val="20"/>
                <w:szCs w:val="20"/>
              </w:rPr>
            </w:pPr>
            <w:r w:rsidRPr="00906AFB">
              <w:rPr>
                <w:rFonts w:ascii="Arial" w:hAnsi="Arial" w:cs="Arial"/>
                <w:sz w:val="20"/>
                <w:szCs w:val="20"/>
              </w:rPr>
              <w:t>08</w:t>
            </w:r>
          </w:p>
        </w:tc>
        <w:tc>
          <w:tcPr>
            <w:tcW w:w="5244" w:type="dxa"/>
            <w:tcBorders>
              <w:top w:val="single" w:sz="4" w:space="0" w:color="auto"/>
              <w:left w:val="single" w:sz="4" w:space="0" w:color="auto"/>
              <w:bottom w:val="single" w:sz="4" w:space="0" w:color="auto"/>
              <w:right w:val="single" w:sz="4" w:space="0" w:color="auto"/>
            </w:tcBorders>
            <w:vAlign w:val="center"/>
            <w:hideMark/>
          </w:tcPr>
          <w:p w:rsidR="00383CE8" w:rsidRPr="00906AFB" w:rsidRDefault="00383CE8" w:rsidP="00383CE8">
            <w:pPr>
              <w:contextualSpacing/>
              <w:rPr>
                <w:rFonts w:ascii="Arial" w:hAnsi="Arial" w:cs="Arial"/>
                <w:sz w:val="20"/>
                <w:szCs w:val="20"/>
              </w:rPr>
            </w:pPr>
            <w:r w:rsidRPr="00906AFB">
              <w:rPr>
                <w:rFonts w:ascii="Arial" w:hAnsi="Arial" w:cs="Arial"/>
                <w:sz w:val="20"/>
                <w:szCs w:val="20"/>
              </w:rPr>
              <w:t>Secretaría de Salud y Bienestar Social</w:t>
            </w:r>
          </w:p>
        </w:tc>
        <w:tc>
          <w:tcPr>
            <w:tcW w:w="1607" w:type="dxa"/>
            <w:tcBorders>
              <w:top w:val="single" w:sz="4" w:space="0" w:color="auto"/>
              <w:left w:val="single" w:sz="4" w:space="0" w:color="auto"/>
              <w:bottom w:val="single" w:sz="4" w:space="0" w:color="auto"/>
              <w:right w:val="single" w:sz="4" w:space="0" w:color="auto"/>
            </w:tcBorders>
            <w:noWrap/>
            <w:vAlign w:val="center"/>
          </w:tcPr>
          <w:p w:rsidR="00383CE8" w:rsidRPr="00383CE8" w:rsidRDefault="00383CE8" w:rsidP="00383CE8">
            <w:pPr>
              <w:jc w:val="right"/>
              <w:rPr>
                <w:rFonts w:ascii="Arial" w:hAnsi="Arial" w:cs="Arial"/>
                <w:sz w:val="20"/>
                <w:szCs w:val="20"/>
              </w:rPr>
            </w:pPr>
            <w:r w:rsidRPr="00383CE8">
              <w:rPr>
                <w:rFonts w:ascii="Arial" w:hAnsi="Arial" w:cs="Arial"/>
                <w:sz w:val="20"/>
                <w:szCs w:val="20"/>
              </w:rPr>
              <w:t>1,684,613,156</w:t>
            </w:r>
          </w:p>
        </w:tc>
      </w:tr>
      <w:tr w:rsidR="00383CE8" w:rsidRPr="00906AFB" w:rsidTr="00383CE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83CE8" w:rsidRPr="00906AFB" w:rsidRDefault="00383CE8" w:rsidP="00383CE8">
            <w:pPr>
              <w:contextualSpacing/>
              <w:jc w:val="center"/>
              <w:rPr>
                <w:rFonts w:ascii="Arial" w:hAnsi="Arial" w:cs="Arial"/>
                <w:sz w:val="20"/>
                <w:szCs w:val="20"/>
              </w:rPr>
            </w:pPr>
            <w:r w:rsidRPr="00906AFB">
              <w:rPr>
                <w:rFonts w:ascii="Arial" w:hAnsi="Arial" w:cs="Arial"/>
                <w:sz w:val="20"/>
                <w:szCs w:val="20"/>
              </w:rPr>
              <w:t>09</w:t>
            </w:r>
          </w:p>
        </w:tc>
        <w:tc>
          <w:tcPr>
            <w:tcW w:w="5244" w:type="dxa"/>
            <w:tcBorders>
              <w:top w:val="single" w:sz="4" w:space="0" w:color="auto"/>
              <w:left w:val="single" w:sz="4" w:space="0" w:color="auto"/>
              <w:bottom w:val="single" w:sz="4" w:space="0" w:color="auto"/>
              <w:right w:val="single" w:sz="4" w:space="0" w:color="auto"/>
            </w:tcBorders>
            <w:vAlign w:val="center"/>
            <w:hideMark/>
          </w:tcPr>
          <w:p w:rsidR="00383CE8" w:rsidRPr="00906AFB" w:rsidRDefault="00383CE8" w:rsidP="00383CE8">
            <w:pPr>
              <w:contextualSpacing/>
              <w:rPr>
                <w:rFonts w:ascii="Arial" w:hAnsi="Arial" w:cs="Arial"/>
                <w:sz w:val="20"/>
                <w:szCs w:val="20"/>
              </w:rPr>
            </w:pPr>
            <w:r w:rsidRPr="00906AFB">
              <w:rPr>
                <w:rFonts w:ascii="Arial" w:hAnsi="Arial" w:cs="Arial"/>
                <w:sz w:val="20"/>
                <w:szCs w:val="20"/>
              </w:rPr>
              <w:t>Secretaría de Administración y Gestión Pública</w:t>
            </w:r>
          </w:p>
        </w:tc>
        <w:tc>
          <w:tcPr>
            <w:tcW w:w="1607" w:type="dxa"/>
            <w:tcBorders>
              <w:top w:val="single" w:sz="4" w:space="0" w:color="auto"/>
              <w:left w:val="single" w:sz="4" w:space="0" w:color="auto"/>
              <w:bottom w:val="single" w:sz="4" w:space="0" w:color="auto"/>
              <w:right w:val="single" w:sz="4" w:space="0" w:color="auto"/>
            </w:tcBorders>
            <w:noWrap/>
            <w:vAlign w:val="center"/>
          </w:tcPr>
          <w:p w:rsidR="00383CE8" w:rsidRPr="00383CE8" w:rsidRDefault="00383CE8" w:rsidP="00383CE8">
            <w:pPr>
              <w:jc w:val="right"/>
              <w:rPr>
                <w:rFonts w:ascii="Arial" w:hAnsi="Arial" w:cs="Arial"/>
                <w:sz w:val="20"/>
                <w:szCs w:val="20"/>
              </w:rPr>
            </w:pPr>
            <w:r w:rsidRPr="00383CE8">
              <w:rPr>
                <w:rFonts w:ascii="Arial" w:hAnsi="Arial" w:cs="Arial"/>
                <w:sz w:val="20"/>
                <w:szCs w:val="20"/>
              </w:rPr>
              <w:t>224,414,733</w:t>
            </w:r>
          </w:p>
        </w:tc>
      </w:tr>
      <w:tr w:rsidR="00383CE8" w:rsidRPr="00906AFB" w:rsidTr="00383CE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83CE8" w:rsidRPr="00906AFB" w:rsidRDefault="00383CE8" w:rsidP="00383CE8">
            <w:pPr>
              <w:contextualSpacing/>
              <w:jc w:val="center"/>
              <w:rPr>
                <w:rFonts w:ascii="Arial" w:hAnsi="Arial" w:cs="Arial"/>
                <w:sz w:val="20"/>
                <w:szCs w:val="20"/>
              </w:rPr>
            </w:pPr>
            <w:r w:rsidRPr="00906AFB">
              <w:rPr>
                <w:rFonts w:ascii="Arial" w:hAnsi="Arial" w:cs="Arial"/>
                <w:sz w:val="20"/>
                <w:szCs w:val="20"/>
              </w:rPr>
              <w:t>10</w:t>
            </w:r>
          </w:p>
        </w:tc>
        <w:tc>
          <w:tcPr>
            <w:tcW w:w="5244" w:type="dxa"/>
            <w:tcBorders>
              <w:top w:val="single" w:sz="4" w:space="0" w:color="auto"/>
              <w:left w:val="single" w:sz="4" w:space="0" w:color="auto"/>
              <w:bottom w:val="single" w:sz="4" w:space="0" w:color="auto"/>
              <w:right w:val="single" w:sz="4" w:space="0" w:color="auto"/>
            </w:tcBorders>
            <w:vAlign w:val="center"/>
            <w:hideMark/>
          </w:tcPr>
          <w:p w:rsidR="00383CE8" w:rsidRPr="00906AFB" w:rsidRDefault="00383CE8" w:rsidP="00383CE8">
            <w:pPr>
              <w:contextualSpacing/>
              <w:rPr>
                <w:rFonts w:ascii="Arial" w:hAnsi="Arial" w:cs="Arial"/>
                <w:sz w:val="20"/>
                <w:szCs w:val="20"/>
              </w:rPr>
            </w:pPr>
            <w:r w:rsidRPr="00906AFB">
              <w:rPr>
                <w:rFonts w:ascii="Arial" w:hAnsi="Arial" w:cs="Arial"/>
                <w:sz w:val="20"/>
                <w:szCs w:val="20"/>
              </w:rPr>
              <w:t>Secretaría de Fomento Económico</w:t>
            </w:r>
          </w:p>
        </w:tc>
        <w:tc>
          <w:tcPr>
            <w:tcW w:w="1607" w:type="dxa"/>
            <w:tcBorders>
              <w:top w:val="single" w:sz="4" w:space="0" w:color="auto"/>
              <w:left w:val="single" w:sz="4" w:space="0" w:color="auto"/>
              <w:bottom w:val="single" w:sz="4" w:space="0" w:color="auto"/>
              <w:right w:val="single" w:sz="4" w:space="0" w:color="auto"/>
            </w:tcBorders>
            <w:noWrap/>
            <w:vAlign w:val="center"/>
          </w:tcPr>
          <w:p w:rsidR="00383CE8" w:rsidRPr="00383CE8" w:rsidRDefault="00383CE8" w:rsidP="00383CE8">
            <w:pPr>
              <w:jc w:val="right"/>
              <w:rPr>
                <w:rFonts w:ascii="Arial" w:hAnsi="Arial" w:cs="Arial"/>
                <w:sz w:val="20"/>
                <w:szCs w:val="20"/>
              </w:rPr>
            </w:pPr>
            <w:r w:rsidRPr="00383CE8">
              <w:rPr>
                <w:rFonts w:ascii="Arial" w:hAnsi="Arial" w:cs="Arial"/>
                <w:sz w:val="20"/>
                <w:szCs w:val="20"/>
              </w:rPr>
              <w:t>217,040,733</w:t>
            </w:r>
          </w:p>
        </w:tc>
      </w:tr>
      <w:tr w:rsidR="00383CE8" w:rsidRPr="00906AFB" w:rsidTr="00383CE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83CE8" w:rsidRPr="00906AFB" w:rsidRDefault="00383CE8" w:rsidP="00383CE8">
            <w:pPr>
              <w:contextualSpacing/>
              <w:jc w:val="center"/>
              <w:rPr>
                <w:rFonts w:ascii="Arial" w:hAnsi="Arial" w:cs="Arial"/>
                <w:sz w:val="20"/>
                <w:szCs w:val="20"/>
              </w:rPr>
            </w:pPr>
            <w:r w:rsidRPr="00906AFB">
              <w:rPr>
                <w:rFonts w:ascii="Arial" w:hAnsi="Arial" w:cs="Arial"/>
                <w:sz w:val="20"/>
                <w:szCs w:val="20"/>
              </w:rPr>
              <w:t>11</w:t>
            </w:r>
          </w:p>
        </w:tc>
        <w:tc>
          <w:tcPr>
            <w:tcW w:w="5244" w:type="dxa"/>
            <w:tcBorders>
              <w:top w:val="single" w:sz="4" w:space="0" w:color="auto"/>
              <w:left w:val="single" w:sz="4" w:space="0" w:color="auto"/>
              <w:bottom w:val="single" w:sz="4" w:space="0" w:color="auto"/>
              <w:right w:val="single" w:sz="4" w:space="0" w:color="auto"/>
            </w:tcBorders>
            <w:vAlign w:val="center"/>
            <w:hideMark/>
          </w:tcPr>
          <w:p w:rsidR="00383CE8" w:rsidRPr="00906AFB" w:rsidRDefault="00383CE8" w:rsidP="00383CE8">
            <w:pPr>
              <w:contextualSpacing/>
              <w:rPr>
                <w:rFonts w:ascii="Arial" w:hAnsi="Arial" w:cs="Arial"/>
                <w:sz w:val="20"/>
                <w:szCs w:val="20"/>
              </w:rPr>
            </w:pPr>
            <w:r w:rsidRPr="00906AFB">
              <w:rPr>
                <w:rFonts w:ascii="Arial" w:hAnsi="Arial" w:cs="Arial"/>
                <w:sz w:val="20"/>
                <w:szCs w:val="20"/>
              </w:rPr>
              <w:t>Secretaría de Cultura</w:t>
            </w:r>
          </w:p>
        </w:tc>
        <w:tc>
          <w:tcPr>
            <w:tcW w:w="1607" w:type="dxa"/>
            <w:tcBorders>
              <w:top w:val="single" w:sz="4" w:space="0" w:color="auto"/>
              <w:left w:val="single" w:sz="4" w:space="0" w:color="auto"/>
              <w:bottom w:val="single" w:sz="4" w:space="0" w:color="auto"/>
              <w:right w:val="single" w:sz="4" w:space="0" w:color="auto"/>
            </w:tcBorders>
            <w:noWrap/>
            <w:vAlign w:val="center"/>
          </w:tcPr>
          <w:p w:rsidR="00383CE8" w:rsidRPr="00383CE8" w:rsidRDefault="00383CE8" w:rsidP="00383CE8">
            <w:pPr>
              <w:jc w:val="right"/>
              <w:rPr>
                <w:rFonts w:ascii="Arial" w:hAnsi="Arial" w:cs="Arial"/>
                <w:sz w:val="20"/>
                <w:szCs w:val="20"/>
              </w:rPr>
            </w:pPr>
            <w:r w:rsidRPr="00383CE8">
              <w:rPr>
                <w:rFonts w:ascii="Arial" w:hAnsi="Arial" w:cs="Arial"/>
                <w:sz w:val="20"/>
                <w:szCs w:val="20"/>
              </w:rPr>
              <w:t>130,445,152</w:t>
            </w:r>
          </w:p>
        </w:tc>
      </w:tr>
      <w:tr w:rsidR="00383CE8" w:rsidRPr="00906AFB" w:rsidTr="00383CE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83CE8" w:rsidRPr="00906AFB" w:rsidRDefault="00383CE8" w:rsidP="00383CE8">
            <w:pPr>
              <w:contextualSpacing/>
              <w:jc w:val="center"/>
              <w:rPr>
                <w:rFonts w:ascii="Arial" w:hAnsi="Arial" w:cs="Arial"/>
                <w:sz w:val="20"/>
                <w:szCs w:val="20"/>
              </w:rPr>
            </w:pPr>
            <w:r w:rsidRPr="00906AFB">
              <w:rPr>
                <w:rFonts w:ascii="Arial" w:hAnsi="Arial" w:cs="Arial"/>
                <w:sz w:val="20"/>
                <w:szCs w:val="20"/>
              </w:rPr>
              <w:t>12</w:t>
            </w:r>
          </w:p>
        </w:tc>
        <w:tc>
          <w:tcPr>
            <w:tcW w:w="5244" w:type="dxa"/>
            <w:tcBorders>
              <w:top w:val="single" w:sz="4" w:space="0" w:color="auto"/>
              <w:left w:val="single" w:sz="4" w:space="0" w:color="auto"/>
              <w:bottom w:val="single" w:sz="4" w:space="0" w:color="auto"/>
              <w:right w:val="single" w:sz="4" w:space="0" w:color="auto"/>
            </w:tcBorders>
            <w:vAlign w:val="center"/>
            <w:hideMark/>
          </w:tcPr>
          <w:p w:rsidR="00383CE8" w:rsidRPr="00906AFB" w:rsidRDefault="00383CE8" w:rsidP="00383CE8">
            <w:pPr>
              <w:contextualSpacing/>
              <w:rPr>
                <w:rFonts w:ascii="Arial" w:hAnsi="Arial" w:cs="Arial"/>
                <w:sz w:val="20"/>
                <w:szCs w:val="20"/>
              </w:rPr>
            </w:pPr>
            <w:r w:rsidRPr="00906AFB">
              <w:rPr>
                <w:rFonts w:ascii="Arial" w:hAnsi="Arial" w:cs="Arial"/>
                <w:sz w:val="20"/>
                <w:szCs w:val="20"/>
              </w:rPr>
              <w:t>Secretaría de Turismo</w:t>
            </w:r>
          </w:p>
        </w:tc>
        <w:tc>
          <w:tcPr>
            <w:tcW w:w="1607" w:type="dxa"/>
            <w:tcBorders>
              <w:top w:val="single" w:sz="4" w:space="0" w:color="auto"/>
              <w:left w:val="single" w:sz="4" w:space="0" w:color="auto"/>
              <w:bottom w:val="single" w:sz="4" w:space="0" w:color="auto"/>
              <w:right w:val="single" w:sz="4" w:space="0" w:color="auto"/>
            </w:tcBorders>
            <w:noWrap/>
            <w:vAlign w:val="center"/>
          </w:tcPr>
          <w:p w:rsidR="00383CE8" w:rsidRPr="00383CE8" w:rsidRDefault="00383CE8" w:rsidP="00383CE8">
            <w:pPr>
              <w:jc w:val="right"/>
              <w:rPr>
                <w:rFonts w:ascii="Arial" w:hAnsi="Arial" w:cs="Arial"/>
                <w:sz w:val="20"/>
                <w:szCs w:val="20"/>
              </w:rPr>
            </w:pPr>
            <w:r w:rsidRPr="00383CE8">
              <w:rPr>
                <w:rFonts w:ascii="Arial" w:hAnsi="Arial" w:cs="Arial"/>
                <w:sz w:val="20"/>
                <w:szCs w:val="20"/>
              </w:rPr>
              <w:t>44,058,412</w:t>
            </w:r>
          </w:p>
        </w:tc>
      </w:tr>
      <w:tr w:rsidR="00383CE8" w:rsidRPr="00906AFB" w:rsidTr="00383CE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83CE8" w:rsidRPr="00906AFB" w:rsidRDefault="00383CE8" w:rsidP="00383CE8">
            <w:pPr>
              <w:contextualSpacing/>
              <w:jc w:val="center"/>
              <w:rPr>
                <w:rFonts w:ascii="Arial" w:hAnsi="Arial" w:cs="Arial"/>
                <w:sz w:val="20"/>
                <w:szCs w:val="20"/>
              </w:rPr>
            </w:pPr>
            <w:r w:rsidRPr="00906AFB">
              <w:rPr>
                <w:rFonts w:ascii="Arial" w:hAnsi="Arial" w:cs="Arial"/>
                <w:sz w:val="20"/>
                <w:szCs w:val="20"/>
              </w:rPr>
              <w:t>13</w:t>
            </w:r>
          </w:p>
        </w:tc>
        <w:tc>
          <w:tcPr>
            <w:tcW w:w="5244" w:type="dxa"/>
            <w:tcBorders>
              <w:top w:val="single" w:sz="4" w:space="0" w:color="auto"/>
              <w:left w:val="single" w:sz="4" w:space="0" w:color="auto"/>
              <w:bottom w:val="single" w:sz="4" w:space="0" w:color="auto"/>
              <w:right w:val="single" w:sz="4" w:space="0" w:color="auto"/>
            </w:tcBorders>
            <w:vAlign w:val="center"/>
            <w:hideMark/>
          </w:tcPr>
          <w:p w:rsidR="00383CE8" w:rsidRPr="00906AFB" w:rsidRDefault="00383CE8" w:rsidP="00383CE8">
            <w:pPr>
              <w:contextualSpacing/>
              <w:rPr>
                <w:rFonts w:ascii="Arial" w:hAnsi="Arial" w:cs="Arial"/>
                <w:sz w:val="20"/>
                <w:szCs w:val="20"/>
              </w:rPr>
            </w:pPr>
            <w:r w:rsidRPr="00906AFB">
              <w:rPr>
                <w:rFonts w:ascii="Arial" w:hAnsi="Arial" w:cs="Arial"/>
                <w:sz w:val="20"/>
                <w:szCs w:val="20"/>
              </w:rPr>
              <w:t>Procuraduría General de Justicia</w:t>
            </w:r>
          </w:p>
        </w:tc>
        <w:tc>
          <w:tcPr>
            <w:tcW w:w="1607" w:type="dxa"/>
            <w:tcBorders>
              <w:top w:val="single" w:sz="4" w:space="0" w:color="auto"/>
              <w:left w:val="single" w:sz="4" w:space="0" w:color="auto"/>
              <w:bottom w:val="single" w:sz="4" w:space="0" w:color="auto"/>
              <w:right w:val="single" w:sz="4" w:space="0" w:color="auto"/>
            </w:tcBorders>
            <w:noWrap/>
            <w:vAlign w:val="center"/>
          </w:tcPr>
          <w:p w:rsidR="00383CE8" w:rsidRPr="00383CE8" w:rsidRDefault="00383CE8" w:rsidP="00383CE8">
            <w:pPr>
              <w:jc w:val="right"/>
              <w:rPr>
                <w:rFonts w:ascii="Arial" w:hAnsi="Arial" w:cs="Arial"/>
                <w:sz w:val="20"/>
                <w:szCs w:val="20"/>
              </w:rPr>
            </w:pPr>
            <w:r w:rsidRPr="00383CE8">
              <w:rPr>
                <w:rFonts w:ascii="Arial" w:hAnsi="Arial" w:cs="Arial"/>
                <w:sz w:val="20"/>
                <w:szCs w:val="20"/>
              </w:rPr>
              <w:t>361,288,958</w:t>
            </w:r>
          </w:p>
        </w:tc>
      </w:tr>
      <w:tr w:rsidR="00383CE8" w:rsidRPr="00906AFB" w:rsidTr="00383CE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83CE8" w:rsidRPr="00906AFB" w:rsidRDefault="00383CE8" w:rsidP="00383CE8">
            <w:pPr>
              <w:contextualSpacing/>
              <w:jc w:val="center"/>
              <w:rPr>
                <w:rFonts w:ascii="Arial" w:hAnsi="Arial" w:cs="Arial"/>
                <w:sz w:val="20"/>
                <w:szCs w:val="20"/>
              </w:rPr>
            </w:pPr>
            <w:r w:rsidRPr="00906AFB">
              <w:rPr>
                <w:rFonts w:ascii="Arial" w:hAnsi="Arial" w:cs="Arial"/>
                <w:sz w:val="20"/>
                <w:szCs w:val="20"/>
              </w:rPr>
              <w:t>14</w:t>
            </w:r>
          </w:p>
        </w:tc>
        <w:tc>
          <w:tcPr>
            <w:tcW w:w="5244" w:type="dxa"/>
            <w:tcBorders>
              <w:top w:val="single" w:sz="4" w:space="0" w:color="auto"/>
              <w:left w:val="single" w:sz="4" w:space="0" w:color="auto"/>
              <w:bottom w:val="single" w:sz="4" w:space="0" w:color="auto"/>
              <w:right w:val="single" w:sz="4" w:space="0" w:color="auto"/>
            </w:tcBorders>
            <w:vAlign w:val="center"/>
            <w:hideMark/>
          </w:tcPr>
          <w:p w:rsidR="00383CE8" w:rsidRPr="00906AFB" w:rsidRDefault="00383CE8" w:rsidP="00383CE8">
            <w:pPr>
              <w:contextualSpacing/>
              <w:rPr>
                <w:rFonts w:ascii="Arial" w:hAnsi="Arial" w:cs="Arial"/>
                <w:sz w:val="20"/>
                <w:szCs w:val="20"/>
              </w:rPr>
            </w:pPr>
            <w:r w:rsidRPr="00906AFB">
              <w:rPr>
                <w:rFonts w:ascii="Arial" w:hAnsi="Arial" w:cs="Arial"/>
                <w:sz w:val="20"/>
                <w:szCs w:val="20"/>
              </w:rPr>
              <w:t>Secretaría de Seguridad Pública</w:t>
            </w:r>
          </w:p>
        </w:tc>
        <w:tc>
          <w:tcPr>
            <w:tcW w:w="1607" w:type="dxa"/>
            <w:tcBorders>
              <w:top w:val="single" w:sz="4" w:space="0" w:color="auto"/>
              <w:left w:val="single" w:sz="4" w:space="0" w:color="auto"/>
              <w:bottom w:val="single" w:sz="4" w:space="0" w:color="auto"/>
              <w:right w:val="single" w:sz="4" w:space="0" w:color="auto"/>
            </w:tcBorders>
            <w:noWrap/>
            <w:vAlign w:val="center"/>
          </w:tcPr>
          <w:p w:rsidR="00383CE8" w:rsidRPr="00383CE8" w:rsidRDefault="00383CE8" w:rsidP="00383CE8">
            <w:pPr>
              <w:jc w:val="right"/>
              <w:rPr>
                <w:rFonts w:ascii="Arial" w:hAnsi="Arial" w:cs="Arial"/>
                <w:sz w:val="20"/>
                <w:szCs w:val="20"/>
              </w:rPr>
            </w:pPr>
            <w:r w:rsidRPr="00383CE8">
              <w:rPr>
                <w:rFonts w:ascii="Arial" w:hAnsi="Arial" w:cs="Arial"/>
                <w:sz w:val="20"/>
                <w:szCs w:val="20"/>
              </w:rPr>
              <w:t>588,755,915</w:t>
            </w:r>
          </w:p>
        </w:tc>
      </w:tr>
      <w:tr w:rsidR="00383CE8" w:rsidRPr="00906AFB" w:rsidTr="00383CE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83CE8" w:rsidRPr="00906AFB" w:rsidRDefault="00383CE8" w:rsidP="00383CE8">
            <w:pPr>
              <w:contextualSpacing/>
              <w:jc w:val="center"/>
              <w:rPr>
                <w:rFonts w:ascii="Arial" w:hAnsi="Arial" w:cs="Arial"/>
                <w:sz w:val="20"/>
                <w:szCs w:val="20"/>
              </w:rPr>
            </w:pPr>
            <w:r w:rsidRPr="00906AFB">
              <w:rPr>
                <w:rFonts w:ascii="Arial" w:hAnsi="Arial" w:cs="Arial"/>
                <w:sz w:val="20"/>
                <w:szCs w:val="20"/>
              </w:rPr>
              <w:t>15</w:t>
            </w:r>
          </w:p>
        </w:tc>
        <w:tc>
          <w:tcPr>
            <w:tcW w:w="5244" w:type="dxa"/>
            <w:tcBorders>
              <w:top w:val="single" w:sz="4" w:space="0" w:color="auto"/>
              <w:left w:val="single" w:sz="4" w:space="0" w:color="auto"/>
              <w:bottom w:val="single" w:sz="4" w:space="0" w:color="auto"/>
              <w:right w:val="single" w:sz="4" w:space="0" w:color="auto"/>
            </w:tcBorders>
            <w:vAlign w:val="center"/>
            <w:hideMark/>
          </w:tcPr>
          <w:p w:rsidR="00383CE8" w:rsidRPr="00906AFB" w:rsidRDefault="00383CE8" w:rsidP="00383CE8">
            <w:pPr>
              <w:contextualSpacing/>
              <w:rPr>
                <w:rFonts w:ascii="Arial" w:hAnsi="Arial" w:cs="Arial"/>
                <w:sz w:val="20"/>
                <w:szCs w:val="20"/>
              </w:rPr>
            </w:pPr>
            <w:r w:rsidRPr="00906AFB">
              <w:rPr>
                <w:rFonts w:ascii="Arial" w:hAnsi="Arial" w:cs="Arial"/>
                <w:sz w:val="20"/>
                <w:szCs w:val="20"/>
              </w:rPr>
              <w:t>Secretaría de la Juventud</w:t>
            </w:r>
          </w:p>
        </w:tc>
        <w:tc>
          <w:tcPr>
            <w:tcW w:w="1607" w:type="dxa"/>
            <w:tcBorders>
              <w:top w:val="single" w:sz="4" w:space="0" w:color="auto"/>
              <w:left w:val="single" w:sz="4" w:space="0" w:color="auto"/>
              <w:bottom w:val="single" w:sz="4" w:space="0" w:color="auto"/>
              <w:right w:val="single" w:sz="4" w:space="0" w:color="auto"/>
            </w:tcBorders>
            <w:noWrap/>
            <w:vAlign w:val="center"/>
          </w:tcPr>
          <w:p w:rsidR="00383CE8" w:rsidRPr="00383CE8" w:rsidRDefault="00383CE8" w:rsidP="00383CE8">
            <w:pPr>
              <w:jc w:val="right"/>
              <w:rPr>
                <w:rFonts w:ascii="Arial" w:hAnsi="Arial" w:cs="Arial"/>
                <w:sz w:val="20"/>
                <w:szCs w:val="20"/>
              </w:rPr>
            </w:pPr>
            <w:r w:rsidRPr="00383CE8">
              <w:rPr>
                <w:rFonts w:ascii="Arial" w:hAnsi="Arial" w:cs="Arial"/>
                <w:sz w:val="20"/>
                <w:szCs w:val="20"/>
              </w:rPr>
              <w:t>16,169,447</w:t>
            </w:r>
          </w:p>
        </w:tc>
      </w:tr>
      <w:tr w:rsidR="00383CE8" w:rsidRPr="00906AFB" w:rsidTr="00383CE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83CE8" w:rsidRPr="00906AFB" w:rsidRDefault="00383CE8" w:rsidP="00383CE8">
            <w:pPr>
              <w:contextualSpacing/>
              <w:jc w:val="center"/>
              <w:rPr>
                <w:rFonts w:ascii="Arial" w:hAnsi="Arial" w:cs="Arial"/>
                <w:sz w:val="20"/>
                <w:szCs w:val="20"/>
              </w:rPr>
            </w:pPr>
            <w:r w:rsidRPr="00906AFB">
              <w:rPr>
                <w:rFonts w:ascii="Arial" w:hAnsi="Arial" w:cs="Arial"/>
                <w:sz w:val="20"/>
                <w:szCs w:val="20"/>
              </w:rPr>
              <w:t>16</w:t>
            </w:r>
          </w:p>
        </w:tc>
        <w:tc>
          <w:tcPr>
            <w:tcW w:w="5244" w:type="dxa"/>
            <w:tcBorders>
              <w:top w:val="single" w:sz="4" w:space="0" w:color="auto"/>
              <w:left w:val="single" w:sz="4" w:space="0" w:color="auto"/>
              <w:bottom w:val="single" w:sz="4" w:space="0" w:color="auto"/>
              <w:right w:val="single" w:sz="4" w:space="0" w:color="auto"/>
            </w:tcBorders>
            <w:vAlign w:val="center"/>
            <w:hideMark/>
          </w:tcPr>
          <w:p w:rsidR="00383CE8" w:rsidRPr="00906AFB" w:rsidRDefault="00383CE8" w:rsidP="00383CE8">
            <w:pPr>
              <w:contextualSpacing/>
              <w:rPr>
                <w:rFonts w:ascii="Arial" w:hAnsi="Arial" w:cs="Arial"/>
                <w:sz w:val="20"/>
                <w:szCs w:val="20"/>
              </w:rPr>
            </w:pPr>
            <w:r w:rsidRPr="00906AFB">
              <w:rPr>
                <w:rFonts w:ascii="Arial" w:hAnsi="Arial" w:cs="Arial"/>
                <w:sz w:val="20"/>
                <w:szCs w:val="20"/>
              </w:rPr>
              <w:t>Secretaría del Trabajo y Previsión Social</w:t>
            </w:r>
          </w:p>
        </w:tc>
        <w:tc>
          <w:tcPr>
            <w:tcW w:w="1607" w:type="dxa"/>
            <w:tcBorders>
              <w:top w:val="single" w:sz="4" w:space="0" w:color="auto"/>
              <w:left w:val="single" w:sz="4" w:space="0" w:color="auto"/>
              <w:bottom w:val="single" w:sz="4" w:space="0" w:color="auto"/>
              <w:right w:val="single" w:sz="4" w:space="0" w:color="auto"/>
            </w:tcBorders>
            <w:noWrap/>
            <w:vAlign w:val="center"/>
          </w:tcPr>
          <w:p w:rsidR="00383CE8" w:rsidRPr="00383CE8" w:rsidRDefault="00383CE8" w:rsidP="00383CE8">
            <w:pPr>
              <w:jc w:val="right"/>
              <w:rPr>
                <w:rFonts w:ascii="Arial" w:hAnsi="Arial" w:cs="Arial"/>
                <w:sz w:val="20"/>
                <w:szCs w:val="20"/>
              </w:rPr>
            </w:pPr>
            <w:r w:rsidRPr="00383CE8">
              <w:rPr>
                <w:rFonts w:ascii="Arial" w:hAnsi="Arial" w:cs="Arial"/>
                <w:sz w:val="20"/>
                <w:szCs w:val="20"/>
              </w:rPr>
              <w:t>35,087,946</w:t>
            </w:r>
          </w:p>
        </w:tc>
      </w:tr>
      <w:tr w:rsidR="00383CE8" w:rsidRPr="00906AFB" w:rsidTr="00383CE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83CE8" w:rsidRPr="00906AFB" w:rsidRDefault="00383CE8" w:rsidP="00383CE8">
            <w:pPr>
              <w:contextualSpacing/>
              <w:jc w:val="center"/>
              <w:rPr>
                <w:rFonts w:ascii="Arial" w:hAnsi="Arial" w:cs="Arial"/>
                <w:sz w:val="20"/>
                <w:szCs w:val="20"/>
              </w:rPr>
            </w:pPr>
            <w:r w:rsidRPr="00906AFB">
              <w:rPr>
                <w:rFonts w:ascii="Arial" w:hAnsi="Arial" w:cs="Arial"/>
                <w:sz w:val="20"/>
                <w:szCs w:val="20"/>
              </w:rPr>
              <w:t>17</w:t>
            </w:r>
          </w:p>
        </w:tc>
        <w:tc>
          <w:tcPr>
            <w:tcW w:w="5244" w:type="dxa"/>
            <w:tcBorders>
              <w:top w:val="single" w:sz="4" w:space="0" w:color="auto"/>
              <w:left w:val="single" w:sz="4" w:space="0" w:color="auto"/>
              <w:bottom w:val="single" w:sz="4" w:space="0" w:color="auto"/>
              <w:right w:val="single" w:sz="4" w:space="0" w:color="auto"/>
            </w:tcBorders>
            <w:vAlign w:val="center"/>
            <w:hideMark/>
          </w:tcPr>
          <w:p w:rsidR="00383CE8" w:rsidRPr="00906AFB" w:rsidRDefault="00383CE8" w:rsidP="00383CE8">
            <w:pPr>
              <w:contextualSpacing/>
              <w:rPr>
                <w:rFonts w:ascii="Arial" w:hAnsi="Arial" w:cs="Arial"/>
                <w:sz w:val="20"/>
                <w:szCs w:val="20"/>
              </w:rPr>
            </w:pPr>
            <w:r w:rsidRPr="00906AFB">
              <w:rPr>
                <w:rFonts w:ascii="Arial" w:hAnsi="Arial" w:cs="Arial"/>
                <w:sz w:val="20"/>
                <w:szCs w:val="20"/>
              </w:rPr>
              <w:t>Secretaría de Movilidad</w:t>
            </w:r>
          </w:p>
        </w:tc>
        <w:tc>
          <w:tcPr>
            <w:tcW w:w="1607" w:type="dxa"/>
            <w:tcBorders>
              <w:top w:val="single" w:sz="4" w:space="0" w:color="auto"/>
              <w:left w:val="single" w:sz="4" w:space="0" w:color="auto"/>
              <w:bottom w:val="single" w:sz="4" w:space="0" w:color="auto"/>
              <w:right w:val="single" w:sz="4" w:space="0" w:color="auto"/>
            </w:tcBorders>
            <w:noWrap/>
            <w:vAlign w:val="center"/>
          </w:tcPr>
          <w:p w:rsidR="00383CE8" w:rsidRPr="00383CE8" w:rsidRDefault="00383CE8" w:rsidP="00383CE8">
            <w:pPr>
              <w:jc w:val="right"/>
              <w:rPr>
                <w:rFonts w:ascii="Arial" w:hAnsi="Arial" w:cs="Arial"/>
                <w:sz w:val="20"/>
                <w:szCs w:val="20"/>
              </w:rPr>
            </w:pPr>
            <w:r w:rsidRPr="00383CE8">
              <w:rPr>
                <w:rFonts w:ascii="Arial" w:hAnsi="Arial" w:cs="Arial"/>
                <w:sz w:val="20"/>
                <w:szCs w:val="20"/>
              </w:rPr>
              <w:t>58,707,250</w:t>
            </w:r>
          </w:p>
        </w:tc>
      </w:tr>
      <w:tr w:rsidR="00383CE8" w:rsidRPr="00906AFB" w:rsidTr="00383CE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83CE8" w:rsidRPr="00906AFB" w:rsidRDefault="00383CE8" w:rsidP="00383CE8">
            <w:pPr>
              <w:contextualSpacing/>
              <w:jc w:val="center"/>
              <w:rPr>
                <w:rFonts w:ascii="Arial" w:hAnsi="Arial" w:cs="Arial"/>
                <w:sz w:val="20"/>
                <w:szCs w:val="20"/>
              </w:rPr>
            </w:pPr>
            <w:r w:rsidRPr="00906AFB">
              <w:rPr>
                <w:rFonts w:ascii="Arial" w:hAnsi="Arial" w:cs="Arial"/>
                <w:sz w:val="20"/>
                <w:szCs w:val="20"/>
              </w:rPr>
              <w:t>18</w:t>
            </w:r>
          </w:p>
        </w:tc>
        <w:tc>
          <w:tcPr>
            <w:tcW w:w="5244" w:type="dxa"/>
            <w:tcBorders>
              <w:top w:val="single" w:sz="4" w:space="0" w:color="auto"/>
              <w:left w:val="single" w:sz="4" w:space="0" w:color="auto"/>
              <w:bottom w:val="single" w:sz="4" w:space="0" w:color="auto"/>
              <w:right w:val="single" w:sz="4" w:space="0" w:color="auto"/>
            </w:tcBorders>
            <w:vAlign w:val="center"/>
            <w:hideMark/>
          </w:tcPr>
          <w:p w:rsidR="00383CE8" w:rsidRPr="00906AFB" w:rsidRDefault="00383CE8" w:rsidP="00383CE8">
            <w:pPr>
              <w:contextualSpacing/>
              <w:rPr>
                <w:rFonts w:ascii="Arial" w:hAnsi="Arial" w:cs="Arial"/>
                <w:sz w:val="20"/>
                <w:szCs w:val="20"/>
              </w:rPr>
            </w:pPr>
            <w:r w:rsidRPr="00906AFB">
              <w:rPr>
                <w:rFonts w:ascii="Arial" w:hAnsi="Arial" w:cs="Arial"/>
                <w:sz w:val="20"/>
                <w:szCs w:val="20"/>
              </w:rPr>
              <w:t>Consejería Jurídica del Poder Ejecutivo</w:t>
            </w:r>
          </w:p>
        </w:tc>
        <w:tc>
          <w:tcPr>
            <w:tcW w:w="1607" w:type="dxa"/>
            <w:tcBorders>
              <w:top w:val="single" w:sz="4" w:space="0" w:color="auto"/>
              <w:left w:val="single" w:sz="4" w:space="0" w:color="auto"/>
              <w:bottom w:val="single" w:sz="4" w:space="0" w:color="auto"/>
              <w:right w:val="single" w:sz="4" w:space="0" w:color="auto"/>
            </w:tcBorders>
            <w:noWrap/>
            <w:vAlign w:val="center"/>
          </w:tcPr>
          <w:p w:rsidR="00383CE8" w:rsidRPr="00383CE8" w:rsidRDefault="00383CE8" w:rsidP="00383CE8">
            <w:pPr>
              <w:jc w:val="right"/>
              <w:rPr>
                <w:rFonts w:ascii="Arial" w:hAnsi="Arial" w:cs="Arial"/>
                <w:sz w:val="20"/>
                <w:szCs w:val="20"/>
              </w:rPr>
            </w:pPr>
            <w:r w:rsidRPr="00383CE8">
              <w:rPr>
                <w:rFonts w:ascii="Arial" w:hAnsi="Arial" w:cs="Arial"/>
                <w:sz w:val="20"/>
                <w:szCs w:val="20"/>
              </w:rPr>
              <w:t>39,993,151</w:t>
            </w:r>
          </w:p>
        </w:tc>
      </w:tr>
      <w:tr w:rsidR="00383CE8" w:rsidRPr="00906AFB" w:rsidTr="00383CE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83CE8" w:rsidRPr="00906AFB" w:rsidRDefault="00383CE8" w:rsidP="00383CE8">
            <w:pPr>
              <w:contextualSpacing/>
              <w:jc w:val="center"/>
              <w:rPr>
                <w:rFonts w:ascii="Arial" w:hAnsi="Arial" w:cs="Arial"/>
                <w:sz w:val="20"/>
                <w:szCs w:val="20"/>
              </w:rPr>
            </w:pPr>
            <w:r w:rsidRPr="00906AFB">
              <w:rPr>
                <w:rFonts w:ascii="Arial" w:hAnsi="Arial" w:cs="Arial"/>
                <w:sz w:val="20"/>
                <w:szCs w:val="20"/>
              </w:rPr>
              <w:t>19</w:t>
            </w:r>
          </w:p>
        </w:tc>
        <w:tc>
          <w:tcPr>
            <w:tcW w:w="5244" w:type="dxa"/>
            <w:tcBorders>
              <w:top w:val="single" w:sz="4" w:space="0" w:color="auto"/>
              <w:left w:val="single" w:sz="4" w:space="0" w:color="auto"/>
              <w:bottom w:val="single" w:sz="4" w:space="0" w:color="auto"/>
              <w:right w:val="single" w:sz="4" w:space="0" w:color="auto"/>
            </w:tcBorders>
            <w:vAlign w:val="center"/>
            <w:hideMark/>
          </w:tcPr>
          <w:p w:rsidR="00383CE8" w:rsidRPr="00906AFB" w:rsidRDefault="00383CE8" w:rsidP="00383CE8">
            <w:pPr>
              <w:contextualSpacing/>
              <w:rPr>
                <w:rFonts w:ascii="Arial" w:hAnsi="Arial" w:cs="Arial"/>
                <w:sz w:val="20"/>
                <w:szCs w:val="20"/>
              </w:rPr>
            </w:pPr>
            <w:r w:rsidRPr="00906AFB">
              <w:rPr>
                <w:rFonts w:ascii="Arial" w:hAnsi="Arial" w:cs="Arial"/>
                <w:sz w:val="20"/>
                <w:szCs w:val="20"/>
              </w:rPr>
              <w:t>Transferencias, Asignaciones, Subsidios y Otras Ayudas</w:t>
            </w:r>
          </w:p>
        </w:tc>
        <w:tc>
          <w:tcPr>
            <w:tcW w:w="1607" w:type="dxa"/>
            <w:tcBorders>
              <w:top w:val="single" w:sz="4" w:space="0" w:color="auto"/>
              <w:left w:val="single" w:sz="4" w:space="0" w:color="auto"/>
              <w:bottom w:val="single" w:sz="4" w:space="0" w:color="auto"/>
              <w:right w:val="single" w:sz="4" w:space="0" w:color="auto"/>
            </w:tcBorders>
            <w:noWrap/>
            <w:vAlign w:val="center"/>
          </w:tcPr>
          <w:p w:rsidR="00383CE8" w:rsidRPr="00383CE8" w:rsidRDefault="00383CE8" w:rsidP="00383CE8">
            <w:pPr>
              <w:jc w:val="right"/>
              <w:rPr>
                <w:rFonts w:ascii="Arial" w:hAnsi="Arial" w:cs="Arial"/>
                <w:sz w:val="20"/>
                <w:szCs w:val="20"/>
              </w:rPr>
            </w:pPr>
            <w:r w:rsidRPr="00383CE8">
              <w:rPr>
                <w:rFonts w:ascii="Arial" w:hAnsi="Arial" w:cs="Arial"/>
                <w:sz w:val="20"/>
                <w:szCs w:val="20"/>
              </w:rPr>
              <w:t>1,385,841,151</w:t>
            </w:r>
          </w:p>
        </w:tc>
      </w:tr>
      <w:tr w:rsidR="00383CE8" w:rsidRPr="00906AFB" w:rsidTr="00383CE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83CE8" w:rsidRPr="00906AFB" w:rsidRDefault="00383CE8" w:rsidP="00383CE8">
            <w:pPr>
              <w:contextualSpacing/>
              <w:jc w:val="center"/>
              <w:rPr>
                <w:rFonts w:ascii="Arial" w:hAnsi="Arial" w:cs="Arial"/>
                <w:sz w:val="20"/>
                <w:szCs w:val="20"/>
              </w:rPr>
            </w:pPr>
            <w:r w:rsidRPr="00906AFB">
              <w:rPr>
                <w:rFonts w:ascii="Arial" w:hAnsi="Arial" w:cs="Arial"/>
                <w:sz w:val="20"/>
                <w:szCs w:val="20"/>
              </w:rPr>
              <w:t>20</w:t>
            </w:r>
          </w:p>
        </w:tc>
        <w:tc>
          <w:tcPr>
            <w:tcW w:w="5244" w:type="dxa"/>
            <w:tcBorders>
              <w:top w:val="single" w:sz="4" w:space="0" w:color="auto"/>
              <w:left w:val="single" w:sz="4" w:space="0" w:color="auto"/>
              <w:bottom w:val="single" w:sz="4" w:space="0" w:color="auto"/>
              <w:right w:val="single" w:sz="4" w:space="0" w:color="auto"/>
            </w:tcBorders>
            <w:vAlign w:val="center"/>
            <w:hideMark/>
          </w:tcPr>
          <w:p w:rsidR="00383CE8" w:rsidRPr="00906AFB" w:rsidRDefault="00383CE8" w:rsidP="00383CE8">
            <w:pPr>
              <w:contextualSpacing/>
              <w:rPr>
                <w:rFonts w:ascii="Arial" w:hAnsi="Arial" w:cs="Arial"/>
                <w:sz w:val="20"/>
                <w:szCs w:val="20"/>
              </w:rPr>
            </w:pPr>
            <w:r w:rsidRPr="00906AFB">
              <w:rPr>
                <w:rFonts w:ascii="Arial" w:hAnsi="Arial" w:cs="Arial"/>
                <w:sz w:val="20"/>
                <w:szCs w:val="20"/>
              </w:rPr>
              <w:t>Participaciones y Aportaciones</w:t>
            </w:r>
          </w:p>
        </w:tc>
        <w:tc>
          <w:tcPr>
            <w:tcW w:w="1607" w:type="dxa"/>
            <w:tcBorders>
              <w:top w:val="single" w:sz="4" w:space="0" w:color="auto"/>
              <w:left w:val="single" w:sz="4" w:space="0" w:color="auto"/>
              <w:bottom w:val="single" w:sz="4" w:space="0" w:color="auto"/>
              <w:right w:val="single" w:sz="4" w:space="0" w:color="auto"/>
            </w:tcBorders>
            <w:noWrap/>
            <w:vAlign w:val="center"/>
          </w:tcPr>
          <w:p w:rsidR="00383CE8" w:rsidRPr="00383CE8" w:rsidRDefault="00383CE8" w:rsidP="00383CE8">
            <w:pPr>
              <w:jc w:val="right"/>
              <w:rPr>
                <w:rFonts w:ascii="Arial" w:hAnsi="Arial" w:cs="Arial"/>
                <w:sz w:val="20"/>
                <w:szCs w:val="20"/>
              </w:rPr>
            </w:pPr>
            <w:r w:rsidRPr="00383CE8">
              <w:rPr>
                <w:rFonts w:ascii="Arial" w:hAnsi="Arial" w:cs="Arial"/>
                <w:sz w:val="20"/>
                <w:szCs w:val="20"/>
              </w:rPr>
              <w:t>1,782,926,780</w:t>
            </w:r>
          </w:p>
        </w:tc>
      </w:tr>
      <w:tr w:rsidR="00383CE8" w:rsidRPr="00906AFB" w:rsidTr="00383CE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83CE8" w:rsidRPr="00906AFB" w:rsidRDefault="00383CE8" w:rsidP="00383CE8">
            <w:pPr>
              <w:contextualSpacing/>
              <w:jc w:val="center"/>
              <w:rPr>
                <w:rFonts w:ascii="Arial" w:hAnsi="Arial" w:cs="Arial"/>
                <w:sz w:val="20"/>
                <w:szCs w:val="20"/>
              </w:rPr>
            </w:pPr>
            <w:r w:rsidRPr="00906AFB">
              <w:rPr>
                <w:rFonts w:ascii="Arial" w:hAnsi="Arial" w:cs="Arial"/>
                <w:sz w:val="20"/>
                <w:szCs w:val="20"/>
              </w:rPr>
              <w:t>21</w:t>
            </w:r>
          </w:p>
        </w:tc>
        <w:tc>
          <w:tcPr>
            <w:tcW w:w="5244" w:type="dxa"/>
            <w:tcBorders>
              <w:top w:val="single" w:sz="4" w:space="0" w:color="auto"/>
              <w:left w:val="single" w:sz="4" w:space="0" w:color="auto"/>
              <w:bottom w:val="single" w:sz="4" w:space="0" w:color="auto"/>
              <w:right w:val="single" w:sz="4" w:space="0" w:color="auto"/>
            </w:tcBorders>
            <w:vAlign w:val="center"/>
            <w:hideMark/>
          </w:tcPr>
          <w:p w:rsidR="00383CE8" w:rsidRPr="00906AFB" w:rsidRDefault="00383CE8" w:rsidP="00383CE8">
            <w:pPr>
              <w:contextualSpacing/>
              <w:rPr>
                <w:rFonts w:ascii="Arial" w:hAnsi="Arial" w:cs="Arial"/>
                <w:sz w:val="20"/>
                <w:szCs w:val="20"/>
              </w:rPr>
            </w:pPr>
            <w:r w:rsidRPr="00906AFB">
              <w:rPr>
                <w:rFonts w:ascii="Arial" w:hAnsi="Arial" w:cs="Arial"/>
                <w:sz w:val="20"/>
                <w:szCs w:val="20"/>
              </w:rPr>
              <w:t>Erogaciones Extraordinarias</w:t>
            </w:r>
          </w:p>
        </w:tc>
        <w:tc>
          <w:tcPr>
            <w:tcW w:w="1607" w:type="dxa"/>
            <w:tcBorders>
              <w:top w:val="single" w:sz="4" w:space="0" w:color="auto"/>
              <w:left w:val="single" w:sz="4" w:space="0" w:color="auto"/>
              <w:bottom w:val="single" w:sz="4" w:space="0" w:color="auto"/>
              <w:right w:val="single" w:sz="4" w:space="0" w:color="auto"/>
            </w:tcBorders>
            <w:noWrap/>
            <w:vAlign w:val="center"/>
          </w:tcPr>
          <w:p w:rsidR="00383CE8" w:rsidRPr="00383CE8" w:rsidRDefault="00383CE8" w:rsidP="00383CE8">
            <w:pPr>
              <w:jc w:val="right"/>
              <w:rPr>
                <w:rFonts w:ascii="Arial" w:hAnsi="Arial" w:cs="Arial"/>
                <w:sz w:val="20"/>
                <w:szCs w:val="20"/>
              </w:rPr>
            </w:pPr>
            <w:r w:rsidRPr="00383CE8">
              <w:rPr>
                <w:rFonts w:ascii="Arial" w:hAnsi="Arial" w:cs="Arial"/>
                <w:sz w:val="20"/>
                <w:szCs w:val="20"/>
              </w:rPr>
              <w:t>15,949,060</w:t>
            </w:r>
          </w:p>
        </w:tc>
      </w:tr>
      <w:tr w:rsidR="00383CE8" w:rsidRPr="00906AFB" w:rsidTr="00383CE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83CE8" w:rsidRPr="00906AFB" w:rsidRDefault="00383CE8" w:rsidP="00383CE8">
            <w:pPr>
              <w:contextualSpacing/>
              <w:jc w:val="center"/>
              <w:rPr>
                <w:rFonts w:ascii="Arial" w:hAnsi="Arial" w:cs="Arial"/>
                <w:sz w:val="20"/>
                <w:szCs w:val="20"/>
              </w:rPr>
            </w:pPr>
            <w:r w:rsidRPr="00906AFB">
              <w:rPr>
                <w:rFonts w:ascii="Arial" w:hAnsi="Arial" w:cs="Arial"/>
                <w:sz w:val="20"/>
                <w:szCs w:val="20"/>
              </w:rPr>
              <w:t>22</w:t>
            </w:r>
          </w:p>
        </w:tc>
        <w:tc>
          <w:tcPr>
            <w:tcW w:w="5244" w:type="dxa"/>
            <w:tcBorders>
              <w:top w:val="single" w:sz="4" w:space="0" w:color="auto"/>
              <w:left w:val="single" w:sz="4" w:space="0" w:color="auto"/>
              <w:bottom w:val="single" w:sz="4" w:space="0" w:color="auto"/>
              <w:right w:val="single" w:sz="4" w:space="0" w:color="auto"/>
            </w:tcBorders>
            <w:vAlign w:val="center"/>
            <w:hideMark/>
          </w:tcPr>
          <w:p w:rsidR="00383CE8" w:rsidRPr="00906AFB" w:rsidRDefault="00383CE8" w:rsidP="00383CE8">
            <w:pPr>
              <w:contextualSpacing/>
              <w:rPr>
                <w:rFonts w:ascii="Arial" w:hAnsi="Arial" w:cs="Arial"/>
                <w:sz w:val="20"/>
                <w:szCs w:val="20"/>
              </w:rPr>
            </w:pPr>
            <w:r w:rsidRPr="00906AFB">
              <w:rPr>
                <w:rFonts w:ascii="Arial" w:hAnsi="Arial" w:cs="Arial"/>
                <w:sz w:val="20"/>
                <w:szCs w:val="20"/>
              </w:rPr>
              <w:t>Cancelación de Pasivos</w:t>
            </w:r>
          </w:p>
        </w:tc>
        <w:tc>
          <w:tcPr>
            <w:tcW w:w="1607" w:type="dxa"/>
            <w:tcBorders>
              <w:top w:val="single" w:sz="4" w:space="0" w:color="auto"/>
              <w:left w:val="single" w:sz="4" w:space="0" w:color="auto"/>
              <w:bottom w:val="single" w:sz="4" w:space="0" w:color="auto"/>
              <w:right w:val="single" w:sz="4" w:space="0" w:color="auto"/>
            </w:tcBorders>
            <w:noWrap/>
            <w:vAlign w:val="center"/>
          </w:tcPr>
          <w:p w:rsidR="00383CE8" w:rsidRPr="00383CE8" w:rsidRDefault="00383CE8" w:rsidP="00383CE8">
            <w:pPr>
              <w:jc w:val="right"/>
              <w:rPr>
                <w:rFonts w:ascii="Arial" w:hAnsi="Arial" w:cs="Arial"/>
                <w:sz w:val="20"/>
                <w:szCs w:val="20"/>
              </w:rPr>
            </w:pPr>
            <w:r w:rsidRPr="00383CE8">
              <w:rPr>
                <w:rFonts w:ascii="Arial" w:hAnsi="Arial" w:cs="Arial"/>
                <w:sz w:val="20"/>
                <w:szCs w:val="20"/>
              </w:rPr>
              <w:t>55,000,000</w:t>
            </w:r>
          </w:p>
        </w:tc>
      </w:tr>
      <w:tr w:rsidR="00383CE8" w:rsidRPr="00906AFB" w:rsidTr="00383CE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83CE8" w:rsidRPr="00906AFB" w:rsidRDefault="00383CE8" w:rsidP="00383CE8">
            <w:pPr>
              <w:contextualSpacing/>
              <w:jc w:val="center"/>
              <w:rPr>
                <w:rFonts w:ascii="Arial" w:hAnsi="Arial" w:cs="Arial"/>
                <w:sz w:val="20"/>
                <w:szCs w:val="20"/>
              </w:rPr>
            </w:pPr>
            <w:r w:rsidRPr="00906AFB">
              <w:rPr>
                <w:rFonts w:ascii="Arial" w:hAnsi="Arial" w:cs="Arial"/>
                <w:sz w:val="20"/>
                <w:szCs w:val="20"/>
              </w:rPr>
              <w:t>23</w:t>
            </w:r>
          </w:p>
        </w:tc>
        <w:tc>
          <w:tcPr>
            <w:tcW w:w="5244" w:type="dxa"/>
            <w:tcBorders>
              <w:top w:val="single" w:sz="4" w:space="0" w:color="auto"/>
              <w:left w:val="single" w:sz="4" w:space="0" w:color="auto"/>
              <w:bottom w:val="single" w:sz="4" w:space="0" w:color="auto"/>
              <w:right w:val="single" w:sz="4" w:space="0" w:color="auto"/>
            </w:tcBorders>
            <w:vAlign w:val="center"/>
            <w:hideMark/>
          </w:tcPr>
          <w:p w:rsidR="00383CE8" w:rsidRPr="00906AFB" w:rsidRDefault="00383CE8" w:rsidP="00383CE8">
            <w:pPr>
              <w:contextualSpacing/>
              <w:rPr>
                <w:rFonts w:ascii="Arial" w:hAnsi="Arial" w:cs="Arial"/>
                <w:sz w:val="20"/>
                <w:szCs w:val="20"/>
              </w:rPr>
            </w:pPr>
            <w:r w:rsidRPr="00906AFB">
              <w:rPr>
                <w:rFonts w:ascii="Arial" w:hAnsi="Arial" w:cs="Arial"/>
                <w:sz w:val="20"/>
                <w:szCs w:val="20"/>
              </w:rPr>
              <w:t>Deuda Pública</w:t>
            </w:r>
          </w:p>
        </w:tc>
        <w:tc>
          <w:tcPr>
            <w:tcW w:w="1607" w:type="dxa"/>
            <w:tcBorders>
              <w:top w:val="single" w:sz="4" w:space="0" w:color="auto"/>
              <w:left w:val="single" w:sz="4" w:space="0" w:color="auto"/>
              <w:bottom w:val="single" w:sz="4" w:space="0" w:color="auto"/>
              <w:right w:val="single" w:sz="4" w:space="0" w:color="auto"/>
            </w:tcBorders>
            <w:noWrap/>
            <w:vAlign w:val="center"/>
          </w:tcPr>
          <w:p w:rsidR="00383CE8" w:rsidRPr="00383CE8" w:rsidRDefault="00383CE8" w:rsidP="00383CE8">
            <w:pPr>
              <w:jc w:val="right"/>
              <w:rPr>
                <w:rFonts w:ascii="Arial" w:hAnsi="Arial" w:cs="Arial"/>
                <w:sz w:val="20"/>
                <w:szCs w:val="20"/>
              </w:rPr>
            </w:pPr>
            <w:r w:rsidRPr="00383CE8">
              <w:rPr>
                <w:rFonts w:ascii="Arial" w:hAnsi="Arial" w:cs="Arial"/>
                <w:sz w:val="20"/>
                <w:szCs w:val="20"/>
              </w:rPr>
              <w:t>355,005,670</w:t>
            </w:r>
          </w:p>
        </w:tc>
      </w:tr>
      <w:tr w:rsidR="00383CE8" w:rsidRPr="00906AFB" w:rsidTr="00383CE8">
        <w:trPr>
          <w:trHeight w:val="283"/>
        </w:trPr>
        <w:tc>
          <w:tcPr>
            <w:tcW w:w="709" w:type="dxa"/>
            <w:tcBorders>
              <w:top w:val="single" w:sz="4" w:space="0" w:color="auto"/>
              <w:left w:val="single" w:sz="4" w:space="0" w:color="auto"/>
              <w:bottom w:val="single" w:sz="4" w:space="0" w:color="auto"/>
              <w:right w:val="single" w:sz="4" w:space="0" w:color="auto"/>
            </w:tcBorders>
            <w:vAlign w:val="center"/>
            <w:hideMark/>
          </w:tcPr>
          <w:p w:rsidR="00383CE8" w:rsidRPr="00906AFB" w:rsidRDefault="00383CE8" w:rsidP="00383CE8">
            <w:pPr>
              <w:spacing w:before="120" w:after="120" w:line="360" w:lineRule="auto"/>
              <w:jc w:val="both"/>
              <w:rPr>
                <w:rFonts w:ascii="Arial" w:hAnsi="Arial" w:cs="Arial"/>
                <w:sz w:val="20"/>
                <w:szCs w:val="20"/>
              </w:rPr>
            </w:pPr>
          </w:p>
        </w:tc>
        <w:tc>
          <w:tcPr>
            <w:tcW w:w="5244" w:type="dxa"/>
            <w:tcBorders>
              <w:top w:val="single" w:sz="4" w:space="0" w:color="auto"/>
              <w:left w:val="single" w:sz="4" w:space="0" w:color="auto"/>
              <w:bottom w:val="single" w:sz="4" w:space="0" w:color="auto"/>
              <w:right w:val="single" w:sz="4" w:space="0" w:color="auto"/>
            </w:tcBorders>
            <w:vAlign w:val="center"/>
            <w:hideMark/>
          </w:tcPr>
          <w:p w:rsidR="00383CE8" w:rsidRPr="00906AFB" w:rsidRDefault="00383CE8" w:rsidP="00383CE8">
            <w:pPr>
              <w:contextualSpacing/>
              <w:jc w:val="center"/>
              <w:rPr>
                <w:rFonts w:ascii="Arial" w:hAnsi="Arial" w:cs="Arial"/>
                <w:b/>
                <w:bCs/>
                <w:sz w:val="20"/>
                <w:szCs w:val="20"/>
              </w:rPr>
            </w:pPr>
            <w:r w:rsidRPr="00906AFB">
              <w:rPr>
                <w:rFonts w:ascii="Arial" w:hAnsi="Arial" w:cs="Arial"/>
                <w:b/>
                <w:bCs/>
                <w:sz w:val="20"/>
                <w:szCs w:val="20"/>
              </w:rPr>
              <w:t>Total</w:t>
            </w:r>
          </w:p>
        </w:tc>
        <w:tc>
          <w:tcPr>
            <w:tcW w:w="1607" w:type="dxa"/>
            <w:tcBorders>
              <w:top w:val="single" w:sz="4" w:space="0" w:color="auto"/>
              <w:left w:val="single" w:sz="4" w:space="0" w:color="auto"/>
              <w:bottom w:val="single" w:sz="4" w:space="0" w:color="auto"/>
              <w:right w:val="single" w:sz="4" w:space="0" w:color="auto"/>
            </w:tcBorders>
            <w:vAlign w:val="center"/>
          </w:tcPr>
          <w:p w:rsidR="00383CE8" w:rsidRPr="00383CE8" w:rsidRDefault="00383CE8" w:rsidP="00383CE8">
            <w:pPr>
              <w:jc w:val="right"/>
              <w:rPr>
                <w:rFonts w:ascii="Arial" w:hAnsi="Arial" w:cs="Arial"/>
                <w:b/>
                <w:sz w:val="20"/>
                <w:szCs w:val="20"/>
              </w:rPr>
            </w:pPr>
            <w:r w:rsidRPr="00383CE8">
              <w:rPr>
                <w:rFonts w:ascii="Arial" w:hAnsi="Arial" w:cs="Arial"/>
                <w:b/>
                <w:sz w:val="20"/>
                <w:szCs w:val="20"/>
              </w:rPr>
              <w:t>15,517,525,000</w:t>
            </w:r>
          </w:p>
        </w:tc>
      </w:tr>
    </w:tbl>
    <w:p w:rsidR="00906AFB" w:rsidRPr="00C16A91" w:rsidRDefault="00906AFB" w:rsidP="00906AFB">
      <w:pPr>
        <w:spacing w:after="0" w:line="240" w:lineRule="auto"/>
        <w:jc w:val="both"/>
        <w:rPr>
          <w:rFonts w:ascii="Arial" w:eastAsia="Calibri" w:hAnsi="Arial" w:cs="Arial"/>
          <w:b/>
          <w:sz w:val="36"/>
          <w:szCs w:val="24"/>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b/>
          <w:sz w:val="24"/>
          <w:szCs w:val="24"/>
          <w:lang w:val="es-ES" w:eastAsia="en-US"/>
        </w:rPr>
        <w:t>Artículo 18</w:t>
      </w:r>
      <w:r w:rsidRPr="00906AFB">
        <w:rPr>
          <w:rFonts w:ascii="Arial" w:eastAsia="Calibri" w:hAnsi="Arial" w:cs="Arial"/>
          <w:sz w:val="24"/>
          <w:szCs w:val="24"/>
          <w:lang w:val="es-ES" w:eastAsia="en-US"/>
        </w:rPr>
        <w:t>. De acuerdo con la Clasificación Funcional del Gasto, el Presupuesto de Egresos del Estado de Colima para el ejercicio fiscal 2017 se distribuye de la siguiente forma:</w:t>
      </w:r>
    </w:p>
    <w:p w:rsidR="00C16A91" w:rsidRDefault="00C16A91">
      <w:pPr>
        <w:rPr>
          <w:rFonts w:ascii="Arial" w:eastAsia="Calibri" w:hAnsi="Arial" w:cs="Arial"/>
          <w:sz w:val="32"/>
          <w:szCs w:val="24"/>
          <w:lang w:val="es-ES" w:eastAsia="en-US"/>
        </w:rPr>
      </w:pPr>
      <w:r>
        <w:rPr>
          <w:rFonts w:ascii="Arial" w:eastAsia="Calibri" w:hAnsi="Arial" w:cs="Arial"/>
          <w:sz w:val="32"/>
          <w:szCs w:val="24"/>
          <w:lang w:val="es-ES" w:eastAsia="en-US"/>
        </w:rPr>
        <w:br w:type="page"/>
      </w:r>
    </w:p>
    <w:p w:rsidR="00906AFB" w:rsidRPr="00906AFB" w:rsidRDefault="00906AFB" w:rsidP="00906AFB">
      <w:pPr>
        <w:keepNext/>
        <w:keepLines/>
        <w:spacing w:after="0" w:line="240" w:lineRule="auto"/>
        <w:jc w:val="center"/>
        <w:outlineLvl w:val="1"/>
        <w:rPr>
          <w:rFonts w:ascii="Arial" w:eastAsia="Times New Roman" w:hAnsi="Arial" w:cs="Times New Roman"/>
          <w:b/>
          <w:sz w:val="20"/>
          <w:szCs w:val="26"/>
          <w:lang w:val="es-ES" w:eastAsia="en-US"/>
        </w:rPr>
      </w:pPr>
      <w:r w:rsidRPr="00906AFB">
        <w:rPr>
          <w:rFonts w:ascii="Arial" w:eastAsia="Times New Roman" w:hAnsi="Arial" w:cs="Times New Roman"/>
          <w:b/>
          <w:sz w:val="20"/>
          <w:szCs w:val="26"/>
          <w:lang w:val="es-ES" w:eastAsia="en-US"/>
        </w:rPr>
        <w:lastRenderedPageBreak/>
        <w:t>Tabla 21. Clasificación Funcional del Gasto (Primer nivel)</w:t>
      </w:r>
    </w:p>
    <w:tbl>
      <w:tblPr>
        <w:tblStyle w:val="Tablaconcuadrcula2"/>
        <w:tblW w:w="0" w:type="auto"/>
        <w:tblInd w:w="108" w:type="dxa"/>
        <w:tblLook w:val="04A0" w:firstRow="1" w:lastRow="0" w:firstColumn="1" w:lastColumn="0" w:noHBand="0" w:noVBand="1"/>
      </w:tblPr>
      <w:tblGrid>
        <w:gridCol w:w="851"/>
        <w:gridCol w:w="6011"/>
        <w:gridCol w:w="1750"/>
      </w:tblGrid>
      <w:tr w:rsidR="00906AFB" w:rsidRPr="00906AFB" w:rsidTr="002674BC">
        <w:trPr>
          <w:trHeight w:val="283"/>
        </w:trPr>
        <w:tc>
          <w:tcPr>
            <w:tcW w:w="85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center"/>
              <w:rPr>
                <w:rFonts w:ascii="Arial" w:hAnsi="Arial" w:cs="Arial"/>
                <w:b/>
                <w:sz w:val="20"/>
                <w:szCs w:val="20"/>
              </w:rPr>
            </w:pPr>
            <w:r w:rsidRPr="00906AFB">
              <w:rPr>
                <w:rFonts w:ascii="Arial" w:hAnsi="Arial" w:cs="Arial"/>
                <w:b/>
                <w:sz w:val="20"/>
                <w:szCs w:val="20"/>
              </w:rPr>
              <w:t>Clave</w:t>
            </w:r>
          </w:p>
        </w:tc>
        <w:tc>
          <w:tcPr>
            <w:tcW w:w="601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center"/>
              <w:rPr>
                <w:rFonts w:ascii="Arial" w:hAnsi="Arial" w:cs="Arial"/>
                <w:b/>
                <w:bCs/>
                <w:sz w:val="20"/>
                <w:szCs w:val="20"/>
              </w:rPr>
            </w:pPr>
            <w:r w:rsidRPr="00906AFB">
              <w:rPr>
                <w:rFonts w:ascii="Arial" w:hAnsi="Arial" w:cs="Arial"/>
                <w:b/>
                <w:bCs/>
                <w:sz w:val="20"/>
                <w:szCs w:val="20"/>
              </w:rPr>
              <w:t>Finalidad</w:t>
            </w:r>
          </w:p>
        </w:tc>
        <w:tc>
          <w:tcPr>
            <w:tcW w:w="1750" w:type="dxa"/>
            <w:tcBorders>
              <w:top w:val="single" w:sz="4" w:space="0" w:color="auto"/>
              <w:left w:val="single" w:sz="4" w:space="0" w:color="auto"/>
              <w:bottom w:val="single" w:sz="4" w:space="0" w:color="auto"/>
              <w:right w:val="single" w:sz="4" w:space="0" w:color="auto"/>
            </w:tcBorders>
            <w:noWrap/>
            <w:vAlign w:val="center"/>
            <w:hideMark/>
          </w:tcPr>
          <w:p w:rsidR="00906AFB" w:rsidRPr="002674BC" w:rsidRDefault="00906AFB" w:rsidP="002674BC">
            <w:pPr>
              <w:jc w:val="right"/>
              <w:rPr>
                <w:rFonts w:ascii="Arial" w:hAnsi="Arial" w:cs="Arial"/>
                <w:b/>
                <w:bCs/>
                <w:sz w:val="20"/>
                <w:szCs w:val="20"/>
              </w:rPr>
            </w:pPr>
            <w:r w:rsidRPr="002674BC">
              <w:rPr>
                <w:rFonts w:ascii="Arial" w:hAnsi="Arial" w:cs="Arial"/>
                <w:b/>
                <w:bCs/>
                <w:sz w:val="20"/>
                <w:szCs w:val="20"/>
              </w:rPr>
              <w:t>Asignación Presupuestal</w:t>
            </w:r>
          </w:p>
        </w:tc>
      </w:tr>
      <w:tr w:rsidR="002674BC" w:rsidRPr="00906AFB" w:rsidTr="002674BC">
        <w:trPr>
          <w:trHeight w:val="283"/>
        </w:trPr>
        <w:tc>
          <w:tcPr>
            <w:tcW w:w="851" w:type="dxa"/>
            <w:tcBorders>
              <w:top w:val="single" w:sz="4" w:space="0" w:color="auto"/>
              <w:left w:val="single" w:sz="4" w:space="0" w:color="auto"/>
              <w:bottom w:val="single" w:sz="4" w:space="0" w:color="auto"/>
              <w:right w:val="single" w:sz="4" w:space="0" w:color="auto"/>
            </w:tcBorders>
            <w:noWrap/>
            <w:vAlign w:val="center"/>
            <w:hideMark/>
          </w:tcPr>
          <w:p w:rsidR="002674BC" w:rsidRPr="00906AFB" w:rsidRDefault="002674BC" w:rsidP="002674BC">
            <w:pPr>
              <w:jc w:val="center"/>
              <w:rPr>
                <w:rFonts w:ascii="Arial" w:hAnsi="Arial" w:cs="Arial"/>
                <w:sz w:val="20"/>
                <w:szCs w:val="20"/>
              </w:rPr>
            </w:pPr>
            <w:r w:rsidRPr="00906AFB">
              <w:rPr>
                <w:rFonts w:ascii="Arial" w:hAnsi="Arial" w:cs="Arial"/>
                <w:sz w:val="20"/>
                <w:szCs w:val="20"/>
              </w:rPr>
              <w:t>1</w:t>
            </w:r>
          </w:p>
        </w:tc>
        <w:tc>
          <w:tcPr>
            <w:tcW w:w="6011" w:type="dxa"/>
            <w:tcBorders>
              <w:top w:val="single" w:sz="4" w:space="0" w:color="auto"/>
              <w:left w:val="single" w:sz="4" w:space="0" w:color="auto"/>
              <w:bottom w:val="single" w:sz="4" w:space="0" w:color="auto"/>
              <w:right w:val="single" w:sz="4" w:space="0" w:color="auto"/>
            </w:tcBorders>
            <w:vAlign w:val="center"/>
            <w:hideMark/>
          </w:tcPr>
          <w:p w:rsidR="002674BC" w:rsidRPr="00906AFB" w:rsidRDefault="002674BC" w:rsidP="002674BC">
            <w:pPr>
              <w:rPr>
                <w:rFonts w:ascii="Arial" w:hAnsi="Arial" w:cs="Arial"/>
                <w:sz w:val="20"/>
                <w:szCs w:val="20"/>
              </w:rPr>
            </w:pPr>
            <w:r w:rsidRPr="00906AFB">
              <w:rPr>
                <w:rFonts w:ascii="Arial" w:hAnsi="Arial" w:cs="Arial"/>
                <w:sz w:val="20"/>
                <w:szCs w:val="20"/>
              </w:rPr>
              <w:t>Gobierno</w:t>
            </w:r>
          </w:p>
        </w:tc>
        <w:tc>
          <w:tcPr>
            <w:tcW w:w="1750" w:type="dxa"/>
            <w:tcBorders>
              <w:top w:val="single" w:sz="4" w:space="0" w:color="auto"/>
              <w:left w:val="single" w:sz="4" w:space="0" w:color="auto"/>
              <w:bottom w:val="single" w:sz="4" w:space="0" w:color="auto"/>
              <w:right w:val="single" w:sz="4" w:space="0" w:color="auto"/>
            </w:tcBorders>
            <w:noWrap/>
            <w:vAlign w:val="center"/>
            <w:hideMark/>
          </w:tcPr>
          <w:p w:rsidR="002674BC" w:rsidRPr="002674BC" w:rsidRDefault="002674BC" w:rsidP="002674BC">
            <w:pPr>
              <w:jc w:val="right"/>
              <w:rPr>
                <w:rFonts w:ascii="Arial" w:hAnsi="Arial" w:cs="Arial"/>
                <w:sz w:val="20"/>
                <w:szCs w:val="20"/>
              </w:rPr>
            </w:pPr>
            <w:r w:rsidRPr="002674BC">
              <w:rPr>
                <w:rFonts w:ascii="Arial" w:hAnsi="Arial" w:cs="Arial"/>
                <w:sz w:val="20"/>
                <w:szCs w:val="20"/>
              </w:rPr>
              <w:t>2,796,485,109</w:t>
            </w:r>
          </w:p>
        </w:tc>
      </w:tr>
      <w:tr w:rsidR="002674BC" w:rsidRPr="00906AFB" w:rsidTr="002674BC">
        <w:trPr>
          <w:trHeight w:val="283"/>
        </w:trPr>
        <w:tc>
          <w:tcPr>
            <w:tcW w:w="851" w:type="dxa"/>
            <w:tcBorders>
              <w:top w:val="single" w:sz="4" w:space="0" w:color="auto"/>
              <w:left w:val="single" w:sz="4" w:space="0" w:color="auto"/>
              <w:bottom w:val="single" w:sz="4" w:space="0" w:color="auto"/>
              <w:right w:val="single" w:sz="4" w:space="0" w:color="auto"/>
            </w:tcBorders>
            <w:noWrap/>
            <w:vAlign w:val="center"/>
            <w:hideMark/>
          </w:tcPr>
          <w:p w:rsidR="002674BC" w:rsidRPr="00906AFB" w:rsidRDefault="002674BC" w:rsidP="002674BC">
            <w:pPr>
              <w:jc w:val="center"/>
              <w:rPr>
                <w:rFonts w:ascii="Arial" w:hAnsi="Arial" w:cs="Arial"/>
                <w:sz w:val="20"/>
                <w:szCs w:val="20"/>
              </w:rPr>
            </w:pPr>
            <w:r w:rsidRPr="00906AFB">
              <w:rPr>
                <w:rFonts w:ascii="Arial" w:hAnsi="Arial" w:cs="Arial"/>
                <w:sz w:val="20"/>
                <w:szCs w:val="20"/>
              </w:rPr>
              <w:t>2</w:t>
            </w:r>
          </w:p>
        </w:tc>
        <w:tc>
          <w:tcPr>
            <w:tcW w:w="6011" w:type="dxa"/>
            <w:tcBorders>
              <w:top w:val="single" w:sz="4" w:space="0" w:color="auto"/>
              <w:left w:val="single" w:sz="4" w:space="0" w:color="auto"/>
              <w:bottom w:val="single" w:sz="4" w:space="0" w:color="auto"/>
              <w:right w:val="single" w:sz="4" w:space="0" w:color="auto"/>
            </w:tcBorders>
            <w:vAlign w:val="center"/>
            <w:hideMark/>
          </w:tcPr>
          <w:p w:rsidR="002674BC" w:rsidRPr="00906AFB" w:rsidRDefault="002674BC" w:rsidP="002674BC">
            <w:pPr>
              <w:rPr>
                <w:rFonts w:ascii="Arial" w:hAnsi="Arial" w:cs="Arial"/>
                <w:sz w:val="20"/>
                <w:szCs w:val="20"/>
              </w:rPr>
            </w:pPr>
            <w:r w:rsidRPr="00906AFB">
              <w:rPr>
                <w:rFonts w:ascii="Arial" w:hAnsi="Arial" w:cs="Arial"/>
                <w:sz w:val="20"/>
                <w:szCs w:val="20"/>
              </w:rPr>
              <w:t>Desarrollo Social</w:t>
            </w:r>
          </w:p>
        </w:tc>
        <w:tc>
          <w:tcPr>
            <w:tcW w:w="1750" w:type="dxa"/>
            <w:tcBorders>
              <w:top w:val="single" w:sz="4" w:space="0" w:color="auto"/>
              <w:left w:val="single" w:sz="4" w:space="0" w:color="auto"/>
              <w:bottom w:val="single" w:sz="4" w:space="0" w:color="auto"/>
              <w:right w:val="single" w:sz="4" w:space="0" w:color="auto"/>
            </w:tcBorders>
            <w:noWrap/>
            <w:vAlign w:val="center"/>
            <w:hideMark/>
          </w:tcPr>
          <w:p w:rsidR="002674BC" w:rsidRPr="002674BC" w:rsidRDefault="002674BC" w:rsidP="002674BC">
            <w:pPr>
              <w:jc w:val="right"/>
              <w:rPr>
                <w:rFonts w:ascii="Arial" w:hAnsi="Arial" w:cs="Arial"/>
                <w:sz w:val="20"/>
                <w:szCs w:val="20"/>
              </w:rPr>
            </w:pPr>
            <w:r w:rsidRPr="002674BC">
              <w:rPr>
                <w:rFonts w:ascii="Arial" w:hAnsi="Arial" w:cs="Arial"/>
                <w:sz w:val="20"/>
                <w:szCs w:val="20"/>
              </w:rPr>
              <w:t>9,465,683,070</w:t>
            </w:r>
          </w:p>
        </w:tc>
      </w:tr>
      <w:tr w:rsidR="002674BC" w:rsidRPr="00906AFB" w:rsidTr="002674BC">
        <w:trPr>
          <w:trHeight w:val="283"/>
        </w:trPr>
        <w:tc>
          <w:tcPr>
            <w:tcW w:w="851" w:type="dxa"/>
            <w:tcBorders>
              <w:top w:val="single" w:sz="4" w:space="0" w:color="auto"/>
              <w:left w:val="single" w:sz="4" w:space="0" w:color="auto"/>
              <w:bottom w:val="single" w:sz="4" w:space="0" w:color="auto"/>
              <w:right w:val="single" w:sz="4" w:space="0" w:color="auto"/>
            </w:tcBorders>
            <w:noWrap/>
            <w:vAlign w:val="center"/>
            <w:hideMark/>
          </w:tcPr>
          <w:p w:rsidR="002674BC" w:rsidRPr="00906AFB" w:rsidRDefault="002674BC" w:rsidP="002674BC">
            <w:pPr>
              <w:jc w:val="center"/>
              <w:rPr>
                <w:rFonts w:ascii="Arial" w:hAnsi="Arial" w:cs="Arial"/>
                <w:sz w:val="20"/>
                <w:szCs w:val="20"/>
              </w:rPr>
            </w:pPr>
            <w:r w:rsidRPr="00906AFB">
              <w:rPr>
                <w:rFonts w:ascii="Arial" w:hAnsi="Arial" w:cs="Arial"/>
                <w:sz w:val="20"/>
                <w:szCs w:val="20"/>
              </w:rPr>
              <w:t>3</w:t>
            </w:r>
          </w:p>
        </w:tc>
        <w:tc>
          <w:tcPr>
            <w:tcW w:w="6011" w:type="dxa"/>
            <w:tcBorders>
              <w:top w:val="single" w:sz="4" w:space="0" w:color="auto"/>
              <w:left w:val="single" w:sz="4" w:space="0" w:color="auto"/>
              <w:bottom w:val="single" w:sz="4" w:space="0" w:color="auto"/>
              <w:right w:val="single" w:sz="4" w:space="0" w:color="auto"/>
            </w:tcBorders>
            <w:vAlign w:val="center"/>
            <w:hideMark/>
          </w:tcPr>
          <w:p w:rsidR="002674BC" w:rsidRPr="00906AFB" w:rsidRDefault="002674BC" w:rsidP="002674BC">
            <w:pPr>
              <w:rPr>
                <w:rFonts w:ascii="Arial" w:hAnsi="Arial" w:cs="Arial"/>
                <w:sz w:val="20"/>
                <w:szCs w:val="20"/>
              </w:rPr>
            </w:pPr>
            <w:r w:rsidRPr="00906AFB">
              <w:rPr>
                <w:rFonts w:ascii="Arial" w:hAnsi="Arial" w:cs="Arial"/>
                <w:sz w:val="20"/>
                <w:szCs w:val="20"/>
              </w:rPr>
              <w:t>Desarrollo Económico</w:t>
            </w:r>
          </w:p>
        </w:tc>
        <w:tc>
          <w:tcPr>
            <w:tcW w:w="1750" w:type="dxa"/>
            <w:tcBorders>
              <w:top w:val="single" w:sz="4" w:space="0" w:color="auto"/>
              <w:left w:val="single" w:sz="4" w:space="0" w:color="auto"/>
              <w:bottom w:val="single" w:sz="4" w:space="0" w:color="auto"/>
              <w:right w:val="single" w:sz="4" w:space="0" w:color="auto"/>
            </w:tcBorders>
            <w:noWrap/>
            <w:vAlign w:val="center"/>
            <w:hideMark/>
          </w:tcPr>
          <w:p w:rsidR="002674BC" w:rsidRPr="002674BC" w:rsidRDefault="002674BC" w:rsidP="002674BC">
            <w:pPr>
              <w:jc w:val="right"/>
              <w:rPr>
                <w:rFonts w:ascii="Arial" w:hAnsi="Arial" w:cs="Arial"/>
                <w:sz w:val="20"/>
                <w:szCs w:val="20"/>
              </w:rPr>
            </w:pPr>
            <w:r w:rsidRPr="002674BC">
              <w:rPr>
                <w:rFonts w:ascii="Arial" w:hAnsi="Arial" w:cs="Arial"/>
                <w:sz w:val="20"/>
                <w:szCs w:val="20"/>
              </w:rPr>
              <w:t>1,062,424,372</w:t>
            </w:r>
          </w:p>
        </w:tc>
      </w:tr>
      <w:tr w:rsidR="002674BC" w:rsidRPr="00906AFB" w:rsidTr="002674BC">
        <w:trPr>
          <w:trHeight w:val="283"/>
        </w:trPr>
        <w:tc>
          <w:tcPr>
            <w:tcW w:w="851" w:type="dxa"/>
            <w:tcBorders>
              <w:top w:val="single" w:sz="4" w:space="0" w:color="auto"/>
              <w:left w:val="single" w:sz="4" w:space="0" w:color="auto"/>
              <w:bottom w:val="single" w:sz="4" w:space="0" w:color="auto"/>
              <w:right w:val="single" w:sz="4" w:space="0" w:color="auto"/>
            </w:tcBorders>
            <w:noWrap/>
            <w:vAlign w:val="center"/>
            <w:hideMark/>
          </w:tcPr>
          <w:p w:rsidR="002674BC" w:rsidRPr="00906AFB" w:rsidRDefault="002674BC" w:rsidP="002674BC">
            <w:pPr>
              <w:jc w:val="center"/>
              <w:rPr>
                <w:rFonts w:ascii="Arial" w:hAnsi="Arial" w:cs="Arial"/>
                <w:sz w:val="20"/>
                <w:szCs w:val="20"/>
              </w:rPr>
            </w:pPr>
            <w:r w:rsidRPr="00906AFB">
              <w:rPr>
                <w:rFonts w:ascii="Arial" w:hAnsi="Arial" w:cs="Arial"/>
                <w:sz w:val="20"/>
                <w:szCs w:val="20"/>
              </w:rPr>
              <w:t>4</w:t>
            </w:r>
          </w:p>
        </w:tc>
        <w:tc>
          <w:tcPr>
            <w:tcW w:w="6011" w:type="dxa"/>
            <w:tcBorders>
              <w:top w:val="single" w:sz="4" w:space="0" w:color="auto"/>
              <w:left w:val="single" w:sz="4" w:space="0" w:color="auto"/>
              <w:bottom w:val="single" w:sz="4" w:space="0" w:color="auto"/>
              <w:right w:val="single" w:sz="4" w:space="0" w:color="auto"/>
            </w:tcBorders>
            <w:vAlign w:val="center"/>
            <w:hideMark/>
          </w:tcPr>
          <w:p w:rsidR="002674BC" w:rsidRPr="00906AFB" w:rsidRDefault="002674BC" w:rsidP="002674BC">
            <w:pPr>
              <w:rPr>
                <w:rFonts w:ascii="Arial" w:hAnsi="Arial" w:cs="Arial"/>
                <w:sz w:val="20"/>
                <w:szCs w:val="20"/>
              </w:rPr>
            </w:pPr>
            <w:r w:rsidRPr="00906AFB">
              <w:rPr>
                <w:rFonts w:ascii="Arial" w:hAnsi="Arial" w:cs="Arial"/>
                <w:sz w:val="20"/>
                <w:szCs w:val="20"/>
              </w:rPr>
              <w:t>Otras No Clasificadas en Funciones Anteriores</w:t>
            </w:r>
          </w:p>
        </w:tc>
        <w:tc>
          <w:tcPr>
            <w:tcW w:w="1750" w:type="dxa"/>
            <w:tcBorders>
              <w:top w:val="single" w:sz="4" w:space="0" w:color="auto"/>
              <w:left w:val="single" w:sz="4" w:space="0" w:color="auto"/>
              <w:bottom w:val="single" w:sz="4" w:space="0" w:color="auto"/>
              <w:right w:val="single" w:sz="4" w:space="0" w:color="auto"/>
            </w:tcBorders>
            <w:noWrap/>
            <w:vAlign w:val="center"/>
            <w:hideMark/>
          </w:tcPr>
          <w:p w:rsidR="002674BC" w:rsidRPr="002674BC" w:rsidRDefault="002674BC" w:rsidP="002674BC">
            <w:pPr>
              <w:jc w:val="right"/>
              <w:rPr>
                <w:rFonts w:ascii="Arial" w:hAnsi="Arial" w:cs="Arial"/>
                <w:sz w:val="20"/>
                <w:szCs w:val="20"/>
              </w:rPr>
            </w:pPr>
            <w:r w:rsidRPr="002674BC">
              <w:rPr>
                <w:rFonts w:ascii="Arial" w:hAnsi="Arial" w:cs="Arial"/>
                <w:sz w:val="20"/>
                <w:szCs w:val="20"/>
              </w:rPr>
              <w:t>2,192,932,450</w:t>
            </w:r>
          </w:p>
        </w:tc>
      </w:tr>
      <w:tr w:rsidR="002674BC" w:rsidRPr="00906AFB" w:rsidTr="002674BC">
        <w:trPr>
          <w:trHeight w:val="283"/>
        </w:trPr>
        <w:tc>
          <w:tcPr>
            <w:tcW w:w="851" w:type="dxa"/>
            <w:tcBorders>
              <w:top w:val="single" w:sz="4" w:space="0" w:color="auto"/>
              <w:left w:val="single" w:sz="4" w:space="0" w:color="auto"/>
              <w:bottom w:val="single" w:sz="4" w:space="0" w:color="auto"/>
              <w:right w:val="single" w:sz="4" w:space="0" w:color="auto"/>
            </w:tcBorders>
            <w:noWrap/>
            <w:vAlign w:val="center"/>
            <w:hideMark/>
          </w:tcPr>
          <w:p w:rsidR="002674BC" w:rsidRPr="00906AFB" w:rsidRDefault="002674BC" w:rsidP="002674BC">
            <w:pPr>
              <w:spacing w:before="120" w:after="120" w:line="360" w:lineRule="auto"/>
              <w:jc w:val="both"/>
              <w:rPr>
                <w:rFonts w:ascii="Arial" w:hAnsi="Arial"/>
              </w:rPr>
            </w:pPr>
          </w:p>
        </w:tc>
        <w:tc>
          <w:tcPr>
            <w:tcW w:w="6011" w:type="dxa"/>
            <w:tcBorders>
              <w:top w:val="single" w:sz="4" w:space="0" w:color="auto"/>
              <w:left w:val="single" w:sz="4" w:space="0" w:color="auto"/>
              <w:bottom w:val="single" w:sz="4" w:space="0" w:color="auto"/>
              <w:right w:val="single" w:sz="4" w:space="0" w:color="auto"/>
            </w:tcBorders>
            <w:vAlign w:val="center"/>
            <w:hideMark/>
          </w:tcPr>
          <w:p w:rsidR="002674BC" w:rsidRPr="00906AFB" w:rsidRDefault="002674BC" w:rsidP="002674BC">
            <w:pPr>
              <w:jc w:val="center"/>
              <w:rPr>
                <w:rFonts w:ascii="Arial" w:hAnsi="Arial" w:cs="Arial"/>
                <w:b/>
                <w:bCs/>
                <w:sz w:val="20"/>
                <w:szCs w:val="20"/>
              </w:rPr>
            </w:pPr>
            <w:r w:rsidRPr="00906AFB">
              <w:rPr>
                <w:rFonts w:ascii="Arial" w:hAnsi="Arial" w:cs="Arial"/>
                <w:b/>
                <w:bCs/>
                <w:sz w:val="20"/>
                <w:szCs w:val="20"/>
              </w:rPr>
              <w:t>Total</w:t>
            </w:r>
          </w:p>
        </w:tc>
        <w:tc>
          <w:tcPr>
            <w:tcW w:w="1750" w:type="dxa"/>
            <w:tcBorders>
              <w:top w:val="single" w:sz="4" w:space="0" w:color="auto"/>
              <w:left w:val="single" w:sz="4" w:space="0" w:color="auto"/>
              <w:bottom w:val="single" w:sz="4" w:space="0" w:color="auto"/>
              <w:right w:val="single" w:sz="4" w:space="0" w:color="auto"/>
            </w:tcBorders>
            <w:noWrap/>
            <w:vAlign w:val="center"/>
            <w:hideMark/>
          </w:tcPr>
          <w:p w:rsidR="002674BC" w:rsidRPr="002674BC" w:rsidRDefault="002674BC" w:rsidP="002674BC">
            <w:pPr>
              <w:jc w:val="right"/>
              <w:rPr>
                <w:rFonts w:ascii="Arial" w:hAnsi="Arial" w:cs="Arial"/>
                <w:b/>
                <w:sz w:val="20"/>
                <w:szCs w:val="20"/>
              </w:rPr>
            </w:pPr>
            <w:r w:rsidRPr="002674BC">
              <w:rPr>
                <w:rFonts w:ascii="Arial" w:hAnsi="Arial" w:cs="Arial"/>
                <w:b/>
                <w:sz w:val="20"/>
                <w:szCs w:val="20"/>
              </w:rPr>
              <w:t>15,517,525,000</w:t>
            </w:r>
          </w:p>
        </w:tc>
      </w:tr>
    </w:tbl>
    <w:p w:rsidR="00906AFB" w:rsidRPr="00906AFB" w:rsidRDefault="00906AFB" w:rsidP="00906AFB">
      <w:pPr>
        <w:spacing w:after="0" w:line="240" w:lineRule="auto"/>
        <w:jc w:val="center"/>
        <w:rPr>
          <w:rFonts w:ascii="Arial" w:eastAsia="Calibri" w:hAnsi="Arial" w:cs="Arial"/>
          <w:b/>
          <w:sz w:val="20"/>
          <w:szCs w:val="24"/>
          <w:lang w:val="es-ES" w:eastAsia="en-US"/>
        </w:rPr>
      </w:pPr>
    </w:p>
    <w:p w:rsidR="00906AFB" w:rsidRPr="00906AFB" w:rsidRDefault="00906AFB" w:rsidP="00906AFB">
      <w:pPr>
        <w:keepNext/>
        <w:keepLines/>
        <w:spacing w:after="0" w:line="240" w:lineRule="auto"/>
        <w:jc w:val="center"/>
        <w:outlineLvl w:val="1"/>
        <w:rPr>
          <w:rFonts w:ascii="Arial" w:eastAsia="Times New Roman" w:hAnsi="Arial" w:cs="Times New Roman"/>
          <w:b/>
          <w:sz w:val="20"/>
          <w:szCs w:val="26"/>
          <w:lang w:val="es-ES" w:eastAsia="en-US"/>
        </w:rPr>
      </w:pPr>
      <w:r w:rsidRPr="00906AFB">
        <w:rPr>
          <w:rFonts w:ascii="Arial" w:eastAsia="Times New Roman" w:hAnsi="Arial" w:cs="Times New Roman"/>
          <w:b/>
          <w:sz w:val="20"/>
          <w:szCs w:val="26"/>
          <w:lang w:val="es-ES" w:eastAsia="en-US"/>
        </w:rPr>
        <w:t>Tabla 22. Clasificación Funcional del Gasto (Segundo y Tercer Nivel)</w:t>
      </w:r>
    </w:p>
    <w:tbl>
      <w:tblPr>
        <w:tblStyle w:val="Tablaconcuadrcula2"/>
        <w:tblW w:w="0" w:type="auto"/>
        <w:jc w:val="center"/>
        <w:tblInd w:w="0" w:type="dxa"/>
        <w:tblLayout w:type="fixed"/>
        <w:tblLook w:val="04A0" w:firstRow="1" w:lastRow="0" w:firstColumn="1" w:lastColumn="0" w:noHBand="0" w:noVBand="1"/>
      </w:tblPr>
      <w:tblGrid>
        <w:gridCol w:w="6539"/>
        <w:gridCol w:w="1716"/>
      </w:tblGrid>
      <w:tr w:rsidR="002241D3"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tcPr>
          <w:p w:rsidR="002241D3" w:rsidRPr="00C16A91" w:rsidRDefault="002241D3" w:rsidP="002241D3">
            <w:pPr>
              <w:jc w:val="center"/>
              <w:rPr>
                <w:rFonts w:ascii="Arial" w:hAnsi="Arial" w:cs="Arial"/>
                <w:b/>
                <w:sz w:val="18"/>
                <w:szCs w:val="18"/>
              </w:rPr>
            </w:pPr>
            <w:r>
              <w:rPr>
                <w:rFonts w:ascii="Arial" w:hAnsi="Arial" w:cs="Arial"/>
                <w:b/>
                <w:sz w:val="18"/>
                <w:szCs w:val="18"/>
              </w:rPr>
              <w:t>Concepto</w:t>
            </w:r>
          </w:p>
        </w:tc>
        <w:tc>
          <w:tcPr>
            <w:tcW w:w="1716" w:type="dxa"/>
            <w:tcBorders>
              <w:top w:val="single" w:sz="4" w:space="0" w:color="auto"/>
              <w:left w:val="single" w:sz="4" w:space="0" w:color="auto"/>
              <w:bottom w:val="single" w:sz="4" w:space="0" w:color="auto"/>
              <w:right w:val="single" w:sz="4" w:space="0" w:color="auto"/>
            </w:tcBorders>
            <w:vAlign w:val="center"/>
          </w:tcPr>
          <w:p w:rsidR="002241D3" w:rsidRPr="00C16A91" w:rsidRDefault="002241D3" w:rsidP="002241D3">
            <w:pPr>
              <w:jc w:val="center"/>
              <w:rPr>
                <w:rFonts w:ascii="Arial" w:hAnsi="Arial" w:cs="Arial"/>
                <w:b/>
                <w:sz w:val="18"/>
                <w:szCs w:val="18"/>
              </w:rPr>
            </w:pPr>
            <w:r>
              <w:rPr>
                <w:rFonts w:ascii="Arial" w:hAnsi="Arial" w:cs="Arial"/>
                <w:b/>
                <w:sz w:val="18"/>
                <w:szCs w:val="18"/>
              </w:rPr>
              <w:t>Asignación Presupuestal</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b/>
                <w:sz w:val="18"/>
                <w:szCs w:val="18"/>
              </w:rPr>
            </w:pPr>
            <w:r w:rsidRPr="00C16A91">
              <w:rPr>
                <w:rFonts w:ascii="Arial" w:hAnsi="Arial" w:cs="Arial"/>
                <w:b/>
                <w:sz w:val="18"/>
                <w:szCs w:val="18"/>
              </w:rPr>
              <w:t>1. GOBIERNO</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b/>
                <w:sz w:val="18"/>
                <w:szCs w:val="18"/>
              </w:rPr>
            </w:pPr>
            <w:r w:rsidRPr="00C16A91">
              <w:rPr>
                <w:rFonts w:ascii="Arial" w:hAnsi="Arial" w:cs="Arial"/>
                <w:b/>
                <w:sz w:val="18"/>
                <w:szCs w:val="18"/>
              </w:rPr>
              <w:t>2,796,485,109</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F859A4">
            <w:pPr>
              <w:numPr>
                <w:ilvl w:val="1"/>
                <w:numId w:val="10"/>
              </w:numPr>
              <w:rPr>
                <w:rFonts w:ascii="Arial" w:hAnsi="Arial" w:cs="Arial"/>
                <w:b/>
                <w:sz w:val="18"/>
                <w:szCs w:val="18"/>
              </w:rPr>
            </w:pPr>
            <w:r w:rsidRPr="00C16A91">
              <w:rPr>
                <w:rFonts w:ascii="Arial" w:hAnsi="Arial" w:cs="Arial"/>
                <w:b/>
                <w:sz w:val="18"/>
                <w:szCs w:val="18"/>
              </w:rPr>
              <w:t>LEGISLACIÓN</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r w:rsidRPr="00C16A91">
              <w:rPr>
                <w:rFonts w:ascii="Arial" w:hAnsi="Arial" w:cs="Arial"/>
                <w:sz w:val="18"/>
                <w:szCs w:val="18"/>
              </w:rPr>
              <w:t>126,499,498</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1.1.1 Legislación</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r w:rsidRPr="00C16A91">
              <w:rPr>
                <w:rFonts w:ascii="Arial" w:hAnsi="Arial" w:cs="Arial"/>
                <w:sz w:val="18"/>
                <w:szCs w:val="18"/>
              </w:rPr>
              <w:t>96,499,498</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1.1.2 Fiscalización</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r w:rsidRPr="00C16A91">
              <w:rPr>
                <w:rFonts w:ascii="Arial" w:hAnsi="Arial" w:cs="Arial"/>
                <w:sz w:val="18"/>
                <w:szCs w:val="18"/>
              </w:rPr>
              <w:t>30,000,000</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F859A4">
            <w:pPr>
              <w:numPr>
                <w:ilvl w:val="1"/>
                <w:numId w:val="10"/>
              </w:numPr>
              <w:rPr>
                <w:rFonts w:ascii="Arial" w:hAnsi="Arial" w:cs="Arial"/>
                <w:b/>
                <w:sz w:val="18"/>
                <w:szCs w:val="18"/>
              </w:rPr>
            </w:pPr>
            <w:r w:rsidRPr="00C16A91">
              <w:rPr>
                <w:rFonts w:ascii="Arial" w:hAnsi="Arial" w:cs="Arial"/>
                <w:b/>
                <w:sz w:val="18"/>
                <w:szCs w:val="18"/>
              </w:rPr>
              <w:t xml:space="preserve"> JUSTICIA</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r w:rsidRPr="00C16A91">
              <w:rPr>
                <w:rFonts w:ascii="Arial" w:hAnsi="Arial" w:cs="Arial"/>
                <w:sz w:val="18"/>
                <w:szCs w:val="18"/>
              </w:rPr>
              <w:t>604,576,194</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1.2.1 Impartición de Justicia</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r w:rsidRPr="00C16A91">
              <w:rPr>
                <w:rFonts w:ascii="Arial" w:hAnsi="Arial" w:cs="Arial"/>
                <w:sz w:val="18"/>
                <w:szCs w:val="18"/>
              </w:rPr>
              <w:t>208,351,700</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1.2.2 Procuración de Justicia</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r w:rsidRPr="00C16A91">
              <w:rPr>
                <w:rFonts w:ascii="Arial" w:hAnsi="Arial" w:cs="Arial"/>
                <w:sz w:val="18"/>
                <w:szCs w:val="18"/>
              </w:rPr>
              <w:t>361,288,958</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1.2.3 Reclusión y Readaptación Social</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r w:rsidRPr="00C16A91">
              <w:rPr>
                <w:rFonts w:ascii="Arial" w:hAnsi="Arial" w:cs="Arial"/>
                <w:sz w:val="18"/>
                <w:szCs w:val="18"/>
              </w:rPr>
              <w:t>0</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1.2.4 Derechos Humanos</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r w:rsidRPr="00C16A91">
              <w:rPr>
                <w:rFonts w:ascii="Arial" w:hAnsi="Arial" w:cs="Arial"/>
                <w:sz w:val="18"/>
                <w:szCs w:val="18"/>
              </w:rPr>
              <w:t>34,935,536</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F859A4">
            <w:pPr>
              <w:numPr>
                <w:ilvl w:val="1"/>
                <w:numId w:val="10"/>
              </w:numPr>
              <w:rPr>
                <w:rFonts w:ascii="Arial" w:hAnsi="Arial" w:cs="Arial"/>
                <w:b/>
                <w:sz w:val="18"/>
                <w:szCs w:val="18"/>
              </w:rPr>
            </w:pPr>
            <w:r w:rsidRPr="00C16A91">
              <w:rPr>
                <w:rFonts w:ascii="Arial" w:hAnsi="Arial" w:cs="Arial"/>
                <w:b/>
                <w:sz w:val="18"/>
                <w:szCs w:val="18"/>
              </w:rPr>
              <w:t xml:space="preserve"> COORDINACION DE LA POLÍTICA DE GOBIERNO</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b/>
                <w:sz w:val="18"/>
                <w:szCs w:val="18"/>
              </w:rPr>
            </w:pPr>
            <w:r w:rsidRPr="00C16A91">
              <w:rPr>
                <w:rFonts w:ascii="Arial" w:hAnsi="Arial" w:cs="Arial"/>
                <w:b/>
                <w:sz w:val="18"/>
                <w:szCs w:val="18"/>
              </w:rPr>
              <w:t>296,258,942</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1.3.1 Presidencia / Gubernatura</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r w:rsidRPr="00C16A91">
              <w:rPr>
                <w:rFonts w:ascii="Arial" w:hAnsi="Arial" w:cs="Arial"/>
                <w:sz w:val="18"/>
                <w:szCs w:val="18"/>
              </w:rPr>
              <w:t>55,273,788</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1.3.2 Política Interior</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r w:rsidRPr="00C16A91">
              <w:rPr>
                <w:rFonts w:ascii="Arial" w:hAnsi="Arial" w:cs="Arial"/>
                <w:sz w:val="18"/>
                <w:szCs w:val="18"/>
              </w:rPr>
              <w:t>38,844,826</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1.3.3 Preservación y Cuidado del Patrimonio Público</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r w:rsidRPr="00C16A91">
              <w:rPr>
                <w:rFonts w:ascii="Arial" w:hAnsi="Arial" w:cs="Arial"/>
                <w:sz w:val="18"/>
                <w:szCs w:val="18"/>
              </w:rPr>
              <w:t>0</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1.3.4 Función Pública</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r w:rsidRPr="00C16A91">
              <w:rPr>
                <w:rFonts w:ascii="Arial" w:hAnsi="Arial" w:cs="Arial"/>
                <w:sz w:val="18"/>
                <w:szCs w:val="18"/>
              </w:rPr>
              <w:t>74,950,261</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1.3.5 Asuntos Jurídicos</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r w:rsidRPr="00C16A91">
              <w:rPr>
                <w:rFonts w:ascii="Arial" w:hAnsi="Arial" w:cs="Arial"/>
                <w:sz w:val="18"/>
                <w:szCs w:val="18"/>
              </w:rPr>
              <w:t>14,771,736</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1.3.6 Organización de Procesos Electorales</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r w:rsidRPr="00C16A91">
              <w:rPr>
                <w:rFonts w:ascii="Arial" w:hAnsi="Arial" w:cs="Arial"/>
                <w:sz w:val="18"/>
                <w:szCs w:val="18"/>
              </w:rPr>
              <w:t>46,903,498</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1.3.7 Población</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1.3.8 Territorio</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r w:rsidRPr="00C16A91">
              <w:rPr>
                <w:rFonts w:ascii="Arial" w:hAnsi="Arial" w:cs="Arial"/>
                <w:sz w:val="18"/>
                <w:szCs w:val="18"/>
              </w:rPr>
              <w:t>36,910,686</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1.3.9 Otros</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r w:rsidRPr="00C16A91">
              <w:rPr>
                <w:rFonts w:ascii="Arial" w:hAnsi="Arial" w:cs="Arial"/>
                <w:sz w:val="18"/>
                <w:szCs w:val="18"/>
              </w:rPr>
              <w:t>28,604,148</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F859A4">
            <w:pPr>
              <w:numPr>
                <w:ilvl w:val="1"/>
                <w:numId w:val="10"/>
              </w:numPr>
              <w:rPr>
                <w:rFonts w:ascii="Arial" w:hAnsi="Arial" w:cs="Arial"/>
                <w:b/>
                <w:sz w:val="18"/>
                <w:szCs w:val="18"/>
              </w:rPr>
            </w:pPr>
            <w:r w:rsidRPr="00C16A91">
              <w:rPr>
                <w:rFonts w:ascii="Arial" w:hAnsi="Arial" w:cs="Arial"/>
                <w:b/>
                <w:sz w:val="18"/>
                <w:szCs w:val="18"/>
              </w:rPr>
              <w:t xml:space="preserve">  RELACIONES EXTERIORES</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b/>
                <w:sz w:val="18"/>
                <w:szCs w:val="18"/>
              </w:rPr>
            </w:pPr>
            <w:r w:rsidRPr="00C16A91">
              <w:rPr>
                <w:rFonts w:ascii="Arial" w:hAnsi="Arial" w:cs="Arial"/>
                <w:b/>
                <w:sz w:val="18"/>
                <w:szCs w:val="18"/>
              </w:rPr>
              <w:t>0</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1.4.1 Relaciones Exteriores</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r w:rsidRPr="00C16A91">
              <w:rPr>
                <w:rFonts w:ascii="Arial" w:hAnsi="Arial" w:cs="Arial"/>
                <w:sz w:val="18"/>
                <w:szCs w:val="18"/>
              </w:rPr>
              <w:t>0</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F859A4">
            <w:pPr>
              <w:numPr>
                <w:ilvl w:val="1"/>
                <w:numId w:val="10"/>
              </w:numPr>
              <w:rPr>
                <w:rFonts w:ascii="Arial" w:hAnsi="Arial" w:cs="Arial"/>
                <w:b/>
                <w:sz w:val="18"/>
                <w:szCs w:val="18"/>
              </w:rPr>
            </w:pPr>
            <w:r w:rsidRPr="00C16A91">
              <w:rPr>
                <w:rFonts w:ascii="Arial" w:hAnsi="Arial" w:cs="Arial"/>
                <w:b/>
                <w:sz w:val="18"/>
                <w:szCs w:val="18"/>
              </w:rPr>
              <w:t xml:space="preserve"> ASUNTOS FINANCIEROS Y HACENDARIOS</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b/>
                <w:sz w:val="18"/>
                <w:szCs w:val="18"/>
              </w:rPr>
            </w:pPr>
            <w:r w:rsidRPr="00C16A91">
              <w:rPr>
                <w:rFonts w:ascii="Arial" w:hAnsi="Arial" w:cs="Arial"/>
                <w:b/>
                <w:sz w:val="18"/>
                <w:szCs w:val="18"/>
              </w:rPr>
              <w:t>409,076,638</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1.5.1 Asuntos Financieros</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r w:rsidRPr="00C16A91">
              <w:rPr>
                <w:rFonts w:ascii="Arial" w:hAnsi="Arial" w:cs="Arial"/>
                <w:sz w:val="18"/>
                <w:szCs w:val="18"/>
              </w:rPr>
              <w:t>19,405,602</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1.5.2 Asuntos Hacendarios</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r w:rsidRPr="00C16A91">
              <w:rPr>
                <w:rFonts w:ascii="Arial" w:hAnsi="Arial" w:cs="Arial"/>
                <w:sz w:val="18"/>
                <w:szCs w:val="18"/>
              </w:rPr>
              <w:t>389,671,036</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F859A4">
            <w:pPr>
              <w:numPr>
                <w:ilvl w:val="1"/>
                <w:numId w:val="10"/>
              </w:numPr>
              <w:rPr>
                <w:rFonts w:ascii="Arial" w:hAnsi="Arial" w:cs="Arial"/>
                <w:b/>
                <w:sz w:val="18"/>
                <w:szCs w:val="18"/>
              </w:rPr>
            </w:pPr>
            <w:r w:rsidRPr="00C16A91">
              <w:rPr>
                <w:rFonts w:ascii="Arial" w:hAnsi="Arial" w:cs="Arial"/>
                <w:b/>
                <w:sz w:val="18"/>
                <w:szCs w:val="18"/>
              </w:rPr>
              <w:t xml:space="preserve"> SEGURIDAD NACIONAL</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b/>
                <w:sz w:val="18"/>
                <w:szCs w:val="18"/>
              </w:rPr>
            </w:pPr>
            <w:r w:rsidRPr="00C16A91">
              <w:rPr>
                <w:rFonts w:ascii="Arial" w:hAnsi="Arial" w:cs="Arial"/>
                <w:b/>
                <w:sz w:val="18"/>
                <w:szCs w:val="18"/>
              </w:rPr>
              <w:t>0</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1.6.1 Defensa</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r w:rsidRPr="00C16A91">
              <w:rPr>
                <w:rFonts w:ascii="Arial" w:hAnsi="Arial" w:cs="Arial"/>
                <w:sz w:val="18"/>
                <w:szCs w:val="18"/>
              </w:rPr>
              <w:t>0</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1.6.2 Marina</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r w:rsidRPr="00C16A91">
              <w:rPr>
                <w:rFonts w:ascii="Arial" w:hAnsi="Arial" w:cs="Arial"/>
                <w:sz w:val="18"/>
                <w:szCs w:val="18"/>
              </w:rPr>
              <w:t>0</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1.6.3 Inteligencia para la Preservación de la Seguridad Nacional</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r w:rsidRPr="00C16A91">
              <w:rPr>
                <w:rFonts w:ascii="Arial" w:hAnsi="Arial" w:cs="Arial"/>
                <w:sz w:val="18"/>
                <w:szCs w:val="18"/>
              </w:rPr>
              <w:t>0</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F859A4">
            <w:pPr>
              <w:numPr>
                <w:ilvl w:val="1"/>
                <w:numId w:val="10"/>
              </w:numPr>
              <w:rPr>
                <w:rFonts w:ascii="Arial" w:hAnsi="Arial" w:cs="Arial"/>
                <w:b/>
                <w:sz w:val="18"/>
                <w:szCs w:val="18"/>
              </w:rPr>
            </w:pPr>
            <w:r w:rsidRPr="00C16A91">
              <w:rPr>
                <w:rFonts w:ascii="Arial" w:hAnsi="Arial" w:cs="Arial"/>
                <w:b/>
                <w:sz w:val="18"/>
                <w:szCs w:val="18"/>
              </w:rPr>
              <w:t xml:space="preserve"> ASUNTOS DE ORDEN PÚBLICO Y DE SEGURIDAD INTERIOR</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b/>
                <w:sz w:val="18"/>
                <w:szCs w:val="18"/>
              </w:rPr>
            </w:pPr>
            <w:r w:rsidRPr="00C16A91">
              <w:rPr>
                <w:rFonts w:ascii="Arial" w:hAnsi="Arial" w:cs="Arial"/>
                <w:b/>
                <w:sz w:val="18"/>
                <w:szCs w:val="18"/>
              </w:rPr>
              <w:t>872,919,046</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lastRenderedPageBreak/>
              <w:t>1.7.1 Policía</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r w:rsidRPr="00C16A91">
              <w:rPr>
                <w:rFonts w:ascii="Arial" w:hAnsi="Arial" w:cs="Arial"/>
                <w:sz w:val="18"/>
                <w:szCs w:val="18"/>
              </w:rPr>
              <w:t>313,747,072</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1.7.2 Protección Civil</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r w:rsidRPr="00C16A91">
              <w:rPr>
                <w:rFonts w:ascii="Arial" w:hAnsi="Arial" w:cs="Arial"/>
                <w:sz w:val="18"/>
                <w:szCs w:val="18"/>
              </w:rPr>
              <w:t>11,221,523</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1.7.3 Otros Asuntos de Orden Público y Seguridad</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r w:rsidRPr="00C16A91">
              <w:rPr>
                <w:rFonts w:ascii="Arial" w:hAnsi="Arial" w:cs="Arial"/>
                <w:sz w:val="18"/>
                <w:szCs w:val="18"/>
              </w:rPr>
              <w:t>310,821,174</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1.7.4 Sistema Nacional de Seguridad Pública</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r w:rsidRPr="00C16A91">
              <w:rPr>
                <w:rFonts w:ascii="Arial" w:hAnsi="Arial" w:cs="Arial"/>
                <w:sz w:val="18"/>
                <w:szCs w:val="18"/>
              </w:rPr>
              <w:t>237,129,277</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F859A4">
            <w:pPr>
              <w:numPr>
                <w:ilvl w:val="1"/>
                <w:numId w:val="10"/>
              </w:numPr>
              <w:rPr>
                <w:rFonts w:ascii="Arial" w:hAnsi="Arial" w:cs="Arial"/>
                <w:b/>
                <w:sz w:val="18"/>
                <w:szCs w:val="18"/>
              </w:rPr>
            </w:pPr>
            <w:r w:rsidRPr="00C16A91">
              <w:rPr>
                <w:rFonts w:ascii="Arial" w:hAnsi="Arial" w:cs="Arial"/>
                <w:b/>
                <w:sz w:val="18"/>
                <w:szCs w:val="18"/>
              </w:rPr>
              <w:t xml:space="preserve"> OTROS SERVICIOS GENERALES</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b/>
                <w:sz w:val="18"/>
                <w:szCs w:val="18"/>
              </w:rPr>
            </w:pPr>
            <w:r w:rsidRPr="00C16A91">
              <w:rPr>
                <w:rFonts w:ascii="Arial" w:hAnsi="Arial" w:cs="Arial"/>
                <w:b/>
                <w:sz w:val="18"/>
                <w:szCs w:val="18"/>
              </w:rPr>
              <w:t>487,154,790</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1.8.1 Servicios Registrales, Administrativos y Patrimoniales</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r w:rsidRPr="00C16A91">
              <w:rPr>
                <w:rFonts w:ascii="Arial" w:hAnsi="Arial" w:cs="Arial"/>
                <w:sz w:val="18"/>
                <w:szCs w:val="18"/>
              </w:rPr>
              <w:t>62,791,807</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1.8.2 Servicios Estadísticos</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r w:rsidRPr="00C16A91">
              <w:rPr>
                <w:rFonts w:ascii="Arial" w:hAnsi="Arial" w:cs="Arial"/>
                <w:sz w:val="18"/>
                <w:szCs w:val="18"/>
              </w:rPr>
              <w:t>0</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1.8.3 Servicios de Comunicación y Medios</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r w:rsidRPr="00C16A91">
              <w:rPr>
                <w:rFonts w:ascii="Arial" w:hAnsi="Arial" w:cs="Arial"/>
                <w:sz w:val="18"/>
                <w:szCs w:val="18"/>
              </w:rPr>
              <w:t>28,761,532</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1.8.4 Acceso a la Información Pública Gubernamental</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r w:rsidRPr="00C16A91">
              <w:rPr>
                <w:rFonts w:ascii="Arial" w:hAnsi="Arial" w:cs="Arial"/>
                <w:sz w:val="18"/>
                <w:szCs w:val="18"/>
              </w:rPr>
              <w:t>7,000,000</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1.8.5 Otros</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r w:rsidRPr="00C16A91">
              <w:rPr>
                <w:rFonts w:ascii="Arial" w:hAnsi="Arial" w:cs="Arial"/>
                <w:sz w:val="18"/>
                <w:szCs w:val="18"/>
              </w:rPr>
              <w:t>388,601,451</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F859A4">
            <w:pPr>
              <w:numPr>
                <w:ilvl w:val="0"/>
                <w:numId w:val="10"/>
              </w:numPr>
              <w:rPr>
                <w:rFonts w:ascii="Arial" w:hAnsi="Arial" w:cs="Arial"/>
                <w:b/>
                <w:sz w:val="18"/>
                <w:szCs w:val="18"/>
              </w:rPr>
            </w:pPr>
            <w:r w:rsidRPr="00C16A91">
              <w:rPr>
                <w:rFonts w:ascii="Arial" w:hAnsi="Arial" w:cs="Arial"/>
                <w:b/>
                <w:sz w:val="18"/>
                <w:szCs w:val="18"/>
              </w:rPr>
              <w:t>DESARROLLO SOCIAL</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2674BC" w:rsidP="00C16A91">
            <w:pPr>
              <w:jc w:val="right"/>
              <w:rPr>
                <w:rFonts w:ascii="Arial" w:hAnsi="Arial" w:cs="Arial"/>
                <w:b/>
                <w:sz w:val="18"/>
                <w:szCs w:val="18"/>
              </w:rPr>
            </w:pPr>
            <w:r w:rsidRPr="002674BC">
              <w:rPr>
                <w:rFonts w:ascii="Arial" w:hAnsi="Arial" w:cs="Arial"/>
                <w:b/>
                <w:sz w:val="18"/>
                <w:szCs w:val="18"/>
              </w:rPr>
              <w:t>9,465,683,070</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b/>
                <w:sz w:val="18"/>
                <w:szCs w:val="18"/>
              </w:rPr>
            </w:pPr>
            <w:r w:rsidRPr="00C16A91">
              <w:rPr>
                <w:rFonts w:ascii="Arial" w:hAnsi="Arial" w:cs="Arial"/>
                <w:b/>
                <w:sz w:val="18"/>
                <w:szCs w:val="18"/>
              </w:rPr>
              <w:t>2.1.  PROTECCIÓN AMBIENTAL</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b/>
                <w:sz w:val="18"/>
                <w:szCs w:val="18"/>
              </w:rPr>
            </w:pPr>
            <w:r w:rsidRPr="00C16A91">
              <w:rPr>
                <w:rFonts w:ascii="Arial" w:hAnsi="Arial" w:cs="Arial"/>
                <w:b/>
                <w:sz w:val="18"/>
                <w:szCs w:val="18"/>
              </w:rPr>
              <w:t>314,189,531</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2.1.1 Ordenación de Desechos</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r w:rsidRPr="00C16A91">
              <w:rPr>
                <w:rFonts w:ascii="Arial" w:hAnsi="Arial" w:cs="Arial"/>
                <w:sz w:val="18"/>
                <w:szCs w:val="18"/>
              </w:rPr>
              <w:t>0</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2.1.2 Administración del Agua</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r w:rsidRPr="00C16A91">
              <w:rPr>
                <w:rFonts w:ascii="Arial" w:hAnsi="Arial" w:cs="Arial"/>
                <w:sz w:val="18"/>
                <w:szCs w:val="18"/>
              </w:rPr>
              <w:t>0</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2.1.3 Ordenación de Aguas Residuales, Drenaje y Alcantarillado</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r w:rsidRPr="00C16A91">
              <w:rPr>
                <w:rFonts w:ascii="Arial" w:hAnsi="Arial" w:cs="Arial"/>
                <w:sz w:val="18"/>
                <w:szCs w:val="18"/>
              </w:rPr>
              <w:t>305,897,785</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2.1.4 Reducción de la Contaminación</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r w:rsidRPr="00C16A91">
              <w:rPr>
                <w:rFonts w:ascii="Arial" w:hAnsi="Arial" w:cs="Arial"/>
                <w:sz w:val="18"/>
                <w:szCs w:val="18"/>
              </w:rPr>
              <w:t>0</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2.1.5 Protección de la Diversidad Biológica y del Paisaje</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r w:rsidRPr="00C16A91">
              <w:rPr>
                <w:rFonts w:ascii="Arial" w:hAnsi="Arial" w:cs="Arial"/>
                <w:sz w:val="18"/>
                <w:szCs w:val="18"/>
              </w:rPr>
              <w:t>85,238</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2.1.6 Otros de Protección Ambiental</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r w:rsidRPr="00C16A91">
              <w:rPr>
                <w:rFonts w:ascii="Arial" w:hAnsi="Arial" w:cs="Arial"/>
                <w:sz w:val="18"/>
                <w:szCs w:val="18"/>
              </w:rPr>
              <w:t>8,206,508</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b/>
                <w:sz w:val="18"/>
                <w:szCs w:val="18"/>
              </w:rPr>
            </w:pPr>
            <w:r w:rsidRPr="00C16A91">
              <w:rPr>
                <w:rFonts w:ascii="Arial" w:hAnsi="Arial" w:cs="Arial"/>
                <w:b/>
                <w:sz w:val="18"/>
                <w:szCs w:val="18"/>
              </w:rPr>
              <w:t>2.2.  VIVIENDA Y SERVICIOS A LA COMUNIDAD</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2674BC" w:rsidP="00C16A91">
            <w:pPr>
              <w:jc w:val="right"/>
              <w:rPr>
                <w:rFonts w:ascii="Arial" w:hAnsi="Arial" w:cs="Arial"/>
                <w:b/>
                <w:sz w:val="18"/>
                <w:szCs w:val="18"/>
              </w:rPr>
            </w:pPr>
            <w:r w:rsidRPr="002674BC">
              <w:rPr>
                <w:rFonts w:ascii="Arial" w:hAnsi="Arial" w:cs="Arial"/>
                <w:b/>
                <w:sz w:val="18"/>
                <w:szCs w:val="18"/>
              </w:rPr>
              <w:t>321,356,467</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2.2.1 Urbanización</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2674BC" w:rsidP="00C16A91">
            <w:pPr>
              <w:jc w:val="right"/>
              <w:rPr>
                <w:rFonts w:ascii="Arial" w:hAnsi="Arial" w:cs="Arial"/>
                <w:sz w:val="18"/>
                <w:szCs w:val="18"/>
              </w:rPr>
            </w:pPr>
            <w:r w:rsidRPr="002674BC">
              <w:rPr>
                <w:rFonts w:ascii="Arial" w:hAnsi="Arial" w:cs="Arial"/>
                <w:sz w:val="18"/>
                <w:szCs w:val="18"/>
              </w:rPr>
              <w:t>302,356,467</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2.2.2 Desarrollo Comunitario</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r w:rsidRPr="00C16A91">
              <w:rPr>
                <w:rFonts w:ascii="Arial" w:hAnsi="Arial" w:cs="Arial"/>
                <w:sz w:val="18"/>
                <w:szCs w:val="18"/>
              </w:rPr>
              <w:t>0</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2.2.3 Abastecimiento de Agua</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r w:rsidRPr="00C16A91">
              <w:rPr>
                <w:rFonts w:ascii="Arial" w:hAnsi="Arial" w:cs="Arial"/>
                <w:sz w:val="18"/>
                <w:szCs w:val="18"/>
              </w:rPr>
              <w:t>0</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2.2.4 Alumbrado Público</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r w:rsidRPr="00C16A91">
              <w:rPr>
                <w:rFonts w:ascii="Arial" w:hAnsi="Arial" w:cs="Arial"/>
                <w:sz w:val="18"/>
                <w:szCs w:val="18"/>
              </w:rPr>
              <w:t>0</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2.2.5 Vivienda</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r w:rsidRPr="00C16A91">
              <w:rPr>
                <w:rFonts w:ascii="Arial" w:hAnsi="Arial" w:cs="Arial"/>
                <w:sz w:val="18"/>
                <w:szCs w:val="18"/>
              </w:rPr>
              <w:t>0</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2.2.6 Servicios Comunales</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r w:rsidRPr="00C16A91">
              <w:rPr>
                <w:rFonts w:ascii="Arial" w:hAnsi="Arial" w:cs="Arial"/>
                <w:sz w:val="18"/>
                <w:szCs w:val="18"/>
              </w:rPr>
              <w:t>0</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2.2.7 Desarrollo Regional</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r w:rsidRPr="00C16A91">
              <w:rPr>
                <w:rFonts w:ascii="Arial" w:hAnsi="Arial" w:cs="Arial"/>
                <w:sz w:val="18"/>
                <w:szCs w:val="18"/>
              </w:rPr>
              <w:t>19,000,000</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b/>
                <w:sz w:val="18"/>
                <w:szCs w:val="18"/>
              </w:rPr>
            </w:pPr>
            <w:r w:rsidRPr="00C16A91">
              <w:rPr>
                <w:rFonts w:ascii="Arial" w:hAnsi="Arial" w:cs="Arial"/>
                <w:b/>
                <w:sz w:val="18"/>
                <w:szCs w:val="18"/>
              </w:rPr>
              <w:t>2.3.  SALUD</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b/>
                <w:sz w:val="18"/>
                <w:szCs w:val="18"/>
              </w:rPr>
            </w:pPr>
            <w:r w:rsidRPr="00C16A91">
              <w:rPr>
                <w:rFonts w:ascii="Arial" w:hAnsi="Arial" w:cs="Arial"/>
                <w:b/>
                <w:sz w:val="18"/>
                <w:szCs w:val="18"/>
              </w:rPr>
              <w:t>1,684,613,156</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2.3.1 Prestación de Servicios de Salud a la Comunidad</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r w:rsidRPr="00C16A91">
              <w:rPr>
                <w:rFonts w:ascii="Arial" w:hAnsi="Arial" w:cs="Arial"/>
                <w:sz w:val="18"/>
                <w:szCs w:val="18"/>
              </w:rPr>
              <w:t>1,684,613,156</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2.3.2 Prestación de Servicios de Salud a la Persona</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r w:rsidRPr="00C16A91">
              <w:rPr>
                <w:rFonts w:ascii="Arial" w:hAnsi="Arial" w:cs="Arial"/>
                <w:sz w:val="18"/>
                <w:szCs w:val="18"/>
              </w:rPr>
              <w:t>0</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2.3.3 Generación de Recursos para la Salud</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r w:rsidRPr="00C16A91">
              <w:rPr>
                <w:rFonts w:ascii="Arial" w:hAnsi="Arial" w:cs="Arial"/>
                <w:sz w:val="18"/>
                <w:szCs w:val="18"/>
              </w:rPr>
              <w:t>0</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2.3.4 Rectoría del Sistema de Salud</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r w:rsidRPr="00C16A91">
              <w:rPr>
                <w:rFonts w:ascii="Arial" w:hAnsi="Arial" w:cs="Arial"/>
                <w:sz w:val="18"/>
                <w:szCs w:val="18"/>
              </w:rPr>
              <w:t>0</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2.3.5 Protección Social en Salud</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r w:rsidRPr="00C16A91">
              <w:rPr>
                <w:rFonts w:ascii="Arial" w:hAnsi="Arial" w:cs="Arial"/>
                <w:sz w:val="18"/>
                <w:szCs w:val="18"/>
              </w:rPr>
              <w:t>0</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b/>
                <w:sz w:val="18"/>
                <w:szCs w:val="18"/>
              </w:rPr>
            </w:pPr>
            <w:r w:rsidRPr="00C16A91">
              <w:rPr>
                <w:rFonts w:ascii="Arial" w:hAnsi="Arial" w:cs="Arial"/>
                <w:b/>
                <w:sz w:val="18"/>
                <w:szCs w:val="18"/>
              </w:rPr>
              <w:t>2.4.  RECREACION, CULTURA Y OTRAS MANIFESTACIONES SOCIALES</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b/>
                <w:sz w:val="18"/>
                <w:szCs w:val="18"/>
              </w:rPr>
            </w:pPr>
            <w:r w:rsidRPr="00C16A91">
              <w:rPr>
                <w:rFonts w:ascii="Arial" w:hAnsi="Arial" w:cs="Arial"/>
                <w:b/>
                <w:sz w:val="18"/>
                <w:szCs w:val="18"/>
              </w:rPr>
              <w:t>118,281,493</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2.4.1 Deporte y Recreación</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r w:rsidRPr="00C16A91">
              <w:rPr>
                <w:rFonts w:ascii="Arial" w:hAnsi="Arial" w:cs="Arial"/>
                <w:sz w:val="18"/>
                <w:szCs w:val="18"/>
              </w:rPr>
              <w:t>49,558,978</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2.4.2 Cultura</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r w:rsidRPr="00C16A91">
              <w:rPr>
                <w:rFonts w:ascii="Arial" w:hAnsi="Arial" w:cs="Arial"/>
                <w:sz w:val="18"/>
                <w:szCs w:val="18"/>
              </w:rPr>
              <w:t>48,298,270</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2.4.3 Radio, Televisión y Editoriales</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r w:rsidRPr="00C16A91">
              <w:rPr>
                <w:rFonts w:ascii="Arial" w:hAnsi="Arial" w:cs="Arial"/>
                <w:sz w:val="18"/>
                <w:szCs w:val="18"/>
              </w:rPr>
              <w:t>18,627,280</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2.4.4 Asuntos Religiosos y Otras Manifestaciones Sociales</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r w:rsidRPr="00C16A91">
              <w:rPr>
                <w:rFonts w:ascii="Arial" w:hAnsi="Arial" w:cs="Arial"/>
                <w:sz w:val="18"/>
                <w:szCs w:val="18"/>
              </w:rPr>
              <w:t>1,796,965</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b/>
                <w:sz w:val="18"/>
                <w:szCs w:val="18"/>
              </w:rPr>
            </w:pPr>
            <w:r w:rsidRPr="00C16A91">
              <w:rPr>
                <w:rFonts w:ascii="Arial" w:hAnsi="Arial" w:cs="Arial"/>
                <w:b/>
                <w:sz w:val="18"/>
                <w:szCs w:val="18"/>
              </w:rPr>
              <w:t>2.5.  EDUCACIÓN</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b/>
                <w:sz w:val="18"/>
                <w:szCs w:val="18"/>
              </w:rPr>
            </w:pPr>
            <w:r w:rsidRPr="00C16A91">
              <w:rPr>
                <w:rFonts w:ascii="Arial" w:hAnsi="Arial" w:cs="Arial"/>
                <w:b/>
                <w:sz w:val="18"/>
                <w:szCs w:val="18"/>
              </w:rPr>
              <w:t>6,030,283,509</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2.5.1 Educación Básica</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r w:rsidRPr="00C16A91">
              <w:rPr>
                <w:rFonts w:ascii="Arial" w:hAnsi="Arial" w:cs="Arial"/>
                <w:sz w:val="18"/>
                <w:szCs w:val="18"/>
              </w:rPr>
              <w:t>3,839,958,167</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lastRenderedPageBreak/>
              <w:t>2.5.2 Educación Media Superior</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r w:rsidRPr="00C16A91">
              <w:rPr>
                <w:rFonts w:ascii="Arial" w:hAnsi="Arial" w:cs="Arial"/>
                <w:sz w:val="18"/>
                <w:szCs w:val="18"/>
              </w:rPr>
              <w:t>103,890,600</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2.5.3 Educación Superior</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r w:rsidRPr="00C16A91">
              <w:rPr>
                <w:rFonts w:ascii="Arial" w:hAnsi="Arial" w:cs="Arial"/>
                <w:sz w:val="18"/>
                <w:szCs w:val="18"/>
              </w:rPr>
              <w:t>410,482,638</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2.5.4 Posgrado</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r w:rsidRPr="00C16A91">
              <w:rPr>
                <w:rFonts w:ascii="Arial" w:hAnsi="Arial" w:cs="Arial"/>
                <w:sz w:val="18"/>
                <w:szCs w:val="18"/>
              </w:rPr>
              <w:t>0</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2.5.5 Educación para Adultos</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r w:rsidRPr="00C16A91">
              <w:rPr>
                <w:rFonts w:ascii="Arial" w:hAnsi="Arial" w:cs="Arial"/>
                <w:sz w:val="18"/>
                <w:szCs w:val="18"/>
              </w:rPr>
              <w:t>94,114,000</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2.5.6 Otros Servicios Educativos y Actividades Inherentes</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r w:rsidRPr="00C16A91">
              <w:rPr>
                <w:rFonts w:ascii="Arial" w:hAnsi="Arial" w:cs="Arial"/>
                <w:sz w:val="18"/>
                <w:szCs w:val="18"/>
              </w:rPr>
              <w:t>1,581,838,104</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b/>
                <w:sz w:val="18"/>
                <w:szCs w:val="18"/>
              </w:rPr>
            </w:pPr>
            <w:r w:rsidRPr="00C16A91">
              <w:rPr>
                <w:rFonts w:ascii="Arial" w:hAnsi="Arial" w:cs="Arial"/>
                <w:b/>
                <w:sz w:val="18"/>
                <w:szCs w:val="18"/>
              </w:rPr>
              <w:t>2.6.  PROTECCIÓN SOCIAL</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b/>
                <w:sz w:val="18"/>
                <w:szCs w:val="18"/>
              </w:rPr>
            </w:pPr>
            <w:r w:rsidRPr="00C16A91">
              <w:rPr>
                <w:rFonts w:ascii="Arial" w:hAnsi="Arial" w:cs="Arial"/>
                <w:b/>
                <w:sz w:val="18"/>
                <w:szCs w:val="18"/>
              </w:rPr>
              <w:t>795,187,891</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2.6.1 Enfermedad e Incapacidad</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r w:rsidRPr="00C16A91">
              <w:rPr>
                <w:rFonts w:ascii="Arial" w:hAnsi="Arial" w:cs="Arial"/>
                <w:sz w:val="18"/>
                <w:szCs w:val="18"/>
              </w:rPr>
              <w:t>0</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2.6.2 Edad Avanzada</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r w:rsidRPr="00C16A91">
              <w:rPr>
                <w:rFonts w:ascii="Arial" w:hAnsi="Arial" w:cs="Arial"/>
                <w:sz w:val="18"/>
                <w:szCs w:val="18"/>
              </w:rPr>
              <w:t>741,805,461</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2.6.3 Familia e Hijos</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r w:rsidRPr="00C16A91">
              <w:rPr>
                <w:rFonts w:ascii="Arial" w:hAnsi="Arial" w:cs="Arial"/>
                <w:sz w:val="18"/>
                <w:szCs w:val="18"/>
              </w:rPr>
              <w:t>0</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2.6.4 Desempleo</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r w:rsidRPr="00C16A91">
              <w:rPr>
                <w:rFonts w:ascii="Arial" w:hAnsi="Arial" w:cs="Arial"/>
                <w:sz w:val="18"/>
                <w:szCs w:val="18"/>
              </w:rPr>
              <w:t>0</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2.6.5 Alimentación y Nutrición</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r w:rsidRPr="00C16A91">
              <w:rPr>
                <w:rFonts w:ascii="Arial" w:hAnsi="Arial" w:cs="Arial"/>
                <w:sz w:val="18"/>
                <w:szCs w:val="18"/>
              </w:rPr>
              <w:t>0</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2.6.6 Apoyo Social para la Vivienda</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r w:rsidRPr="00C16A91">
              <w:rPr>
                <w:rFonts w:ascii="Arial" w:hAnsi="Arial" w:cs="Arial"/>
                <w:sz w:val="18"/>
                <w:szCs w:val="18"/>
              </w:rPr>
              <w:t>0</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2.6.7 Indígenas</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r w:rsidRPr="00C16A91">
              <w:rPr>
                <w:rFonts w:ascii="Arial" w:hAnsi="Arial" w:cs="Arial"/>
                <w:sz w:val="18"/>
                <w:szCs w:val="18"/>
              </w:rPr>
              <w:t>4,025,670</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2.6.8 Otros Grupos Vulnerables</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r w:rsidRPr="00C16A91">
              <w:rPr>
                <w:rFonts w:ascii="Arial" w:hAnsi="Arial" w:cs="Arial"/>
                <w:sz w:val="18"/>
                <w:szCs w:val="18"/>
              </w:rPr>
              <w:t>43,510,761</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2.6.9 Otros de Seguridad Social y Asistencia Social</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r w:rsidRPr="00C16A91">
              <w:rPr>
                <w:rFonts w:ascii="Arial" w:hAnsi="Arial" w:cs="Arial"/>
                <w:sz w:val="18"/>
                <w:szCs w:val="18"/>
              </w:rPr>
              <w:t>5,846,000</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b/>
                <w:sz w:val="18"/>
                <w:szCs w:val="18"/>
              </w:rPr>
            </w:pPr>
            <w:r w:rsidRPr="00C16A91">
              <w:rPr>
                <w:rFonts w:ascii="Arial" w:hAnsi="Arial" w:cs="Arial"/>
                <w:b/>
                <w:sz w:val="18"/>
                <w:szCs w:val="18"/>
              </w:rPr>
              <w:t>2.7. OTROS ASUNTOS SOCIALES</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b/>
                <w:sz w:val="18"/>
                <w:szCs w:val="18"/>
              </w:rPr>
            </w:pPr>
            <w:r w:rsidRPr="00C16A91">
              <w:rPr>
                <w:rFonts w:ascii="Arial" w:hAnsi="Arial" w:cs="Arial"/>
                <w:b/>
                <w:sz w:val="18"/>
                <w:szCs w:val="18"/>
              </w:rPr>
              <w:t>201,771,022</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2.7.1 Otros Asuntos Sociales</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r w:rsidRPr="00C16A91">
              <w:rPr>
                <w:rFonts w:ascii="Arial" w:hAnsi="Arial" w:cs="Arial"/>
                <w:sz w:val="18"/>
                <w:szCs w:val="18"/>
              </w:rPr>
              <w:t>201,771,022</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b/>
                <w:sz w:val="18"/>
                <w:szCs w:val="18"/>
              </w:rPr>
            </w:pPr>
            <w:r w:rsidRPr="00C16A91">
              <w:rPr>
                <w:rFonts w:ascii="Arial" w:hAnsi="Arial" w:cs="Arial"/>
                <w:b/>
                <w:sz w:val="18"/>
                <w:szCs w:val="18"/>
              </w:rPr>
              <w:t>3. DESARROLLO ECONÓMICO</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1C7A0F" w:rsidP="00C16A91">
            <w:pPr>
              <w:jc w:val="right"/>
              <w:rPr>
                <w:rFonts w:ascii="Arial" w:hAnsi="Arial" w:cs="Arial"/>
                <w:sz w:val="18"/>
                <w:szCs w:val="18"/>
              </w:rPr>
            </w:pPr>
            <w:r>
              <w:rPr>
                <w:rFonts w:ascii="Arial" w:hAnsi="Arial" w:cs="Arial"/>
                <w:sz w:val="18"/>
                <w:szCs w:val="18"/>
              </w:rPr>
              <w:t>1,062,424,371</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b/>
                <w:sz w:val="18"/>
                <w:szCs w:val="18"/>
              </w:rPr>
            </w:pPr>
            <w:r w:rsidRPr="00C16A91">
              <w:rPr>
                <w:rFonts w:ascii="Arial" w:hAnsi="Arial" w:cs="Arial"/>
                <w:b/>
                <w:sz w:val="18"/>
                <w:szCs w:val="18"/>
              </w:rPr>
              <w:t>3.1.  ASUNTOS ECONOMICOS, COMERCIALES Y LABORALES EN GENERAL</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b/>
                <w:sz w:val="18"/>
                <w:szCs w:val="18"/>
              </w:rPr>
            </w:pPr>
            <w:r w:rsidRPr="00C16A91">
              <w:rPr>
                <w:rFonts w:ascii="Arial" w:hAnsi="Arial" w:cs="Arial"/>
                <w:b/>
                <w:sz w:val="18"/>
                <w:szCs w:val="18"/>
              </w:rPr>
              <w:t>192,249,018</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3.1.1 Asuntos Económicos y Comerciales en General</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r w:rsidRPr="00C16A91">
              <w:rPr>
                <w:rFonts w:ascii="Arial" w:hAnsi="Arial" w:cs="Arial"/>
                <w:sz w:val="18"/>
                <w:szCs w:val="18"/>
              </w:rPr>
              <w:t>177,498,018</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3.1.2 Asuntos Laborales Generales</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r w:rsidRPr="00C16A91">
              <w:rPr>
                <w:rFonts w:ascii="Arial" w:hAnsi="Arial" w:cs="Arial"/>
                <w:sz w:val="18"/>
                <w:szCs w:val="18"/>
              </w:rPr>
              <w:t>14,751,000</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b/>
                <w:sz w:val="18"/>
                <w:szCs w:val="18"/>
              </w:rPr>
            </w:pPr>
            <w:r w:rsidRPr="00C16A91">
              <w:rPr>
                <w:rFonts w:ascii="Arial" w:hAnsi="Arial" w:cs="Arial"/>
                <w:b/>
                <w:sz w:val="18"/>
                <w:szCs w:val="18"/>
              </w:rPr>
              <w:t>3.2. AGROPECUARIA, SILVICULTURA, PESCA Y CAZA</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b/>
                <w:sz w:val="18"/>
                <w:szCs w:val="18"/>
              </w:rPr>
            </w:pPr>
            <w:r w:rsidRPr="00C16A91">
              <w:rPr>
                <w:rFonts w:ascii="Arial" w:hAnsi="Arial" w:cs="Arial"/>
                <w:b/>
                <w:sz w:val="18"/>
                <w:szCs w:val="18"/>
              </w:rPr>
              <w:t>808,496,655</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3.2.1 Agropecuaria</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r w:rsidRPr="00C16A91">
              <w:rPr>
                <w:rFonts w:ascii="Arial" w:hAnsi="Arial" w:cs="Arial"/>
                <w:sz w:val="18"/>
                <w:szCs w:val="18"/>
              </w:rPr>
              <w:t>808,496,655</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3.2.2 Silvicultura</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r w:rsidRPr="00C16A91">
              <w:rPr>
                <w:rFonts w:ascii="Arial" w:hAnsi="Arial" w:cs="Arial"/>
                <w:sz w:val="18"/>
                <w:szCs w:val="18"/>
              </w:rPr>
              <w:t>0</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3.2.3 Acuacultura, Pesca y Caza</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r w:rsidRPr="00C16A91">
              <w:rPr>
                <w:rFonts w:ascii="Arial" w:hAnsi="Arial" w:cs="Arial"/>
                <w:sz w:val="18"/>
                <w:szCs w:val="18"/>
              </w:rPr>
              <w:t>0</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3.2.4 Agroindustrial</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r w:rsidRPr="00C16A91">
              <w:rPr>
                <w:rFonts w:ascii="Arial" w:hAnsi="Arial" w:cs="Arial"/>
                <w:sz w:val="18"/>
                <w:szCs w:val="18"/>
              </w:rPr>
              <w:t>0</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3.2.5 Hidroagrícola</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r w:rsidRPr="00C16A91">
              <w:rPr>
                <w:rFonts w:ascii="Arial" w:hAnsi="Arial" w:cs="Arial"/>
                <w:sz w:val="18"/>
                <w:szCs w:val="18"/>
              </w:rPr>
              <w:t>0</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3.2.6 Apoyo Financiero a la Banca y Seguro Agropecuario</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r w:rsidRPr="00C16A91">
              <w:rPr>
                <w:rFonts w:ascii="Arial" w:hAnsi="Arial" w:cs="Arial"/>
                <w:sz w:val="18"/>
                <w:szCs w:val="18"/>
              </w:rPr>
              <w:t>0</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b/>
                <w:sz w:val="18"/>
                <w:szCs w:val="18"/>
              </w:rPr>
            </w:pPr>
            <w:r w:rsidRPr="00C16A91">
              <w:rPr>
                <w:rFonts w:ascii="Arial" w:hAnsi="Arial" w:cs="Arial"/>
                <w:b/>
                <w:sz w:val="18"/>
                <w:szCs w:val="18"/>
              </w:rPr>
              <w:t>3.3.  COMBUSTIBLES Y ENERGÍA</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b/>
                <w:sz w:val="18"/>
                <w:szCs w:val="18"/>
              </w:rPr>
            </w:pPr>
            <w:r w:rsidRPr="00C16A91">
              <w:rPr>
                <w:rFonts w:ascii="Arial" w:hAnsi="Arial" w:cs="Arial"/>
                <w:b/>
                <w:sz w:val="18"/>
                <w:szCs w:val="18"/>
              </w:rPr>
              <w:t>0</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3.3.1 Carbón y Otros Combustibles Minerales Sólidos</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r w:rsidRPr="00C16A91">
              <w:rPr>
                <w:rFonts w:ascii="Arial" w:hAnsi="Arial" w:cs="Arial"/>
                <w:sz w:val="18"/>
                <w:szCs w:val="18"/>
              </w:rPr>
              <w:t>0</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3.3.2 Petróleo y Gas Natural (Hidrocarburos)</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r w:rsidRPr="00C16A91">
              <w:rPr>
                <w:rFonts w:ascii="Arial" w:hAnsi="Arial" w:cs="Arial"/>
                <w:sz w:val="18"/>
                <w:szCs w:val="18"/>
              </w:rPr>
              <w:t>0</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3.3.3 Combustibles Nucleares</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r w:rsidRPr="00C16A91">
              <w:rPr>
                <w:rFonts w:ascii="Arial" w:hAnsi="Arial" w:cs="Arial"/>
                <w:sz w:val="18"/>
                <w:szCs w:val="18"/>
              </w:rPr>
              <w:t>0</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3.3.4 Otros Combustibles</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r w:rsidRPr="00C16A91">
              <w:rPr>
                <w:rFonts w:ascii="Arial" w:hAnsi="Arial" w:cs="Arial"/>
                <w:sz w:val="18"/>
                <w:szCs w:val="18"/>
              </w:rPr>
              <w:t>0</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3.3.5 Electricidad</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r w:rsidRPr="00C16A91">
              <w:rPr>
                <w:rFonts w:ascii="Arial" w:hAnsi="Arial" w:cs="Arial"/>
                <w:sz w:val="18"/>
                <w:szCs w:val="18"/>
              </w:rPr>
              <w:t>0</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3.3.6 Energía no Eléctrica</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r w:rsidRPr="00C16A91">
              <w:rPr>
                <w:rFonts w:ascii="Arial" w:hAnsi="Arial" w:cs="Arial"/>
                <w:sz w:val="18"/>
                <w:szCs w:val="18"/>
              </w:rPr>
              <w:t>0</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b/>
                <w:sz w:val="18"/>
                <w:szCs w:val="18"/>
              </w:rPr>
            </w:pPr>
            <w:r w:rsidRPr="00C16A91">
              <w:rPr>
                <w:rFonts w:ascii="Arial" w:hAnsi="Arial" w:cs="Arial"/>
                <w:b/>
                <w:sz w:val="18"/>
                <w:szCs w:val="18"/>
              </w:rPr>
              <w:t>3.4.  MINERIA, MANUFACTURAS Y CONSTRUCCIÓN</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b/>
                <w:sz w:val="18"/>
                <w:szCs w:val="18"/>
              </w:rPr>
            </w:pPr>
            <w:r w:rsidRPr="00C16A91">
              <w:rPr>
                <w:rFonts w:ascii="Arial" w:hAnsi="Arial" w:cs="Arial"/>
                <w:b/>
                <w:sz w:val="18"/>
                <w:szCs w:val="18"/>
              </w:rPr>
              <w:t>0</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3.4.1 Extracción de Recursos Minerales excepto los Combustibles Minerales</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r w:rsidRPr="00C16A91">
              <w:rPr>
                <w:rFonts w:ascii="Arial" w:hAnsi="Arial" w:cs="Arial"/>
                <w:sz w:val="18"/>
                <w:szCs w:val="18"/>
              </w:rPr>
              <w:t>0</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3.4.2 Manufacturas</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r w:rsidRPr="00C16A91">
              <w:rPr>
                <w:rFonts w:ascii="Arial" w:hAnsi="Arial" w:cs="Arial"/>
                <w:sz w:val="18"/>
                <w:szCs w:val="18"/>
              </w:rPr>
              <w:t>0</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3.4.3 Construcción</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r w:rsidRPr="00C16A91">
              <w:rPr>
                <w:rFonts w:ascii="Arial" w:hAnsi="Arial" w:cs="Arial"/>
                <w:sz w:val="18"/>
                <w:szCs w:val="18"/>
              </w:rPr>
              <w:t>0</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b/>
                <w:sz w:val="18"/>
                <w:szCs w:val="18"/>
              </w:rPr>
            </w:pPr>
            <w:r w:rsidRPr="00C16A91">
              <w:rPr>
                <w:rFonts w:ascii="Arial" w:hAnsi="Arial" w:cs="Arial"/>
                <w:b/>
                <w:sz w:val="18"/>
                <w:szCs w:val="18"/>
              </w:rPr>
              <w:lastRenderedPageBreak/>
              <w:t>3.5. TRANSPORTE</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b/>
                <w:sz w:val="18"/>
                <w:szCs w:val="18"/>
              </w:rPr>
            </w:pPr>
            <w:r w:rsidRPr="00C16A91">
              <w:rPr>
                <w:rFonts w:ascii="Arial" w:hAnsi="Arial" w:cs="Arial"/>
                <w:b/>
                <w:sz w:val="18"/>
                <w:szCs w:val="18"/>
              </w:rPr>
              <w:t>0</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3.5.1 Transporte por Carretera</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r w:rsidRPr="00C16A91">
              <w:rPr>
                <w:rFonts w:ascii="Arial" w:hAnsi="Arial" w:cs="Arial"/>
                <w:sz w:val="18"/>
                <w:szCs w:val="18"/>
              </w:rPr>
              <w:t>0</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3.5.2 Transporte por Agua y Puertos</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r w:rsidRPr="00C16A91">
              <w:rPr>
                <w:rFonts w:ascii="Arial" w:hAnsi="Arial" w:cs="Arial"/>
                <w:sz w:val="18"/>
                <w:szCs w:val="18"/>
              </w:rPr>
              <w:t>0</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3.5.3 Transporte por Ferrocarril</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r w:rsidRPr="00C16A91">
              <w:rPr>
                <w:rFonts w:ascii="Arial" w:hAnsi="Arial" w:cs="Arial"/>
                <w:sz w:val="18"/>
                <w:szCs w:val="18"/>
              </w:rPr>
              <w:t>0</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3.5.4 Transporte Aéreo</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r w:rsidRPr="00C16A91">
              <w:rPr>
                <w:rFonts w:ascii="Arial" w:hAnsi="Arial" w:cs="Arial"/>
                <w:sz w:val="18"/>
                <w:szCs w:val="18"/>
              </w:rPr>
              <w:t>0</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3.5.5 Transporte por Oleoductos y Gasoductos y Otros Sistemas de Transporte</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r w:rsidRPr="00C16A91">
              <w:rPr>
                <w:rFonts w:ascii="Arial" w:hAnsi="Arial" w:cs="Arial"/>
                <w:sz w:val="18"/>
                <w:szCs w:val="18"/>
              </w:rPr>
              <w:t>0</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3.5.6 Otros Relacionados con Transporte</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r w:rsidRPr="00C16A91">
              <w:rPr>
                <w:rFonts w:ascii="Arial" w:hAnsi="Arial" w:cs="Arial"/>
                <w:sz w:val="18"/>
                <w:szCs w:val="18"/>
              </w:rPr>
              <w:t>0</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b/>
                <w:sz w:val="18"/>
                <w:szCs w:val="18"/>
              </w:rPr>
            </w:pPr>
            <w:r w:rsidRPr="00C16A91">
              <w:rPr>
                <w:rFonts w:ascii="Arial" w:hAnsi="Arial" w:cs="Arial"/>
                <w:b/>
                <w:sz w:val="18"/>
                <w:szCs w:val="18"/>
              </w:rPr>
              <w:t>3.6.  COMUNICACIONES</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b/>
                <w:sz w:val="18"/>
                <w:szCs w:val="18"/>
              </w:rPr>
            </w:pPr>
            <w:r w:rsidRPr="00C16A91">
              <w:rPr>
                <w:rFonts w:ascii="Arial" w:hAnsi="Arial" w:cs="Arial"/>
                <w:b/>
                <w:sz w:val="18"/>
                <w:szCs w:val="18"/>
              </w:rPr>
              <w:t>0</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3.6.1 Comunicaciones</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r w:rsidRPr="00C16A91">
              <w:rPr>
                <w:rFonts w:ascii="Arial" w:hAnsi="Arial" w:cs="Arial"/>
                <w:sz w:val="18"/>
                <w:szCs w:val="18"/>
              </w:rPr>
              <w:t>0</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b/>
                <w:sz w:val="18"/>
                <w:szCs w:val="18"/>
              </w:rPr>
            </w:pPr>
            <w:r w:rsidRPr="00C16A91">
              <w:rPr>
                <w:rFonts w:ascii="Arial" w:hAnsi="Arial" w:cs="Arial"/>
                <w:b/>
                <w:sz w:val="18"/>
                <w:szCs w:val="18"/>
              </w:rPr>
              <w:t>3.7.  TURISMO</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b/>
                <w:sz w:val="18"/>
                <w:szCs w:val="18"/>
              </w:rPr>
            </w:pPr>
            <w:r w:rsidRPr="00C16A91">
              <w:rPr>
                <w:rFonts w:ascii="Arial" w:hAnsi="Arial" w:cs="Arial"/>
                <w:b/>
                <w:sz w:val="18"/>
                <w:szCs w:val="18"/>
              </w:rPr>
              <w:t>44,058,412</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3.7.1 Turismo</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r w:rsidRPr="00C16A91">
              <w:rPr>
                <w:rFonts w:ascii="Arial" w:hAnsi="Arial" w:cs="Arial"/>
                <w:sz w:val="18"/>
                <w:szCs w:val="18"/>
              </w:rPr>
              <w:t>44,058,412</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3.7.2 Hoteles y Restaurantes</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r w:rsidRPr="00C16A91">
              <w:rPr>
                <w:rFonts w:ascii="Arial" w:hAnsi="Arial" w:cs="Arial"/>
                <w:sz w:val="18"/>
                <w:szCs w:val="18"/>
              </w:rPr>
              <w:t>0</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b/>
                <w:sz w:val="18"/>
                <w:szCs w:val="18"/>
              </w:rPr>
            </w:pPr>
            <w:r w:rsidRPr="00C16A91">
              <w:rPr>
                <w:rFonts w:ascii="Arial" w:hAnsi="Arial" w:cs="Arial"/>
                <w:b/>
                <w:sz w:val="18"/>
                <w:szCs w:val="18"/>
              </w:rPr>
              <w:t>3.8.  CIENCIA, TECNOLOGÍA E INNOVACIÓN</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b/>
                <w:sz w:val="18"/>
                <w:szCs w:val="18"/>
              </w:rPr>
            </w:pPr>
            <w:r w:rsidRPr="00C16A91">
              <w:rPr>
                <w:rFonts w:ascii="Arial" w:hAnsi="Arial" w:cs="Arial"/>
                <w:b/>
                <w:sz w:val="18"/>
                <w:szCs w:val="18"/>
              </w:rPr>
              <w:t>17,620,287</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3.8.1 Investigación Científica</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r w:rsidRPr="00C16A91">
              <w:rPr>
                <w:rFonts w:ascii="Arial" w:hAnsi="Arial" w:cs="Arial"/>
                <w:sz w:val="18"/>
                <w:szCs w:val="18"/>
              </w:rPr>
              <w:t>509,220</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3.8.2 Desarrollo Tecnológico</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r w:rsidRPr="00C16A91">
              <w:rPr>
                <w:rFonts w:ascii="Arial" w:hAnsi="Arial" w:cs="Arial"/>
                <w:sz w:val="18"/>
                <w:szCs w:val="18"/>
              </w:rPr>
              <w:t>15,468,352</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3.8.3 Servicios Científicos y Tecnológicos</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1C7A0F" w:rsidP="00C16A91">
            <w:pPr>
              <w:jc w:val="right"/>
              <w:rPr>
                <w:rFonts w:ascii="Arial" w:hAnsi="Arial" w:cs="Arial"/>
                <w:sz w:val="18"/>
                <w:szCs w:val="18"/>
              </w:rPr>
            </w:pPr>
            <w:r>
              <w:rPr>
                <w:rFonts w:ascii="Arial" w:hAnsi="Arial" w:cs="Arial"/>
                <w:sz w:val="18"/>
                <w:szCs w:val="18"/>
              </w:rPr>
              <w:t>1,642,711</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3.8.4 Innovación</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r w:rsidRPr="00C16A91">
              <w:rPr>
                <w:rFonts w:ascii="Arial" w:hAnsi="Arial" w:cs="Arial"/>
                <w:sz w:val="18"/>
                <w:szCs w:val="18"/>
              </w:rPr>
              <w:t>0</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b/>
                <w:sz w:val="18"/>
                <w:szCs w:val="18"/>
              </w:rPr>
            </w:pPr>
            <w:r w:rsidRPr="00C16A91">
              <w:rPr>
                <w:rFonts w:ascii="Arial" w:hAnsi="Arial" w:cs="Arial"/>
                <w:b/>
                <w:sz w:val="18"/>
                <w:szCs w:val="18"/>
              </w:rPr>
              <w:t>3.9.  OTRAS INDUSTRIAS Y OTROS ASUNTOS ECONÓMICOS</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b/>
                <w:sz w:val="18"/>
                <w:szCs w:val="18"/>
              </w:rPr>
            </w:pPr>
            <w:r w:rsidRPr="00C16A91">
              <w:rPr>
                <w:rFonts w:ascii="Arial" w:hAnsi="Arial" w:cs="Arial"/>
                <w:b/>
                <w:sz w:val="18"/>
                <w:szCs w:val="18"/>
              </w:rPr>
              <w:t>0</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3.9.1 Comercio, Distribución, Almacenamiento y Depósito</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r w:rsidRPr="00C16A91">
              <w:rPr>
                <w:rFonts w:ascii="Arial" w:hAnsi="Arial" w:cs="Arial"/>
                <w:sz w:val="18"/>
                <w:szCs w:val="18"/>
              </w:rPr>
              <w:t>0</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3.9.2 Otras Industrias</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r w:rsidRPr="00C16A91">
              <w:rPr>
                <w:rFonts w:ascii="Arial" w:hAnsi="Arial" w:cs="Arial"/>
                <w:sz w:val="18"/>
                <w:szCs w:val="18"/>
              </w:rPr>
              <w:t>0</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3.9.3 Otros Asuntos Económicos</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r w:rsidRPr="00C16A91">
              <w:rPr>
                <w:rFonts w:ascii="Arial" w:hAnsi="Arial" w:cs="Arial"/>
                <w:sz w:val="18"/>
                <w:szCs w:val="18"/>
              </w:rPr>
              <w:t>0</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b/>
                <w:sz w:val="18"/>
                <w:szCs w:val="18"/>
              </w:rPr>
            </w:pPr>
            <w:r w:rsidRPr="00C16A91">
              <w:rPr>
                <w:rFonts w:ascii="Arial" w:hAnsi="Arial" w:cs="Arial"/>
                <w:b/>
                <w:sz w:val="18"/>
                <w:szCs w:val="18"/>
              </w:rPr>
              <w:t>4. OTRAS NO CLASIFICADAS EN FUNCIONES ANTERIORES</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b/>
                <w:sz w:val="18"/>
                <w:szCs w:val="18"/>
              </w:rPr>
            </w:pPr>
            <w:r w:rsidRPr="00C16A91">
              <w:rPr>
                <w:rFonts w:ascii="Arial" w:hAnsi="Arial" w:cs="Arial"/>
                <w:b/>
                <w:sz w:val="18"/>
                <w:szCs w:val="18"/>
              </w:rPr>
              <w:t>2,192,932,450</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b/>
                <w:sz w:val="18"/>
                <w:szCs w:val="18"/>
              </w:rPr>
            </w:pPr>
            <w:r w:rsidRPr="00C16A91">
              <w:rPr>
                <w:rFonts w:ascii="Arial" w:hAnsi="Arial" w:cs="Arial"/>
                <w:b/>
                <w:sz w:val="18"/>
                <w:szCs w:val="18"/>
              </w:rPr>
              <w:t>4.1.  TRANSACCIONES DE LA DEUDA PUBLICA / COSTO FINANCIERO DE LA DEUDA</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2674BC" w:rsidP="00C16A91">
            <w:pPr>
              <w:jc w:val="right"/>
              <w:rPr>
                <w:rFonts w:ascii="Arial" w:hAnsi="Arial" w:cs="Arial"/>
                <w:b/>
                <w:sz w:val="18"/>
                <w:szCs w:val="18"/>
              </w:rPr>
            </w:pPr>
            <w:r w:rsidRPr="002674BC">
              <w:rPr>
                <w:rFonts w:ascii="Arial" w:hAnsi="Arial" w:cs="Arial"/>
                <w:b/>
                <w:sz w:val="18"/>
                <w:szCs w:val="18"/>
              </w:rPr>
              <w:t>171,691,739</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4.1.1 Deuda Pública Interna</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2674BC" w:rsidP="00C16A91">
            <w:pPr>
              <w:jc w:val="right"/>
              <w:rPr>
                <w:rFonts w:ascii="Arial" w:hAnsi="Arial" w:cs="Arial"/>
                <w:sz w:val="18"/>
                <w:szCs w:val="18"/>
              </w:rPr>
            </w:pPr>
            <w:r w:rsidRPr="002674BC">
              <w:rPr>
                <w:rFonts w:ascii="Arial" w:hAnsi="Arial" w:cs="Arial"/>
                <w:sz w:val="18"/>
                <w:szCs w:val="18"/>
              </w:rPr>
              <w:t>171,691,739</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4.1.2 Deuda Pública Externa</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r w:rsidRPr="00C16A91">
              <w:rPr>
                <w:rFonts w:ascii="Arial" w:hAnsi="Arial" w:cs="Arial"/>
                <w:sz w:val="18"/>
                <w:szCs w:val="18"/>
              </w:rPr>
              <w:t>0</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b/>
                <w:sz w:val="18"/>
                <w:szCs w:val="18"/>
              </w:rPr>
            </w:pPr>
            <w:r w:rsidRPr="00C16A91">
              <w:rPr>
                <w:rFonts w:ascii="Arial" w:hAnsi="Arial" w:cs="Arial"/>
                <w:b/>
                <w:sz w:val="18"/>
                <w:szCs w:val="18"/>
              </w:rPr>
              <w:t>4.2.  TRANSFERENCIAS, PARTICIPACIONES Y APORTACIONES ENTRE DIFERENTES NIVELES Y ORDENES DE GOBIERNO</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b/>
                <w:sz w:val="18"/>
                <w:szCs w:val="18"/>
              </w:rPr>
            </w:pPr>
            <w:r w:rsidRPr="00C16A91">
              <w:rPr>
                <w:rFonts w:ascii="Arial" w:hAnsi="Arial" w:cs="Arial"/>
                <w:b/>
                <w:sz w:val="18"/>
                <w:szCs w:val="18"/>
              </w:rPr>
              <w:t>1,782,926,780</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4.2.1 Transferencias entre Diferentes Niveles y Ordenes de Gobierno</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r w:rsidRPr="00C16A91">
              <w:rPr>
                <w:rFonts w:ascii="Arial" w:hAnsi="Arial" w:cs="Arial"/>
                <w:sz w:val="18"/>
                <w:szCs w:val="18"/>
              </w:rPr>
              <w:t>0</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4.2.2 Participaciones entre Diferentes Niveles y Ordenes de Gobierno</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r w:rsidRPr="00C16A91">
              <w:rPr>
                <w:rFonts w:ascii="Arial" w:hAnsi="Arial" w:cs="Arial"/>
                <w:sz w:val="18"/>
                <w:szCs w:val="18"/>
              </w:rPr>
              <w:t>915,171,143</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4.2.3 Aportaciones entre Diferentes Niveles y Ordenes de Gobierno</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r w:rsidRPr="00C16A91">
              <w:rPr>
                <w:rFonts w:ascii="Arial" w:hAnsi="Arial" w:cs="Arial"/>
                <w:sz w:val="18"/>
                <w:szCs w:val="18"/>
              </w:rPr>
              <w:t>867,755,637</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b/>
                <w:sz w:val="18"/>
                <w:szCs w:val="18"/>
              </w:rPr>
            </w:pPr>
            <w:r w:rsidRPr="00C16A91">
              <w:rPr>
                <w:rFonts w:ascii="Arial" w:hAnsi="Arial" w:cs="Arial"/>
                <w:b/>
                <w:sz w:val="18"/>
                <w:szCs w:val="18"/>
              </w:rPr>
              <w:t>4.3.  SANEAMIENTO DEL SISTEMA FINANCIERO</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2674BC" w:rsidP="00C16A91">
            <w:pPr>
              <w:jc w:val="right"/>
              <w:rPr>
                <w:rFonts w:ascii="Arial" w:hAnsi="Arial" w:cs="Arial"/>
                <w:b/>
                <w:sz w:val="18"/>
                <w:szCs w:val="18"/>
              </w:rPr>
            </w:pPr>
            <w:r w:rsidRPr="002674BC">
              <w:rPr>
                <w:rFonts w:ascii="Arial" w:hAnsi="Arial" w:cs="Arial"/>
                <w:b/>
                <w:sz w:val="18"/>
                <w:szCs w:val="18"/>
              </w:rPr>
              <w:t>183,313,931</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4.3.1 Saneamiento del Sistema Financiero</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2674BC" w:rsidP="00C16A91">
            <w:pPr>
              <w:jc w:val="right"/>
              <w:rPr>
                <w:rFonts w:ascii="Arial" w:hAnsi="Arial" w:cs="Arial"/>
                <w:sz w:val="18"/>
                <w:szCs w:val="18"/>
              </w:rPr>
            </w:pPr>
            <w:r w:rsidRPr="002674BC">
              <w:rPr>
                <w:rFonts w:ascii="Arial" w:hAnsi="Arial" w:cs="Arial"/>
                <w:sz w:val="18"/>
                <w:szCs w:val="18"/>
              </w:rPr>
              <w:t>183,313,931</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4.3.2 Apoyos IPAB</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r w:rsidRPr="00C16A91">
              <w:rPr>
                <w:rFonts w:ascii="Arial" w:hAnsi="Arial" w:cs="Arial"/>
                <w:sz w:val="18"/>
                <w:szCs w:val="18"/>
              </w:rPr>
              <w:t>0</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4.3.3 Banca de Desarrollo</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r w:rsidRPr="00C16A91">
              <w:rPr>
                <w:rFonts w:ascii="Arial" w:hAnsi="Arial" w:cs="Arial"/>
                <w:sz w:val="18"/>
                <w:szCs w:val="18"/>
              </w:rPr>
              <w:t>0</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4.3.4 Apoyo a los programas de reestructura en unidades de inversión (UDIS)</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r w:rsidRPr="00C16A91">
              <w:rPr>
                <w:rFonts w:ascii="Arial" w:hAnsi="Arial" w:cs="Arial"/>
                <w:sz w:val="18"/>
                <w:szCs w:val="18"/>
              </w:rPr>
              <w:t>0</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b/>
                <w:sz w:val="18"/>
                <w:szCs w:val="18"/>
              </w:rPr>
            </w:pPr>
            <w:r w:rsidRPr="00C16A91">
              <w:rPr>
                <w:rFonts w:ascii="Arial" w:hAnsi="Arial" w:cs="Arial"/>
                <w:b/>
                <w:sz w:val="18"/>
                <w:szCs w:val="18"/>
              </w:rPr>
              <w:t>4.4.  ADEUDOS DE EJERCICIOS FISCALES ANTERIORES</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b/>
                <w:sz w:val="18"/>
                <w:szCs w:val="18"/>
              </w:rPr>
            </w:pPr>
            <w:r w:rsidRPr="00C16A91">
              <w:rPr>
                <w:rFonts w:ascii="Arial" w:hAnsi="Arial" w:cs="Arial"/>
                <w:b/>
                <w:sz w:val="18"/>
                <w:szCs w:val="18"/>
              </w:rPr>
              <w:t>55,000,000</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sz w:val="18"/>
                <w:szCs w:val="18"/>
              </w:rPr>
            </w:pPr>
            <w:r w:rsidRPr="00C16A91">
              <w:rPr>
                <w:rFonts w:ascii="Arial" w:hAnsi="Arial" w:cs="Arial"/>
                <w:sz w:val="18"/>
                <w:szCs w:val="18"/>
              </w:rPr>
              <w:t>4.4.1 Adeudos de Ejercicios Fiscales Anteriores</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C16A91" w:rsidP="00C16A91">
            <w:pPr>
              <w:jc w:val="right"/>
              <w:rPr>
                <w:rFonts w:ascii="Arial" w:hAnsi="Arial" w:cs="Arial"/>
                <w:sz w:val="18"/>
                <w:szCs w:val="18"/>
              </w:rPr>
            </w:pPr>
            <w:r w:rsidRPr="00C16A91">
              <w:rPr>
                <w:rFonts w:ascii="Arial" w:hAnsi="Arial" w:cs="Arial"/>
                <w:sz w:val="18"/>
                <w:szCs w:val="18"/>
              </w:rPr>
              <w:t>55,000,000</w:t>
            </w:r>
          </w:p>
        </w:tc>
      </w:tr>
      <w:tr w:rsidR="00C16A91" w:rsidRPr="00906AFB" w:rsidTr="00C16A91">
        <w:trPr>
          <w:trHeight w:val="283"/>
          <w:jc w:val="center"/>
        </w:trPr>
        <w:tc>
          <w:tcPr>
            <w:tcW w:w="6539" w:type="dxa"/>
            <w:tcBorders>
              <w:top w:val="single" w:sz="4" w:space="0" w:color="auto"/>
              <w:left w:val="single" w:sz="4" w:space="0" w:color="auto"/>
              <w:bottom w:val="single" w:sz="4" w:space="0" w:color="auto"/>
              <w:right w:val="single" w:sz="4" w:space="0" w:color="auto"/>
            </w:tcBorders>
            <w:vAlign w:val="center"/>
            <w:hideMark/>
          </w:tcPr>
          <w:p w:rsidR="00C16A91" w:rsidRPr="00C16A91" w:rsidRDefault="00C16A91" w:rsidP="00C16A91">
            <w:pPr>
              <w:rPr>
                <w:rFonts w:ascii="Arial" w:hAnsi="Arial" w:cs="Arial"/>
                <w:b/>
                <w:sz w:val="18"/>
                <w:szCs w:val="18"/>
              </w:rPr>
            </w:pPr>
            <w:r w:rsidRPr="00C16A91">
              <w:rPr>
                <w:rFonts w:ascii="Arial" w:hAnsi="Arial" w:cs="Arial"/>
                <w:b/>
                <w:sz w:val="18"/>
                <w:szCs w:val="18"/>
              </w:rPr>
              <w:t>Total</w:t>
            </w:r>
          </w:p>
        </w:tc>
        <w:tc>
          <w:tcPr>
            <w:tcW w:w="1716" w:type="dxa"/>
            <w:tcBorders>
              <w:top w:val="single" w:sz="4" w:space="0" w:color="auto"/>
              <w:left w:val="single" w:sz="4" w:space="0" w:color="auto"/>
              <w:bottom w:val="single" w:sz="4" w:space="0" w:color="auto"/>
              <w:right w:val="single" w:sz="4" w:space="0" w:color="auto"/>
            </w:tcBorders>
            <w:vAlign w:val="center"/>
          </w:tcPr>
          <w:p w:rsidR="00C16A91" w:rsidRPr="00C16A91" w:rsidRDefault="002674BC" w:rsidP="00C16A91">
            <w:pPr>
              <w:jc w:val="right"/>
              <w:rPr>
                <w:rFonts w:ascii="Arial" w:hAnsi="Arial" w:cs="Arial"/>
                <w:b/>
                <w:sz w:val="18"/>
                <w:szCs w:val="18"/>
              </w:rPr>
            </w:pPr>
            <w:r w:rsidRPr="002674BC">
              <w:rPr>
                <w:rFonts w:ascii="Arial" w:hAnsi="Arial" w:cs="Arial"/>
                <w:b/>
                <w:sz w:val="18"/>
                <w:szCs w:val="18"/>
              </w:rPr>
              <w:t>15,517,525,000</w:t>
            </w:r>
          </w:p>
        </w:tc>
      </w:tr>
    </w:tbl>
    <w:p w:rsidR="00906AFB" w:rsidRPr="00906AFB" w:rsidRDefault="00906AFB" w:rsidP="00906AFB">
      <w:pPr>
        <w:spacing w:after="0" w:line="240" w:lineRule="auto"/>
        <w:jc w:val="both"/>
        <w:rPr>
          <w:rFonts w:ascii="Arial" w:eastAsia="Calibri" w:hAnsi="Arial" w:cs="Arial"/>
          <w:b/>
          <w:sz w:val="24"/>
          <w:szCs w:val="24"/>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b/>
          <w:sz w:val="24"/>
          <w:szCs w:val="24"/>
          <w:lang w:val="es-ES" w:eastAsia="en-US"/>
        </w:rPr>
        <w:lastRenderedPageBreak/>
        <w:t>Artículo 19</w:t>
      </w:r>
      <w:r w:rsidRPr="00906AFB">
        <w:rPr>
          <w:rFonts w:ascii="Arial" w:eastAsia="Calibri" w:hAnsi="Arial" w:cs="Arial"/>
          <w:sz w:val="24"/>
          <w:szCs w:val="24"/>
          <w:lang w:val="es-ES" w:eastAsia="en-US"/>
        </w:rPr>
        <w:t>. La Clasificación Programática de acuerdo con la Tipología General de los Programas Presupuestarios se presenta en la siguiente tabla.</w:t>
      </w:r>
    </w:p>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Pr="00906AFB" w:rsidRDefault="00906AFB" w:rsidP="00906AFB">
      <w:pPr>
        <w:keepNext/>
        <w:keepLines/>
        <w:spacing w:after="0" w:line="240" w:lineRule="auto"/>
        <w:jc w:val="center"/>
        <w:outlineLvl w:val="1"/>
        <w:rPr>
          <w:rFonts w:ascii="Arial" w:eastAsia="Times New Roman" w:hAnsi="Arial" w:cs="Times New Roman"/>
          <w:b/>
          <w:sz w:val="20"/>
          <w:szCs w:val="26"/>
          <w:lang w:val="es-ES" w:eastAsia="en-US"/>
        </w:rPr>
      </w:pPr>
      <w:r w:rsidRPr="00906AFB">
        <w:rPr>
          <w:rFonts w:ascii="Arial" w:eastAsia="Times New Roman" w:hAnsi="Arial" w:cs="Times New Roman"/>
          <w:b/>
          <w:sz w:val="20"/>
          <w:szCs w:val="26"/>
          <w:lang w:val="es-ES" w:eastAsia="en-US"/>
        </w:rPr>
        <w:t>Tabla 23. Clasificación Programática (Tipología General)</w:t>
      </w:r>
    </w:p>
    <w:tbl>
      <w:tblPr>
        <w:tblStyle w:val="Tablaconcuadrcula2"/>
        <w:tblW w:w="0" w:type="auto"/>
        <w:jc w:val="center"/>
        <w:tblInd w:w="0" w:type="dxa"/>
        <w:tblLook w:val="04A0" w:firstRow="1" w:lastRow="0" w:firstColumn="1" w:lastColumn="0" w:noHBand="0" w:noVBand="1"/>
      </w:tblPr>
      <w:tblGrid>
        <w:gridCol w:w="6021"/>
        <w:gridCol w:w="750"/>
        <w:gridCol w:w="1669"/>
      </w:tblGrid>
      <w:tr w:rsidR="00906AFB" w:rsidRPr="00906AFB" w:rsidTr="00906AFB">
        <w:trPr>
          <w:trHeight w:val="283"/>
          <w:jc w:val="center"/>
        </w:trPr>
        <w:tc>
          <w:tcPr>
            <w:tcW w:w="602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2241D3">
            <w:pPr>
              <w:jc w:val="center"/>
              <w:rPr>
                <w:rFonts w:ascii="Arial" w:hAnsi="Arial" w:cs="Arial"/>
                <w:b/>
                <w:bCs/>
                <w:sz w:val="20"/>
                <w:szCs w:val="20"/>
              </w:rPr>
            </w:pPr>
            <w:r w:rsidRPr="00906AFB">
              <w:rPr>
                <w:rFonts w:ascii="Arial" w:hAnsi="Arial" w:cs="Arial"/>
                <w:b/>
                <w:bCs/>
                <w:sz w:val="20"/>
                <w:szCs w:val="20"/>
              </w:rPr>
              <w:t>Programas Presupuestarios</w:t>
            </w:r>
          </w:p>
        </w:tc>
        <w:tc>
          <w:tcPr>
            <w:tcW w:w="750"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2241D3">
            <w:pPr>
              <w:jc w:val="center"/>
              <w:rPr>
                <w:rFonts w:ascii="Arial" w:hAnsi="Arial" w:cs="Arial"/>
                <w:b/>
                <w:sz w:val="20"/>
                <w:szCs w:val="20"/>
              </w:rPr>
            </w:pPr>
            <w:r w:rsidRPr="00906AFB">
              <w:rPr>
                <w:rFonts w:ascii="Arial" w:hAnsi="Arial" w:cs="Arial"/>
                <w:b/>
                <w:sz w:val="20"/>
                <w:szCs w:val="20"/>
              </w:rPr>
              <w:t>Clave</w:t>
            </w:r>
          </w:p>
        </w:tc>
        <w:tc>
          <w:tcPr>
            <w:tcW w:w="166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2241D3">
            <w:pPr>
              <w:jc w:val="center"/>
              <w:rPr>
                <w:rFonts w:ascii="Arial" w:hAnsi="Arial" w:cs="Arial"/>
                <w:b/>
                <w:bCs/>
                <w:sz w:val="20"/>
                <w:szCs w:val="20"/>
              </w:rPr>
            </w:pPr>
            <w:r w:rsidRPr="00906AFB">
              <w:rPr>
                <w:rFonts w:ascii="Arial" w:hAnsi="Arial" w:cs="Arial"/>
                <w:b/>
                <w:bCs/>
                <w:sz w:val="20"/>
                <w:szCs w:val="20"/>
              </w:rPr>
              <w:t>Asignación Presupuestal</w:t>
            </w:r>
          </w:p>
        </w:tc>
      </w:tr>
      <w:tr w:rsidR="00C16A91" w:rsidRPr="00906AFB" w:rsidTr="00C16A91">
        <w:trPr>
          <w:trHeight w:val="283"/>
          <w:jc w:val="center"/>
        </w:trPr>
        <w:tc>
          <w:tcPr>
            <w:tcW w:w="6021" w:type="dxa"/>
            <w:tcBorders>
              <w:top w:val="single" w:sz="4" w:space="0" w:color="auto"/>
              <w:left w:val="single" w:sz="4" w:space="0" w:color="auto"/>
              <w:bottom w:val="single" w:sz="4" w:space="0" w:color="auto"/>
              <w:right w:val="single" w:sz="4" w:space="0" w:color="auto"/>
            </w:tcBorders>
            <w:noWrap/>
            <w:vAlign w:val="center"/>
            <w:hideMark/>
          </w:tcPr>
          <w:p w:rsidR="00C16A91" w:rsidRPr="00906AFB" w:rsidRDefault="00C16A91" w:rsidP="002241D3">
            <w:pPr>
              <w:rPr>
                <w:rFonts w:ascii="Arial" w:hAnsi="Arial" w:cs="Arial"/>
                <w:b/>
                <w:bCs/>
                <w:sz w:val="20"/>
                <w:szCs w:val="20"/>
              </w:rPr>
            </w:pPr>
            <w:r w:rsidRPr="00906AFB">
              <w:rPr>
                <w:rFonts w:ascii="Arial" w:hAnsi="Arial" w:cs="Arial"/>
                <w:b/>
                <w:bCs/>
                <w:sz w:val="20"/>
                <w:szCs w:val="20"/>
              </w:rPr>
              <w:t>Subsidios: Sector Social y Privado o Entidades Federativas y Municipios</w:t>
            </w:r>
          </w:p>
        </w:tc>
        <w:tc>
          <w:tcPr>
            <w:tcW w:w="750" w:type="dxa"/>
            <w:tcBorders>
              <w:top w:val="single" w:sz="4" w:space="0" w:color="auto"/>
              <w:left w:val="single" w:sz="4" w:space="0" w:color="auto"/>
              <w:bottom w:val="single" w:sz="4" w:space="0" w:color="auto"/>
              <w:right w:val="single" w:sz="4" w:space="0" w:color="auto"/>
            </w:tcBorders>
            <w:noWrap/>
            <w:vAlign w:val="center"/>
            <w:hideMark/>
          </w:tcPr>
          <w:p w:rsidR="00C16A91" w:rsidRPr="00906AFB" w:rsidRDefault="00C16A91" w:rsidP="002241D3">
            <w:pPr>
              <w:jc w:val="both"/>
              <w:rPr>
                <w:rFonts w:ascii="Arial" w:hAnsi="Arial" w:cs="Arial"/>
                <w:b/>
                <w:bCs/>
                <w:sz w:val="20"/>
                <w:szCs w:val="20"/>
              </w:rPr>
            </w:pPr>
          </w:p>
        </w:tc>
        <w:tc>
          <w:tcPr>
            <w:tcW w:w="1669" w:type="dxa"/>
            <w:tcBorders>
              <w:top w:val="single" w:sz="4" w:space="0" w:color="auto"/>
              <w:left w:val="single" w:sz="4" w:space="0" w:color="auto"/>
              <w:bottom w:val="single" w:sz="4" w:space="0" w:color="auto"/>
              <w:right w:val="single" w:sz="4" w:space="0" w:color="auto"/>
            </w:tcBorders>
            <w:noWrap/>
            <w:vAlign w:val="center"/>
            <w:hideMark/>
          </w:tcPr>
          <w:p w:rsidR="00C16A91" w:rsidRPr="00C35DCE" w:rsidRDefault="00C16A91" w:rsidP="002241D3">
            <w:pPr>
              <w:jc w:val="right"/>
              <w:rPr>
                <w:rFonts w:ascii="Arial" w:hAnsi="Arial" w:cs="Arial"/>
                <w:b/>
                <w:sz w:val="20"/>
              </w:rPr>
            </w:pPr>
            <w:r w:rsidRPr="00C35DCE">
              <w:rPr>
                <w:rFonts w:ascii="Arial" w:hAnsi="Arial" w:cs="Arial"/>
                <w:b/>
                <w:sz w:val="20"/>
              </w:rPr>
              <w:t>772,449,426</w:t>
            </w:r>
          </w:p>
        </w:tc>
      </w:tr>
      <w:tr w:rsidR="00C16A91" w:rsidRPr="00906AFB" w:rsidTr="00C16A91">
        <w:trPr>
          <w:trHeight w:val="283"/>
          <w:jc w:val="center"/>
        </w:trPr>
        <w:tc>
          <w:tcPr>
            <w:tcW w:w="6021" w:type="dxa"/>
            <w:tcBorders>
              <w:top w:val="single" w:sz="4" w:space="0" w:color="auto"/>
              <w:left w:val="single" w:sz="4" w:space="0" w:color="auto"/>
              <w:bottom w:val="single" w:sz="4" w:space="0" w:color="auto"/>
              <w:right w:val="single" w:sz="4" w:space="0" w:color="auto"/>
            </w:tcBorders>
            <w:noWrap/>
            <w:vAlign w:val="center"/>
            <w:hideMark/>
          </w:tcPr>
          <w:p w:rsidR="00C16A91" w:rsidRPr="00906AFB" w:rsidRDefault="00C16A91" w:rsidP="002241D3">
            <w:pPr>
              <w:ind w:left="252"/>
              <w:rPr>
                <w:rFonts w:ascii="Arial" w:hAnsi="Arial" w:cs="Arial"/>
                <w:sz w:val="20"/>
                <w:szCs w:val="20"/>
              </w:rPr>
            </w:pPr>
            <w:r w:rsidRPr="00906AFB">
              <w:rPr>
                <w:rFonts w:ascii="Arial" w:hAnsi="Arial" w:cs="Arial"/>
                <w:sz w:val="20"/>
                <w:szCs w:val="20"/>
              </w:rPr>
              <w:t>Sujetos a Reglas de Operación</w:t>
            </w:r>
          </w:p>
        </w:tc>
        <w:tc>
          <w:tcPr>
            <w:tcW w:w="750" w:type="dxa"/>
            <w:tcBorders>
              <w:top w:val="single" w:sz="4" w:space="0" w:color="auto"/>
              <w:left w:val="single" w:sz="4" w:space="0" w:color="auto"/>
              <w:bottom w:val="single" w:sz="4" w:space="0" w:color="auto"/>
              <w:right w:val="single" w:sz="4" w:space="0" w:color="auto"/>
            </w:tcBorders>
            <w:noWrap/>
            <w:vAlign w:val="center"/>
            <w:hideMark/>
          </w:tcPr>
          <w:p w:rsidR="00C16A91" w:rsidRPr="00906AFB" w:rsidRDefault="00C16A91" w:rsidP="002241D3">
            <w:pPr>
              <w:jc w:val="center"/>
              <w:rPr>
                <w:rFonts w:ascii="Arial" w:hAnsi="Arial" w:cs="Arial"/>
                <w:b/>
                <w:sz w:val="20"/>
                <w:szCs w:val="20"/>
              </w:rPr>
            </w:pPr>
            <w:r w:rsidRPr="00906AFB">
              <w:rPr>
                <w:rFonts w:ascii="Arial" w:hAnsi="Arial" w:cs="Arial"/>
                <w:b/>
                <w:sz w:val="20"/>
                <w:szCs w:val="20"/>
              </w:rPr>
              <w:t>S</w:t>
            </w:r>
          </w:p>
        </w:tc>
        <w:tc>
          <w:tcPr>
            <w:tcW w:w="1669" w:type="dxa"/>
            <w:tcBorders>
              <w:top w:val="single" w:sz="4" w:space="0" w:color="auto"/>
              <w:left w:val="single" w:sz="4" w:space="0" w:color="auto"/>
              <w:bottom w:val="single" w:sz="4" w:space="0" w:color="auto"/>
              <w:right w:val="single" w:sz="4" w:space="0" w:color="auto"/>
            </w:tcBorders>
            <w:noWrap/>
            <w:vAlign w:val="center"/>
            <w:hideMark/>
          </w:tcPr>
          <w:p w:rsidR="00C16A91" w:rsidRPr="00C16A91" w:rsidRDefault="00C16A91" w:rsidP="002241D3">
            <w:pPr>
              <w:jc w:val="right"/>
              <w:rPr>
                <w:rFonts w:ascii="Arial" w:hAnsi="Arial" w:cs="Arial"/>
                <w:sz w:val="20"/>
              </w:rPr>
            </w:pPr>
            <w:r w:rsidRPr="00C16A91">
              <w:rPr>
                <w:rFonts w:ascii="Arial" w:hAnsi="Arial" w:cs="Arial"/>
                <w:sz w:val="20"/>
              </w:rPr>
              <w:t>440,701,000</w:t>
            </w:r>
          </w:p>
        </w:tc>
      </w:tr>
      <w:tr w:rsidR="00C16A91" w:rsidRPr="00906AFB" w:rsidTr="00C16A91">
        <w:trPr>
          <w:trHeight w:val="283"/>
          <w:jc w:val="center"/>
        </w:trPr>
        <w:tc>
          <w:tcPr>
            <w:tcW w:w="6021" w:type="dxa"/>
            <w:tcBorders>
              <w:top w:val="single" w:sz="4" w:space="0" w:color="auto"/>
              <w:left w:val="single" w:sz="4" w:space="0" w:color="auto"/>
              <w:bottom w:val="single" w:sz="4" w:space="0" w:color="auto"/>
              <w:right w:val="single" w:sz="4" w:space="0" w:color="auto"/>
            </w:tcBorders>
            <w:noWrap/>
            <w:vAlign w:val="center"/>
            <w:hideMark/>
          </w:tcPr>
          <w:p w:rsidR="00C16A91" w:rsidRPr="00906AFB" w:rsidRDefault="00C16A91" w:rsidP="002241D3">
            <w:pPr>
              <w:ind w:left="252"/>
              <w:rPr>
                <w:rFonts w:ascii="Arial" w:hAnsi="Arial" w:cs="Arial"/>
                <w:sz w:val="20"/>
                <w:szCs w:val="20"/>
              </w:rPr>
            </w:pPr>
            <w:r w:rsidRPr="00906AFB">
              <w:rPr>
                <w:rFonts w:ascii="Arial" w:hAnsi="Arial" w:cs="Arial"/>
                <w:sz w:val="20"/>
                <w:szCs w:val="20"/>
              </w:rPr>
              <w:t>Otros Subsidios</w:t>
            </w:r>
          </w:p>
        </w:tc>
        <w:tc>
          <w:tcPr>
            <w:tcW w:w="750" w:type="dxa"/>
            <w:tcBorders>
              <w:top w:val="single" w:sz="4" w:space="0" w:color="auto"/>
              <w:left w:val="single" w:sz="4" w:space="0" w:color="auto"/>
              <w:bottom w:val="single" w:sz="4" w:space="0" w:color="auto"/>
              <w:right w:val="single" w:sz="4" w:space="0" w:color="auto"/>
            </w:tcBorders>
            <w:noWrap/>
            <w:vAlign w:val="center"/>
            <w:hideMark/>
          </w:tcPr>
          <w:p w:rsidR="00C16A91" w:rsidRPr="00906AFB" w:rsidRDefault="00C16A91" w:rsidP="002241D3">
            <w:pPr>
              <w:jc w:val="center"/>
              <w:rPr>
                <w:rFonts w:ascii="Arial" w:hAnsi="Arial" w:cs="Arial"/>
                <w:b/>
                <w:sz w:val="20"/>
                <w:szCs w:val="20"/>
              </w:rPr>
            </w:pPr>
            <w:r w:rsidRPr="00906AFB">
              <w:rPr>
                <w:rFonts w:ascii="Arial" w:hAnsi="Arial" w:cs="Arial"/>
                <w:b/>
                <w:sz w:val="20"/>
                <w:szCs w:val="20"/>
              </w:rPr>
              <w:t>U</w:t>
            </w:r>
          </w:p>
        </w:tc>
        <w:tc>
          <w:tcPr>
            <w:tcW w:w="1669" w:type="dxa"/>
            <w:tcBorders>
              <w:top w:val="single" w:sz="4" w:space="0" w:color="auto"/>
              <w:left w:val="single" w:sz="4" w:space="0" w:color="auto"/>
              <w:bottom w:val="single" w:sz="4" w:space="0" w:color="auto"/>
              <w:right w:val="single" w:sz="4" w:space="0" w:color="auto"/>
            </w:tcBorders>
            <w:noWrap/>
            <w:vAlign w:val="center"/>
            <w:hideMark/>
          </w:tcPr>
          <w:p w:rsidR="00C16A91" w:rsidRPr="00C16A91" w:rsidRDefault="00C16A91" w:rsidP="002241D3">
            <w:pPr>
              <w:jc w:val="right"/>
              <w:rPr>
                <w:rFonts w:ascii="Arial" w:hAnsi="Arial" w:cs="Arial"/>
                <w:sz w:val="20"/>
              </w:rPr>
            </w:pPr>
            <w:r w:rsidRPr="00C16A91">
              <w:rPr>
                <w:rFonts w:ascii="Arial" w:hAnsi="Arial" w:cs="Arial"/>
                <w:sz w:val="20"/>
              </w:rPr>
              <w:t>331,748,426</w:t>
            </w:r>
          </w:p>
        </w:tc>
      </w:tr>
      <w:tr w:rsidR="00C16A91" w:rsidRPr="00906AFB" w:rsidTr="00C16A91">
        <w:trPr>
          <w:trHeight w:val="283"/>
          <w:jc w:val="center"/>
        </w:trPr>
        <w:tc>
          <w:tcPr>
            <w:tcW w:w="6021" w:type="dxa"/>
            <w:tcBorders>
              <w:top w:val="single" w:sz="4" w:space="0" w:color="auto"/>
              <w:left w:val="single" w:sz="4" w:space="0" w:color="auto"/>
              <w:bottom w:val="single" w:sz="4" w:space="0" w:color="auto"/>
              <w:right w:val="single" w:sz="4" w:space="0" w:color="auto"/>
            </w:tcBorders>
            <w:noWrap/>
            <w:vAlign w:val="center"/>
            <w:hideMark/>
          </w:tcPr>
          <w:p w:rsidR="00C16A91" w:rsidRPr="00906AFB" w:rsidRDefault="00C16A91" w:rsidP="002241D3">
            <w:pPr>
              <w:rPr>
                <w:rFonts w:ascii="Arial" w:hAnsi="Arial" w:cs="Arial"/>
                <w:b/>
                <w:bCs/>
                <w:sz w:val="20"/>
                <w:szCs w:val="20"/>
              </w:rPr>
            </w:pPr>
            <w:r w:rsidRPr="00906AFB">
              <w:rPr>
                <w:rFonts w:ascii="Arial" w:hAnsi="Arial" w:cs="Arial"/>
                <w:b/>
                <w:bCs/>
                <w:sz w:val="20"/>
                <w:szCs w:val="20"/>
              </w:rPr>
              <w:t>Desempeño de las Funciones</w:t>
            </w:r>
          </w:p>
        </w:tc>
        <w:tc>
          <w:tcPr>
            <w:tcW w:w="750" w:type="dxa"/>
            <w:tcBorders>
              <w:top w:val="single" w:sz="4" w:space="0" w:color="auto"/>
              <w:left w:val="single" w:sz="4" w:space="0" w:color="auto"/>
              <w:bottom w:val="single" w:sz="4" w:space="0" w:color="auto"/>
              <w:right w:val="single" w:sz="4" w:space="0" w:color="auto"/>
            </w:tcBorders>
            <w:noWrap/>
            <w:vAlign w:val="center"/>
            <w:hideMark/>
          </w:tcPr>
          <w:p w:rsidR="00C16A91" w:rsidRPr="00906AFB" w:rsidRDefault="00C16A91" w:rsidP="002241D3">
            <w:pPr>
              <w:jc w:val="both"/>
              <w:rPr>
                <w:rFonts w:ascii="Arial" w:hAnsi="Arial" w:cs="Arial"/>
                <w:b/>
                <w:bCs/>
                <w:sz w:val="20"/>
                <w:szCs w:val="20"/>
              </w:rPr>
            </w:pPr>
          </w:p>
        </w:tc>
        <w:tc>
          <w:tcPr>
            <w:tcW w:w="1669" w:type="dxa"/>
            <w:tcBorders>
              <w:top w:val="single" w:sz="4" w:space="0" w:color="auto"/>
              <w:left w:val="single" w:sz="4" w:space="0" w:color="auto"/>
              <w:bottom w:val="single" w:sz="4" w:space="0" w:color="auto"/>
              <w:right w:val="single" w:sz="4" w:space="0" w:color="auto"/>
            </w:tcBorders>
            <w:noWrap/>
            <w:vAlign w:val="center"/>
            <w:hideMark/>
          </w:tcPr>
          <w:p w:rsidR="00C16A91" w:rsidRPr="00C35DCE" w:rsidRDefault="002241D3" w:rsidP="002241D3">
            <w:pPr>
              <w:jc w:val="right"/>
              <w:rPr>
                <w:rFonts w:ascii="Arial" w:hAnsi="Arial" w:cs="Arial"/>
                <w:b/>
                <w:sz w:val="20"/>
              </w:rPr>
            </w:pPr>
            <w:r w:rsidRPr="002241D3">
              <w:rPr>
                <w:rFonts w:ascii="Arial" w:hAnsi="Arial" w:cs="Arial"/>
                <w:b/>
                <w:sz w:val="20"/>
              </w:rPr>
              <w:t>5,554,504,454</w:t>
            </w:r>
          </w:p>
        </w:tc>
      </w:tr>
      <w:tr w:rsidR="00C16A91" w:rsidRPr="00906AFB" w:rsidTr="00C16A91">
        <w:trPr>
          <w:trHeight w:val="283"/>
          <w:jc w:val="center"/>
        </w:trPr>
        <w:tc>
          <w:tcPr>
            <w:tcW w:w="6021" w:type="dxa"/>
            <w:tcBorders>
              <w:top w:val="single" w:sz="4" w:space="0" w:color="auto"/>
              <w:left w:val="single" w:sz="4" w:space="0" w:color="auto"/>
              <w:bottom w:val="single" w:sz="4" w:space="0" w:color="auto"/>
              <w:right w:val="single" w:sz="4" w:space="0" w:color="auto"/>
            </w:tcBorders>
            <w:noWrap/>
            <w:vAlign w:val="center"/>
            <w:hideMark/>
          </w:tcPr>
          <w:p w:rsidR="00C16A91" w:rsidRPr="00906AFB" w:rsidRDefault="00C16A91" w:rsidP="002241D3">
            <w:pPr>
              <w:ind w:left="252"/>
              <w:rPr>
                <w:rFonts w:ascii="Arial" w:hAnsi="Arial" w:cs="Arial"/>
                <w:sz w:val="20"/>
                <w:szCs w:val="20"/>
              </w:rPr>
            </w:pPr>
            <w:r w:rsidRPr="00906AFB">
              <w:rPr>
                <w:rFonts w:ascii="Arial" w:hAnsi="Arial" w:cs="Arial"/>
                <w:sz w:val="20"/>
                <w:szCs w:val="20"/>
              </w:rPr>
              <w:t>Prestación de Servicios Públicos</w:t>
            </w:r>
          </w:p>
        </w:tc>
        <w:tc>
          <w:tcPr>
            <w:tcW w:w="750" w:type="dxa"/>
            <w:tcBorders>
              <w:top w:val="single" w:sz="4" w:space="0" w:color="auto"/>
              <w:left w:val="single" w:sz="4" w:space="0" w:color="auto"/>
              <w:bottom w:val="single" w:sz="4" w:space="0" w:color="auto"/>
              <w:right w:val="single" w:sz="4" w:space="0" w:color="auto"/>
            </w:tcBorders>
            <w:noWrap/>
            <w:vAlign w:val="center"/>
            <w:hideMark/>
          </w:tcPr>
          <w:p w:rsidR="00C16A91" w:rsidRPr="00906AFB" w:rsidRDefault="00C16A91" w:rsidP="002241D3">
            <w:pPr>
              <w:jc w:val="center"/>
              <w:rPr>
                <w:rFonts w:ascii="Arial" w:hAnsi="Arial" w:cs="Arial"/>
                <w:b/>
                <w:sz w:val="20"/>
                <w:szCs w:val="20"/>
              </w:rPr>
            </w:pPr>
            <w:r w:rsidRPr="00906AFB">
              <w:rPr>
                <w:rFonts w:ascii="Arial" w:hAnsi="Arial" w:cs="Arial"/>
                <w:b/>
                <w:sz w:val="20"/>
                <w:szCs w:val="20"/>
              </w:rPr>
              <w:t>E</w:t>
            </w:r>
          </w:p>
        </w:tc>
        <w:tc>
          <w:tcPr>
            <w:tcW w:w="1669" w:type="dxa"/>
            <w:tcBorders>
              <w:top w:val="single" w:sz="4" w:space="0" w:color="auto"/>
              <w:left w:val="single" w:sz="4" w:space="0" w:color="auto"/>
              <w:bottom w:val="single" w:sz="4" w:space="0" w:color="auto"/>
              <w:right w:val="single" w:sz="4" w:space="0" w:color="auto"/>
            </w:tcBorders>
            <w:noWrap/>
            <w:vAlign w:val="center"/>
            <w:hideMark/>
          </w:tcPr>
          <w:p w:rsidR="00C16A91" w:rsidRPr="00C16A91" w:rsidRDefault="00C16A91" w:rsidP="002241D3">
            <w:pPr>
              <w:jc w:val="right"/>
              <w:rPr>
                <w:rFonts w:ascii="Arial" w:hAnsi="Arial" w:cs="Arial"/>
                <w:sz w:val="20"/>
              </w:rPr>
            </w:pPr>
            <w:r w:rsidRPr="00C16A91">
              <w:rPr>
                <w:rFonts w:ascii="Arial" w:hAnsi="Arial" w:cs="Arial"/>
                <w:sz w:val="20"/>
              </w:rPr>
              <w:t>4,081,487,596</w:t>
            </w:r>
          </w:p>
        </w:tc>
      </w:tr>
      <w:tr w:rsidR="00C16A91" w:rsidRPr="00906AFB" w:rsidTr="00C16A91">
        <w:trPr>
          <w:trHeight w:val="283"/>
          <w:jc w:val="center"/>
        </w:trPr>
        <w:tc>
          <w:tcPr>
            <w:tcW w:w="6021" w:type="dxa"/>
            <w:tcBorders>
              <w:top w:val="single" w:sz="4" w:space="0" w:color="auto"/>
              <w:left w:val="single" w:sz="4" w:space="0" w:color="auto"/>
              <w:bottom w:val="single" w:sz="4" w:space="0" w:color="auto"/>
              <w:right w:val="single" w:sz="4" w:space="0" w:color="auto"/>
            </w:tcBorders>
            <w:noWrap/>
            <w:vAlign w:val="center"/>
            <w:hideMark/>
          </w:tcPr>
          <w:p w:rsidR="00C16A91" w:rsidRPr="00906AFB" w:rsidRDefault="00C16A91" w:rsidP="002241D3">
            <w:pPr>
              <w:ind w:left="252"/>
              <w:rPr>
                <w:rFonts w:ascii="Arial" w:hAnsi="Arial" w:cs="Arial"/>
                <w:sz w:val="20"/>
                <w:szCs w:val="20"/>
              </w:rPr>
            </w:pPr>
            <w:r w:rsidRPr="00906AFB">
              <w:rPr>
                <w:rFonts w:ascii="Arial" w:hAnsi="Arial" w:cs="Arial"/>
                <w:sz w:val="20"/>
                <w:szCs w:val="20"/>
              </w:rPr>
              <w:t>Provisión de Bienes Públicos</w:t>
            </w:r>
          </w:p>
        </w:tc>
        <w:tc>
          <w:tcPr>
            <w:tcW w:w="750" w:type="dxa"/>
            <w:tcBorders>
              <w:top w:val="single" w:sz="4" w:space="0" w:color="auto"/>
              <w:left w:val="single" w:sz="4" w:space="0" w:color="auto"/>
              <w:bottom w:val="single" w:sz="4" w:space="0" w:color="auto"/>
              <w:right w:val="single" w:sz="4" w:space="0" w:color="auto"/>
            </w:tcBorders>
            <w:noWrap/>
            <w:vAlign w:val="center"/>
            <w:hideMark/>
          </w:tcPr>
          <w:p w:rsidR="00C16A91" w:rsidRPr="00906AFB" w:rsidRDefault="00C16A91" w:rsidP="002241D3">
            <w:pPr>
              <w:jc w:val="center"/>
              <w:rPr>
                <w:rFonts w:ascii="Arial" w:hAnsi="Arial" w:cs="Arial"/>
                <w:b/>
                <w:sz w:val="20"/>
                <w:szCs w:val="20"/>
              </w:rPr>
            </w:pPr>
            <w:r w:rsidRPr="00906AFB">
              <w:rPr>
                <w:rFonts w:ascii="Arial" w:hAnsi="Arial" w:cs="Arial"/>
                <w:b/>
                <w:sz w:val="20"/>
                <w:szCs w:val="20"/>
              </w:rPr>
              <w:t>B</w:t>
            </w:r>
          </w:p>
        </w:tc>
        <w:tc>
          <w:tcPr>
            <w:tcW w:w="1669" w:type="dxa"/>
            <w:tcBorders>
              <w:top w:val="single" w:sz="4" w:space="0" w:color="auto"/>
              <w:left w:val="single" w:sz="4" w:space="0" w:color="auto"/>
              <w:bottom w:val="single" w:sz="4" w:space="0" w:color="auto"/>
              <w:right w:val="single" w:sz="4" w:space="0" w:color="auto"/>
            </w:tcBorders>
            <w:noWrap/>
            <w:vAlign w:val="center"/>
            <w:hideMark/>
          </w:tcPr>
          <w:p w:rsidR="00C16A91" w:rsidRPr="00C16A91" w:rsidRDefault="002241D3" w:rsidP="002241D3">
            <w:pPr>
              <w:jc w:val="right"/>
              <w:rPr>
                <w:rFonts w:ascii="Arial" w:hAnsi="Arial" w:cs="Arial"/>
                <w:sz w:val="20"/>
              </w:rPr>
            </w:pPr>
            <w:r w:rsidRPr="002241D3">
              <w:rPr>
                <w:rFonts w:ascii="Arial" w:hAnsi="Arial" w:cs="Arial"/>
                <w:sz w:val="20"/>
              </w:rPr>
              <w:t>61,675,509</w:t>
            </w:r>
          </w:p>
        </w:tc>
      </w:tr>
      <w:tr w:rsidR="00C16A91" w:rsidRPr="00906AFB" w:rsidTr="00C16A91">
        <w:trPr>
          <w:trHeight w:val="283"/>
          <w:jc w:val="center"/>
        </w:trPr>
        <w:tc>
          <w:tcPr>
            <w:tcW w:w="6021" w:type="dxa"/>
            <w:tcBorders>
              <w:top w:val="single" w:sz="4" w:space="0" w:color="auto"/>
              <w:left w:val="single" w:sz="4" w:space="0" w:color="auto"/>
              <w:bottom w:val="single" w:sz="4" w:space="0" w:color="auto"/>
              <w:right w:val="single" w:sz="4" w:space="0" w:color="auto"/>
            </w:tcBorders>
            <w:noWrap/>
            <w:vAlign w:val="center"/>
            <w:hideMark/>
          </w:tcPr>
          <w:p w:rsidR="00C16A91" w:rsidRPr="00906AFB" w:rsidRDefault="00C16A91" w:rsidP="002241D3">
            <w:pPr>
              <w:ind w:left="252"/>
              <w:rPr>
                <w:rFonts w:ascii="Arial" w:hAnsi="Arial" w:cs="Arial"/>
                <w:sz w:val="20"/>
                <w:szCs w:val="20"/>
              </w:rPr>
            </w:pPr>
            <w:r w:rsidRPr="00906AFB">
              <w:rPr>
                <w:rFonts w:ascii="Arial" w:hAnsi="Arial" w:cs="Arial"/>
                <w:sz w:val="20"/>
                <w:szCs w:val="20"/>
              </w:rPr>
              <w:t>Planeación, Seguimiento y Evaluación De Políticas Públicas</w:t>
            </w:r>
          </w:p>
        </w:tc>
        <w:tc>
          <w:tcPr>
            <w:tcW w:w="750" w:type="dxa"/>
            <w:tcBorders>
              <w:top w:val="single" w:sz="4" w:space="0" w:color="auto"/>
              <w:left w:val="single" w:sz="4" w:space="0" w:color="auto"/>
              <w:bottom w:val="single" w:sz="4" w:space="0" w:color="auto"/>
              <w:right w:val="single" w:sz="4" w:space="0" w:color="auto"/>
            </w:tcBorders>
            <w:noWrap/>
            <w:vAlign w:val="center"/>
            <w:hideMark/>
          </w:tcPr>
          <w:p w:rsidR="00C16A91" w:rsidRPr="00906AFB" w:rsidRDefault="00C16A91" w:rsidP="002241D3">
            <w:pPr>
              <w:jc w:val="center"/>
              <w:rPr>
                <w:rFonts w:ascii="Arial" w:hAnsi="Arial" w:cs="Arial"/>
                <w:b/>
                <w:sz w:val="20"/>
                <w:szCs w:val="20"/>
              </w:rPr>
            </w:pPr>
            <w:r w:rsidRPr="00906AFB">
              <w:rPr>
                <w:rFonts w:ascii="Arial" w:hAnsi="Arial" w:cs="Arial"/>
                <w:b/>
                <w:sz w:val="20"/>
                <w:szCs w:val="20"/>
              </w:rPr>
              <w:t>P</w:t>
            </w:r>
          </w:p>
        </w:tc>
        <w:tc>
          <w:tcPr>
            <w:tcW w:w="1669" w:type="dxa"/>
            <w:tcBorders>
              <w:top w:val="single" w:sz="4" w:space="0" w:color="auto"/>
              <w:left w:val="single" w:sz="4" w:space="0" w:color="auto"/>
              <w:bottom w:val="single" w:sz="4" w:space="0" w:color="auto"/>
              <w:right w:val="single" w:sz="4" w:space="0" w:color="auto"/>
            </w:tcBorders>
            <w:noWrap/>
            <w:vAlign w:val="center"/>
            <w:hideMark/>
          </w:tcPr>
          <w:p w:rsidR="00C16A91" w:rsidRPr="00C16A91" w:rsidRDefault="00C16A91" w:rsidP="002241D3">
            <w:pPr>
              <w:jc w:val="right"/>
              <w:rPr>
                <w:rFonts w:ascii="Arial" w:hAnsi="Arial" w:cs="Arial"/>
                <w:sz w:val="20"/>
              </w:rPr>
            </w:pPr>
            <w:r w:rsidRPr="00C16A91">
              <w:rPr>
                <w:rFonts w:ascii="Arial" w:hAnsi="Arial" w:cs="Arial"/>
                <w:sz w:val="20"/>
              </w:rPr>
              <w:t>70,819,984</w:t>
            </w:r>
          </w:p>
        </w:tc>
      </w:tr>
      <w:tr w:rsidR="00C16A91" w:rsidRPr="00906AFB" w:rsidTr="00C16A91">
        <w:trPr>
          <w:trHeight w:val="283"/>
          <w:jc w:val="center"/>
        </w:trPr>
        <w:tc>
          <w:tcPr>
            <w:tcW w:w="6021" w:type="dxa"/>
            <w:tcBorders>
              <w:top w:val="single" w:sz="4" w:space="0" w:color="auto"/>
              <w:left w:val="single" w:sz="4" w:space="0" w:color="auto"/>
              <w:bottom w:val="single" w:sz="4" w:space="0" w:color="auto"/>
              <w:right w:val="single" w:sz="4" w:space="0" w:color="auto"/>
            </w:tcBorders>
            <w:noWrap/>
            <w:vAlign w:val="center"/>
            <w:hideMark/>
          </w:tcPr>
          <w:p w:rsidR="00C16A91" w:rsidRPr="00906AFB" w:rsidRDefault="00C16A91" w:rsidP="002241D3">
            <w:pPr>
              <w:ind w:left="252"/>
              <w:rPr>
                <w:rFonts w:ascii="Arial" w:hAnsi="Arial" w:cs="Arial"/>
                <w:sz w:val="20"/>
                <w:szCs w:val="20"/>
              </w:rPr>
            </w:pPr>
            <w:r w:rsidRPr="00906AFB">
              <w:rPr>
                <w:rFonts w:ascii="Arial" w:hAnsi="Arial" w:cs="Arial"/>
                <w:sz w:val="20"/>
                <w:szCs w:val="20"/>
              </w:rPr>
              <w:t>Promoción y Fomento</w:t>
            </w:r>
          </w:p>
        </w:tc>
        <w:tc>
          <w:tcPr>
            <w:tcW w:w="750" w:type="dxa"/>
            <w:tcBorders>
              <w:top w:val="single" w:sz="4" w:space="0" w:color="auto"/>
              <w:left w:val="single" w:sz="4" w:space="0" w:color="auto"/>
              <w:bottom w:val="single" w:sz="4" w:space="0" w:color="auto"/>
              <w:right w:val="single" w:sz="4" w:space="0" w:color="auto"/>
            </w:tcBorders>
            <w:noWrap/>
            <w:vAlign w:val="center"/>
            <w:hideMark/>
          </w:tcPr>
          <w:p w:rsidR="00C16A91" w:rsidRPr="00906AFB" w:rsidRDefault="00C16A91" w:rsidP="002241D3">
            <w:pPr>
              <w:jc w:val="center"/>
              <w:rPr>
                <w:rFonts w:ascii="Arial" w:hAnsi="Arial" w:cs="Arial"/>
                <w:b/>
                <w:sz w:val="20"/>
                <w:szCs w:val="20"/>
              </w:rPr>
            </w:pPr>
            <w:r w:rsidRPr="00906AFB">
              <w:rPr>
                <w:rFonts w:ascii="Arial" w:hAnsi="Arial" w:cs="Arial"/>
                <w:b/>
                <w:sz w:val="20"/>
                <w:szCs w:val="20"/>
              </w:rPr>
              <w:t>F</w:t>
            </w:r>
          </w:p>
        </w:tc>
        <w:tc>
          <w:tcPr>
            <w:tcW w:w="1669" w:type="dxa"/>
            <w:tcBorders>
              <w:top w:val="single" w:sz="4" w:space="0" w:color="auto"/>
              <w:left w:val="single" w:sz="4" w:space="0" w:color="auto"/>
              <w:bottom w:val="single" w:sz="4" w:space="0" w:color="auto"/>
              <w:right w:val="single" w:sz="4" w:space="0" w:color="auto"/>
            </w:tcBorders>
            <w:noWrap/>
            <w:vAlign w:val="center"/>
            <w:hideMark/>
          </w:tcPr>
          <w:p w:rsidR="00C16A91" w:rsidRPr="00C16A91" w:rsidRDefault="00C16A91" w:rsidP="002241D3">
            <w:pPr>
              <w:jc w:val="right"/>
              <w:rPr>
                <w:rFonts w:ascii="Arial" w:hAnsi="Arial" w:cs="Arial"/>
                <w:sz w:val="20"/>
              </w:rPr>
            </w:pPr>
            <w:r w:rsidRPr="00C16A91">
              <w:rPr>
                <w:rFonts w:ascii="Arial" w:hAnsi="Arial" w:cs="Arial"/>
                <w:sz w:val="20"/>
              </w:rPr>
              <w:t>967,210,088</w:t>
            </w:r>
          </w:p>
        </w:tc>
      </w:tr>
      <w:tr w:rsidR="00C16A91" w:rsidRPr="00906AFB" w:rsidTr="00C16A91">
        <w:trPr>
          <w:trHeight w:val="283"/>
          <w:jc w:val="center"/>
        </w:trPr>
        <w:tc>
          <w:tcPr>
            <w:tcW w:w="6021" w:type="dxa"/>
            <w:tcBorders>
              <w:top w:val="single" w:sz="4" w:space="0" w:color="auto"/>
              <w:left w:val="single" w:sz="4" w:space="0" w:color="auto"/>
              <w:bottom w:val="single" w:sz="4" w:space="0" w:color="auto"/>
              <w:right w:val="single" w:sz="4" w:space="0" w:color="auto"/>
            </w:tcBorders>
            <w:noWrap/>
            <w:vAlign w:val="center"/>
            <w:hideMark/>
          </w:tcPr>
          <w:p w:rsidR="00C16A91" w:rsidRPr="00906AFB" w:rsidRDefault="00C16A91" w:rsidP="002241D3">
            <w:pPr>
              <w:ind w:left="252"/>
              <w:rPr>
                <w:rFonts w:ascii="Arial" w:hAnsi="Arial" w:cs="Arial"/>
                <w:sz w:val="20"/>
                <w:szCs w:val="20"/>
              </w:rPr>
            </w:pPr>
            <w:r w:rsidRPr="00906AFB">
              <w:rPr>
                <w:rFonts w:ascii="Arial" w:hAnsi="Arial" w:cs="Arial"/>
                <w:sz w:val="20"/>
                <w:szCs w:val="20"/>
              </w:rPr>
              <w:t>Regulación y Supervisión</w:t>
            </w:r>
          </w:p>
        </w:tc>
        <w:tc>
          <w:tcPr>
            <w:tcW w:w="750" w:type="dxa"/>
            <w:tcBorders>
              <w:top w:val="single" w:sz="4" w:space="0" w:color="auto"/>
              <w:left w:val="single" w:sz="4" w:space="0" w:color="auto"/>
              <w:bottom w:val="single" w:sz="4" w:space="0" w:color="auto"/>
              <w:right w:val="single" w:sz="4" w:space="0" w:color="auto"/>
            </w:tcBorders>
            <w:noWrap/>
            <w:vAlign w:val="center"/>
            <w:hideMark/>
          </w:tcPr>
          <w:p w:rsidR="00C16A91" w:rsidRPr="00906AFB" w:rsidRDefault="00C16A91" w:rsidP="002241D3">
            <w:pPr>
              <w:jc w:val="center"/>
              <w:rPr>
                <w:rFonts w:ascii="Arial" w:hAnsi="Arial" w:cs="Arial"/>
                <w:b/>
                <w:sz w:val="20"/>
                <w:szCs w:val="20"/>
              </w:rPr>
            </w:pPr>
            <w:r w:rsidRPr="00906AFB">
              <w:rPr>
                <w:rFonts w:ascii="Arial" w:hAnsi="Arial" w:cs="Arial"/>
                <w:b/>
                <w:sz w:val="20"/>
                <w:szCs w:val="20"/>
              </w:rPr>
              <w:t>G</w:t>
            </w:r>
          </w:p>
        </w:tc>
        <w:tc>
          <w:tcPr>
            <w:tcW w:w="1669" w:type="dxa"/>
            <w:tcBorders>
              <w:top w:val="single" w:sz="4" w:space="0" w:color="auto"/>
              <w:left w:val="single" w:sz="4" w:space="0" w:color="auto"/>
              <w:bottom w:val="single" w:sz="4" w:space="0" w:color="auto"/>
              <w:right w:val="single" w:sz="4" w:space="0" w:color="auto"/>
            </w:tcBorders>
            <w:noWrap/>
            <w:vAlign w:val="center"/>
            <w:hideMark/>
          </w:tcPr>
          <w:p w:rsidR="00C16A91" w:rsidRPr="00C16A91" w:rsidRDefault="00C16A91" w:rsidP="002241D3">
            <w:pPr>
              <w:jc w:val="right"/>
              <w:rPr>
                <w:rFonts w:ascii="Arial" w:hAnsi="Arial" w:cs="Arial"/>
                <w:sz w:val="20"/>
              </w:rPr>
            </w:pPr>
            <w:r w:rsidRPr="00C16A91">
              <w:rPr>
                <w:rFonts w:ascii="Arial" w:hAnsi="Arial" w:cs="Arial"/>
                <w:sz w:val="20"/>
              </w:rPr>
              <w:t>0</w:t>
            </w:r>
          </w:p>
        </w:tc>
      </w:tr>
      <w:tr w:rsidR="00C16A91" w:rsidRPr="00906AFB" w:rsidTr="00C16A91">
        <w:trPr>
          <w:trHeight w:val="283"/>
          <w:jc w:val="center"/>
        </w:trPr>
        <w:tc>
          <w:tcPr>
            <w:tcW w:w="6021" w:type="dxa"/>
            <w:tcBorders>
              <w:top w:val="single" w:sz="4" w:space="0" w:color="auto"/>
              <w:left w:val="single" w:sz="4" w:space="0" w:color="auto"/>
              <w:bottom w:val="single" w:sz="4" w:space="0" w:color="auto"/>
              <w:right w:val="single" w:sz="4" w:space="0" w:color="auto"/>
            </w:tcBorders>
            <w:noWrap/>
            <w:vAlign w:val="center"/>
            <w:hideMark/>
          </w:tcPr>
          <w:p w:rsidR="00C16A91" w:rsidRPr="00906AFB" w:rsidRDefault="00C16A91" w:rsidP="002241D3">
            <w:pPr>
              <w:ind w:left="252"/>
              <w:rPr>
                <w:rFonts w:ascii="Arial" w:hAnsi="Arial" w:cs="Arial"/>
                <w:sz w:val="20"/>
                <w:szCs w:val="20"/>
              </w:rPr>
            </w:pPr>
            <w:r w:rsidRPr="00906AFB">
              <w:rPr>
                <w:rFonts w:ascii="Arial" w:hAnsi="Arial" w:cs="Arial"/>
                <w:sz w:val="20"/>
                <w:szCs w:val="20"/>
              </w:rPr>
              <w:t>Funciones de las Fuerzas Armadas (Únicamente Gobierno Federal)</w:t>
            </w:r>
          </w:p>
        </w:tc>
        <w:tc>
          <w:tcPr>
            <w:tcW w:w="750" w:type="dxa"/>
            <w:tcBorders>
              <w:top w:val="single" w:sz="4" w:space="0" w:color="auto"/>
              <w:left w:val="single" w:sz="4" w:space="0" w:color="auto"/>
              <w:bottom w:val="single" w:sz="4" w:space="0" w:color="auto"/>
              <w:right w:val="single" w:sz="4" w:space="0" w:color="auto"/>
            </w:tcBorders>
            <w:noWrap/>
            <w:vAlign w:val="center"/>
            <w:hideMark/>
          </w:tcPr>
          <w:p w:rsidR="00C16A91" w:rsidRPr="00906AFB" w:rsidRDefault="00C16A91" w:rsidP="002241D3">
            <w:pPr>
              <w:jc w:val="center"/>
              <w:rPr>
                <w:rFonts w:ascii="Arial" w:hAnsi="Arial" w:cs="Arial"/>
                <w:b/>
                <w:sz w:val="20"/>
                <w:szCs w:val="20"/>
              </w:rPr>
            </w:pPr>
            <w:r w:rsidRPr="00906AFB">
              <w:rPr>
                <w:rFonts w:ascii="Arial" w:hAnsi="Arial" w:cs="Arial"/>
                <w:b/>
                <w:sz w:val="20"/>
                <w:szCs w:val="20"/>
              </w:rPr>
              <w:t>A</w:t>
            </w:r>
          </w:p>
        </w:tc>
        <w:tc>
          <w:tcPr>
            <w:tcW w:w="1669" w:type="dxa"/>
            <w:tcBorders>
              <w:top w:val="single" w:sz="4" w:space="0" w:color="auto"/>
              <w:left w:val="single" w:sz="4" w:space="0" w:color="auto"/>
              <w:bottom w:val="single" w:sz="4" w:space="0" w:color="auto"/>
              <w:right w:val="single" w:sz="4" w:space="0" w:color="auto"/>
            </w:tcBorders>
            <w:noWrap/>
            <w:vAlign w:val="center"/>
            <w:hideMark/>
          </w:tcPr>
          <w:p w:rsidR="00C16A91" w:rsidRPr="00C16A91" w:rsidRDefault="00C16A91" w:rsidP="002241D3">
            <w:pPr>
              <w:jc w:val="right"/>
              <w:rPr>
                <w:rFonts w:ascii="Arial" w:hAnsi="Arial" w:cs="Arial"/>
                <w:sz w:val="20"/>
              </w:rPr>
            </w:pPr>
            <w:r w:rsidRPr="00C16A91">
              <w:rPr>
                <w:rFonts w:ascii="Arial" w:hAnsi="Arial" w:cs="Arial"/>
                <w:sz w:val="20"/>
              </w:rPr>
              <w:t>0</w:t>
            </w:r>
          </w:p>
        </w:tc>
      </w:tr>
      <w:tr w:rsidR="00C16A91" w:rsidRPr="00906AFB" w:rsidTr="00C16A91">
        <w:trPr>
          <w:trHeight w:val="283"/>
          <w:jc w:val="center"/>
        </w:trPr>
        <w:tc>
          <w:tcPr>
            <w:tcW w:w="6021" w:type="dxa"/>
            <w:tcBorders>
              <w:top w:val="single" w:sz="4" w:space="0" w:color="auto"/>
              <w:left w:val="single" w:sz="4" w:space="0" w:color="auto"/>
              <w:bottom w:val="single" w:sz="4" w:space="0" w:color="auto"/>
              <w:right w:val="single" w:sz="4" w:space="0" w:color="auto"/>
            </w:tcBorders>
            <w:noWrap/>
            <w:vAlign w:val="center"/>
            <w:hideMark/>
          </w:tcPr>
          <w:p w:rsidR="00C16A91" w:rsidRPr="00906AFB" w:rsidRDefault="00C16A91" w:rsidP="002241D3">
            <w:pPr>
              <w:ind w:left="252"/>
              <w:rPr>
                <w:rFonts w:ascii="Arial" w:hAnsi="Arial" w:cs="Arial"/>
                <w:sz w:val="20"/>
                <w:szCs w:val="20"/>
              </w:rPr>
            </w:pPr>
            <w:r w:rsidRPr="00906AFB">
              <w:rPr>
                <w:rFonts w:ascii="Arial" w:hAnsi="Arial" w:cs="Arial"/>
                <w:sz w:val="20"/>
                <w:szCs w:val="20"/>
              </w:rPr>
              <w:t>Específicos</w:t>
            </w:r>
          </w:p>
        </w:tc>
        <w:tc>
          <w:tcPr>
            <w:tcW w:w="750" w:type="dxa"/>
            <w:tcBorders>
              <w:top w:val="single" w:sz="4" w:space="0" w:color="auto"/>
              <w:left w:val="single" w:sz="4" w:space="0" w:color="auto"/>
              <w:bottom w:val="single" w:sz="4" w:space="0" w:color="auto"/>
              <w:right w:val="single" w:sz="4" w:space="0" w:color="auto"/>
            </w:tcBorders>
            <w:noWrap/>
            <w:vAlign w:val="center"/>
            <w:hideMark/>
          </w:tcPr>
          <w:p w:rsidR="00C16A91" w:rsidRPr="00906AFB" w:rsidRDefault="00C16A91" w:rsidP="002241D3">
            <w:pPr>
              <w:jc w:val="center"/>
              <w:rPr>
                <w:rFonts w:ascii="Arial" w:hAnsi="Arial" w:cs="Arial"/>
                <w:b/>
                <w:sz w:val="20"/>
                <w:szCs w:val="20"/>
              </w:rPr>
            </w:pPr>
            <w:r w:rsidRPr="00906AFB">
              <w:rPr>
                <w:rFonts w:ascii="Arial" w:hAnsi="Arial" w:cs="Arial"/>
                <w:b/>
                <w:sz w:val="20"/>
                <w:szCs w:val="20"/>
              </w:rPr>
              <w:t>R</w:t>
            </w:r>
          </w:p>
        </w:tc>
        <w:tc>
          <w:tcPr>
            <w:tcW w:w="1669" w:type="dxa"/>
            <w:tcBorders>
              <w:top w:val="single" w:sz="4" w:space="0" w:color="auto"/>
              <w:left w:val="single" w:sz="4" w:space="0" w:color="auto"/>
              <w:bottom w:val="single" w:sz="4" w:space="0" w:color="auto"/>
              <w:right w:val="single" w:sz="4" w:space="0" w:color="auto"/>
            </w:tcBorders>
            <w:noWrap/>
            <w:vAlign w:val="center"/>
            <w:hideMark/>
          </w:tcPr>
          <w:p w:rsidR="00C16A91" w:rsidRPr="00C16A91" w:rsidRDefault="00C16A91" w:rsidP="002241D3">
            <w:pPr>
              <w:jc w:val="right"/>
              <w:rPr>
                <w:rFonts w:ascii="Arial" w:hAnsi="Arial" w:cs="Arial"/>
                <w:sz w:val="20"/>
              </w:rPr>
            </w:pPr>
            <w:r w:rsidRPr="00C16A91">
              <w:rPr>
                <w:rFonts w:ascii="Arial" w:hAnsi="Arial" w:cs="Arial"/>
                <w:sz w:val="20"/>
              </w:rPr>
              <w:t>0</w:t>
            </w:r>
          </w:p>
        </w:tc>
      </w:tr>
      <w:tr w:rsidR="00C16A91" w:rsidRPr="00906AFB" w:rsidTr="00C16A91">
        <w:trPr>
          <w:trHeight w:val="283"/>
          <w:jc w:val="center"/>
        </w:trPr>
        <w:tc>
          <w:tcPr>
            <w:tcW w:w="6021" w:type="dxa"/>
            <w:tcBorders>
              <w:top w:val="single" w:sz="4" w:space="0" w:color="auto"/>
              <w:left w:val="single" w:sz="4" w:space="0" w:color="auto"/>
              <w:bottom w:val="single" w:sz="4" w:space="0" w:color="auto"/>
              <w:right w:val="single" w:sz="4" w:space="0" w:color="auto"/>
            </w:tcBorders>
            <w:noWrap/>
            <w:vAlign w:val="center"/>
            <w:hideMark/>
          </w:tcPr>
          <w:p w:rsidR="00C16A91" w:rsidRPr="00906AFB" w:rsidRDefault="00C16A91" w:rsidP="002241D3">
            <w:pPr>
              <w:ind w:left="252"/>
              <w:rPr>
                <w:rFonts w:ascii="Arial" w:hAnsi="Arial" w:cs="Arial"/>
                <w:sz w:val="20"/>
                <w:szCs w:val="20"/>
              </w:rPr>
            </w:pPr>
            <w:r w:rsidRPr="00906AFB">
              <w:rPr>
                <w:rFonts w:ascii="Arial" w:hAnsi="Arial" w:cs="Arial"/>
                <w:sz w:val="20"/>
                <w:szCs w:val="20"/>
              </w:rPr>
              <w:t>Proyectos de Inversión</w:t>
            </w:r>
          </w:p>
        </w:tc>
        <w:tc>
          <w:tcPr>
            <w:tcW w:w="750" w:type="dxa"/>
            <w:tcBorders>
              <w:top w:val="single" w:sz="4" w:space="0" w:color="auto"/>
              <w:left w:val="single" w:sz="4" w:space="0" w:color="auto"/>
              <w:bottom w:val="single" w:sz="4" w:space="0" w:color="auto"/>
              <w:right w:val="single" w:sz="4" w:space="0" w:color="auto"/>
            </w:tcBorders>
            <w:noWrap/>
            <w:vAlign w:val="center"/>
            <w:hideMark/>
          </w:tcPr>
          <w:p w:rsidR="00C16A91" w:rsidRPr="00906AFB" w:rsidRDefault="00C16A91" w:rsidP="002241D3">
            <w:pPr>
              <w:jc w:val="center"/>
              <w:rPr>
                <w:rFonts w:ascii="Arial" w:hAnsi="Arial" w:cs="Arial"/>
                <w:b/>
                <w:sz w:val="20"/>
                <w:szCs w:val="20"/>
              </w:rPr>
            </w:pPr>
            <w:r w:rsidRPr="00906AFB">
              <w:rPr>
                <w:rFonts w:ascii="Arial" w:hAnsi="Arial" w:cs="Arial"/>
                <w:b/>
                <w:sz w:val="20"/>
                <w:szCs w:val="20"/>
              </w:rPr>
              <w:t>K</w:t>
            </w:r>
          </w:p>
        </w:tc>
        <w:tc>
          <w:tcPr>
            <w:tcW w:w="1669" w:type="dxa"/>
            <w:tcBorders>
              <w:top w:val="single" w:sz="4" w:space="0" w:color="auto"/>
              <w:left w:val="single" w:sz="4" w:space="0" w:color="auto"/>
              <w:bottom w:val="single" w:sz="4" w:space="0" w:color="auto"/>
              <w:right w:val="single" w:sz="4" w:space="0" w:color="auto"/>
            </w:tcBorders>
            <w:noWrap/>
            <w:vAlign w:val="center"/>
            <w:hideMark/>
          </w:tcPr>
          <w:p w:rsidR="00C16A91" w:rsidRPr="00C16A91" w:rsidRDefault="00C16A91" w:rsidP="002241D3">
            <w:pPr>
              <w:jc w:val="right"/>
              <w:rPr>
                <w:rFonts w:ascii="Arial" w:hAnsi="Arial" w:cs="Arial"/>
                <w:sz w:val="20"/>
              </w:rPr>
            </w:pPr>
            <w:r w:rsidRPr="00C16A91">
              <w:rPr>
                <w:rFonts w:ascii="Arial" w:hAnsi="Arial" w:cs="Arial"/>
                <w:sz w:val="20"/>
              </w:rPr>
              <w:t>373,311,277</w:t>
            </w:r>
          </w:p>
        </w:tc>
      </w:tr>
      <w:tr w:rsidR="00C16A91" w:rsidRPr="00906AFB" w:rsidTr="00C16A91">
        <w:trPr>
          <w:trHeight w:val="283"/>
          <w:jc w:val="center"/>
        </w:trPr>
        <w:tc>
          <w:tcPr>
            <w:tcW w:w="6021" w:type="dxa"/>
            <w:tcBorders>
              <w:top w:val="single" w:sz="4" w:space="0" w:color="auto"/>
              <w:left w:val="single" w:sz="4" w:space="0" w:color="auto"/>
              <w:bottom w:val="single" w:sz="4" w:space="0" w:color="auto"/>
              <w:right w:val="single" w:sz="4" w:space="0" w:color="auto"/>
            </w:tcBorders>
            <w:noWrap/>
            <w:vAlign w:val="center"/>
            <w:hideMark/>
          </w:tcPr>
          <w:p w:rsidR="00C16A91" w:rsidRPr="00906AFB" w:rsidRDefault="00C16A91" w:rsidP="002241D3">
            <w:pPr>
              <w:rPr>
                <w:rFonts w:ascii="Arial" w:hAnsi="Arial" w:cs="Arial"/>
                <w:b/>
                <w:bCs/>
                <w:sz w:val="20"/>
                <w:szCs w:val="20"/>
              </w:rPr>
            </w:pPr>
            <w:r w:rsidRPr="00906AFB">
              <w:rPr>
                <w:rFonts w:ascii="Arial" w:hAnsi="Arial" w:cs="Arial"/>
                <w:b/>
                <w:bCs/>
                <w:sz w:val="20"/>
                <w:szCs w:val="20"/>
              </w:rPr>
              <w:t>Administrativos y de Apoyo</w:t>
            </w:r>
          </w:p>
        </w:tc>
        <w:tc>
          <w:tcPr>
            <w:tcW w:w="750" w:type="dxa"/>
            <w:tcBorders>
              <w:top w:val="single" w:sz="4" w:space="0" w:color="auto"/>
              <w:left w:val="single" w:sz="4" w:space="0" w:color="auto"/>
              <w:bottom w:val="single" w:sz="4" w:space="0" w:color="auto"/>
              <w:right w:val="single" w:sz="4" w:space="0" w:color="auto"/>
            </w:tcBorders>
            <w:noWrap/>
            <w:vAlign w:val="center"/>
            <w:hideMark/>
          </w:tcPr>
          <w:p w:rsidR="00C16A91" w:rsidRPr="00906AFB" w:rsidRDefault="00C16A91" w:rsidP="002241D3">
            <w:pPr>
              <w:jc w:val="both"/>
              <w:rPr>
                <w:rFonts w:ascii="Arial" w:hAnsi="Arial" w:cs="Arial"/>
                <w:b/>
                <w:bCs/>
                <w:sz w:val="20"/>
                <w:szCs w:val="20"/>
              </w:rPr>
            </w:pPr>
          </w:p>
        </w:tc>
        <w:tc>
          <w:tcPr>
            <w:tcW w:w="1669" w:type="dxa"/>
            <w:tcBorders>
              <w:top w:val="single" w:sz="4" w:space="0" w:color="auto"/>
              <w:left w:val="single" w:sz="4" w:space="0" w:color="auto"/>
              <w:bottom w:val="single" w:sz="4" w:space="0" w:color="auto"/>
              <w:right w:val="single" w:sz="4" w:space="0" w:color="auto"/>
            </w:tcBorders>
            <w:noWrap/>
            <w:vAlign w:val="center"/>
            <w:hideMark/>
          </w:tcPr>
          <w:p w:rsidR="00C16A91" w:rsidRPr="00C35DCE" w:rsidRDefault="00C16A91" w:rsidP="002241D3">
            <w:pPr>
              <w:jc w:val="right"/>
              <w:rPr>
                <w:rFonts w:ascii="Arial" w:hAnsi="Arial" w:cs="Arial"/>
                <w:b/>
                <w:sz w:val="20"/>
              </w:rPr>
            </w:pPr>
            <w:r w:rsidRPr="00C35DCE">
              <w:rPr>
                <w:rFonts w:ascii="Arial" w:hAnsi="Arial" w:cs="Arial"/>
                <w:b/>
                <w:sz w:val="20"/>
              </w:rPr>
              <w:t>236,990,522</w:t>
            </w:r>
          </w:p>
        </w:tc>
      </w:tr>
      <w:tr w:rsidR="00C16A91" w:rsidRPr="00906AFB" w:rsidTr="00C16A91">
        <w:trPr>
          <w:trHeight w:val="283"/>
          <w:jc w:val="center"/>
        </w:trPr>
        <w:tc>
          <w:tcPr>
            <w:tcW w:w="6021" w:type="dxa"/>
            <w:tcBorders>
              <w:top w:val="single" w:sz="4" w:space="0" w:color="auto"/>
              <w:left w:val="single" w:sz="4" w:space="0" w:color="auto"/>
              <w:bottom w:val="single" w:sz="4" w:space="0" w:color="auto"/>
              <w:right w:val="single" w:sz="4" w:space="0" w:color="auto"/>
            </w:tcBorders>
            <w:noWrap/>
            <w:vAlign w:val="center"/>
            <w:hideMark/>
          </w:tcPr>
          <w:p w:rsidR="00C16A91" w:rsidRPr="00906AFB" w:rsidRDefault="00C16A91" w:rsidP="002241D3">
            <w:pPr>
              <w:ind w:left="252"/>
              <w:rPr>
                <w:rFonts w:ascii="Arial" w:hAnsi="Arial" w:cs="Arial"/>
                <w:sz w:val="20"/>
                <w:szCs w:val="20"/>
              </w:rPr>
            </w:pPr>
            <w:r w:rsidRPr="00906AFB">
              <w:rPr>
                <w:rFonts w:ascii="Arial" w:hAnsi="Arial" w:cs="Arial"/>
                <w:sz w:val="20"/>
                <w:szCs w:val="20"/>
              </w:rPr>
              <w:t>Apoyo al Proceso Presupuestario y para Mejorar la Eficiencia Institucional</w:t>
            </w:r>
          </w:p>
        </w:tc>
        <w:tc>
          <w:tcPr>
            <w:tcW w:w="750" w:type="dxa"/>
            <w:tcBorders>
              <w:top w:val="single" w:sz="4" w:space="0" w:color="auto"/>
              <w:left w:val="single" w:sz="4" w:space="0" w:color="auto"/>
              <w:bottom w:val="single" w:sz="4" w:space="0" w:color="auto"/>
              <w:right w:val="single" w:sz="4" w:space="0" w:color="auto"/>
            </w:tcBorders>
            <w:noWrap/>
            <w:vAlign w:val="center"/>
            <w:hideMark/>
          </w:tcPr>
          <w:p w:rsidR="00C16A91" w:rsidRPr="00906AFB" w:rsidRDefault="00C16A91" w:rsidP="002241D3">
            <w:pPr>
              <w:jc w:val="center"/>
              <w:rPr>
                <w:rFonts w:ascii="Arial" w:hAnsi="Arial" w:cs="Arial"/>
                <w:b/>
                <w:sz w:val="20"/>
                <w:szCs w:val="20"/>
              </w:rPr>
            </w:pPr>
            <w:r w:rsidRPr="00906AFB">
              <w:rPr>
                <w:rFonts w:ascii="Arial" w:hAnsi="Arial" w:cs="Arial"/>
                <w:b/>
                <w:sz w:val="20"/>
                <w:szCs w:val="20"/>
              </w:rPr>
              <w:t>M</w:t>
            </w:r>
          </w:p>
        </w:tc>
        <w:tc>
          <w:tcPr>
            <w:tcW w:w="1669" w:type="dxa"/>
            <w:tcBorders>
              <w:top w:val="single" w:sz="4" w:space="0" w:color="auto"/>
              <w:left w:val="single" w:sz="4" w:space="0" w:color="auto"/>
              <w:bottom w:val="single" w:sz="4" w:space="0" w:color="auto"/>
              <w:right w:val="single" w:sz="4" w:space="0" w:color="auto"/>
            </w:tcBorders>
            <w:noWrap/>
            <w:vAlign w:val="center"/>
            <w:hideMark/>
          </w:tcPr>
          <w:p w:rsidR="00C16A91" w:rsidRPr="00C16A91" w:rsidRDefault="00C16A91" w:rsidP="002241D3">
            <w:pPr>
              <w:jc w:val="right"/>
              <w:rPr>
                <w:rFonts w:ascii="Arial" w:hAnsi="Arial" w:cs="Arial"/>
                <w:sz w:val="20"/>
              </w:rPr>
            </w:pPr>
            <w:r w:rsidRPr="00C16A91">
              <w:rPr>
                <w:rFonts w:ascii="Arial" w:hAnsi="Arial" w:cs="Arial"/>
                <w:sz w:val="20"/>
              </w:rPr>
              <w:t>160,087,024</w:t>
            </w:r>
          </w:p>
        </w:tc>
      </w:tr>
      <w:tr w:rsidR="00C16A91" w:rsidRPr="00906AFB" w:rsidTr="00C16A91">
        <w:trPr>
          <w:trHeight w:val="283"/>
          <w:jc w:val="center"/>
        </w:trPr>
        <w:tc>
          <w:tcPr>
            <w:tcW w:w="6021" w:type="dxa"/>
            <w:tcBorders>
              <w:top w:val="single" w:sz="4" w:space="0" w:color="auto"/>
              <w:left w:val="single" w:sz="4" w:space="0" w:color="auto"/>
              <w:bottom w:val="single" w:sz="4" w:space="0" w:color="auto"/>
              <w:right w:val="single" w:sz="4" w:space="0" w:color="auto"/>
            </w:tcBorders>
            <w:noWrap/>
            <w:vAlign w:val="center"/>
            <w:hideMark/>
          </w:tcPr>
          <w:p w:rsidR="00C16A91" w:rsidRPr="00906AFB" w:rsidRDefault="00C16A91" w:rsidP="002241D3">
            <w:pPr>
              <w:ind w:left="252"/>
              <w:rPr>
                <w:rFonts w:ascii="Arial" w:hAnsi="Arial" w:cs="Arial"/>
                <w:sz w:val="20"/>
                <w:szCs w:val="20"/>
              </w:rPr>
            </w:pPr>
            <w:r w:rsidRPr="00906AFB">
              <w:rPr>
                <w:rFonts w:ascii="Arial" w:hAnsi="Arial" w:cs="Arial"/>
                <w:sz w:val="20"/>
                <w:szCs w:val="20"/>
              </w:rPr>
              <w:t>Apoyo a la Función Pública y al Mejoramiento de la Gestión</w:t>
            </w:r>
          </w:p>
        </w:tc>
        <w:tc>
          <w:tcPr>
            <w:tcW w:w="750" w:type="dxa"/>
            <w:tcBorders>
              <w:top w:val="single" w:sz="4" w:space="0" w:color="auto"/>
              <w:left w:val="single" w:sz="4" w:space="0" w:color="auto"/>
              <w:bottom w:val="single" w:sz="4" w:space="0" w:color="auto"/>
              <w:right w:val="single" w:sz="4" w:space="0" w:color="auto"/>
            </w:tcBorders>
            <w:noWrap/>
            <w:vAlign w:val="center"/>
            <w:hideMark/>
          </w:tcPr>
          <w:p w:rsidR="00C16A91" w:rsidRPr="00906AFB" w:rsidRDefault="00C16A91" w:rsidP="002241D3">
            <w:pPr>
              <w:jc w:val="center"/>
              <w:rPr>
                <w:rFonts w:ascii="Arial" w:hAnsi="Arial" w:cs="Arial"/>
                <w:b/>
                <w:sz w:val="20"/>
                <w:szCs w:val="20"/>
              </w:rPr>
            </w:pPr>
            <w:r w:rsidRPr="00906AFB">
              <w:rPr>
                <w:rFonts w:ascii="Arial" w:hAnsi="Arial" w:cs="Arial"/>
                <w:b/>
                <w:sz w:val="20"/>
                <w:szCs w:val="20"/>
              </w:rPr>
              <w:t>O</w:t>
            </w:r>
          </w:p>
        </w:tc>
        <w:tc>
          <w:tcPr>
            <w:tcW w:w="1669" w:type="dxa"/>
            <w:tcBorders>
              <w:top w:val="single" w:sz="4" w:space="0" w:color="auto"/>
              <w:left w:val="single" w:sz="4" w:space="0" w:color="auto"/>
              <w:bottom w:val="single" w:sz="4" w:space="0" w:color="auto"/>
              <w:right w:val="single" w:sz="4" w:space="0" w:color="auto"/>
            </w:tcBorders>
            <w:noWrap/>
            <w:vAlign w:val="center"/>
            <w:hideMark/>
          </w:tcPr>
          <w:p w:rsidR="00C16A91" w:rsidRPr="00C16A91" w:rsidRDefault="00C16A91" w:rsidP="002241D3">
            <w:pPr>
              <w:jc w:val="right"/>
              <w:rPr>
                <w:rFonts w:ascii="Arial" w:hAnsi="Arial" w:cs="Arial"/>
                <w:sz w:val="20"/>
              </w:rPr>
            </w:pPr>
            <w:r w:rsidRPr="00C16A91">
              <w:rPr>
                <w:rFonts w:ascii="Arial" w:hAnsi="Arial" w:cs="Arial"/>
                <w:sz w:val="20"/>
              </w:rPr>
              <w:t>76,903,498</w:t>
            </w:r>
          </w:p>
        </w:tc>
      </w:tr>
      <w:tr w:rsidR="00C16A91" w:rsidRPr="00906AFB" w:rsidTr="00C16A91">
        <w:trPr>
          <w:trHeight w:val="283"/>
          <w:jc w:val="center"/>
        </w:trPr>
        <w:tc>
          <w:tcPr>
            <w:tcW w:w="6021" w:type="dxa"/>
            <w:tcBorders>
              <w:top w:val="single" w:sz="4" w:space="0" w:color="auto"/>
              <w:left w:val="single" w:sz="4" w:space="0" w:color="auto"/>
              <w:bottom w:val="single" w:sz="4" w:space="0" w:color="auto"/>
              <w:right w:val="single" w:sz="4" w:space="0" w:color="auto"/>
            </w:tcBorders>
            <w:noWrap/>
            <w:vAlign w:val="center"/>
            <w:hideMark/>
          </w:tcPr>
          <w:p w:rsidR="00C16A91" w:rsidRPr="00906AFB" w:rsidRDefault="00C16A91" w:rsidP="002241D3">
            <w:pPr>
              <w:ind w:left="252"/>
              <w:rPr>
                <w:rFonts w:ascii="Arial" w:hAnsi="Arial" w:cs="Arial"/>
                <w:sz w:val="20"/>
                <w:szCs w:val="20"/>
              </w:rPr>
            </w:pPr>
            <w:r w:rsidRPr="00906AFB">
              <w:rPr>
                <w:rFonts w:ascii="Arial" w:hAnsi="Arial" w:cs="Arial"/>
                <w:sz w:val="20"/>
                <w:szCs w:val="20"/>
              </w:rPr>
              <w:t>Operaciones Ajenas</w:t>
            </w:r>
          </w:p>
        </w:tc>
        <w:tc>
          <w:tcPr>
            <w:tcW w:w="750" w:type="dxa"/>
            <w:tcBorders>
              <w:top w:val="single" w:sz="4" w:space="0" w:color="auto"/>
              <w:left w:val="single" w:sz="4" w:space="0" w:color="auto"/>
              <w:bottom w:val="single" w:sz="4" w:space="0" w:color="auto"/>
              <w:right w:val="single" w:sz="4" w:space="0" w:color="auto"/>
            </w:tcBorders>
            <w:noWrap/>
            <w:vAlign w:val="center"/>
            <w:hideMark/>
          </w:tcPr>
          <w:p w:rsidR="00C16A91" w:rsidRPr="00906AFB" w:rsidRDefault="00C16A91" w:rsidP="002241D3">
            <w:pPr>
              <w:jc w:val="center"/>
              <w:rPr>
                <w:rFonts w:ascii="Arial" w:hAnsi="Arial" w:cs="Arial"/>
                <w:b/>
                <w:sz w:val="20"/>
                <w:szCs w:val="20"/>
              </w:rPr>
            </w:pPr>
            <w:r w:rsidRPr="00906AFB">
              <w:rPr>
                <w:rFonts w:ascii="Arial" w:hAnsi="Arial" w:cs="Arial"/>
                <w:b/>
                <w:sz w:val="20"/>
                <w:szCs w:val="20"/>
              </w:rPr>
              <w:t>W</w:t>
            </w:r>
          </w:p>
        </w:tc>
        <w:tc>
          <w:tcPr>
            <w:tcW w:w="1669" w:type="dxa"/>
            <w:tcBorders>
              <w:top w:val="single" w:sz="4" w:space="0" w:color="auto"/>
              <w:left w:val="single" w:sz="4" w:space="0" w:color="auto"/>
              <w:bottom w:val="single" w:sz="4" w:space="0" w:color="auto"/>
              <w:right w:val="single" w:sz="4" w:space="0" w:color="auto"/>
            </w:tcBorders>
            <w:noWrap/>
            <w:vAlign w:val="center"/>
            <w:hideMark/>
          </w:tcPr>
          <w:p w:rsidR="00C16A91" w:rsidRPr="00C16A91" w:rsidRDefault="00C16A91" w:rsidP="002241D3">
            <w:pPr>
              <w:jc w:val="right"/>
              <w:rPr>
                <w:rFonts w:ascii="Arial" w:hAnsi="Arial" w:cs="Arial"/>
                <w:sz w:val="20"/>
              </w:rPr>
            </w:pPr>
            <w:r w:rsidRPr="00C16A91">
              <w:rPr>
                <w:rFonts w:ascii="Arial" w:hAnsi="Arial" w:cs="Arial"/>
                <w:sz w:val="20"/>
              </w:rPr>
              <w:t>0</w:t>
            </w:r>
          </w:p>
        </w:tc>
      </w:tr>
      <w:tr w:rsidR="00C16A91" w:rsidRPr="00906AFB" w:rsidTr="00C16A91">
        <w:trPr>
          <w:trHeight w:val="283"/>
          <w:jc w:val="center"/>
        </w:trPr>
        <w:tc>
          <w:tcPr>
            <w:tcW w:w="6021" w:type="dxa"/>
            <w:tcBorders>
              <w:top w:val="single" w:sz="4" w:space="0" w:color="auto"/>
              <w:left w:val="single" w:sz="4" w:space="0" w:color="auto"/>
              <w:bottom w:val="single" w:sz="4" w:space="0" w:color="auto"/>
              <w:right w:val="single" w:sz="4" w:space="0" w:color="auto"/>
            </w:tcBorders>
            <w:noWrap/>
            <w:vAlign w:val="center"/>
            <w:hideMark/>
          </w:tcPr>
          <w:p w:rsidR="00C16A91" w:rsidRPr="00906AFB" w:rsidRDefault="00C16A91" w:rsidP="002241D3">
            <w:pPr>
              <w:rPr>
                <w:rFonts w:ascii="Arial" w:hAnsi="Arial" w:cs="Arial"/>
                <w:b/>
                <w:bCs/>
                <w:sz w:val="20"/>
                <w:szCs w:val="20"/>
              </w:rPr>
            </w:pPr>
            <w:r w:rsidRPr="00906AFB">
              <w:rPr>
                <w:rFonts w:ascii="Arial" w:hAnsi="Arial" w:cs="Arial"/>
                <w:b/>
                <w:bCs/>
                <w:sz w:val="20"/>
                <w:szCs w:val="20"/>
              </w:rPr>
              <w:t>Compromisos</w:t>
            </w:r>
          </w:p>
        </w:tc>
        <w:tc>
          <w:tcPr>
            <w:tcW w:w="750" w:type="dxa"/>
            <w:tcBorders>
              <w:top w:val="single" w:sz="4" w:space="0" w:color="auto"/>
              <w:left w:val="single" w:sz="4" w:space="0" w:color="auto"/>
              <w:bottom w:val="single" w:sz="4" w:space="0" w:color="auto"/>
              <w:right w:val="single" w:sz="4" w:space="0" w:color="auto"/>
            </w:tcBorders>
            <w:noWrap/>
            <w:vAlign w:val="center"/>
            <w:hideMark/>
          </w:tcPr>
          <w:p w:rsidR="00C16A91" w:rsidRPr="00906AFB" w:rsidRDefault="00C16A91" w:rsidP="002241D3">
            <w:pPr>
              <w:jc w:val="both"/>
              <w:rPr>
                <w:rFonts w:ascii="Arial" w:hAnsi="Arial" w:cs="Arial"/>
                <w:b/>
                <w:bCs/>
                <w:sz w:val="20"/>
                <w:szCs w:val="20"/>
              </w:rPr>
            </w:pPr>
          </w:p>
        </w:tc>
        <w:tc>
          <w:tcPr>
            <w:tcW w:w="1669" w:type="dxa"/>
            <w:tcBorders>
              <w:top w:val="single" w:sz="4" w:space="0" w:color="auto"/>
              <w:left w:val="single" w:sz="4" w:space="0" w:color="auto"/>
              <w:bottom w:val="single" w:sz="4" w:space="0" w:color="auto"/>
              <w:right w:val="single" w:sz="4" w:space="0" w:color="auto"/>
            </w:tcBorders>
            <w:noWrap/>
            <w:vAlign w:val="center"/>
            <w:hideMark/>
          </w:tcPr>
          <w:p w:rsidR="00C16A91" w:rsidRPr="00C35DCE" w:rsidRDefault="00C16A91" w:rsidP="002241D3">
            <w:pPr>
              <w:jc w:val="right"/>
              <w:rPr>
                <w:rFonts w:ascii="Arial" w:hAnsi="Arial" w:cs="Arial"/>
                <w:b/>
                <w:sz w:val="20"/>
              </w:rPr>
            </w:pPr>
            <w:r w:rsidRPr="00C35DCE">
              <w:rPr>
                <w:rFonts w:ascii="Arial" w:hAnsi="Arial" w:cs="Arial"/>
                <w:b/>
                <w:sz w:val="20"/>
              </w:rPr>
              <w:t>37,575,523</w:t>
            </w:r>
          </w:p>
        </w:tc>
      </w:tr>
      <w:tr w:rsidR="00C16A91" w:rsidRPr="00906AFB" w:rsidTr="00C16A91">
        <w:trPr>
          <w:trHeight w:val="283"/>
          <w:jc w:val="center"/>
        </w:trPr>
        <w:tc>
          <w:tcPr>
            <w:tcW w:w="6021" w:type="dxa"/>
            <w:tcBorders>
              <w:top w:val="single" w:sz="4" w:space="0" w:color="auto"/>
              <w:left w:val="single" w:sz="4" w:space="0" w:color="auto"/>
              <w:bottom w:val="single" w:sz="4" w:space="0" w:color="auto"/>
              <w:right w:val="single" w:sz="4" w:space="0" w:color="auto"/>
            </w:tcBorders>
            <w:noWrap/>
            <w:vAlign w:val="center"/>
            <w:hideMark/>
          </w:tcPr>
          <w:p w:rsidR="00C16A91" w:rsidRPr="00906AFB" w:rsidRDefault="00C16A91" w:rsidP="002241D3">
            <w:pPr>
              <w:ind w:left="252"/>
              <w:rPr>
                <w:rFonts w:ascii="Arial" w:hAnsi="Arial" w:cs="Arial"/>
                <w:sz w:val="20"/>
                <w:szCs w:val="20"/>
              </w:rPr>
            </w:pPr>
            <w:r w:rsidRPr="00906AFB">
              <w:rPr>
                <w:rFonts w:ascii="Arial" w:hAnsi="Arial" w:cs="Arial"/>
                <w:sz w:val="20"/>
                <w:szCs w:val="20"/>
              </w:rPr>
              <w:t>Obligaciones de Cumplimiento de Resolución Jurisdiccional</w:t>
            </w:r>
          </w:p>
        </w:tc>
        <w:tc>
          <w:tcPr>
            <w:tcW w:w="750" w:type="dxa"/>
            <w:tcBorders>
              <w:top w:val="single" w:sz="4" w:space="0" w:color="auto"/>
              <w:left w:val="single" w:sz="4" w:space="0" w:color="auto"/>
              <w:bottom w:val="single" w:sz="4" w:space="0" w:color="auto"/>
              <w:right w:val="single" w:sz="4" w:space="0" w:color="auto"/>
            </w:tcBorders>
            <w:noWrap/>
            <w:vAlign w:val="center"/>
            <w:hideMark/>
          </w:tcPr>
          <w:p w:rsidR="00C16A91" w:rsidRPr="00906AFB" w:rsidRDefault="00C16A91" w:rsidP="002241D3">
            <w:pPr>
              <w:jc w:val="center"/>
              <w:rPr>
                <w:rFonts w:ascii="Arial" w:hAnsi="Arial" w:cs="Arial"/>
                <w:b/>
                <w:sz w:val="20"/>
                <w:szCs w:val="20"/>
              </w:rPr>
            </w:pPr>
            <w:r w:rsidRPr="00906AFB">
              <w:rPr>
                <w:rFonts w:ascii="Arial" w:hAnsi="Arial" w:cs="Arial"/>
                <w:b/>
                <w:sz w:val="20"/>
                <w:szCs w:val="20"/>
              </w:rPr>
              <w:t>L</w:t>
            </w:r>
          </w:p>
        </w:tc>
        <w:tc>
          <w:tcPr>
            <w:tcW w:w="1669" w:type="dxa"/>
            <w:tcBorders>
              <w:top w:val="single" w:sz="4" w:space="0" w:color="auto"/>
              <w:left w:val="single" w:sz="4" w:space="0" w:color="auto"/>
              <w:bottom w:val="single" w:sz="4" w:space="0" w:color="auto"/>
              <w:right w:val="single" w:sz="4" w:space="0" w:color="auto"/>
            </w:tcBorders>
            <w:noWrap/>
            <w:vAlign w:val="center"/>
            <w:hideMark/>
          </w:tcPr>
          <w:p w:rsidR="00C16A91" w:rsidRPr="00C16A91" w:rsidRDefault="00C16A91" w:rsidP="002241D3">
            <w:pPr>
              <w:jc w:val="right"/>
              <w:rPr>
                <w:rFonts w:ascii="Arial" w:hAnsi="Arial" w:cs="Arial"/>
                <w:sz w:val="20"/>
              </w:rPr>
            </w:pPr>
            <w:r w:rsidRPr="00C16A91">
              <w:rPr>
                <w:rFonts w:ascii="Arial" w:hAnsi="Arial" w:cs="Arial"/>
                <w:sz w:val="20"/>
              </w:rPr>
              <w:t>0</w:t>
            </w:r>
          </w:p>
        </w:tc>
      </w:tr>
      <w:tr w:rsidR="00C16A91" w:rsidRPr="00906AFB" w:rsidTr="00C16A91">
        <w:trPr>
          <w:trHeight w:val="283"/>
          <w:jc w:val="center"/>
        </w:trPr>
        <w:tc>
          <w:tcPr>
            <w:tcW w:w="6021" w:type="dxa"/>
            <w:tcBorders>
              <w:top w:val="single" w:sz="4" w:space="0" w:color="auto"/>
              <w:left w:val="single" w:sz="4" w:space="0" w:color="auto"/>
              <w:bottom w:val="single" w:sz="4" w:space="0" w:color="auto"/>
              <w:right w:val="single" w:sz="4" w:space="0" w:color="auto"/>
            </w:tcBorders>
            <w:noWrap/>
            <w:vAlign w:val="center"/>
            <w:hideMark/>
          </w:tcPr>
          <w:p w:rsidR="00C16A91" w:rsidRPr="00906AFB" w:rsidRDefault="00C16A91" w:rsidP="002241D3">
            <w:pPr>
              <w:ind w:left="252"/>
              <w:rPr>
                <w:rFonts w:ascii="Arial" w:hAnsi="Arial" w:cs="Arial"/>
                <w:sz w:val="20"/>
                <w:szCs w:val="20"/>
              </w:rPr>
            </w:pPr>
            <w:r w:rsidRPr="00906AFB">
              <w:rPr>
                <w:rFonts w:ascii="Arial" w:hAnsi="Arial" w:cs="Arial"/>
                <w:sz w:val="20"/>
                <w:szCs w:val="20"/>
              </w:rPr>
              <w:t>Desastres Naturales</w:t>
            </w:r>
          </w:p>
        </w:tc>
        <w:tc>
          <w:tcPr>
            <w:tcW w:w="750" w:type="dxa"/>
            <w:tcBorders>
              <w:top w:val="single" w:sz="4" w:space="0" w:color="auto"/>
              <w:left w:val="single" w:sz="4" w:space="0" w:color="auto"/>
              <w:bottom w:val="single" w:sz="4" w:space="0" w:color="auto"/>
              <w:right w:val="single" w:sz="4" w:space="0" w:color="auto"/>
            </w:tcBorders>
            <w:noWrap/>
            <w:vAlign w:val="center"/>
            <w:hideMark/>
          </w:tcPr>
          <w:p w:rsidR="00C16A91" w:rsidRPr="00906AFB" w:rsidRDefault="00C16A91" w:rsidP="002241D3">
            <w:pPr>
              <w:jc w:val="center"/>
              <w:rPr>
                <w:rFonts w:ascii="Arial" w:hAnsi="Arial" w:cs="Arial"/>
                <w:b/>
                <w:sz w:val="20"/>
                <w:szCs w:val="20"/>
              </w:rPr>
            </w:pPr>
            <w:r w:rsidRPr="00906AFB">
              <w:rPr>
                <w:rFonts w:ascii="Arial" w:hAnsi="Arial" w:cs="Arial"/>
                <w:b/>
                <w:sz w:val="20"/>
                <w:szCs w:val="20"/>
              </w:rPr>
              <w:t>N</w:t>
            </w:r>
          </w:p>
        </w:tc>
        <w:tc>
          <w:tcPr>
            <w:tcW w:w="1669" w:type="dxa"/>
            <w:tcBorders>
              <w:top w:val="single" w:sz="4" w:space="0" w:color="auto"/>
              <w:left w:val="single" w:sz="4" w:space="0" w:color="auto"/>
              <w:bottom w:val="single" w:sz="4" w:space="0" w:color="auto"/>
              <w:right w:val="single" w:sz="4" w:space="0" w:color="auto"/>
            </w:tcBorders>
            <w:noWrap/>
            <w:vAlign w:val="center"/>
            <w:hideMark/>
          </w:tcPr>
          <w:p w:rsidR="00C16A91" w:rsidRPr="00C16A91" w:rsidRDefault="00C16A91" w:rsidP="002241D3">
            <w:pPr>
              <w:jc w:val="right"/>
              <w:rPr>
                <w:rFonts w:ascii="Arial" w:hAnsi="Arial" w:cs="Arial"/>
                <w:sz w:val="20"/>
              </w:rPr>
            </w:pPr>
            <w:r w:rsidRPr="00C16A91">
              <w:rPr>
                <w:rFonts w:ascii="Arial" w:hAnsi="Arial" w:cs="Arial"/>
                <w:sz w:val="20"/>
              </w:rPr>
              <w:t>37,575,523</w:t>
            </w:r>
          </w:p>
        </w:tc>
      </w:tr>
      <w:tr w:rsidR="00C16A91" w:rsidRPr="00906AFB" w:rsidTr="00C16A91">
        <w:trPr>
          <w:trHeight w:val="283"/>
          <w:jc w:val="center"/>
        </w:trPr>
        <w:tc>
          <w:tcPr>
            <w:tcW w:w="6021" w:type="dxa"/>
            <w:tcBorders>
              <w:top w:val="single" w:sz="4" w:space="0" w:color="auto"/>
              <w:left w:val="single" w:sz="4" w:space="0" w:color="auto"/>
              <w:bottom w:val="single" w:sz="4" w:space="0" w:color="auto"/>
              <w:right w:val="single" w:sz="4" w:space="0" w:color="auto"/>
            </w:tcBorders>
            <w:noWrap/>
            <w:vAlign w:val="center"/>
            <w:hideMark/>
          </w:tcPr>
          <w:p w:rsidR="00C16A91" w:rsidRPr="00906AFB" w:rsidRDefault="00C16A91" w:rsidP="002241D3">
            <w:pPr>
              <w:rPr>
                <w:rFonts w:ascii="Arial" w:hAnsi="Arial" w:cs="Arial"/>
                <w:b/>
                <w:bCs/>
                <w:sz w:val="20"/>
                <w:szCs w:val="20"/>
              </w:rPr>
            </w:pPr>
            <w:r w:rsidRPr="00906AFB">
              <w:rPr>
                <w:rFonts w:ascii="Arial" w:hAnsi="Arial" w:cs="Arial"/>
                <w:b/>
                <w:bCs/>
                <w:sz w:val="20"/>
                <w:szCs w:val="20"/>
              </w:rPr>
              <w:t>Obligaciones</w:t>
            </w:r>
          </w:p>
        </w:tc>
        <w:tc>
          <w:tcPr>
            <w:tcW w:w="750" w:type="dxa"/>
            <w:tcBorders>
              <w:top w:val="single" w:sz="4" w:space="0" w:color="auto"/>
              <w:left w:val="single" w:sz="4" w:space="0" w:color="auto"/>
              <w:bottom w:val="single" w:sz="4" w:space="0" w:color="auto"/>
              <w:right w:val="single" w:sz="4" w:space="0" w:color="auto"/>
            </w:tcBorders>
            <w:noWrap/>
            <w:vAlign w:val="center"/>
            <w:hideMark/>
          </w:tcPr>
          <w:p w:rsidR="00C16A91" w:rsidRPr="00906AFB" w:rsidRDefault="00C16A91" w:rsidP="002241D3">
            <w:pPr>
              <w:jc w:val="both"/>
              <w:rPr>
                <w:rFonts w:ascii="Arial" w:hAnsi="Arial" w:cs="Arial"/>
                <w:b/>
                <w:bCs/>
                <w:sz w:val="20"/>
                <w:szCs w:val="20"/>
              </w:rPr>
            </w:pPr>
          </w:p>
        </w:tc>
        <w:tc>
          <w:tcPr>
            <w:tcW w:w="1669" w:type="dxa"/>
            <w:tcBorders>
              <w:top w:val="single" w:sz="4" w:space="0" w:color="auto"/>
              <w:left w:val="single" w:sz="4" w:space="0" w:color="auto"/>
              <w:bottom w:val="single" w:sz="4" w:space="0" w:color="auto"/>
              <w:right w:val="single" w:sz="4" w:space="0" w:color="auto"/>
            </w:tcBorders>
            <w:noWrap/>
            <w:vAlign w:val="center"/>
            <w:hideMark/>
          </w:tcPr>
          <w:p w:rsidR="00C16A91" w:rsidRPr="00C35DCE" w:rsidRDefault="00C16A91" w:rsidP="002241D3">
            <w:pPr>
              <w:jc w:val="right"/>
              <w:rPr>
                <w:rFonts w:ascii="Arial" w:hAnsi="Arial" w:cs="Arial"/>
                <w:b/>
                <w:sz w:val="20"/>
              </w:rPr>
            </w:pPr>
            <w:r w:rsidRPr="00C35DCE">
              <w:rPr>
                <w:rFonts w:ascii="Arial" w:hAnsi="Arial" w:cs="Arial"/>
                <w:b/>
                <w:sz w:val="20"/>
              </w:rPr>
              <w:t>701,805,461</w:t>
            </w:r>
          </w:p>
        </w:tc>
      </w:tr>
      <w:tr w:rsidR="00C16A91" w:rsidRPr="00906AFB" w:rsidTr="00C16A91">
        <w:trPr>
          <w:trHeight w:val="283"/>
          <w:jc w:val="center"/>
        </w:trPr>
        <w:tc>
          <w:tcPr>
            <w:tcW w:w="6021" w:type="dxa"/>
            <w:tcBorders>
              <w:top w:val="single" w:sz="4" w:space="0" w:color="auto"/>
              <w:left w:val="single" w:sz="4" w:space="0" w:color="auto"/>
              <w:bottom w:val="single" w:sz="4" w:space="0" w:color="auto"/>
              <w:right w:val="single" w:sz="4" w:space="0" w:color="auto"/>
            </w:tcBorders>
            <w:noWrap/>
            <w:vAlign w:val="center"/>
            <w:hideMark/>
          </w:tcPr>
          <w:p w:rsidR="00C16A91" w:rsidRPr="00906AFB" w:rsidRDefault="00C16A91" w:rsidP="002241D3">
            <w:pPr>
              <w:ind w:left="252"/>
              <w:rPr>
                <w:rFonts w:ascii="Arial" w:hAnsi="Arial" w:cs="Arial"/>
                <w:sz w:val="20"/>
                <w:szCs w:val="20"/>
              </w:rPr>
            </w:pPr>
            <w:r w:rsidRPr="00906AFB">
              <w:rPr>
                <w:rFonts w:ascii="Arial" w:hAnsi="Arial" w:cs="Arial"/>
                <w:sz w:val="20"/>
                <w:szCs w:val="20"/>
              </w:rPr>
              <w:t>Pensiones y Jubilaciones</w:t>
            </w:r>
          </w:p>
        </w:tc>
        <w:tc>
          <w:tcPr>
            <w:tcW w:w="750" w:type="dxa"/>
            <w:tcBorders>
              <w:top w:val="single" w:sz="4" w:space="0" w:color="auto"/>
              <w:left w:val="single" w:sz="4" w:space="0" w:color="auto"/>
              <w:bottom w:val="single" w:sz="4" w:space="0" w:color="auto"/>
              <w:right w:val="single" w:sz="4" w:space="0" w:color="auto"/>
            </w:tcBorders>
            <w:noWrap/>
            <w:vAlign w:val="center"/>
            <w:hideMark/>
          </w:tcPr>
          <w:p w:rsidR="00C16A91" w:rsidRPr="00906AFB" w:rsidRDefault="00C16A91" w:rsidP="002241D3">
            <w:pPr>
              <w:jc w:val="center"/>
              <w:rPr>
                <w:rFonts w:ascii="Arial" w:hAnsi="Arial" w:cs="Arial"/>
                <w:b/>
                <w:sz w:val="20"/>
                <w:szCs w:val="20"/>
              </w:rPr>
            </w:pPr>
            <w:r w:rsidRPr="00906AFB">
              <w:rPr>
                <w:rFonts w:ascii="Arial" w:hAnsi="Arial" w:cs="Arial"/>
                <w:b/>
                <w:sz w:val="20"/>
                <w:szCs w:val="20"/>
              </w:rPr>
              <w:t>J</w:t>
            </w:r>
          </w:p>
        </w:tc>
        <w:tc>
          <w:tcPr>
            <w:tcW w:w="1669" w:type="dxa"/>
            <w:tcBorders>
              <w:top w:val="single" w:sz="4" w:space="0" w:color="auto"/>
              <w:left w:val="single" w:sz="4" w:space="0" w:color="auto"/>
              <w:bottom w:val="single" w:sz="4" w:space="0" w:color="auto"/>
              <w:right w:val="single" w:sz="4" w:space="0" w:color="auto"/>
            </w:tcBorders>
            <w:noWrap/>
            <w:vAlign w:val="center"/>
            <w:hideMark/>
          </w:tcPr>
          <w:p w:rsidR="00C16A91" w:rsidRPr="00C16A91" w:rsidRDefault="00C16A91" w:rsidP="002241D3">
            <w:pPr>
              <w:jc w:val="right"/>
              <w:rPr>
                <w:rFonts w:ascii="Arial" w:hAnsi="Arial" w:cs="Arial"/>
                <w:sz w:val="20"/>
              </w:rPr>
            </w:pPr>
            <w:r w:rsidRPr="00C16A91">
              <w:rPr>
                <w:rFonts w:ascii="Arial" w:hAnsi="Arial" w:cs="Arial"/>
                <w:sz w:val="20"/>
              </w:rPr>
              <w:t>701,805,461</w:t>
            </w:r>
          </w:p>
        </w:tc>
      </w:tr>
      <w:tr w:rsidR="00C16A91" w:rsidRPr="00906AFB" w:rsidTr="00C16A91">
        <w:trPr>
          <w:trHeight w:val="283"/>
          <w:jc w:val="center"/>
        </w:trPr>
        <w:tc>
          <w:tcPr>
            <w:tcW w:w="6021" w:type="dxa"/>
            <w:tcBorders>
              <w:top w:val="single" w:sz="4" w:space="0" w:color="auto"/>
              <w:left w:val="single" w:sz="4" w:space="0" w:color="auto"/>
              <w:bottom w:val="single" w:sz="4" w:space="0" w:color="auto"/>
              <w:right w:val="single" w:sz="4" w:space="0" w:color="auto"/>
            </w:tcBorders>
            <w:noWrap/>
            <w:vAlign w:val="center"/>
            <w:hideMark/>
          </w:tcPr>
          <w:p w:rsidR="00C16A91" w:rsidRPr="00906AFB" w:rsidRDefault="00C16A91" w:rsidP="002241D3">
            <w:pPr>
              <w:ind w:left="252"/>
              <w:rPr>
                <w:rFonts w:ascii="Arial" w:hAnsi="Arial" w:cs="Arial"/>
                <w:sz w:val="20"/>
                <w:szCs w:val="20"/>
              </w:rPr>
            </w:pPr>
            <w:r w:rsidRPr="00906AFB">
              <w:rPr>
                <w:rFonts w:ascii="Arial" w:hAnsi="Arial" w:cs="Arial"/>
                <w:sz w:val="20"/>
                <w:szCs w:val="20"/>
              </w:rPr>
              <w:t>Aportaciones a la Seguridad Social</w:t>
            </w:r>
          </w:p>
        </w:tc>
        <w:tc>
          <w:tcPr>
            <w:tcW w:w="750" w:type="dxa"/>
            <w:tcBorders>
              <w:top w:val="single" w:sz="4" w:space="0" w:color="auto"/>
              <w:left w:val="single" w:sz="4" w:space="0" w:color="auto"/>
              <w:bottom w:val="single" w:sz="4" w:space="0" w:color="auto"/>
              <w:right w:val="single" w:sz="4" w:space="0" w:color="auto"/>
            </w:tcBorders>
            <w:noWrap/>
            <w:vAlign w:val="center"/>
            <w:hideMark/>
          </w:tcPr>
          <w:p w:rsidR="00C16A91" w:rsidRPr="00906AFB" w:rsidRDefault="00C16A91" w:rsidP="002241D3">
            <w:pPr>
              <w:jc w:val="center"/>
              <w:rPr>
                <w:rFonts w:ascii="Arial" w:hAnsi="Arial" w:cs="Arial"/>
                <w:b/>
                <w:sz w:val="20"/>
                <w:szCs w:val="20"/>
              </w:rPr>
            </w:pPr>
            <w:r w:rsidRPr="00906AFB">
              <w:rPr>
                <w:rFonts w:ascii="Arial" w:hAnsi="Arial" w:cs="Arial"/>
                <w:b/>
                <w:sz w:val="20"/>
                <w:szCs w:val="20"/>
              </w:rPr>
              <w:t>T</w:t>
            </w:r>
          </w:p>
        </w:tc>
        <w:tc>
          <w:tcPr>
            <w:tcW w:w="1669" w:type="dxa"/>
            <w:tcBorders>
              <w:top w:val="single" w:sz="4" w:space="0" w:color="auto"/>
              <w:left w:val="single" w:sz="4" w:space="0" w:color="auto"/>
              <w:bottom w:val="single" w:sz="4" w:space="0" w:color="auto"/>
              <w:right w:val="single" w:sz="4" w:space="0" w:color="auto"/>
            </w:tcBorders>
            <w:noWrap/>
            <w:vAlign w:val="center"/>
            <w:hideMark/>
          </w:tcPr>
          <w:p w:rsidR="00C16A91" w:rsidRPr="00C16A91" w:rsidRDefault="00C16A91" w:rsidP="002241D3">
            <w:pPr>
              <w:jc w:val="right"/>
              <w:rPr>
                <w:rFonts w:ascii="Arial" w:hAnsi="Arial" w:cs="Arial"/>
                <w:sz w:val="20"/>
              </w:rPr>
            </w:pPr>
            <w:r w:rsidRPr="00C16A91">
              <w:rPr>
                <w:rFonts w:ascii="Arial" w:hAnsi="Arial" w:cs="Arial"/>
                <w:sz w:val="20"/>
              </w:rPr>
              <w:t>0</w:t>
            </w:r>
          </w:p>
        </w:tc>
      </w:tr>
      <w:tr w:rsidR="00C16A91" w:rsidRPr="00906AFB" w:rsidTr="00C16A91">
        <w:trPr>
          <w:trHeight w:val="283"/>
          <w:jc w:val="center"/>
        </w:trPr>
        <w:tc>
          <w:tcPr>
            <w:tcW w:w="6021" w:type="dxa"/>
            <w:tcBorders>
              <w:top w:val="single" w:sz="4" w:space="0" w:color="auto"/>
              <w:left w:val="single" w:sz="4" w:space="0" w:color="auto"/>
              <w:bottom w:val="single" w:sz="4" w:space="0" w:color="auto"/>
              <w:right w:val="single" w:sz="4" w:space="0" w:color="auto"/>
            </w:tcBorders>
            <w:noWrap/>
            <w:vAlign w:val="center"/>
            <w:hideMark/>
          </w:tcPr>
          <w:p w:rsidR="00C16A91" w:rsidRPr="00906AFB" w:rsidRDefault="00C16A91" w:rsidP="002241D3">
            <w:pPr>
              <w:ind w:left="252"/>
              <w:rPr>
                <w:rFonts w:ascii="Arial" w:hAnsi="Arial" w:cs="Arial"/>
                <w:sz w:val="20"/>
                <w:szCs w:val="20"/>
              </w:rPr>
            </w:pPr>
            <w:r w:rsidRPr="00906AFB">
              <w:rPr>
                <w:rFonts w:ascii="Arial" w:hAnsi="Arial" w:cs="Arial"/>
                <w:sz w:val="20"/>
                <w:szCs w:val="20"/>
              </w:rPr>
              <w:t>Aportaciones a Fondos de Estabilización</w:t>
            </w:r>
          </w:p>
        </w:tc>
        <w:tc>
          <w:tcPr>
            <w:tcW w:w="750" w:type="dxa"/>
            <w:tcBorders>
              <w:top w:val="single" w:sz="4" w:space="0" w:color="auto"/>
              <w:left w:val="single" w:sz="4" w:space="0" w:color="auto"/>
              <w:bottom w:val="single" w:sz="4" w:space="0" w:color="auto"/>
              <w:right w:val="single" w:sz="4" w:space="0" w:color="auto"/>
            </w:tcBorders>
            <w:noWrap/>
            <w:vAlign w:val="center"/>
            <w:hideMark/>
          </w:tcPr>
          <w:p w:rsidR="00C16A91" w:rsidRPr="00906AFB" w:rsidRDefault="00C16A91" w:rsidP="002241D3">
            <w:pPr>
              <w:jc w:val="center"/>
              <w:rPr>
                <w:rFonts w:ascii="Arial" w:hAnsi="Arial" w:cs="Arial"/>
                <w:b/>
                <w:sz w:val="20"/>
                <w:szCs w:val="20"/>
              </w:rPr>
            </w:pPr>
            <w:r w:rsidRPr="00906AFB">
              <w:rPr>
                <w:rFonts w:ascii="Arial" w:hAnsi="Arial" w:cs="Arial"/>
                <w:b/>
                <w:sz w:val="20"/>
                <w:szCs w:val="20"/>
              </w:rPr>
              <w:t>Y</w:t>
            </w:r>
          </w:p>
        </w:tc>
        <w:tc>
          <w:tcPr>
            <w:tcW w:w="1669" w:type="dxa"/>
            <w:tcBorders>
              <w:top w:val="single" w:sz="4" w:space="0" w:color="auto"/>
              <w:left w:val="single" w:sz="4" w:space="0" w:color="auto"/>
              <w:bottom w:val="single" w:sz="4" w:space="0" w:color="auto"/>
              <w:right w:val="single" w:sz="4" w:space="0" w:color="auto"/>
            </w:tcBorders>
            <w:noWrap/>
            <w:vAlign w:val="center"/>
            <w:hideMark/>
          </w:tcPr>
          <w:p w:rsidR="00C16A91" w:rsidRPr="00C16A91" w:rsidRDefault="00C16A91" w:rsidP="002241D3">
            <w:pPr>
              <w:jc w:val="right"/>
              <w:rPr>
                <w:rFonts w:ascii="Arial" w:hAnsi="Arial" w:cs="Arial"/>
                <w:sz w:val="20"/>
              </w:rPr>
            </w:pPr>
            <w:r w:rsidRPr="00C16A91">
              <w:rPr>
                <w:rFonts w:ascii="Arial" w:hAnsi="Arial" w:cs="Arial"/>
                <w:sz w:val="20"/>
              </w:rPr>
              <w:t>0</w:t>
            </w:r>
          </w:p>
        </w:tc>
      </w:tr>
      <w:tr w:rsidR="00C16A91" w:rsidRPr="00906AFB" w:rsidTr="00C16A91">
        <w:trPr>
          <w:trHeight w:val="283"/>
          <w:jc w:val="center"/>
        </w:trPr>
        <w:tc>
          <w:tcPr>
            <w:tcW w:w="6021" w:type="dxa"/>
            <w:tcBorders>
              <w:top w:val="single" w:sz="4" w:space="0" w:color="auto"/>
              <w:left w:val="single" w:sz="4" w:space="0" w:color="auto"/>
              <w:bottom w:val="single" w:sz="4" w:space="0" w:color="auto"/>
              <w:right w:val="single" w:sz="4" w:space="0" w:color="auto"/>
            </w:tcBorders>
            <w:noWrap/>
            <w:vAlign w:val="center"/>
            <w:hideMark/>
          </w:tcPr>
          <w:p w:rsidR="00C16A91" w:rsidRPr="00906AFB" w:rsidRDefault="00C16A91" w:rsidP="002241D3">
            <w:pPr>
              <w:ind w:left="252"/>
              <w:rPr>
                <w:rFonts w:ascii="Arial" w:hAnsi="Arial" w:cs="Arial"/>
                <w:sz w:val="20"/>
                <w:szCs w:val="20"/>
              </w:rPr>
            </w:pPr>
            <w:r w:rsidRPr="00906AFB">
              <w:rPr>
                <w:rFonts w:ascii="Arial" w:hAnsi="Arial" w:cs="Arial"/>
                <w:sz w:val="20"/>
                <w:szCs w:val="20"/>
              </w:rPr>
              <w:t>Aportaciones a Fondos de Inversión y Reestructura de Pensiones</w:t>
            </w:r>
          </w:p>
        </w:tc>
        <w:tc>
          <w:tcPr>
            <w:tcW w:w="750" w:type="dxa"/>
            <w:tcBorders>
              <w:top w:val="single" w:sz="4" w:space="0" w:color="auto"/>
              <w:left w:val="single" w:sz="4" w:space="0" w:color="auto"/>
              <w:bottom w:val="single" w:sz="4" w:space="0" w:color="auto"/>
              <w:right w:val="single" w:sz="4" w:space="0" w:color="auto"/>
            </w:tcBorders>
            <w:noWrap/>
            <w:vAlign w:val="center"/>
            <w:hideMark/>
          </w:tcPr>
          <w:p w:rsidR="00C16A91" w:rsidRPr="00906AFB" w:rsidRDefault="00C16A91" w:rsidP="002241D3">
            <w:pPr>
              <w:jc w:val="center"/>
              <w:rPr>
                <w:rFonts w:ascii="Arial" w:hAnsi="Arial" w:cs="Arial"/>
                <w:b/>
                <w:sz w:val="20"/>
                <w:szCs w:val="20"/>
              </w:rPr>
            </w:pPr>
            <w:r w:rsidRPr="00906AFB">
              <w:rPr>
                <w:rFonts w:ascii="Arial" w:hAnsi="Arial" w:cs="Arial"/>
                <w:b/>
                <w:sz w:val="20"/>
                <w:szCs w:val="20"/>
              </w:rPr>
              <w:t>Z</w:t>
            </w:r>
          </w:p>
        </w:tc>
        <w:tc>
          <w:tcPr>
            <w:tcW w:w="1669" w:type="dxa"/>
            <w:tcBorders>
              <w:top w:val="single" w:sz="4" w:space="0" w:color="auto"/>
              <w:left w:val="single" w:sz="4" w:space="0" w:color="auto"/>
              <w:bottom w:val="single" w:sz="4" w:space="0" w:color="auto"/>
              <w:right w:val="single" w:sz="4" w:space="0" w:color="auto"/>
            </w:tcBorders>
            <w:noWrap/>
            <w:vAlign w:val="center"/>
            <w:hideMark/>
          </w:tcPr>
          <w:p w:rsidR="00C16A91" w:rsidRPr="00C16A91" w:rsidRDefault="00C16A91" w:rsidP="002241D3">
            <w:pPr>
              <w:jc w:val="right"/>
              <w:rPr>
                <w:rFonts w:ascii="Arial" w:hAnsi="Arial" w:cs="Arial"/>
                <w:sz w:val="20"/>
              </w:rPr>
            </w:pPr>
            <w:r w:rsidRPr="00C16A91">
              <w:rPr>
                <w:rFonts w:ascii="Arial" w:hAnsi="Arial" w:cs="Arial"/>
                <w:sz w:val="20"/>
              </w:rPr>
              <w:t>0</w:t>
            </w:r>
          </w:p>
        </w:tc>
      </w:tr>
      <w:tr w:rsidR="00C16A91" w:rsidRPr="00906AFB" w:rsidTr="00C16A91">
        <w:trPr>
          <w:trHeight w:val="283"/>
          <w:jc w:val="center"/>
        </w:trPr>
        <w:tc>
          <w:tcPr>
            <w:tcW w:w="6021" w:type="dxa"/>
            <w:tcBorders>
              <w:top w:val="single" w:sz="4" w:space="0" w:color="auto"/>
              <w:left w:val="single" w:sz="4" w:space="0" w:color="auto"/>
              <w:bottom w:val="single" w:sz="4" w:space="0" w:color="auto"/>
              <w:right w:val="single" w:sz="4" w:space="0" w:color="auto"/>
            </w:tcBorders>
            <w:noWrap/>
            <w:vAlign w:val="center"/>
            <w:hideMark/>
          </w:tcPr>
          <w:p w:rsidR="00C16A91" w:rsidRPr="00906AFB" w:rsidRDefault="00C16A91" w:rsidP="002241D3">
            <w:pPr>
              <w:rPr>
                <w:rFonts w:ascii="Arial" w:hAnsi="Arial" w:cs="Arial"/>
                <w:b/>
                <w:bCs/>
                <w:sz w:val="20"/>
                <w:szCs w:val="20"/>
              </w:rPr>
            </w:pPr>
            <w:r w:rsidRPr="00906AFB">
              <w:rPr>
                <w:rFonts w:ascii="Arial" w:hAnsi="Arial" w:cs="Arial"/>
                <w:b/>
                <w:bCs/>
                <w:sz w:val="20"/>
                <w:szCs w:val="20"/>
              </w:rPr>
              <w:t>Programas de Gasto Federalizado (Gobierno Federal)</w:t>
            </w:r>
          </w:p>
        </w:tc>
        <w:tc>
          <w:tcPr>
            <w:tcW w:w="750" w:type="dxa"/>
            <w:tcBorders>
              <w:top w:val="single" w:sz="4" w:space="0" w:color="auto"/>
              <w:left w:val="single" w:sz="4" w:space="0" w:color="auto"/>
              <w:bottom w:val="single" w:sz="4" w:space="0" w:color="auto"/>
              <w:right w:val="single" w:sz="4" w:space="0" w:color="auto"/>
            </w:tcBorders>
            <w:noWrap/>
            <w:vAlign w:val="center"/>
            <w:hideMark/>
          </w:tcPr>
          <w:p w:rsidR="00C16A91" w:rsidRPr="00906AFB" w:rsidRDefault="00C16A91" w:rsidP="002241D3">
            <w:pPr>
              <w:jc w:val="both"/>
              <w:rPr>
                <w:rFonts w:ascii="Arial" w:hAnsi="Arial" w:cs="Arial"/>
                <w:b/>
                <w:bCs/>
                <w:sz w:val="20"/>
                <w:szCs w:val="20"/>
              </w:rPr>
            </w:pPr>
          </w:p>
        </w:tc>
        <w:tc>
          <w:tcPr>
            <w:tcW w:w="1669" w:type="dxa"/>
            <w:tcBorders>
              <w:top w:val="single" w:sz="4" w:space="0" w:color="auto"/>
              <w:left w:val="single" w:sz="4" w:space="0" w:color="auto"/>
              <w:bottom w:val="single" w:sz="4" w:space="0" w:color="auto"/>
              <w:right w:val="single" w:sz="4" w:space="0" w:color="auto"/>
            </w:tcBorders>
            <w:noWrap/>
            <w:vAlign w:val="center"/>
            <w:hideMark/>
          </w:tcPr>
          <w:p w:rsidR="00C16A91" w:rsidRPr="00C35DCE" w:rsidRDefault="00C16A91" w:rsidP="002241D3">
            <w:pPr>
              <w:jc w:val="right"/>
              <w:rPr>
                <w:rFonts w:ascii="Arial" w:hAnsi="Arial" w:cs="Arial"/>
                <w:b/>
                <w:sz w:val="20"/>
              </w:rPr>
            </w:pPr>
            <w:r w:rsidRPr="00C35DCE">
              <w:rPr>
                <w:rFonts w:ascii="Arial" w:hAnsi="Arial" w:cs="Arial"/>
                <w:b/>
                <w:sz w:val="20"/>
              </w:rPr>
              <w:t>8,214,199,614</w:t>
            </w:r>
          </w:p>
        </w:tc>
      </w:tr>
      <w:tr w:rsidR="00C16A91" w:rsidRPr="00906AFB" w:rsidTr="00C16A91">
        <w:trPr>
          <w:trHeight w:val="283"/>
          <w:jc w:val="center"/>
        </w:trPr>
        <w:tc>
          <w:tcPr>
            <w:tcW w:w="6021" w:type="dxa"/>
            <w:tcBorders>
              <w:top w:val="single" w:sz="4" w:space="0" w:color="auto"/>
              <w:left w:val="single" w:sz="4" w:space="0" w:color="auto"/>
              <w:bottom w:val="single" w:sz="4" w:space="0" w:color="auto"/>
              <w:right w:val="single" w:sz="4" w:space="0" w:color="auto"/>
            </w:tcBorders>
            <w:noWrap/>
            <w:vAlign w:val="center"/>
            <w:hideMark/>
          </w:tcPr>
          <w:p w:rsidR="00C16A91" w:rsidRPr="00906AFB" w:rsidRDefault="00C16A91" w:rsidP="002241D3">
            <w:pPr>
              <w:rPr>
                <w:rFonts w:ascii="Arial" w:hAnsi="Arial" w:cs="Arial"/>
                <w:b/>
                <w:sz w:val="20"/>
                <w:szCs w:val="20"/>
              </w:rPr>
            </w:pPr>
            <w:r w:rsidRPr="00906AFB">
              <w:rPr>
                <w:rFonts w:ascii="Arial" w:hAnsi="Arial" w:cs="Arial"/>
                <w:b/>
                <w:sz w:val="20"/>
                <w:szCs w:val="20"/>
              </w:rPr>
              <w:t>Gasto Federalizado</w:t>
            </w:r>
          </w:p>
        </w:tc>
        <w:tc>
          <w:tcPr>
            <w:tcW w:w="750" w:type="dxa"/>
            <w:tcBorders>
              <w:top w:val="single" w:sz="4" w:space="0" w:color="auto"/>
              <w:left w:val="single" w:sz="4" w:space="0" w:color="auto"/>
              <w:bottom w:val="single" w:sz="4" w:space="0" w:color="auto"/>
              <w:right w:val="single" w:sz="4" w:space="0" w:color="auto"/>
            </w:tcBorders>
            <w:noWrap/>
            <w:vAlign w:val="center"/>
            <w:hideMark/>
          </w:tcPr>
          <w:p w:rsidR="00C16A91" w:rsidRPr="00906AFB" w:rsidRDefault="00C16A91" w:rsidP="002241D3">
            <w:pPr>
              <w:jc w:val="center"/>
              <w:rPr>
                <w:rFonts w:ascii="Arial" w:hAnsi="Arial" w:cs="Arial"/>
                <w:b/>
                <w:sz w:val="20"/>
                <w:szCs w:val="20"/>
              </w:rPr>
            </w:pPr>
            <w:r w:rsidRPr="00906AFB">
              <w:rPr>
                <w:rFonts w:ascii="Arial" w:hAnsi="Arial" w:cs="Arial"/>
                <w:b/>
                <w:sz w:val="20"/>
                <w:szCs w:val="20"/>
              </w:rPr>
              <w:t>I</w:t>
            </w:r>
          </w:p>
        </w:tc>
        <w:tc>
          <w:tcPr>
            <w:tcW w:w="1669" w:type="dxa"/>
            <w:tcBorders>
              <w:top w:val="single" w:sz="4" w:space="0" w:color="auto"/>
              <w:left w:val="single" w:sz="4" w:space="0" w:color="auto"/>
              <w:bottom w:val="single" w:sz="4" w:space="0" w:color="auto"/>
              <w:right w:val="single" w:sz="4" w:space="0" w:color="auto"/>
            </w:tcBorders>
            <w:noWrap/>
            <w:vAlign w:val="center"/>
            <w:hideMark/>
          </w:tcPr>
          <w:p w:rsidR="00C16A91" w:rsidRPr="00C35DCE" w:rsidRDefault="00C16A91" w:rsidP="002241D3">
            <w:pPr>
              <w:jc w:val="right"/>
              <w:rPr>
                <w:rFonts w:ascii="Arial" w:hAnsi="Arial" w:cs="Arial"/>
                <w:b/>
                <w:sz w:val="20"/>
              </w:rPr>
            </w:pPr>
            <w:r w:rsidRPr="00C35DCE">
              <w:rPr>
                <w:rFonts w:ascii="Arial" w:hAnsi="Arial" w:cs="Arial"/>
                <w:b/>
                <w:sz w:val="20"/>
              </w:rPr>
              <w:t>6,591,480,164</w:t>
            </w:r>
          </w:p>
        </w:tc>
      </w:tr>
      <w:tr w:rsidR="00C16A91" w:rsidRPr="00906AFB" w:rsidTr="00C16A91">
        <w:trPr>
          <w:trHeight w:val="283"/>
          <w:jc w:val="center"/>
        </w:trPr>
        <w:tc>
          <w:tcPr>
            <w:tcW w:w="6021" w:type="dxa"/>
            <w:tcBorders>
              <w:top w:val="single" w:sz="4" w:space="0" w:color="auto"/>
              <w:left w:val="single" w:sz="4" w:space="0" w:color="auto"/>
              <w:bottom w:val="single" w:sz="4" w:space="0" w:color="auto"/>
              <w:right w:val="single" w:sz="4" w:space="0" w:color="auto"/>
            </w:tcBorders>
            <w:noWrap/>
            <w:vAlign w:val="center"/>
            <w:hideMark/>
          </w:tcPr>
          <w:p w:rsidR="00C16A91" w:rsidRPr="00906AFB" w:rsidRDefault="00C16A91" w:rsidP="002241D3">
            <w:pPr>
              <w:rPr>
                <w:rFonts w:ascii="Arial" w:hAnsi="Arial" w:cs="Arial"/>
                <w:b/>
                <w:sz w:val="20"/>
                <w:szCs w:val="20"/>
              </w:rPr>
            </w:pPr>
            <w:r w:rsidRPr="00906AFB">
              <w:rPr>
                <w:rFonts w:ascii="Arial" w:hAnsi="Arial" w:cs="Arial"/>
                <w:b/>
                <w:sz w:val="20"/>
                <w:szCs w:val="20"/>
              </w:rPr>
              <w:t>Participaciones a Entidades Federativas y Municipios</w:t>
            </w:r>
          </w:p>
        </w:tc>
        <w:tc>
          <w:tcPr>
            <w:tcW w:w="750" w:type="dxa"/>
            <w:tcBorders>
              <w:top w:val="single" w:sz="4" w:space="0" w:color="auto"/>
              <w:left w:val="single" w:sz="4" w:space="0" w:color="auto"/>
              <w:bottom w:val="single" w:sz="4" w:space="0" w:color="auto"/>
              <w:right w:val="single" w:sz="4" w:space="0" w:color="auto"/>
            </w:tcBorders>
            <w:noWrap/>
            <w:vAlign w:val="center"/>
            <w:hideMark/>
          </w:tcPr>
          <w:p w:rsidR="00C16A91" w:rsidRPr="00906AFB" w:rsidRDefault="00C16A91" w:rsidP="002241D3">
            <w:pPr>
              <w:jc w:val="center"/>
              <w:rPr>
                <w:rFonts w:ascii="Arial" w:hAnsi="Arial" w:cs="Arial"/>
                <w:b/>
                <w:sz w:val="20"/>
                <w:szCs w:val="20"/>
              </w:rPr>
            </w:pPr>
            <w:r w:rsidRPr="00906AFB">
              <w:rPr>
                <w:rFonts w:ascii="Arial" w:hAnsi="Arial" w:cs="Arial"/>
                <w:b/>
                <w:sz w:val="20"/>
                <w:szCs w:val="20"/>
              </w:rPr>
              <w:t>C</w:t>
            </w:r>
          </w:p>
        </w:tc>
        <w:tc>
          <w:tcPr>
            <w:tcW w:w="1669" w:type="dxa"/>
            <w:tcBorders>
              <w:top w:val="single" w:sz="4" w:space="0" w:color="auto"/>
              <w:left w:val="single" w:sz="4" w:space="0" w:color="auto"/>
              <w:bottom w:val="single" w:sz="4" w:space="0" w:color="auto"/>
              <w:right w:val="single" w:sz="4" w:space="0" w:color="auto"/>
            </w:tcBorders>
            <w:noWrap/>
            <w:vAlign w:val="center"/>
            <w:hideMark/>
          </w:tcPr>
          <w:p w:rsidR="00C16A91" w:rsidRPr="00C35DCE" w:rsidRDefault="00C16A91" w:rsidP="002241D3">
            <w:pPr>
              <w:jc w:val="right"/>
              <w:rPr>
                <w:rFonts w:ascii="Arial" w:hAnsi="Arial" w:cs="Arial"/>
                <w:b/>
                <w:sz w:val="20"/>
              </w:rPr>
            </w:pPr>
            <w:r w:rsidRPr="00C35DCE">
              <w:rPr>
                <w:rFonts w:ascii="Arial" w:hAnsi="Arial" w:cs="Arial"/>
                <w:b/>
                <w:sz w:val="20"/>
              </w:rPr>
              <w:t>1,212,713,780</w:t>
            </w:r>
          </w:p>
        </w:tc>
      </w:tr>
      <w:tr w:rsidR="00C16A91" w:rsidRPr="00906AFB" w:rsidTr="00C16A91">
        <w:trPr>
          <w:trHeight w:val="283"/>
          <w:jc w:val="center"/>
        </w:trPr>
        <w:tc>
          <w:tcPr>
            <w:tcW w:w="6021" w:type="dxa"/>
            <w:tcBorders>
              <w:top w:val="single" w:sz="4" w:space="0" w:color="auto"/>
              <w:left w:val="single" w:sz="4" w:space="0" w:color="auto"/>
              <w:bottom w:val="single" w:sz="4" w:space="0" w:color="auto"/>
              <w:right w:val="single" w:sz="4" w:space="0" w:color="auto"/>
            </w:tcBorders>
            <w:noWrap/>
            <w:vAlign w:val="center"/>
            <w:hideMark/>
          </w:tcPr>
          <w:p w:rsidR="00C16A91" w:rsidRPr="00906AFB" w:rsidRDefault="00C16A91" w:rsidP="002241D3">
            <w:pPr>
              <w:rPr>
                <w:rFonts w:ascii="Arial" w:hAnsi="Arial" w:cs="Arial"/>
                <w:b/>
                <w:sz w:val="20"/>
                <w:szCs w:val="20"/>
              </w:rPr>
            </w:pPr>
            <w:r w:rsidRPr="00906AFB">
              <w:rPr>
                <w:rFonts w:ascii="Arial" w:hAnsi="Arial" w:cs="Arial"/>
                <w:b/>
                <w:sz w:val="20"/>
                <w:szCs w:val="20"/>
              </w:rPr>
              <w:t>Costo financiero, Deuda o Apoyos a Deudores y Ahorradores de la Banca</w:t>
            </w:r>
          </w:p>
        </w:tc>
        <w:tc>
          <w:tcPr>
            <w:tcW w:w="750" w:type="dxa"/>
            <w:tcBorders>
              <w:top w:val="single" w:sz="4" w:space="0" w:color="auto"/>
              <w:left w:val="single" w:sz="4" w:space="0" w:color="auto"/>
              <w:bottom w:val="single" w:sz="4" w:space="0" w:color="auto"/>
              <w:right w:val="single" w:sz="4" w:space="0" w:color="auto"/>
            </w:tcBorders>
            <w:noWrap/>
            <w:vAlign w:val="center"/>
            <w:hideMark/>
          </w:tcPr>
          <w:p w:rsidR="00C16A91" w:rsidRPr="00906AFB" w:rsidRDefault="00C16A91" w:rsidP="002241D3">
            <w:pPr>
              <w:jc w:val="center"/>
              <w:rPr>
                <w:rFonts w:ascii="Arial" w:hAnsi="Arial" w:cs="Arial"/>
                <w:b/>
                <w:sz w:val="20"/>
                <w:szCs w:val="20"/>
              </w:rPr>
            </w:pPr>
            <w:r w:rsidRPr="00906AFB">
              <w:rPr>
                <w:rFonts w:ascii="Arial" w:hAnsi="Arial" w:cs="Arial"/>
                <w:b/>
                <w:sz w:val="20"/>
                <w:szCs w:val="20"/>
              </w:rPr>
              <w:t>D</w:t>
            </w:r>
          </w:p>
        </w:tc>
        <w:tc>
          <w:tcPr>
            <w:tcW w:w="1669" w:type="dxa"/>
            <w:tcBorders>
              <w:top w:val="single" w:sz="4" w:space="0" w:color="auto"/>
              <w:left w:val="single" w:sz="4" w:space="0" w:color="auto"/>
              <w:bottom w:val="single" w:sz="4" w:space="0" w:color="auto"/>
              <w:right w:val="single" w:sz="4" w:space="0" w:color="auto"/>
            </w:tcBorders>
            <w:noWrap/>
            <w:vAlign w:val="center"/>
            <w:hideMark/>
          </w:tcPr>
          <w:p w:rsidR="00C16A91" w:rsidRPr="00C35DCE" w:rsidRDefault="00C16A91" w:rsidP="002241D3">
            <w:pPr>
              <w:jc w:val="right"/>
              <w:rPr>
                <w:rFonts w:ascii="Arial" w:hAnsi="Arial" w:cs="Arial"/>
                <w:b/>
                <w:sz w:val="20"/>
              </w:rPr>
            </w:pPr>
            <w:r w:rsidRPr="00C35DCE">
              <w:rPr>
                <w:rFonts w:ascii="Arial" w:hAnsi="Arial" w:cs="Arial"/>
                <w:b/>
                <w:sz w:val="20"/>
              </w:rPr>
              <w:t>355,005,670</w:t>
            </w:r>
          </w:p>
        </w:tc>
      </w:tr>
      <w:tr w:rsidR="00C16A91" w:rsidRPr="00906AFB" w:rsidTr="00C16A91">
        <w:trPr>
          <w:trHeight w:val="283"/>
          <w:jc w:val="center"/>
        </w:trPr>
        <w:tc>
          <w:tcPr>
            <w:tcW w:w="6021" w:type="dxa"/>
            <w:tcBorders>
              <w:top w:val="single" w:sz="4" w:space="0" w:color="auto"/>
              <w:left w:val="single" w:sz="4" w:space="0" w:color="auto"/>
              <w:bottom w:val="single" w:sz="4" w:space="0" w:color="auto"/>
              <w:right w:val="single" w:sz="4" w:space="0" w:color="auto"/>
            </w:tcBorders>
            <w:noWrap/>
            <w:vAlign w:val="center"/>
            <w:hideMark/>
          </w:tcPr>
          <w:p w:rsidR="00C16A91" w:rsidRPr="00906AFB" w:rsidRDefault="00C16A91" w:rsidP="002241D3">
            <w:pPr>
              <w:rPr>
                <w:rFonts w:ascii="Arial" w:hAnsi="Arial" w:cs="Arial"/>
                <w:b/>
                <w:sz w:val="20"/>
                <w:szCs w:val="20"/>
              </w:rPr>
            </w:pPr>
            <w:r w:rsidRPr="00906AFB">
              <w:rPr>
                <w:rFonts w:ascii="Arial" w:hAnsi="Arial" w:cs="Arial"/>
                <w:b/>
                <w:sz w:val="20"/>
                <w:szCs w:val="20"/>
              </w:rPr>
              <w:t>Adeudos de Ejercicios Fiscales Anteriores</w:t>
            </w:r>
          </w:p>
        </w:tc>
        <w:tc>
          <w:tcPr>
            <w:tcW w:w="750" w:type="dxa"/>
            <w:tcBorders>
              <w:top w:val="single" w:sz="4" w:space="0" w:color="auto"/>
              <w:left w:val="single" w:sz="4" w:space="0" w:color="auto"/>
              <w:bottom w:val="single" w:sz="4" w:space="0" w:color="auto"/>
              <w:right w:val="single" w:sz="4" w:space="0" w:color="auto"/>
            </w:tcBorders>
            <w:noWrap/>
            <w:vAlign w:val="center"/>
            <w:hideMark/>
          </w:tcPr>
          <w:p w:rsidR="00C16A91" w:rsidRPr="00906AFB" w:rsidRDefault="00C16A91" w:rsidP="002241D3">
            <w:pPr>
              <w:jc w:val="center"/>
              <w:rPr>
                <w:rFonts w:ascii="Arial" w:hAnsi="Arial" w:cs="Arial"/>
                <w:b/>
                <w:sz w:val="20"/>
                <w:szCs w:val="20"/>
              </w:rPr>
            </w:pPr>
            <w:r w:rsidRPr="00906AFB">
              <w:rPr>
                <w:rFonts w:ascii="Arial" w:hAnsi="Arial" w:cs="Arial"/>
                <w:b/>
                <w:sz w:val="20"/>
                <w:szCs w:val="20"/>
              </w:rPr>
              <w:t>H</w:t>
            </w:r>
          </w:p>
        </w:tc>
        <w:tc>
          <w:tcPr>
            <w:tcW w:w="1669" w:type="dxa"/>
            <w:tcBorders>
              <w:top w:val="single" w:sz="4" w:space="0" w:color="auto"/>
              <w:left w:val="single" w:sz="4" w:space="0" w:color="auto"/>
              <w:bottom w:val="single" w:sz="4" w:space="0" w:color="auto"/>
              <w:right w:val="single" w:sz="4" w:space="0" w:color="auto"/>
            </w:tcBorders>
            <w:noWrap/>
            <w:vAlign w:val="center"/>
            <w:hideMark/>
          </w:tcPr>
          <w:p w:rsidR="00C16A91" w:rsidRPr="00C35DCE" w:rsidRDefault="00C16A91" w:rsidP="002241D3">
            <w:pPr>
              <w:jc w:val="right"/>
              <w:rPr>
                <w:rFonts w:ascii="Arial" w:hAnsi="Arial" w:cs="Arial"/>
                <w:b/>
                <w:sz w:val="20"/>
              </w:rPr>
            </w:pPr>
            <w:r w:rsidRPr="00C35DCE">
              <w:rPr>
                <w:rFonts w:ascii="Arial" w:hAnsi="Arial" w:cs="Arial"/>
                <w:b/>
                <w:sz w:val="20"/>
              </w:rPr>
              <w:t>55,000,000</w:t>
            </w:r>
          </w:p>
        </w:tc>
      </w:tr>
      <w:tr w:rsidR="00C16A91" w:rsidRPr="00906AFB" w:rsidTr="00C16A91">
        <w:trPr>
          <w:trHeight w:val="283"/>
          <w:jc w:val="center"/>
        </w:trPr>
        <w:tc>
          <w:tcPr>
            <w:tcW w:w="6021" w:type="dxa"/>
            <w:tcBorders>
              <w:top w:val="single" w:sz="4" w:space="0" w:color="auto"/>
              <w:left w:val="single" w:sz="4" w:space="0" w:color="auto"/>
              <w:bottom w:val="single" w:sz="4" w:space="0" w:color="auto"/>
              <w:right w:val="single" w:sz="4" w:space="0" w:color="auto"/>
            </w:tcBorders>
            <w:noWrap/>
            <w:vAlign w:val="center"/>
            <w:hideMark/>
          </w:tcPr>
          <w:p w:rsidR="00C16A91" w:rsidRPr="00906AFB" w:rsidRDefault="00C16A91" w:rsidP="002241D3">
            <w:pPr>
              <w:jc w:val="center"/>
              <w:rPr>
                <w:rFonts w:ascii="Arial" w:hAnsi="Arial" w:cs="Arial"/>
                <w:b/>
                <w:bCs/>
                <w:sz w:val="20"/>
                <w:szCs w:val="20"/>
              </w:rPr>
            </w:pPr>
            <w:r w:rsidRPr="00906AFB">
              <w:rPr>
                <w:rFonts w:ascii="Arial" w:hAnsi="Arial" w:cs="Arial"/>
                <w:b/>
                <w:bCs/>
                <w:sz w:val="20"/>
                <w:szCs w:val="20"/>
              </w:rPr>
              <w:t>Total</w:t>
            </w:r>
          </w:p>
        </w:tc>
        <w:tc>
          <w:tcPr>
            <w:tcW w:w="750" w:type="dxa"/>
            <w:tcBorders>
              <w:top w:val="single" w:sz="4" w:space="0" w:color="auto"/>
              <w:left w:val="single" w:sz="4" w:space="0" w:color="auto"/>
              <w:bottom w:val="single" w:sz="4" w:space="0" w:color="auto"/>
              <w:right w:val="single" w:sz="4" w:space="0" w:color="auto"/>
            </w:tcBorders>
            <w:noWrap/>
            <w:vAlign w:val="center"/>
            <w:hideMark/>
          </w:tcPr>
          <w:p w:rsidR="00C16A91" w:rsidRPr="00906AFB" w:rsidRDefault="00C16A91" w:rsidP="002241D3">
            <w:pPr>
              <w:jc w:val="both"/>
              <w:rPr>
                <w:rFonts w:ascii="Arial" w:hAnsi="Arial" w:cs="Arial"/>
                <w:b/>
                <w:bCs/>
                <w:sz w:val="20"/>
                <w:szCs w:val="20"/>
              </w:rPr>
            </w:pPr>
          </w:p>
        </w:tc>
        <w:tc>
          <w:tcPr>
            <w:tcW w:w="1669" w:type="dxa"/>
            <w:tcBorders>
              <w:top w:val="single" w:sz="4" w:space="0" w:color="auto"/>
              <w:left w:val="single" w:sz="4" w:space="0" w:color="auto"/>
              <w:bottom w:val="single" w:sz="4" w:space="0" w:color="auto"/>
              <w:right w:val="single" w:sz="4" w:space="0" w:color="auto"/>
            </w:tcBorders>
            <w:noWrap/>
            <w:vAlign w:val="center"/>
            <w:hideMark/>
          </w:tcPr>
          <w:p w:rsidR="00C16A91" w:rsidRPr="00C35DCE" w:rsidRDefault="002241D3" w:rsidP="002241D3">
            <w:pPr>
              <w:jc w:val="right"/>
              <w:rPr>
                <w:rFonts w:ascii="Arial" w:hAnsi="Arial" w:cs="Arial"/>
                <w:b/>
                <w:sz w:val="20"/>
              </w:rPr>
            </w:pPr>
            <w:r w:rsidRPr="002241D3">
              <w:rPr>
                <w:rFonts w:ascii="Arial" w:hAnsi="Arial" w:cs="Arial"/>
                <w:b/>
                <w:sz w:val="20"/>
              </w:rPr>
              <w:t>15,517,525,000</w:t>
            </w:r>
          </w:p>
        </w:tc>
      </w:tr>
    </w:tbl>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b/>
          <w:sz w:val="24"/>
          <w:szCs w:val="24"/>
          <w:lang w:val="es-ES" w:eastAsia="en-US"/>
        </w:rPr>
        <w:lastRenderedPageBreak/>
        <w:t>Artículo 20</w:t>
      </w:r>
      <w:r w:rsidRPr="00906AFB">
        <w:rPr>
          <w:rFonts w:ascii="Arial" w:eastAsia="Calibri" w:hAnsi="Arial" w:cs="Arial"/>
          <w:sz w:val="24"/>
          <w:szCs w:val="24"/>
          <w:lang w:val="es-ES" w:eastAsia="en-US"/>
        </w:rPr>
        <w:t>. Los Programas con recursos concurrentes provenientes de transferencias federales, estatales, municipales e ingresos propios ascienden a $776,013,572</w:t>
      </w:r>
      <w:r w:rsidRPr="00906AFB">
        <w:rPr>
          <w:rFonts w:ascii="Arial" w:eastAsia="Calibri" w:hAnsi="Arial" w:cs="Arial"/>
          <w:color w:val="FF0000"/>
          <w:sz w:val="24"/>
          <w:szCs w:val="24"/>
          <w:lang w:val="es-ES" w:eastAsia="en-US"/>
        </w:rPr>
        <w:t xml:space="preserve"> </w:t>
      </w:r>
      <w:r w:rsidRPr="00906AFB">
        <w:rPr>
          <w:rFonts w:ascii="Arial" w:eastAsia="Calibri" w:hAnsi="Arial" w:cs="Arial"/>
          <w:sz w:val="24"/>
          <w:szCs w:val="24"/>
          <w:lang w:val="es-ES" w:eastAsia="en-US"/>
        </w:rPr>
        <w:t>y se distribuyen de la siguiente forma:</w:t>
      </w:r>
    </w:p>
    <w:p w:rsidR="00906AFB" w:rsidRPr="00A542BF" w:rsidRDefault="00906AFB" w:rsidP="00906AFB">
      <w:pPr>
        <w:spacing w:after="0" w:line="240" w:lineRule="auto"/>
        <w:jc w:val="both"/>
        <w:rPr>
          <w:rFonts w:ascii="Arial" w:eastAsia="Calibri" w:hAnsi="Arial" w:cs="Arial"/>
          <w:sz w:val="18"/>
          <w:szCs w:val="24"/>
          <w:lang w:val="es-ES" w:eastAsia="en-US"/>
        </w:rPr>
      </w:pPr>
    </w:p>
    <w:p w:rsidR="00906AFB" w:rsidRPr="00906AFB" w:rsidRDefault="00906AFB" w:rsidP="00906AFB">
      <w:pPr>
        <w:keepNext/>
        <w:keepLines/>
        <w:spacing w:after="0" w:line="240" w:lineRule="auto"/>
        <w:jc w:val="center"/>
        <w:outlineLvl w:val="1"/>
        <w:rPr>
          <w:rFonts w:ascii="Arial" w:eastAsia="Times New Roman" w:hAnsi="Arial" w:cs="Times New Roman"/>
          <w:b/>
          <w:sz w:val="20"/>
          <w:szCs w:val="26"/>
          <w:lang w:val="es-ES" w:eastAsia="en-US"/>
        </w:rPr>
      </w:pPr>
      <w:r w:rsidRPr="00906AFB">
        <w:rPr>
          <w:rFonts w:ascii="Arial" w:eastAsia="Times New Roman" w:hAnsi="Arial" w:cs="Times New Roman"/>
          <w:b/>
          <w:sz w:val="20"/>
          <w:szCs w:val="26"/>
          <w:lang w:val="es-ES" w:eastAsia="en-US"/>
        </w:rPr>
        <w:t>Tabla 24. Programas con Recursos Concurrentes por Orden de Gobierno</w:t>
      </w:r>
    </w:p>
    <w:tbl>
      <w:tblPr>
        <w:tblStyle w:val="Tablaconcuadrcula2"/>
        <w:tblW w:w="8925" w:type="dxa"/>
        <w:tblInd w:w="0" w:type="dxa"/>
        <w:tblLayout w:type="fixed"/>
        <w:tblLook w:val="04A0" w:firstRow="1" w:lastRow="0" w:firstColumn="1" w:lastColumn="0" w:noHBand="0" w:noVBand="1"/>
      </w:tblPr>
      <w:tblGrid>
        <w:gridCol w:w="1554"/>
        <w:gridCol w:w="992"/>
        <w:gridCol w:w="992"/>
        <w:gridCol w:w="567"/>
        <w:gridCol w:w="992"/>
        <w:gridCol w:w="567"/>
        <w:gridCol w:w="851"/>
        <w:gridCol w:w="567"/>
        <w:gridCol w:w="850"/>
        <w:gridCol w:w="993"/>
      </w:tblGrid>
      <w:tr w:rsidR="00906AFB" w:rsidRPr="00906AFB" w:rsidTr="00906AFB">
        <w:trPr>
          <w:trHeight w:val="300"/>
        </w:trPr>
        <w:tc>
          <w:tcPr>
            <w:tcW w:w="1555" w:type="dxa"/>
            <w:vMerge w:val="restart"/>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rPr>
                <w:rFonts w:ascii="Arial" w:hAnsi="Arial" w:cs="Arial"/>
                <w:b/>
                <w:bCs/>
                <w:sz w:val="12"/>
                <w:szCs w:val="16"/>
              </w:rPr>
            </w:pPr>
            <w:r w:rsidRPr="00906AFB">
              <w:rPr>
                <w:rFonts w:ascii="Arial" w:hAnsi="Arial" w:cs="Arial"/>
                <w:b/>
                <w:bCs/>
                <w:sz w:val="12"/>
                <w:szCs w:val="16"/>
              </w:rPr>
              <w:t>Nombre del Programa</w:t>
            </w: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center"/>
              <w:rPr>
                <w:rFonts w:ascii="Arial" w:hAnsi="Arial" w:cs="Arial"/>
                <w:b/>
                <w:bCs/>
                <w:sz w:val="12"/>
                <w:szCs w:val="16"/>
              </w:rPr>
            </w:pPr>
            <w:r w:rsidRPr="00906AFB">
              <w:rPr>
                <w:rFonts w:ascii="Arial" w:hAnsi="Arial" w:cs="Arial"/>
                <w:b/>
                <w:bCs/>
                <w:sz w:val="12"/>
                <w:szCs w:val="16"/>
              </w:rPr>
              <w:t>Federal</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center"/>
              <w:rPr>
                <w:rFonts w:ascii="Arial" w:hAnsi="Arial" w:cs="Arial"/>
                <w:b/>
                <w:bCs/>
                <w:sz w:val="12"/>
                <w:szCs w:val="16"/>
              </w:rPr>
            </w:pPr>
            <w:r w:rsidRPr="00906AFB">
              <w:rPr>
                <w:rFonts w:ascii="Arial" w:hAnsi="Arial" w:cs="Arial"/>
                <w:b/>
                <w:bCs/>
                <w:sz w:val="12"/>
                <w:szCs w:val="16"/>
              </w:rPr>
              <w:t>Estatal</w:t>
            </w: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center"/>
              <w:rPr>
                <w:rFonts w:ascii="Arial" w:hAnsi="Arial" w:cs="Arial"/>
                <w:b/>
                <w:bCs/>
                <w:sz w:val="12"/>
                <w:szCs w:val="16"/>
              </w:rPr>
            </w:pPr>
            <w:r w:rsidRPr="00906AFB">
              <w:rPr>
                <w:rFonts w:ascii="Arial" w:hAnsi="Arial" w:cs="Arial"/>
                <w:b/>
                <w:bCs/>
                <w:sz w:val="12"/>
                <w:szCs w:val="16"/>
              </w:rPr>
              <w:t>Municipal</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center"/>
              <w:rPr>
                <w:rFonts w:ascii="Arial" w:hAnsi="Arial" w:cs="Arial"/>
                <w:b/>
                <w:bCs/>
                <w:sz w:val="12"/>
                <w:szCs w:val="16"/>
              </w:rPr>
            </w:pPr>
            <w:r w:rsidRPr="00906AFB">
              <w:rPr>
                <w:rFonts w:ascii="Arial" w:hAnsi="Arial" w:cs="Arial"/>
                <w:b/>
                <w:bCs/>
                <w:sz w:val="12"/>
                <w:szCs w:val="16"/>
              </w:rPr>
              <w:t>Otros</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center"/>
              <w:rPr>
                <w:rFonts w:ascii="Arial" w:hAnsi="Arial" w:cs="Arial"/>
                <w:b/>
                <w:bCs/>
                <w:sz w:val="12"/>
                <w:szCs w:val="16"/>
              </w:rPr>
            </w:pPr>
            <w:r w:rsidRPr="00906AFB">
              <w:rPr>
                <w:rFonts w:ascii="Arial" w:hAnsi="Arial" w:cs="Arial"/>
                <w:b/>
                <w:bCs/>
                <w:sz w:val="12"/>
                <w:szCs w:val="16"/>
              </w:rPr>
              <w:t>Monto Total</w:t>
            </w:r>
          </w:p>
        </w:tc>
      </w:tr>
      <w:tr w:rsidR="00906AFB" w:rsidRPr="00906AFB" w:rsidTr="00906AFB">
        <w:trPr>
          <w:trHeight w:val="449"/>
        </w:trPr>
        <w:tc>
          <w:tcPr>
            <w:tcW w:w="1555" w:type="dxa"/>
            <w:vMerge/>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rPr>
                <w:rFonts w:ascii="Arial" w:hAnsi="Arial" w:cs="Arial"/>
                <w:b/>
                <w:bCs/>
                <w:sz w:val="12"/>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ind w:left="-108"/>
              <w:jc w:val="center"/>
              <w:rPr>
                <w:rFonts w:ascii="Arial" w:hAnsi="Arial" w:cs="Arial"/>
                <w:b/>
                <w:bCs/>
                <w:sz w:val="10"/>
                <w:szCs w:val="16"/>
              </w:rPr>
            </w:pPr>
            <w:r w:rsidRPr="00906AFB">
              <w:rPr>
                <w:rFonts w:ascii="Arial" w:hAnsi="Arial" w:cs="Arial"/>
                <w:b/>
                <w:bCs/>
                <w:sz w:val="10"/>
                <w:szCs w:val="16"/>
              </w:rPr>
              <w:t>Dependencia/ Entidad</w:t>
            </w:r>
          </w:p>
        </w:tc>
        <w:tc>
          <w:tcPr>
            <w:tcW w:w="992"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center"/>
              <w:rPr>
                <w:rFonts w:ascii="Arial" w:hAnsi="Arial" w:cs="Arial"/>
                <w:b/>
                <w:bCs/>
                <w:sz w:val="10"/>
                <w:szCs w:val="16"/>
              </w:rPr>
            </w:pPr>
            <w:r w:rsidRPr="00906AFB">
              <w:rPr>
                <w:rFonts w:ascii="Arial" w:hAnsi="Arial" w:cs="Arial"/>
                <w:b/>
                <w:bCs/>
                <w:sz w:val="10"/>
                <w:szCs w:val="16"/>
              </w:rPr>
              <w:t>Aportación</w:t>
            </w:r>
          </w:p>
        </w:tc>
        <w:tc>
          <w:tcPr>
            <w:tcW w:w="56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ind w:left="-108"/>
              <w:jc w:val="center"/>
              <w:rPr>
                <w:rFonts w:ascii="Arial" w:hAnsi="Arial" w:cs="Arial"/>
                <w:b/>
                <w:bCs/>
                <w:sz w:val="10"/>
                <w:szCs w:val="16"/>
              </w:rPr>
            </w:pPr>
            <w:r w:rsidRPr="00906AFB">
              <w:rPr>
                <w:rFonts w:ascii="Arial" w:hAnsi="Arial" w:cs="Arial"/>
                <w:b/>
                <w:bCs/>
                <w:sz w:val="10"/>
                <w:szCs w:val="16"/>
              </w:rPr>
              <w:t>Dependencia / Entidad</w:t>
            </w:r>
          </w:p>
        </w:tc>
        <w:tc>
          <w:tcPr>
            <w:tcW w:w="992"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center"/>
              <w:rPr>
                <w:rFonts w:ascii="Arial" w:hAnsi="Arial" w:cs="Arial"/>
                <w:b/>
                <w:bCs/>
                <w:sz w:val="10"/>
                <w:szCs w:val="16"/>
              </w:rPr>
            </w:pPr>
            <w:r w:rsidRPr="00906AFB">
              <w:rPr>
                <w:rFonts w:ascii="Arial" w:hAnsi="Arial" w:cs="Arial"/>
                <w:b/>
                <w:bCs/>
                <w:sz w:val="10"/>
                <w:szCs w:val="16"/>
              </w:rPr>
              <w:t>Aportación</w:t>
            </w:r>
          </w:p>
        </w:tc>
        <w:tc>
          <w:tcPr>
            <w:tcW w:w="56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ind w:left="-108" w:right="-18"/>
              <w:jc w:val="center"/>
              <w:rPr>
                <w:rFonts w:ascii="Arial" w:hAnsi="Arial" w:cs="Arial"/>
                <w:b/>
                <w:bCs/>
                <w:sz w:val="10"/>
                <w:szCs w:val="16"/>
              </w:rPr>
            </w:pPr>
            <w:r w:rsidRPr="00906AFB">
              <w:rPr>
                <w:rFonts w:ascii="Arial" w:hAnsi="Arial" w:cs="Arial"/>
                <w:b/>
                <w:bCs/>
                <w:sz w:val="10"/>
                <w:szCs w:val="16"/>
              </w:rPr>
              <w:t>Dependencia/ Entidad</w:t>
            </w:r>
          </w:p>
        </w:tc>
        <w:tc>
          <w:tcPr>
            <w:tcW w:w="851"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center"/>
              <w:rPr>
                <w:rFonts w:ascii="Arial" w:hAnsi="Arial" w:cs="Arial"/>
                <w:b/>
                <w:bCs/>
                <w:sz w:val="10"/>
                <w:szCs w:val="16"/>
              </w:rPr>
            </w:pPr>
            <w:r w:rsidRPr="00906AFB">
              <w:rPr>
                <w:rFonts w:ascii="Arial" w:hAnsi="Arial" w:cs="Arial"/>
                <w:b/>
                <w:bCs/>
                <w:sz w:val="10"/>
                <w:szCs w:val="16"/>
              </w:rPr>
              <w:t>Aportación</w:t>
            </w:r>
          </w:p>
        </w:tc>
        <w:tc>
          <w:tcPr>
            <w:tcW w:w="56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ind w:left="-108"/>
              <w:jc w:val="center"/>
              <w:rPr>
                <w:rFonts w:ascii="Arial" w:hAnsi="Arial" w:cs="Arial"/>
                <w:b/>
                <w:bCs/>
                <w:sz w:val="10"/>
                <w:szCs w:val="16"/>
              </w:rPr>
            </w:pPr>
            <w:r w:rsidRPr="00906AFB">
              <w:rPr>
                <w:rFonts w:ascii="Arial" w:hAnsi="Arial" w:cs="Arial"/>
                <w:b/>
                <w:bCs/>
                <w:sz w:val="10"/>
                <w:szCs w:val="16"/>
              </w:rPr>
              <w:t>Dependencia/ Entidad</w:t>
            </w:r>
          </w:p>
        </w:tc>
        <w:tc>
          <w:tcPr>
            <w:tcW w:w="85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center"/>
              <w:rPr>
                <w:rFonts w:ascii="Arial" w:hAnsi="Arial" w:cs="Arial"/>
                <w:b/>
                <w:bCs/>
                <w:sz w:val="10"/>
                <w:szCs w:val="16"/>
              </w:rPr>
            </w:pPr>
            <w:r w:rsidRPr="00906AFB">
              <w:rPr>
                <w:rFonts w:ascii="Arial" w:hAnsi="Arial" w:cs="Arial"/>
                <w:b/>
                <w:bCs/>
                <w:sz w:val="10"/>
                <w:szCs w:val="16"/>
              </w:rPr>
              <w:t>Aportación</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rPr>
                <w:rFonts w:ascii="Arial" w:hAnsi="Arial" w:cs="Arial"/>
                <w:b/>
                <w:bCs/>
                <w:sz w:val="12"/>
                <w:szCs w:val="16"/>
              </w:rPr>
            </w:pPr>
          </w:p>
        </w:tc>
      </w:tr>
      <w:tr w:rsidR="00906AFB" w:rsidRPr="00906AFB" w:rsidTr="00A542BF">
        <w:trPr>
          <w:trHeight w:val="360"/>
        </w:trPr>
        <w:tc>
          <w:tcPr>
            <w:tcW w:w="1555"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rPr>
                <w:rFonts w:ascii="Arial" w:hAnsi="Arial" w:cs="Arial"/>
                <w:sz w:val="12"/>
                <w:szCs w:val="16"/>
              </w:rPr>
            </w:pPr>
            <w:r w:rsidRPr="00906AFB">
              <w:rPr>
                <w:rFonts w:ascii="Arial" w:hAnsi="Arial" w:cs="Arial"/>
                <w:sz w:val="12"/>
                <w:szCs w:val="16"/>
              </w:rPr>
              <w:t>Programa de Apoyo al Empleo</w:t>
            </w:r>
          </w:p>
        </w:tc>
        <w:tc>
          <w:tcPr>
            <w:tcW w:w="992"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rPr>
                <w:rFonts w:ascii="Arial" w:hAnsi="Arial" w:cs="Arial"/>
                <w:sz w:val="12"/>
                <w:szCs w:val="16"/>
              </w:rPr>
            </w:pPr>
            <w:r w:rsidRPr="00906AFB">
              <w:rPr>
                <w:rFonts w:ascii="Arial" w:hAnsi="Arial" w:cs="Arial"/>
                <w:sz w:val="12"/>
                <w:szCs w:val="16"/>
              </w:rPr>
              <w:t>STPS</w:t>
            </w:r>
          </w:p>
        </w:tc>
        <w:tc>
          <w:tcPr>
            <w:tcW w:w="992"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23,587,824</w:t>
            </w:r>
          </w:p>
        </w:tc>
        <w:tc>
          <w:tcPr>
            <w:tcW w:w="56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center"/>
              <w:rPr>
                <w:rFonts w:ascii="Arial" w:hAnsi="Arial" w:cs="Arial"/>
                <w:sz w:val="12"/>
                <w:szCs w:val="16"/>
              </w:rPr>
            </w:pPr>
            <w:r w:rsidRPr="00906AFB">
              <w:rPr>
                <w:rFonts w:ascii="Arial" w:hAnsi="Arial" w:cs="Arial"/>
                <w:sz w:val="12"/>
                <w:szCs w:val="16"/>
              </w:rPr>
              <w:t>SPyF</w:t>
            </w:r>
          </w:p>
        </w:tc>
        <w:tc>
          <w:tcPr>
            <w:tcW w:w="992"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6,066,116</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 </w:t>
            </w:r>
          </w:p>
        </w:tc>
        <w:tc>
          <w:tcPr>
            <w:tcW w:w="851"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 </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 </w:t>
            </w:r>
          </w:p>
        </w:tc>
        <w:tc>
          <w:tcPr>
            <w:tcW w:w="85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 </w:t>
            </w:r>
          </w:p>
        </w:tc>
        <w:tc>
          <w:tcPr>
            <w:tcW w:w="993"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right"/>
              <w:rPr>
                <w:rFonts w:ascii="Arial" w:hAnsi="Arial" w:cs="Arial"/>
                <w:b/>
                <w:sz w:val="12"/>
                <w:szCs w:val="16"/>
              </w:rPr>
            </w:pPr>
            <w:r w:rsidRPr="00906AFB">
              <w:rPr>
                <w:rFonts w:ascii="Arial" w:hAnsi="Arial" w:cs="Arial"/>
                <w:b/>
                <w:sz w:val="12"/>
                <w:szCs w:val="16"/>
              </w:rPr>
              <w:t>29,653,940</w:t>
            </w:r>
          </w:p>
        </w:tc>
      </w:tr>
      <w:tr w:rsidR="00906AFB" w:rsidRPr="00906AFB" w:rsidTr="00906AFB">
        <w:trPr>
          <w:trHeight w:val="510"/>
        </w:trPr>
        <w:tc>
          <w:tcPr>
            <w:tcW w:w="1555"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rPr>
                <w:rFonts w:ascii="Arial" w:hAnsi="Arial" w:cs="Arial"/>
                <w:sz w:val="12"/>
                <w:szCs w:val="16"/>
              </w:rPr>
            </w:pPr>
            <w:r w:rsidRPr="00906AFB">
              <w:rPr>
                <w:rFonts w:ascii="Arial" w:hAnsi="Arial" w:cs="Arial"/>
                <w:sz w:val="12"/>
                <w:szCs w:val="16"/>
              </w:rPr>
              <w:t>Fondo de Aportaciones para la Seguridad Pública (FASP)</w:t>
            </w:r>
          </w:p>
        </w:tc>
        <w:tc>
          <w:tcPr>
            <w:tcW w:w="992"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rPr>
                <w:rFonts w:ascii="Arial" w:hAnsi="Arial" w:cs="Arial"/>
                <w:sz w:val="12"/>
                <w:szCs w:val="16"/>
              </w:rPr>
            </w:pPr>
            <w:r w:rsidRPr="00906AFB">
              <w:rPr>
                <w:rFonts w:ascii="Arial" w:hAnsi="Arial" w:cs="Arial"/>
                <w:sz w:val="12"/>
                <w:szCs w:val="16"/>
              </w:rPr>
              <w:t>SHCP</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162,126,966</w:t>
            </w:r>
          </w:p>
        </w:tc>
        <w:tc>
          <w:tcPr>
            <w:tcW w:w="56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center"/>
              <w:rPr>
                <w:rFonts w:ascii="Arial" w:hAnsi="Arial" w:cs="Arial"/>
                <w:sz w:val="12"/>
                <w:szCs w:val="16"/>
              </w:rPr>
            </w:pPr>
            <w:r w:rsidRPr="00906AFB">
              <w:rPr>
                <w:rFonts w:ascii="Arial" w:hAnsi="Arial" w:cs="Arial"/>
                <w:sz w:val="12"/>
                <w:szCs w:val="16"/>
              </w:rPr>
              <w:t>SPyF</w:t>
            </w:r>
          </w:p>
        </w:tc>
        <w:tc>
          <w:tcPr>
            <w:tcW w:w="992"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40,531,742</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 </w:t>
            </w:r>
          </w:p>
        </w:tc>
        <w:tc>
          <w:tcPr>
            <w:tcW w:w="851"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 </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 </w:t>
            </w:r>
          </w:p>
        </w:tc>
        <w:tc>
          <w:tcPr>
            <w:tcW w:w="85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 </w:t>
            </w:r>
          </w:p>
        </w:tc>
        <w:tc>
          <w:tcPr>
            <w:tcW w:w="993"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right"/>
              <w:rPr>
                <w:rFonts w:ascii="Arial" w:hAnsi="Arial" w:cs="Arial"/>
                <w:b/>
                <w:sz w:val="12"/>
                <w:szCs w:val="16"/>
              </w:rPr>
            </w:pPr>
            <w:r w:rsidRPr="00906AFB">
              <w:rPr>
                <w:rFonts w:ascii="Arial" w:hAnsi="Arial" w:cs="Arial"/>
                <w:b/>
                <w:sz w:val="12"/>
                <w:szCs w:val="16"/>
              </w:rPr>
              <w:t>202,658,708</w:t>
            </w:r>
          </w:p>
        </w:tc>
      </w:tr>
      <w:tr w:rsidR="00906AFB" w:rsidRPr="00906AFB" w:rsidTr="00906AFB">
        <w:trPr>
          <w:trHeight w:val="333"/>
        </w:trPr>
        <w:tc>
          <w:tcPr>
            <w:tcW w:w="1555"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rPr>
                <w:rFonts w:ascii="Arial" w:hAnsi="Arial" w:cs="Arial"/>
                <w:sz w:val="12"/>
                <w:szCs w:val="16"/>
              </w:rPr>
            </w:pPr>
            <w:r w:rsidRPr="00906AFB">
              <w:rPr>
                <w:rFonts w:ascii="Arial" w:hAnsi="Arial" w:cs="Arial"/>
                <w:sz w:val="12"/>
                <w:szCs w:val="16"/>
              </w:rPr>
              <w:t xml:space="preserve">Apartado Agua Limpia </w:t>
            </w:r>
          </w:p>
        </w:tc>
        <w:tc>
          <w:tcPr>
            <w:tcW w:w="992"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rPr>
                <w:rFonts w:ascii="Arial" w:hAnsi="Arial" w:cs="Arial"/>
                <w:sz w:val="12"/>
                <w:szCs w:val="16"/>
              </w:rPr>
            </w:pPr>
            <w:r w:rsidRPr="00906AFB">
              <w:rPr>
                <w:rFonts w:ascii="Arial" w:hAnsi="Arial" w:cs="Arial"/>
                <w:sz w:val="12"/>
                <w:szCs w:val="16"/>
              </w:rPr>
              <w:t>SEMARNAT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996,477</w:t>
            </w:r>
          </w:p>
        </w:tc>
        <w:tc>
          <w:tcPr>
            <w:tcW w:w="56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center"/>
              <w:rPr>
                <w:rFonts w:ascii="Arial" w:hAnsi="Arial" w:cs="Arial"/>
                <w:sz w:val="12"/>
                <w:szCs w:val="16"/>
              </w:rPr>
            </w:pPr>
            <w:r w:rsidRPr="00906AFB">
              <w:rPr>
                <w:rFonts w:ascii="Arial" w:hAnsi="Arial" w:cs="Arial"/>
                <w:sz w:val="12"/>
                <w:szCs w:val="16"/>
              </w:rPr>
              <w:t>SPyF</w:t>
            </w:r>
          </w:p>
        </w:tc>
        <w:tc>
          <w:tcPr>
            <w:tcW w:w="992"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592,917</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 </w:t>
            </w:r>
          </w:p>
        </w:tc>
        <w:tc>
          <w:tcPr>
            <w:tcW w:w="851"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 </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 </w:t>
            </w:r>
          </w:p>
        </w:tc>
        <w:tc>
          <w:tcPr>
            <w:tcW w:w="85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 </w:t>
            </w:r>
          </w:p>
        </w:tc>
        <w:tc>
          <w:tcPr>
            <w:tcW w:w="993"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right"/>
              <w:rPr>
                <w:rFonts w:ascii="Arial" w:hAnsi="Arial" w:cs="Arial"/>
                <w:b/>
                <w:sz w:val="12"/>
                <w:szCs w:val="16"/>
              </w:rPr>
            </w:pPr>
            <w:r w:rsidRPr="00906AFB">
              <w:rPr>
                <w:rFonts w:ascii="Arial" w:hAnsi="Arial" w:cs="Arial"/>
                <w:b/>
                <w:sz w:val="12"/>
                <w:szCs w:val="16"/>
              </w:rPr>
              <w:t>1,589,394</w:t>
            </w:r>
          </w:p>
        </w:tc>
      </w:tr>
      <w:tr w:rsidR="00906AFB" w:rsidRPr="00906AFB" w:rsidTr="00A542BF">
        <w:trPr>
          <w:trHeight w:val="252"/>
        </w:trPr>
        <w:tc>
          <w:tcPr>
            <w:tcW w:w="1555"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rPr>
                <w:rFonts w:ascii="Arial" w:hAnsi="Arial" w:cs="Arial"/>
                <w:sz w:val="12"/>
                <w:szCs w:val="16"/>
              </w:rPr>
            </w:pPr>
            <w:r w:rsidRPr="00906AFB">
              <w:rPr>
                <w:rFonts w:ascii="Arial" w:hAnsi="Arial" w:cs="Arial"/>
                <w:sz w:val="12"/>
                <w:szCs w:val="16"/>
              </w:rPr>
              <w:t xml:space="preserve">APARURAL </w:t>
            </w:r>
          </w:p>
        </w:tc>
        <w:tc>
          <w:tcPr>
            <w:tcW w:w="992"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rPr>
                <w:rFonts w:ascii="Arial" w:hAnsi="Arial" w:cs="Arial"/>
                <w:sz w:val="12"/>
                <w:szCs w:val="16"/>
              </w:rPr>
            </w:pPr>
            <w:r w:rsidRPr="00906AFB">
              <w:rPr>
                <w:rFonts w:ascii="Arial" w:hAnsi="Arial" w:cs="Arial"/>
                <w:sz w:val="12"/>
                <w:szCs w:val="16"/>
              </w:rPr>
              <w:t>SEMARNAT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12,754,014</w:t>
            </w:r>
          </w:p>
        </w:tc>
        <w:tc>
          <w:tcPr>
            <w:tcW w:w="56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center"/>
              <w:rPr>
                <w:rFonts w:ascii="Arial" w:hAnsi="Arial" w:cs="Arial"/>
                <w:sz w:val="12"/>
                <w:szCs w:val="16"/>
              </w:rPr>
            </w:pPr>
            <w:r w:rsidRPr="00906AFB">
              <w:rPr>
                <w:rFonts w:ascii="Arial" w:hAnsi="Arial" w:cs="Arial"/>
                <w:sz w:val="12"/>
                <w:szCs w:val="16"/>
              </w:rPr>
              <w:t>SPyF</w:t>
            </w:r>
          </w:p>
        </w:tc>
        <w:tc>
          <w:tcPr>
            <w:tcW w:w="992"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162,193</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 </w:t>
            </w:r>
          </w:p>
        </w:tc>
        <w:tc>
          <w:tcPr>
            <w:tcW w:w="851"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1,803,020</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 </w:t>
            </w:r>
          </w:p>
        </w:tc>
        <w:tc>
          <w:tcPr>
            <w:tcW w:w="85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 </w:t>
            </w:r>
          </w:p>
        </w:tc>
        <w:tc>
          <w:tcPr>
            <w:tcW w:w="993"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right"/>
              <w:rPr>
                <w:rFonts w:ascii="Arial" w:hAnsi="Arial" w:cs="Arial"/>
                <w:b/>
                <w:sz w:val="12"/>
                <w:szCs w:val="16"/>
              </w:rPr>
            </w:pPr>
            <w:r w:rsidRPr="00906AFB">
              <w:rPr>
                <w:rFonts w:ascii="Arial" w:hAnsi="Arial" w:cs="Arial"/>
                <w:b/>
                <w:sz w:val="12"/>
                <w:szCs w:val="16"/>
              </w:rPr>
              <w:t>14,719,227</w:t>
            </w:r>
          </w:p>
        </w:tc>
      </w:tr>
      <w:tr w:rsidR="00906AFB" w:rsidRPr="00906AFB" w:rsidTr="00906AFB">
        <w:trPr>
          <w:trHeight w:val="274"/>
        </w:trPr>
        <w:tc>
          <w:tcPr>
            <w:tcW w:w="1555"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rPr>
                <w:rFonts w:ascii="Arial" w:hAnsi="Arial" w:cs="Arial"/>
                <w:sz w:val="12"/>
                <w:szCs w:val="16"/>
              </w:rPr>
            </w:pPr>
            <w:r w:rsidRPr="00906AFB">
              <w:rPr>
                <w:rFonts w:ascii="Arial" w:hAnsi="Arial" w:cs="Arial"/>
                <w:sz w:val="12"/>
                <w:szCs w:val="16"/>
              </w:rPr>
              <w:t xml:space="preserve">APAUR </w:t>
            </w:r>
          </w:p>
        </w:tc>
        <w:tc>
          <w:tcPr>
            <w:tcW w:w="992"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rPr>
                <w:rFonts w:ascii="Arial" w:hAnsi="Arial" w:cs="Arial"/>
                <w:sz w:val="12"/>
                <w:szCs w:val="16"/>
              </w:rPr>
            </w:pPr>
            <w:r w:rsidRPr="00906AFB">
              <w:rPr>
                <w:rFonts w:ascii="Arial" w:hAnsi="Arial" w:cs="Arial"/>
                <w:sz w:val="12"/>
                <w:szCs w:val="16"/>
              </w:rPr>
              <w:t>SEMARNAT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76,944,338</w:t>
            </w:r>
          </w:p>
        </w:tc>
        <w:tc>
          <w:tcPr>
            <w:tcW w:w="56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center"/>
              <w:rPr>
                <w:rFonts w:ascii="Arial" w:hAnsi="Arial" w:cs="Arial"/>
                <w:sz w:val="12"/>
                <w:szCs w:val="16"/>
              </w:rPr>
            </w:pPr>
            <w:r w:rsidRPr="00906AFB">
              <w:rPr>
                <w:rFonts w:ascii="Arial" w:hAnsi="Arial" w:cs="Arial"/>
                <w:sz w:val="12"/>
                <w:szCs w:val="16"/>
              </w:rPr>
              <w:t>SPyF</w:t>
            </w:r>
          </w:p>
        </w:tc>
        <w:tc>
          <w:tcPr>
            <w:tcW w:w="992"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2,402,147</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 </w:t>
            </w:r>
          </w:p>
        </w:tc>
        <w:tc>
          <w:tcPr>
            <w:tcW w:w="851"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17,489,469</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A542BF">
            <w:pPr>
              <w:jc w:val="both"/>
              <w:rPr>
                <w:rFonts w:ascii="Arial" w:hAnsi="Arial" w:cs="Arial"/>
                <w:sz w:val="12"/>
                <w:szCs w:val="16"/>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20,090,880</w:t>
            </w:r>
          </w:p>
        </w:tc>
        <w:tc>
          <w:tcPr>
            <w:tcW w:w="993"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right"/>
              <w:rPr>
                <w:rFonts w:ascii="Arial" w:hAnsi="Arial" w:cs="Arial"/>
                <w:b/>
                <w:sz w:val="12"/>
                <w:szCs w:val="16"/>
              </w:rPr>
            </w:pPr>
            <w:r w:rsidRPr="00906AFB">
              <w:rPr>
                <w:rFonts w:ascii="Arial" w:hAnsi="Arial" w:cs="Arial"/>
                <w:b/>
                <w:sz w:val="12"/>
                <w:szCs w:val="16"/>
              </w:rPr>
              <w:t>116,926,834</w:t>
            </w:r>
          </w:p>
        </w:tc>
      </w:tr>
      <w:tr w:rsidR="00906AFB" w:rsidRPr="00906AFB" w:rsidTr="00906AFB">
        <w:trPr>
          <w:trHeight w:val="277"/>
        </w:trPr>
        <w:tc>
          <w:tcPr>
            <w:tcW w:w="1555"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rPr>
                <w:rFonts w:ascii="Arial" w:hAnsi="Arial" w:cs="Arial"/>
                <w:sz w:val="12"/>
                <w:szCs w:val="16"/>
              </w:rPr>
            </w:pPr>
            <w:r w:rsidRPr="00906AFB">
              <w:rPr>
                <w:rFonts w:ascii="Arial" w:hAnsi="Arial" w:cs="Arial"/>
                <w:sz w:val="12"/>
                <w:szCs w:val="16"/>
              </w:rPr>
              <w:t>Cultura del Agua</w:t>
            </w:r>
          </w:p>
        </w:tc>
        <w:tc>
          <w:tcPr>
            <w:tcW w:w="992"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rPr>
                <w:rFonts w:ascii="Arial" w:hAnsi="Arial" w:cs="Arial"/>
                <w:sz w:val="12"/>
                <w:szCs w:val="16"/>
              </w:rPr>
            </w:pPr>
            <w:r w:rsidRPr="00906AFB">
              <w:rPr>
                <w:rFonts w:ascii="Arial" w:hAnsi="Arial" w:cs="Arial"/>
                <w:sz w:val="12"/>
                <w:szCs w:val="16"/>
              </w:rPr>
              <w:t>SEMARNAT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420,000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center"/>
              <w:rPr>
                <w:rFonts w:ascii="Arial" w:hAnsi="Arial" w:cs="Arial"/>
                <w:sz w:val="12"/>
                <w:szCs w:val="16"/>
              </w:rPr>
            </w:pPr>
            <w:r w:rsidRPr="00906AFB">
              <w:rPr>
                <w:rFonts w:ascii="Arial" w:hAnsi="Arial" w:cs="Arial"/>
                <w:sz w:val="12"/>
                <w:szCs w:val="16"/>
              </w:rPr>
              <w:t>SPyF</w:t>
            </w:r>
          </w:p>
        </w:tc>
        <w:tc>
          <w:tcPr>
            <w:tcW w:w="992"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420,000</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 </w:t>
            </w:r>
          </w:p>
        </w:tc>
        <w:tc>
          <w:tcPr>
            <w:tcW w:w="851"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 </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 </w:t>
            </w:r>
          </w:p>
        </w:tc>
        <w:tc>
          <w:tcPr>
            <w:tcW w:w="85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 </w:t>
            </w:r>
          </w:p>
        </w:tc>
        <w:tc>
          <w:tcPr>
            <w:tcW w:w="993"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right"/>
              <w:rPr>
                <w:rFonts w:ascii="Arial" w:hAnsi="Arial" w:cs="Arial"/>
                <w:b/>
                <w:sz w:val="12"/>
                <w:szCs w:val="16"/>
              </w:rPr>
            </w:pPr>
            <w:r w:rsidRPr="00906AFB">
              <w:rPr>
                <w:rFonts w:ascii="Arial" w:hAnsi="Arial" w:cs="Arial"/>
                <w:b/>
                <w:sz w:val="12"/>
                <w:szCs w:val="16"/>
              </w:rPr>
              <w:t>840,000</w:t>
            </w:r>
          </w:p>
        </w:tc>
      </w:tr>
      <w:tr w:rsidR="00906AFB" w:rsidRPr="00906AFB" w:rsidTr="00906AFB">
        <w:trPr>
          <w:trHeight w:val="510"/>
        </w:trPr>
        <w:tc>
          <w:tcPr>
            <w:tcW w:w="1555"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rPr>
                <w:rFonts w:ascii="Arial" w:hAnsi="Arial" w:cs="Arial"/>
                <w:sz w:val="12"/>
                <w:szCs w:val="16"/>
              </w:rPr>
            </w:pPr>
            <w:r w:rsidRPr="00906AFB">
              <w:rPr>
                <w:rFonts w:ascii="Arial" w:hAnsi="Arial" w:cs="Arial"/>
                <w:sz w:val="12"/>
                <w:szCs w:val="16"/>
              </w:rPr>
              <w:t>Desarrollo Regional Turístico Sustentable y Pueblos Mágicos  (PRODER Mágico)</w:t>
            </w:r>
          </w:p>
        </w:tc>
        <w:tc>
          <w:tcPr>
            <w:tcW w:w="992"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rPr>
                <w:rFonts w:ascii="Arial" w:hAnsi="Arial" w:cs="Arial"/>
                <w:sz w:val="12"/>
                <w:szCs w:val="16"/>
              </w:rPr>
            </w:pPr>
            <w:r w:rsidRPr="00906AFB">
              <w:rPr>
                <w:rFonts w:ascii="Arial" w:hAnsi="Arial" w:cs="Arial"/>
                <w:sz w:val="12"/>
                <w:szCs w:val="16"/>
              </w:rPr>
              <w:t>SECTUR</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44,876,548</w:t>
            </w:r>
          </w:p>
        </w:tc>
        <w:tc>
          <w:tcPr>
            <w:tcW w:w="56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center"/>
              <w:rPr>
                <w:rFonts w:ascii="Arial" w:hAnsi="Arial" w:cs="Arial"/>
                <w:sz w:val="12"/>
                <w:szCs w:val="16"/>
              </w:rPr>
            </w:pPr>
            <w:r w:rsidRPr="00906AFB">
              <w:rPr>
                <w:rFonts w:ascii="Arial" w:hAnsi="Arial" w:cs="Arial"/>
                <w:sz w:val="12"/>
                <w:szCs w:val="16"/>
              </w:rPr>
              <w:t>SPyF</w:t>
            </w:r>
          </w:p>
        </w:tc>
        <w:tc>
          <w:tcPr>
            <w:tcW w:w="992"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13,462,964</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 </w:t>
            </w:r>
          </w:p>
        </w:tc>
        <w:tc>
          <w:tcPr>
            <w:tcW w:w="851"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 </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 </w:t>
            </w:r>
          </w:p>
        </w:tc>
        <w:tc>
          <w:tcPr>
            <w:tcW w:w="85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 </w:t>
            </w:r>
          </w:p>
        </w:tc>
        <w:tc>
          <w:tcPr>
            <w:tcW w:w="993"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right"/>
              <w:rPr>
                <w:rFonts w:ascii="Arial" w:hAnsi="Arial" w:cs="Arial"/>
                <w:b/>
                <w:sz w:val="12"/>
                <w:szCs w:val="16"/>
              </w:rPr>
            </w:pPr>
            <w:r w:rsidRPr="00906AFB">
              <w:rPr>
                <w:rFonts w:ascii="Arial" w:hAnsi="Arial" w:cs="Arial"/>
                <w:b/>
                <w:sz w:val="12"/>
                <w:szCs w:val="16"/>
              </w:rPr>
              <w:t>58,339,513</w:t>
            </w:r>
          </w:p>
        </w:tc>
      </w:tr>
      <w:tr w:rsidR="00906AFB" w:rsidRPr="00906AFB" w:rsidTr="00906AFB">
        <w:trPr>
          <w:trHeight w:val="510"/>
        </w:trPr>
        <w:tc>
          <w:tcPr>
            <w:tcW w:w="1555"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rPr>
                <w:rFonts w:ascii="Arial" w:hAnsi="Arial" w:cs="Arial"/>
                <w:sz w:val="12"/>
                <w:szCs w:val="16"/>
              </w:rPr>
            </w:pPr>
            <w:r w:rsidRPr="00906AFB">
              <w:rPr>
                <w:rFonts w:ascii="Arial" w:hAnsi="Arial" w:cs="Arial"/>
                <w:sz w:val="12"/>
                <w:szCs w:val="16"/>
              </w:rPr>
              <w:t>Turismo Desarrollo de Destinos y Turísticos Diversificados</w:t>
            </w:r>
          </w:p>
        </w:tc>
        <w:tc>
          <w:tcPr>
            <w:tcW w:w="992"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rPr>
                <w:rFonts w:ascii="Arial" w:hAnsi="Arial" w:cs="Arial"/>
                <w:sz w:val="12"/>
                <w:szCs w:val="16"/>
              </w:rPr>
            </w:pPr>
            <w:r w:rsidRPr="00906AFB">
              <w:rPr>
                <w:rFonts w:ascii="Arial" w:hAnsi="Arial" w:cs="Arial"/>
                <w:sz w:val="12"/>
                <w:szCs w:val="16"/>
              </w:rPr>
              <w:t>SECTUR</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1,200,000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center"/>
              <w:rPr>
                <w:rFonts w:ascii="Arial" w:hAnsi="Arial" w:cs="Arial"/>
                <w:sz w:val="12"/>
                <w:szCs w:val="16"/>
              </w:rPr>
            </w:pPr>
            <w:r w:rsidRPr="00906AFB">
              <w:rPr>
                <w:rFonts w:ascii="Arial" w:hAnsi="Arial" w:cs="Arial"/>
                <w:sz w:val="12"/>
                <w:szCs w:val="16"/>
              </w:rPr>
              <w:t>SPyF</w:t>
            </w:r>
          </w:p>
        </w:tc>
        <w:tc>
          <w:tcPr>
            <w:tcW w:w="992"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360,000</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 </w:t>
            </w:r>
          </w:p>
        </w:tc>
        <w:tc>
          <w:tcPr>
            <w:tcW w:w="851"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 </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 </w:t>
            </w:r>
          </w:p>
        </w:tc>
        <w:tc>
          <w:tcPr>
            <w:tcW w:w="85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 </w:t>
            </w:r>
          </w:p>
        </w:tc>
        <w:tc>
          <w:tcPr>
            <w:tcW w:w="993"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right"/>
              <w:rPr>
                <w:rFonts w:ascii="Arial" w:hAnsi="Arial" w:cs="Arial"/>
                <w:b/>
                <w:sz w:val="12"/>
                <w:szCs w:val="16"/>
              </w:rPr>
            </w:pPr>
            <w:r w:rsidRPr="00906AFB">
              <w:rPr>
                <w:rFonts w:ascii="Arial" w:hAnsi="Arial" w:cs="Arial"/>
                <w:b/>
                <w:sz w:val="12"/>
                <w:szCs w:val="16"/>
              </w:rPr>
              <w:t>1,560,000</w:t>
            </w:r>
          </w:p>
        </w:tc>
      </w:tr>
      <w:tr w:rsidR="00906AFB" w:rsidRPr="00906AFB" w:rsidTr="00906AFB">
        <w:trPr>
          <w:trHeight w:val="510"/>
        </w:trPr>
        <w:tc>
          <w:tcPr>
            <w:tcW w:w="1555"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rPr>
                <w:rFonts w:ascii="Arial" w:hAnsi="Arial" w:cs="Arial"/>
                <w:sz w:val="12"/>
                <w:szCs w:val="16"/>
              </w:rPr>
            </w:pPr>
            <w:r w:rsidRPr="00906AFB">
              <w:rPr>
                <w:rFonts w:ascii="Arial" w:hAnsi="Arial" w:cs="Arial"/>
                <w:sz w:val="12"/>
                <w:szCs w:val="16"/>
              </w:rPr>
              <w:t>Programa De Infraestructura Indígena (PROII)</w:t>
            </w:r>
          </w:p>
        </w:tc>
        <w:tc>
          <w:tcPr>
            <w:tcW w:w="992"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rPr>
                <w:rFonts w:ascii="Arial" w:hAnsi="Arial" w:cs="Arial"/>
                <w:sz w:val="12"/>
                <w:szCs w:val="16"/>
              </w:rPr>
            </w:pPr>
            <w:r w:rsidRPr="00906AFB">
              <w:rPr>
                <w:rFonts w:ascii="Arial" w:hAnsi="Arial" w:cs="Arial"/>
                <w:sz w:val="12"/>
                <w:szCs w:val="16"/>
              </w:rPr>
              <w:t>CDI</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17,401,322</w:t>
            </w:r>
          </w:p>
        </w:tc>
        <w:tc>
          <w:tcPr>
            <w:tcW w:w="56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center"/>
              <w:rPr>
                <w:rFonts w:ascii="Arial" w:hAnsi="Arial" w:cs="Arial"/>
                <w:sz w:val="12"/>
                <w:szCs w:val="16"/>
              </w:rPr>
            </w:pPr>
            <w:r w:rsidRPr="00906AFB">
              <w:rPr>
                <w:rFonts w:ascii="Arial" w:hAnsi="Arial" w:cs="Arial"/>
                <w:sz w:val="12"/>
                <w:szCs w:val="16"/>
              </w:rPr>
              <w:t>SPyF</w:t>
            </w:r>
          </w:p>
        </w:tc>
        <w:tc>
          <w:tcPr>
            <w:tcW w:w="992"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4,350,331</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 </w:t>
            </w:r>
          </w:p>
        </w:tc>
        <w:tc>
          <w:tcPr>
            <w:tcW w:w="851"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 </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 </w:t>
            </w:r>
          </w:p>
        </w:tc>
        <w:tc>
          <w:tcPr>
            <w:tcW w:w="85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 </w:t>
            </w:r>
          </w:p>
        </w:tc>
        <w:tc>
          <w:tcPr>
            <w:tcW w:w="993"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right"/>
              <w:rPr>
                <w:rFonts w:ascii="Arial" w:hAnsi="Arial" w:cs="Arial"/>
                <w:b/>
                <w:sz w:val="12"/>
                <w:szCs w:val="16"/>
              </w:rPr>
            </w:pPr>
            <w:r w:rsidRPr="00906AFB">
              <w:rPr>
                <w:rFonts w:ascii="Arial" w:hAnsi="Arial" w:cs="Arial"/>
                <w:b/>
                <w:sz w:val="12"/>
                <w:szCs w:val="16"/>
              </w:rPr>
              <w:t>21,751,653</w:t>
            </w:r>
          </w:p>
        </w:tc>
      </w:tr>
      <w:tr w:rsidR="00906AFB" w:rsidRPr="00906AFB" w:rsidTr="00906AFB">
        <w:trPr>
          <w:trHeight w:val="376"/>
        </w:trPr>
        <w:tc>
          <w:tcPr>
            <w:tcW w:w="1555"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rPr>
                <w:rFonts w:ascii="Arial" w:hAnsi="Arial" w:cs="Arial"/>
                <w:sz w:val="12"/>
                <w:szCs w:val="16"/>
              </w:rPr>
            </w:pPr>
            <w:r w:rsidRPr="00906AFB">
              <w:rPr>
                <w:rFonts w:ascii="Arial" w:hAnsi="Arial" w:cs="Arial"/>
                <w:sz w:val="12"/>
                <w:szCs w:val="16"/>
              </w:rPr>
              <w:t>Modernización del Registro Civil</w:t>
            </w:r>
          </w:p>
        </w:tc>
        <w:tc>
          <w:tcPr>
            <w:tcW w:w="992"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rPr>
                <w:rFonts w:ascii="Arial" w:hAnsi="Arial" w:cs="Arial"/>
                <w:sz w:val="12"/>
                <w:szCs w:val="16"/>
              </w:rPr>
            </w:pPr>
            <w:r w:rsidRPr="00906AFB">
              <w:rPr>
                <w:rFonts w:ascii="Arial" w:hAnsi="Arial" w:cs="Arial"/>
                <w:sz w:val="12"/>
                <w:szCs w:val="16"/>
              </w:rPr>
              <w:t>SEGOB</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1,587,559</w:t>
            </w:r>
          </w:p>
        </w:tc>
        <w:tc>
          <w:tcPr>
            <w:tcW w:w="56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center"/>
              <w:rPr>
                <w:rFonts w:ascii="Arial" w:hAnsi="Arial" w:cs="Arial"/>
                <w:sz w:val="12"/>
                <w:szCs w:val="16"/>
              </w:rPr>
            </w:pPr>
            <w:r w:rsidRPr="00906AFB">
              <w:rPr>
                <w:rFonts w:ascii="Arial" w:hAnsi="Arial" w:cs="Arial"/>
                <w:sz w:val="12"/>
                <w:szCs w:val="16"/>
              </w:rPr>
              <w:t>SPyF</w:t>
            </w:r>
          </w:p>
        </w:tc>
        <w:tc>
          <w:tcPr>
            <w:tcW w:w="992"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680,383</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 </w:t>
            </w:r>
          </w:p>
        </w:tc>
        <w:tc>
          <w:tcPr>
            <w:tcW w:w="851"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 </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 </w:t>
            </w:r>
          </w:p>
        </w:tc>
        <w:tc>
          <w:tcPr>
            <w:tcW w:w="85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 </w:t>
            </w:r>
          </w:p>
        </w:tc>
        <w:tc>
          <w:tcPr>
            <w:tcW w:w="993"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right"/>
              <w:rPr>
                <w:rFonts w:ascii="Arial" w:hAnsi="Arial" w:cs="Arial"/>
                <w:b/>
                <w:sz w:val="12"/>
                <w:szCs w:val="16"/>
              </w:rPr>
            </w:pPr>
            <w:r w:rsidRPr="00906AFB">
              <w:rPr>
                <w:rFonts w:ascii="Arial" w:hAnsi="Arial" w:cs="Arial"/>
                <w:b/>
                <w:sz w:val="12"/>
                <w:szCs w:val="16"/>
              </w:rPr>
              <w:t>2,267,942</w:t>
            </w:r>
          </w:p>
        </w:tc>
      </w:tr>
      <w:tr w:rsidR="00906AFB" w:rsidRPr="00906AFB" w:rsidTr="00906AFB">
        <w:trPr>
          <w:trHeight w:val="409"/>
        </w:trPr>
        <w:tc>
          <w:tcPr>
            <w:tcW w:w="1555"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rPr>
                <w:rFonts w:ascii="Arial" w:hAnsi="Arial" w:cs="Arial"/>
                <w:sz w:val="12"/>
                <w:szCs w:val="16"/>
              </w:rPr>
            </w:pPr>
            <w:r w:rsidRPr="00906AFB">
              <w:rPr>
                <w:rFonts w:ascii="Arial" w:hAnsi="Arial" w:cs="Arial"/>
                <w:sz w:val="12"/>
                <w:szCs w:val="16"/>
              </w:rPr>
              <w:t>Telebachilleratos Comunitarios</w:t>
            </w:r>
          </w:p>
        </w:tc>
        <w:tc>
          <w:tcPr>
            <w:tcW w:w="992"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rPr>
                <w:rFonts w:ascii="Arial" w:hAnsi="Arial" w:cs="Arial"/>
                <w:sz w:val="12"/>
                <w:szCs w:val="16"/>
              </w:rPr>
            </w:pPr>
            <w:r w:rsidRPr="00906AFB">
              <w:rPr>
                <w:rFonts w:ascii="Arial" w:hAnsi="Arial" w:cs="Arial"/>
                <w:sz w:val="12"/>
                <w:szCs w:val="16"/>
              </w:rPr>
              <w:t>SEP</w:t>
            </w:r>
          </w:p>
        </w:tc>
        <w:tc>
          <w:tcPr>
            <w:tcW w:w="992"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10,713,912</w:t>
            </w:r>
          </w:p>
        </w:tc>
        <w:tc>
          <w:tcPr>
            <w:tcW w:w="56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center"/>
              <w:rPr>
                <w:rFonts w:ascii="Arial" w:hAnsi="Arial" w:cs="Arial"/>
                <w:sz w:val="12"/>
                <w:szCs w:val="16"/>
              </w:rPr>
            </w:pPr>
            <w:r w:rsidRPr="00906AFB">
              <w:rPr>
                <w:rFonts w:ascii="Arial" w:hAnsi="Arial" w:cs="Arial"/>
                <w:sz w:val="12"/>
                <w:szCs w:val="16"/>
              </w:rPr>
              <w:t>SPyF</w:t>
            </w:r>
          </w:p>
        </w:tc>
        <w:tc>
          <w:tcPr>
            <w:tcW w:w="992"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5,969,919</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 </w:t>
            </w:r>
          </w:p>
        </w:tc>
        <w:tc>
          <w:tcPr>
            <w:tcW w:w="851"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 </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 </w:t>
            </w:r>
          </w:p>
        </w:tc>
        <w:tc>
          <w:tcPr>
            <w:tcW w:w="85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 </w:t>
            </w:r>
          </w:p>
        </w:tc>
        <w:tc>
          <w:tcPr>
            <w:tcW w:w="993"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right"/>
              <w:rPr>
                <w:rFonts w:ascii="Arial" w:hAnsi="Arial" w:cs="Arial"/>
                <w:b/>
                <w:sz w:val="12"/>
                <w:szCs w:val="16"/>
              </w:rPr>
            </w:pPr>
            <w:r w:rsidRPr="00906AFB">
              <w:rPr>
                <w:rFonts w:ascii="Arial" w:hAnsi="Arial" w:cs="Arial"/>
                <w:b/>
                <w:sz w:val="12"/>
                <w:szCs w:val="16"/>
              </w:rPr>
              <w:t>16,683,831</w:t>
            </w:r>
          </w:p>
        </w:tc>
      </w:tr>
      <w:tr w:rsidR="00906AFB" w:rsidRPr="00906AFB" w:rsidTr="00906AFB">
        <w:trPr>
          <w:trHeight w:val="510"/>
        </w:trPr>
        <w:tc>
          <w:tcPr>
            <w:tcW w:w="1555"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rPr>
                <w:rFonts w:ascii="Arial" w:hAnsi="Arial" w:cs="Arial"/>
                <w:sz w:val="12"/>
                <w:szCs w:val="16"/>
              </w:rPr>
            </w:pPr>
            <w:r w:rsidRPr="00906AFB">
              <w:rPr>
                <w:rFonts w:ascii="Arial" w:hAnsi="Arial" w:cs="Arial"/>
                <w:sz w:val="12"/>
                <w:szCs w:val="16"/>
              </w:rPr>
              <w:t>Centros de Educación Media Superior a Distancia</w:t>
            </w:r>
          </w:p>
        </w:tc>
        <w:tc>
          <w:tcPr>
            <w:tcW w:w="992"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rPr>
                <w:rFonts w:ascii="Arial" w:hAnsi="Arial" w:cs="Arial"/>
                <w:sz w:val="12"/>
                <w:szCs w:val="16"/>
              </w:rPr>
            </w:pPr>
            <w:r w:rsidRPr="00906AFB">
              <w:rPr>
                <w:rFonts w:ascii="Arial" w:hAnsi="Arial" w:cs="Arial"/>
                <w:sz w:val="12"/>
                <w:szCs w:val="16"/>
              </w:rPr>
              <w:t>SEP</w:t>
            </w:r>
          </w:p>
        </w:tc>
        <w:tc>
          <w:tcPr>
            <w:tcW w:w="992"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23,113,907</w:t>
            </w:r>
          </w:p>
        </w:tc>
        <w:tc>
          <w:tcPr>
            <w:tcW w:w="56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center"/>
              <w:rPr>
                <w:rFonts w:ascii="Arial" w:hAnsi="Arial" w:cs="Arial"/>
                <w:sz w:val="12"/>
                <w:szCs w:val="16"/>
              </w:rPr>
            </w:pPr>
            <w:r w:rsidRPr="00906AFB">
              <w:rPr>
                <w:rFonts w:ascii="Arial" w:hAnsi="Arial" w:cs="Arial"/>
                <w:sz w:val="12"/>
                <w:szCs w:val="16"/>
              </w:rPr>
              <w:t>SPyF</w:t>
            </w:r>
          </w:p>
        </w:tc>
        <w:tc>
          <w:tcPr>
            <w:tcW w:w="992"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5,892,149</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 </w:t>
            </w:r>
          </w:p>
        </w:tc>
        <w:tc>
          <w:tcPr>
            <w:tcW w:w="851"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 </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 </w:t>
            </w:r>
          </w:p>
        </w:tc>
        <w:tc>
          <w:tcPr>
            <w:tcW w:w="85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 </w:t>
            </w:r>
          </w:p>
        </w:tc>
        <w:tc>
          <w:tcPr>
            <w:tcW w:w="993"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right"/>
              <w:rPr>
                <w:rFonts w:ascii="Arial" w:hAnsi="Arial" w:cs="Arial"/>
                <w:b/>
                <w:sz w:val="12"/>
                <w:szCs w:val="16"/>
              </w:rPr>
            </w:pPr>
            <w:r w:rsidRPr="00906AFB">
              <w:rPr>
                <w:rFonts w:ascii="Arial" w:hAnsi="Arial" w:cs="Arial"/>
                <w:b/>
                <w:sz w:val="12"/>
                <w:szCs w:val="16"/>
              </w:rPr>
              <w:t>29,006,055</w:t>
            </w:r>
          </w:p>
        </w:tc>
      </w:tr>
      <w:tr w:rsidR="00906AFB" w:rsidRPr="00906AFB" w:rsidTr="00906AFB">
        <w:trPr>
          <w:trHeight w:val="510"/>
        </w:trPr>
        <w:tc>
          <w:tcPr>
            <w:tcW w:w="1555"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rPr>
                <w:rFonts w:ascii="Arial" w:hAnsi="Arial" w:cs="Arial"/>
                <w:sz w:val="12"/>
                <w:szCs w:val="16"/>
              </w:rPr>
            </w:pPr>
            <w:r w:rsidRPr="00906AFB">
              <w:rPr>
                <w:rFonts w:ascii="Arial" w:hAnsi="Arial" w:cs="Arial"/>
                <w:sz w:val="12"/>
                <w:szCs w:val="16"/>
              </w:rPr>
              <w:t>Fondo Concursable de Inversión de Infraestructura para la Educación Media Superior</w:t>
            </w:r>
          </w:p>
        </w:tc>
        <w:tc>
          <w:tcPr>
            <w:tcW w:w="992"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rPr>
                <w:rFonts w:ascii="Arial" w:hAnsi="Arial" w:cs="Arial"/>
                <w:sz w:val="12"/>
                <w:szCs w:val="16"/>
              </w:rPr>
            </w:pPr>
            <w:r w:rsidRPr="00906AFB">
              <w:rPr>
                <w:rFonts w:ascii="Arial" w:hAnsi="Arial" w:cs="Arial"/>
                <w:sz w:val="12"/>
                <w:szCs w:val="16"/>
              </w:rPr>
              <w:t>SEP</w:t>
            </w:r>
          </w:p>
        </w:tc>
        <w:tc>
          <w:tcPr>
            <w:tcW w:w="992"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4,275,000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center"/>
              <w:rPr>
                <w:rFonts w:ascii="Arial" w:hAnsi="Arial" w:cs="Arial"/>
                <w:sz w:val="12"/>
                <w:szCs w:val="16"/>
              </w:rPr>
            </w:pPr>
            <w:r w:rsidRPr="00906AFB">
              <w:rPr>
                <w:rFonts w:ascii="Arial" w:hAnsi="Arial" w:cs="Arial"/>
                <w:sz w:val="12"/>
                <w:szCs w:val="16"/>
              </w:rPr>
              <w:t>SPyF</w:t>
            </w:r>
          </w:p>
        </w:tc>
        <w:tc>
          <w:tcPr>
            <w:tcW w:w="992"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4,275,000</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 </w:t>
            </w:r>
          </w:p>
        </w:tc>
        <w:tc>
          <w:tcPr>
            <w:tcW w:w="851"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 </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 </w:t>
            </w:r>
          </w:p>
        </w:tc>
        <w:tc>
          <w:tcPr>
            <w:tcW w:w="85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 </w:t>
            </w:r>
          </w:p>
        </w:tc>
        <w:tc>
          <w:tcPr>
            <w:tcW w:w="993"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right"/>
              <w:rPr>
                <w:rFonts w:ascii="Arial" w:hAnsi="Arial" w:cs="Arial"/>
                <w:b/>
                <w:sz w:val="12"/>
                <w:szCs w:val="16"/>
              </w:rPr>
            </w:pPr>
            <w:r w:rsidRPr="00906AFB">
              <w:rPr>
                <w:rFonts w:ascii="Arial" w:hAnsi="Arial" w:cs="Arial"/>
                <w:b/>
                <w:sz w:val="12"/>
                <w:szCs w:val="16"/>
              </w:rPr>
              <w:t>8,550,000</w:t>
            </w:r>
          </w:p>
        </w:tc>
      </w:tr>
      <w:tr w:rsidR="00906AFB" w:rsidRPr="00906AFB" w:rsidTr="00906AFB">
        <w:trPr>
          <w:trHeight w:val="510"/>
        </w:trPr>
        <w:tc>
          <w:tcPr>
            <w:tcW w:w="1555"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rPr>
                <w:rFonts w:ascii="Arial" w:hAnsi="Arial" w:cs="Arial"/>
                <w:sz w:val="12"/>
                <w:szCs w:val="16"/>
              </w:rPr>
            </w:pPr>
            <w:r w:rsidRPr="00906AFB">
              <w:rPr>
                <w:rFonts w:ascii="Arial" w:hAnsi="Arial" w:cs="Arial"/>
                <w:sz w:val="12"/>
                <w:szCs w:val="16"/>
              </w:rPr>
              <w:t>Proyectos Locales Juveniles Comedores Poder Joven</w:t>
            </w:r>
          </w:p>
        </w:tc>
        <w:tc>
          <w:tcPr>
            <w:tcW w:w="992"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rPr>
                <w:rFonts w:ascii="Arial" w:hAnsi="Arial" w:cs="Arial"/>
                <w:sz w:val="12"/>
                <w:szCs w:val="16"/>
              </w:rPr>
            </w:pPr>
            <w:r w:rsidRPr="00906AFB">
              <w:rPr>
                <w:rFonts w:ascii="Arial" w:hAnsi="Arial" w:cs="Arial"/>
                <w:sz w:val="12"/>
                <w:szCs w:val="16"/>
              </w:rPr>
              <w:t>IMJUVE</w:t>
            </w:r>
          </w:p>
        </w:tc>
        <w:tc>
          <w:tcPr>
            <w:tcW w:w="992"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864,000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center"/>
              <w:rPr>
                <w:rFonts w:ascii="Arial" w:hAnsi="Arial"/>
              </w:rPr>
            </w:pPr>
            <w:r w:rsidRPr="00906AFB">
              <w:rPr>
                <w:rFonts w:ascii="Arial" w:hAnsi="Arial" w:cs="Arial"/>
                <w:sz w:val="12"/>
                <w:szCs w:val="16"/>
              </w:rPr>
              <w:t>SPyF</w:t>
            </w:r>
          </w:p>
        </w:tc>
        <w:tc>
          <w:tcPr>
            <w:tcW w:w="992"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720,000</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 </w:t>
            </w:r>
          </w:p>
        </w:tc>
        <w:tc>
          <w:tcPr>
            <w:tcW w:w="851"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 </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 </w:t>
            </w:r>
          </w:p>
        </w:tc>
        <w:tc>
          <w:tcPr>
            <w:tcW w:w="85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 </w:t>
            </w:r>
          </w:p>
        </w:tc>
        <w:tc>
          <w:tcPr>
            <w:tcW w:w="993"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right"/>
              <w:rPr>
                <w:rFonts w:ascii="Arial" w:hAnsi="Arial" w:cs="Arial"/>
                <w:b/>
                <w:sz w:val="12"/>
                <w:szCs w:val="16"/>
              </w:rPr>
            </w:pPr>
            <w:r w:rsidRPr="00906AFB">
              <w:rPr>
                <w:rFonts w:ascii="Arial" w:hAnsi="Arial" w:cs="Arial"/>
                <w:b/>
                <w:sz w:val="12"/>
                <w:szCs w:val="16"/>
              </w:rPr>
              <w:t>1,584,000</w:t>
            </w:r>
          </w:p>
        </w:tc>
      </w:tr>
      <w:tr w:rsidR="00906AFB" w:rsidRPr="00906AFB" w:rsidTr="00906AFB">
        <w:trPr>
          <w:trHeight w:val="510"/>
        </w:trPr>
        <w:tc>
          <w:tcPr>
            <w:tcW w:w="1555"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rPr>
                <w:rFonts w:ascii="Arial" w:hAnsi="Arial" w:cs="Arial"/>
                <w:sz w:val="12"/>
                <w:szCs w:val="16"/>
              </w:rPr>
            </w:pPr>
            <w:r w:rsidRPr="00906AFB">
              <w:rPr>
                <w:rFonts w:ascii="Arial" w:hAnsi="Arial" w:cs="Arial"/>
                <w:sz w:val="12"/>
                <w:szCs w:val="16"/>
              </w:rPr>
              <w:t>Subsidio de Seguridad Pública a los Municipios (FORTASEG)</w:t>
            </w:r>
          </w:p>
        </w:tc>
        <w:tc>
          <w:tcPr>
            <w:tcW w:w="992"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rPr>
                <w:rFonts w:ascii="Arial" w:hAnsi="Arial" w:cs="Arial"/>
                <w:sz w:val="12"/>
                <w:szCs w:val="16"/>
              </w:rPr>
            </w:pPr>
            <w:r w:rsidRPr="00906AFB">
              <w:rPr>
                <w:rFonts w:ascii="Arial" w:hAnsi="Arial" w:cs="Arial"/>
                <w:sz w:val="12"/>
                <w:szCs w:val="16"/>
              </w:rPr>
              <w:t>SEGOB</w:t>
            </w:r>
          </w:p>
        </w:tc>
        <w:tc>
          <w:tcPr>
            <w:tcW w:w="992"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65,303,299</w:t>
            </w:r>
          </w:p>
        </w:tc>
        <w:tc>
          <w:tcPr>
            <w:tcW w:w="56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center"/>
              <w:rPr>
                <w:rFonts w:ascii="Arial" w:hAnsi="Arial"/>
              </w:rPr>
            </w:pPr>
            <w:r w:rsidRPr="00906AFB">
              <w:rPr>
                <w:rFonts w:ascii="Arial" w:hAnsi="Arial" w:cs="Arial"/>
                <w:sz w:val="12"/>
                <w:szCs w:val="16"/>
              </w:rPr>
              <w:t>SPyF</w:t>
            </w:r>
          </w:p>
        </w:tc>
        <w:tc>
          <w:tcPr>
            <w:tcW w:w="992"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3,887,772</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 </w:t>
            </w:r>
          </w:p>
        </w:tc>
        <w:tc>
          <w:tcPr>
            <w:tcW w:w="851"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12,438,053</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 </w:t>
            </w:r>
          </w:p>
        </w:tc>
        <w:tc>
          <w:tcPr>
            <w:tcW w:w="85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 </w:t>
            </w:r>
          </w:p>
        </w:tc>
        <w:tc>
          <w:tcPr>
            <w:tcW w:w="993"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right"/>
              <w:rPr>
                <w:rFonts w:ascii="Arial" w:hAnsi="Arial" w:cs="Arial"/>
                <w:b/>
                <w:sz w:val="12"/>
                <w:szCs w:val="16"/>
              </w:rPr>
            </w:pPr>
            <w:r w:rsidRPr="00906AFB">
              <w:rPr>
                <w:rFonts w:ascii="Arial" w:hAnsi="Arial" w:cs="Arial"/>
                <w:b/>
                <w:sz w:val="12"/>
                <w:szCs w:val="16"/>
              </w:rPr>
              <w:t>81,629,124</w:t>
            </w:r>
          </w:p>
        </w:tc>
      </w:tr>
      <w:tr w:rsidR="00906AFB" w:rsidRPr="00906AFB" w:rsidTr="00906AFB">
        <w:trPr>
          <w:trHeight w:val="433"/>
        </w:trPr>
        <w:tc>
          <w:tcPr>
            <w:tcW w:w="1555"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rPr>
                <w:rFonts w:ascii="Arial" w:hAnsi="Arial" w:cs="Arial"/>
                <w:sz w:val="12"/>
                <w:szCs w:val="16"/>
              </w:rPr>
            </w:pPr>
            <w:r w:rsidRPr="00906AFB">
              <w:rPr>
                <w:rFonts w:ascii="Arial" w:hAnsi="Arial" w:cs="Arial"/>
                <w:sz w:val="12"/>
                <w:szCs w:val="16"/>
              </w:rPr>
              <w:t>Red de Apoyo al Emprendedor</w:t>
            </w:r>
          </w:p>
        </w:tc>
        <w:tc>
          <w:tcPr>
            <w:tcW w:w="992"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rPr>
                <w:rFonts w:ascii="Arial" w:hAnsi="Arial" w:cs="Arial"/>
                <w:sz w:val="12"/>
                <w:szCs w:val="16"/>
              </w:rPr>
            </w:pPr>
            <w:r w:rsidRPr="00906AFB">
              <w:rPr>
                <w:rFonts w:ascii="Arial" w:hAnsi="Arial" w:cs="Arial"/>
                <w:sz w:val="12"/>
                <w:szCs w:val="16"/>
              </w:rPr>
              <w:t>INADEM</w:t>
            </w:r>
          </w:p>
        </w:tc>
        <w:tc>
          <w:tcPr>
            <w:tcW w:w="992"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2,872,944</w:t>
            </w:r>
          </w:p>
        </w:tc>
        <w:tc>
          <w:tcPr>
            <w:tcW w:w="56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center"/>
              <w:rPr>
                <w:rFonts w:ascii="Arial" w:hAnsi="Arial"/>
              </w:rPr>
            </w:pPr>
            <w:r w:rsidRPr="00906AFB">
              <w:rPr>
                <w:rFonts w:ascii="Arial" w:hAnsi="Arial" w:cs="Arial"/>
                <w:sz w:val="12"/>
                <w:szCs w:val="16"/>
              </w:rPr>
              <w:t>SPyF</w:t>
            </w:r>
          </w:p>
        </w:tc>
        <w:tc>
          <w:tcPr>
            <w:tcW w:w="992"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911,376</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 </w:t>
            </w:r>
          </w:p>
        </w:tc>
        <w:tc>
          <w:tcPr>
            <w:tcW w:w="851"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 </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 </w:t>
            </w:r>
          </w:p>
        </w:tc>
        <w:tc>
          <w:tcPr>
            <w:tcW w:w="85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 </w:t>
            </w:r>
          </w:p>
        </w:tc>
        <w:tc>
          <w:tcPr>
            <w:tcW w:w="993"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right"/>
              <w:rPr>
                <w:rFonts w:ascii="Arial" w:hAnsi="Arial" w:cs="Arial"/>
                <w:b/>
                <w:sz w:val="12"/>
                <w:szCs w:val="16"/>
              </w:rPr>
            </w:pPr>
            <w:r w:rsidRPr="00906AFB">
              <w:rPr>
                <w:rFonts w:ascii="Arial" w:hAnsi="Arial" w:cs="Arial"/>
                <w:b/>
                <w:sz w:val="12"/>
                <w:szCs w:val="16"/>
              </w:rPr>
              <w:t>3,784,320</w:t>
            </w:r>
          </w:p>
        </w:tc>
      </w:tr>
      <w:tr w:rsidR="00906AFB" w:rsidRPr="00906AFB" w:rsidTr="00906AFB">
        <w:trPr>
          <w:trHeight w:val="510"/>
        </w:trPr>
        <w:tc>
          <w:tcPr>
            <w:tcW w:w="1555"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rPr>
                <w:rFonts w:ascii="Arial" w:hAnsi="Arial" w:cs="Arial"/>
                <w:sz w:val="12"/>
                <w:szCs w:val="16"/>
              </w:rPr>
            </w:pPr>
            <w:r w:rsidRPr="00906AFB">
              <w:rPr>
                <w:rFonts w:ascii="Arial" w:hAnsi="Arial" w:cs="Arial"/>
                <w:sz w:val="12"/>
                <w:szCs w:val="16"/>
              </w:rPr>
              <w:t>Convenio de Coordinación para el Desarrollo Rural Sustentable 2015-2018</w:t>
            </w:r>
          </w:p>
        </w:tc>
        <w:tc>
          <w:tcPr>
            <w:tcW w:w="992"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rPr>
                <w:rFonts w:ascii="Arial" w:hAnsi="Arial" w:cs="Arial"/>
                <w:sz w:val="12"/>
                <w:szCs w:val="16"/>
              </w:rPr>
            </w:pPr>
            <w:r w:rsidRPr="00906AFB">
              <w:rPr>
                <w:rFonts w:ascii="Arial" w:hAnsi="Arial" w:cs="Arial"/>
                <w:sz w:val="12"/>
                <w:szCs w:val="16"/>
              </w:rPr>
              <w:t>SAGARPA</w:t>
            </w:r>
          </w:p>
        </w:tc>
        <w:tc>
          <w:tcPr>
            <w:tcW w:w="992"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117,000,000</w:t>
            </w:r>
          </w:p>
        </w:tc>
        <w:tc>
          <w:tcPr>
            <w:tcW w:w="56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center"/>
              <w:rPr>
                <w:rFonts w:ascii="Arial" w:hAnsi="Arial"/>
              </w:rPr>
            </w:pPr>
            <w:r w:rsidRPr="00906AFB">
              <w:rPr>
                <w:rFonts w:ascii="Arial" w:hAnsi="Arial" w:cs="Arial"/>
                <w:sz w:val="12"/>
                <w:szCs w:val="16"/>
              </w:rPr>
              <w:t>SPyF</w:t>
            </w:r>
          </w:p>
        </w:tc>
        <w:tc>
          <w:tcPr>
            <w:tcW w:w="992"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16,770,000</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 </w:t>
            </w:r>
          </w:p>
        </w:tc>
        <w:tc>
          <w:tcPr>
            <w:tcW w:w="851"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 </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 </w:t>
            </w:r>
          </w:p>
        </w:tc>
        <w:tc>
          <w:tcPr>
            <w:tcW w:w="85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 </w:t>
            </w:r>
          </w:p>
        </w:tc>
        <w:tc>
          <w:tcPr>
            <w:tcW w:w="993"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right"/>
              <w:rPr>
                <w:rFonts w:ascii="Arial" w:hAnsi="Arial" w:cs="Arial"/>
                <w:b/>
                <w:sz w:val="12"/>
                <w:szCs w:val="16"/>
              </w:rPr>
            </w:pPr>
            <w:r w:rsidRPr="00906AFB">
              <w:rPr>
                <w:rFonts w:ascii="Arial" w:hAnsi="Arial" w:cs="Arial"/>
                <w:b/>
                <w:sz w:val="12"/>
                <w:szCs w:val="16"/>
              </w:rPr>
              <w:t>133,770,000</w:t>
            </w:r>
          </w:p>
        </w:tc>
      </w:tr>
      <w:tr w:rsidR="00906AFB" w:rsidRPr="00906AFB" w:rsidTr="00906AFB">
        <w:trPr>
          <w:trHeight w:val="510"/>
        </w:trPr>
        <w:tc>
          <w:tcPr>
            <w:tcW w:w="1555"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rPr>
                <w:rFonts w:ascii="Arial" w:hAnsi="Arial" w:cs="Arial"/>
                <w:sz w:val="12"/>
                <w:szCs w:val="16"/>
              </w:rPr>
            </w:pPr>
            <w:r w:rsidRPr="00906AFB">
              <w:rPr>
                <w:rFonts w:ascii="Arial" w:hAnsi="Arial" w:cs="Arial"/>
                <w:sz w:val="12"/>
                <w:szCs w:val="16"/>
              </w:rPr>
              <w:t>Rehabilitación, Modernización, Tecnificación y Equipamiento de Distritos de Riego</w:t>
            </w:r>
          </w:p>
        </w:tc>
        <w:tc>
          <w:tcPr>
            <w:tcW w:w="992"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rPr>
                <w:rFonts w:ascii="Arial" w:hAnsi="Arial" w:cs="Arial"/>
                <w:sz w:val="12"/>
                <w:szCs w:val="16"/>
              </w:rPr>
            </w:pPr>
            <w:r w:rsidRPr="00906AFB">
              <w:rPr>
                <w:rFonts w:ascii="Arial" w:hAnsi="Arial" w:cs="Arial"/>
                <w:sz w:val="12"/>
                <w:szCs w:val="16"/>
              </w:rPr>
              <w:t>SAGARPA</w:t>
            </w:r>
          </w:p>
        </w:tc>
        <w:tc>
          <w:tcPr>
            <w:tcW w:w="992"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38,205,049</w:t>
            </w:r>
          </w:p>
        </w:tc>
        <w:tc>
          <w:tcPr>
            <w:tcW w:w="56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center"/>
              <w:rPr>
                <w:rFonts w:ascii="Arial" w:hAnsi="Arial"/>
              </w:rPr>
            </w:pPr>
            <w:r w:rsidRPr="00906AFB">
              <w:rPr>
                <w:rFonts w:ascii="Arial" w:hAnsi="Arial" w:cs="Arial"/>
                <w:sz w:val="12"/>
                <w:szCs w:val="16"/>
              </w:rPr>
              <w:t>SPyF</w:t>
            </w:r>
          </w:p>
        </w:tc>
        <w:tc>
          <w:tcPr>
            <w:tcW w:w="992"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6,649,470</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 </w:t>
            </w:r>
          </w:p>
        </w:tc>
        <w:tc>
          <w:tcPr>
            <w:tcW w:w="851"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 </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 </w:t>
            </w:r>
          </w:p>
        </w:tc>
        <w:tc>
          <w:tcPr>
            <w:tcW w:w="85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 </w:t>
            </w:r>
          </w:p>
        </w:tc>
        <w:tc>
          <w:tcPr>
            <w:tcW w:w="993"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right"/>
              <w:rPr>
                <w:rFonts w:ascii="Arial" w:hAnsi="Arial" w:cs="Arial"/>
                <w:b/>
                <w:sz w:val="12"/>
                <w:szCs w:val="16"/>
              </w:rPr>
            </w:pPr>
            <w:r w:rsidRPr="00906AFB">
              <w:rPr>
                <w:rFonts w:ascii="Arial" w:hAnsi="Arial" w:cs="Arial"/>
                <w:b/>
                <w:sz w:val="12"/>
                <w:szCs w:val="16"/>
              </w:rPr>
              <w:t>44,854,519</w:t>
            </w:r>
          </w:p>
        </w:tc>
      </w:tr>
      <w:tr w:rsidR="00906AFB" w:rsidRPr="00906AFB" w:rsidTr="00906AFB">
        <w:trPr>
          <w:trHeight w:val="510"/>
        </w:trPr>
        <w:tc>
          <w:tcPr>
            <w:tcW w:w="1555"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rPr>
                <w:rFonts w:ascii="Arial" w:hAnsi="Arial" w:cs="Arial"/>
                <w:sz w:val="12"/>
                <w:szCs w:val="16"/>
              </w:rPr>
            </w:pPr>
            <w:r w:rsidRPr="00906AFB">
              <w:rPr>
                <w:rFonts w:ascii="Arial" w:hAnsi="Arial" w:cs="Arial"/>
                <w:sz w:val="12"/>
                <w:szCs w:val="16"/>
              </w:rPr>
              <w:t>Rehabilitación, Modernización, Tecnificación Y Equipamiento de Unidades de Riego</w:t>
            </w:r>
          </w:p>
        </w:tc>
        <w:tc>
          <w:tcPr>
            <w:tcW w:w="992"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rPr>
                <w:rFonts w:ascii="Arial" w:hAnsi="Arial" w:cs="Arial"/>
                <w:sz w:val="12"/>
                <w:szCs w:val="16"/>
              </w:rPr>
            </w:pPr>
            <w:r w:rsidRPr="00906AFB">
              <w:rPr>
                <w:rFonts w:ascii="Arial" w:hAnsi="Arial" w:cs="Arial"/>
                <w:sz w:val="12"/>
                <w:szCs w:val="16"/>
              </w:rPr>
              <w:t>SAGARPA</w:t>
            </w:r>
          </w:p>
        </w:tc>
        <w:tc>
          <w:tcPr>
            <w:tcW w:w="992"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4,870,427</w:t>
            </w:r>
          </w:p>
        </w:tc>
        <w:tc>
          <w:tcPr>
            <w:tcW w:w="56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center"/>
              <w:rPr>
                <w:rFonts w:ascii="Arial" w:hAnsi="Arial"/>
              </w:rPr>
            </w:pPr>
            <w:r w:rsidRPr="00906AFB">
              <w:rPr>
                <w:rFonts w:ascii="Arial" w:hAnsi="Arial" w:cs="Arial"/>
                <w:sz w:val="12"/>
                <w:szCs w:val="16"/>
              </w:rPr>
              <w:t>SPyF</w:t>
            </w:r>
          </w:p>
        </w:tc>
        <w:tc>
          <w:tcPr>
            <w:tcW w:w="992"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974,085</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 </w:t>
            </w:r>
          </w:p>
        </w:tc>
        <w:tc>
          <w:tcPr>
            <w:tcW w:w="851"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 </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 </w:t>
            </w:r>
          </w:p>
        </w:tc>
        <w:tc>
          <w:tcPr>
            <w:tcW w:w="85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right"/>
              <w:rPr>
                <w:rFonts w:ascii="Arial" w:hAnsi="Arial" w:cs="Arial"/>
                <w:sz w:val="12"/>
                <w:szCs w:val="16"/>
              </w:rPr>
            </w:pPr>
            <w:r w:rsidRPr="00906AFB">
              <w:rPr>
                <w:rFonts w:ascii="Arial" w:hAnsi="Arial" w:cs="Arial"/>
                <w:sz w:val="12"/>
                <w:szCs w:val="16"/>
              </w:rPr>
              <w:t> </w:t>
            </w:r>
          </w:p>
        </w:tc>
        <w:tc>
          <w:tcPr>
            <w:tcW w:w="993"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right"/>
              <w:rPr>
                <w:rFonts w:ascii="Arial" w:hAnsi="Arial" w:cs="Arial"/>
                <w:b/>
                <w:sz w:val="12"/>
                <w:szCs w:val="16"/>
              </w:rPr>
            </w:pPr>
            <w:r w:rsidRPr="00906AFB">
              <w:rPr>
                <w:rFonts w:ascii="Arial" w:hAnsi="Arial" w:cs="Arial"/>
                <w:b/>
                <w:sz w:val="12"/>
                <w:szCs w:val="16"/>
              </w:rPr>
              <w:t>5,844,512</w:t>
            </w:r>
          </w:p>
        </w:tc>
      </w:tr>
      <w:tr w:rsidR="00906AFB" w:rsidRPr="00906AFB" w:rsidTr="00906AFB">
        <w:trPr>
          <w:trHeight w:val="357"/>
        </w:trPr>
        <w:tc>
          <w:tcPr>
            <w:tcW w:w="1555"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right"/>
              <w:rPr>
                <w:rFonts w:ascii="Arial" w:hAnsi="Arial" w:cs="Arial"/>
                <w:b/>
                <w:sz w:val="12"/>
                <w:szCs w:val="16"/>
              </w:rPr>
            </w:pPr>
            <w:r w:rsidRPr="00906AFB">
              <w:rPr>
                <w:rFonts w:ascii="Arial" w:hAnsi="Arial" w:cs="Arial"/>
                <w:b/>
                <w:sz w:val="12"/>
                <w:szCs w:val="16"/>
              </w:rPr>
              <w:t> </w:t>
            </w:r>
          </w:p>
        </w:tc>
        <w:tc>
          <w:tcPr>
            <w:tcW w:w="992"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center"/>
              <w:rPr>
                <w:rFonts w:ascii="Arial" w:hAnsi="Arial" w:cs="Arial"/>
                <w:b/>
                <w:sz w:val="12"/>
                <w:szCs w:val="16"/>
              </w:rPr>
            </w:pPr>
            <w:r w:rsidRPr="00906AFB">
              <w:rPr>
                <w:rFonts w:ascii="Arial" w:hAnsi="Arial" w:cs="Arial"/>
                <w:b/>
                <w:sz w:val="12"/>
                <w:szCs w:val="16"/>
              </w:rPr>
              <w:t>Total</w:t>
            </w:r>
          </w:p>
        </w:tc>
        <w:tc>
          <w:tcPr>
            <w:tcW w:w="992"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right"/>
              <w:rPr>
                <w:rFonts w:ascii="Arial" w:hAnsi="Arial" w:cs="Arial"/>
                <w:b/>
                <w:sz w:val="12"/>
                <w:szCs w:val="16"/>
              </w:rPr>
            </w:pPr>
            <w:r w:rsidRPr="00906AFB">
              <w:rPr>
                <w:rFonts w:ascii="Arial" w:hAnsi="Arial" w:cs="Arial"/>
                <w:b/>
                <w:sz w:val="12"/>
                <w:szCs w:val="16"/>
              </w:rPr>
              <w:t>609,113,587</w:t>
            </w:r>
          </w:p>
        </w:tc>
        <w:tc>
          <w:tcPr>
            <w:tcW w:w="56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right"/>
              <w:rPr>
                <w:rFonts w:ascii="Arial" w:hAnsi="Arial" w:cs="Arial"/>
                <w:b/>
                <w:sz w:val="12"/>
                <w:szCs w:val="16"/>
              </w:rPr>
            </w:pPr>
            <w:r w:rsidRPr="00906AFB">
              <w:rPr>
                <w:rFonts w:ascii="Arial" w:hAnsi="Arial" w:cs="Arial"/>
                <w:b/>
                <w:sz w:val="12"/>
                <w:szCs w:val="16"/>
              </w:rPr>
              <w:t> </w:t>
            </w:r>
          </w:p>
        </w:tc>
        <w:tc>
          <w:tcPr>
            <w:tcW w:w="992"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right"/>
              <w:rPr>
                <w:rFonts w:ascii="Arial" w:hAnsi="Arial" w:cs="Arial"/>
                <w:b/>
                <w:sz w:val="12"/>
                <w:szCs w:val="16"/>
              </w:rPr>
            </w:pPr>
            <w:r w:rsidRPr="00906AFB">
              <w:rPr>
                <w:rFonts w:ascii="Arial" w:hAnsi="Arial" w:cs="Arial"/>
                <w:b/>
                <w:sz w:val="12"/>
                <w:szCs w:val="16"/>
              </w:rPr>
              <w:t xml:space="preserve">115,078,563 </w:t>
            </w:r>
          </w:p>
        </w:tc>
        <w:tc>
          <w:tcPr>
            <w:tcW w:w="567" w:type="dxa"/>
            <w:tcBorders>
              <w:top w:val="single" w:sz="4" w:space="0" w:color="auto"/>
              <w:left w:val="single" w:sz="4" w:space="0" w:color="auto"/>
              <w:bottom w:val="single" w:sz="4" w:space="0" w:color="auto"/>
              <w:right w:val="single" w:sz="4" w:space="0" w:color="auto"/>
            </w:tcBorders>
            <w:vAlign w:val="center"/>
          </w:tcPr>
          <w:p w:rsidR="00906AFB" w:rsidRPr="00906AFB" w:rsidRDefault="00906AFB" w:rsidP="00A542BF">
            <w:pPr>
              <w:jc w:val="right"/>
              <w:rPr>
                <w:rFonts w:ascii="Arial" w:hAnsi="Arial" w:cs="Arial"/>
                <w:b/>
                <w:sz w:val="12"/>
                <w:szCs w:val="16"/>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right"/>
              <w:rPr>
                <w:rFonts w:ascii="Arial" w:hAnsi="Arial" w:cs="Arial"/>
                <w:b/>
                <w:sz w:val="12"/>
                <w:szCs w:val="16"/>
              </w:rPr>
            </w:pPr>
            <w:r w:rsidRPr="00906AFB">
              <w:rPr>
                <w:rFonts w:ascii="Arial" w:hAnsi="Arial" w:cs="Arial"/>
                <w:b/>
                <w:sz w:val="12"/>
                <w:szCs w:val="16"/>
              </w:rPr>
              <w:t>31,730,542</w:t>
            </w:r>
          </w:p>
        </w:tc>
        <w:tc>
          <w:tcPr>
            <w:tcW w:w="56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both"/>
              <w:rPr>
                <w:rFonts w:ascii="Arial" w:hAnsi="Arial" w:cs="Arial"/>
                <w:b/>
                <w:sz w:val="12"/>
                <w:szCs w:val="16"/>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right"/>
              <w:rPr>
                <w:rFonts w:ascii="Arial" w:hAnsi="Arial" w:cs="Arial"/>
                <w:b/>
                <w:sz w:val="12"/>
                <w:szCs w:val="16"/>
              </w:rPr>
            </w:pPr>
            <w:r w:rsidRPr="00906AFB">
              <w:rPr>
                <w:rFonts w:ascii="Arial" w:hAnsi="Arial" w:cs="Arial"/>
                <w:b/>
                <w:sz w:val="12"/>
                <w:szCs w:val="16"/>
              </w:rPr>
              <w:t>20,090,880</w:t>
            </w:r>
          </w:p>
        </w:tc>
        <w:tc>
          <w:tcPr>
            <w:tcW w:w="993"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A542BF">
            <w:pPr>
              <w:jc w:val="right"/>
              <w:rPr>
                <w:rFonts w:ascii="Arial" w:hAnsi="Arial" w:cs="Arial"/>
                <w:b/>
                <w:bCs/>
                <w:sz w:val="12"/>
                <w:szCs w:val="16"/>
              </w:rPr>
            </w:pPr>
            <w:r w:rsidRPr="00906AFB">
              <w:rPr>
                <w:rFonts w:ascii="Arial" w:hAnsi="Arial" w:cs="Arial"/>
                <w:b/>
                <w:bCs/>
                <w:sz w:val="12"/>
                <w:szCs w:val="16"/>
              </w:rPr>
              <w:t>776,013,572</w:t>
            </w:r>
          </w:p>
        </w:tc>
      </w:tr>
    </w:tbl>
    <w:p w:rsidR="00906AFB" w:rsidRPr="00906AFB" w:rsidRDefault="00906AFB" w:rsidP="00906AFB">
      <w:pPr>
        <w:spacing w:after="0" w:line="240" w:lineRule="auto"/>
        <w:jc w:val="both"/>
        <w:rPr>
          <w:rFonts w:ascii="Arial" w:eastAsia="Calibri" w:hAnsi="Arial" w:cs="Arial"/>
          <w:b/>
          <w:sz w:val="24"/>
          <w:szCs w:val="24"/>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b/>
          <w:sz w:val="24"/>
          <w:szCs w:val="24"/>
          <w:lang w:val="es-ES" w:eastAsia="en-US"/>
        </w:rPr>
        <w:t>Artículo 21</w:t>
      </w:r>
      <w:r w:rsidRPr="00906AFB">
        <w:rPr>
          <w:rFonts w:ascii="Arial" w:eastAsia="Calibri" w:hAnsi="Arial" w:cs="Arial"/>
          <w:sz w:val="24"/>
          <w:szCs w:val="24"/>
          <w:lang w:val="es-ES" w:eastAsia="en-US"/>
        </w:rPr>
        <w:t>. Las Transferencias Internas otorgadas a Fideicomisos Públicos se distribuyen de la siguiente forma:</w:t>
      </w:r>
    </w:p>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Pr="00906AFB" w:rsidRDefault="00906AFB" w:rsidP="00906AFB">
      <w:pPr>
        <w:keepNext/>
        <w:keepLines/>
        <w:spacing w:after="0" w:line="240" w:lineRule="auto"/>
        <w:jc w:val="center"/>
        <w:outlineLvl w:val="1"/>
        <w:rPr>
          <w:rFonts w:ascii="Arial" w:eastAsia="Times New Roman" w:hAnsi="Arial" w:cs="Times New Roman"/>
          <w:b/>
          <w:sz w:val="20"/>
          <w:szCs w:val="26"/>
          <w:lang w:val="es-ES" w:eastAsia="en-US"/>
        </w:rPr>
      </w:pPr>
      <w:r w:rsidRPr="00906AFB">
        <w:rPr>
          <w:rFonts w:ascii="Arial" w:eastAsia="Times New Roman" w:hAnsi="Arial" w:cs="Times New Roman"/>
          <w:b/>
          <w:sz w:val="20"/>
          <w:szCs w:val="26"/>
          <w:lang w:val="es-ES" w:eastAsia="en-US"/>
        </w:rPr>
        <w:t>Tabla 25. Transferencias Internas Otorgadas a Fideicomisos Públicos</w:t>
      </w:r>
    </w:p>
    <w:tbl>
      <w:tblPr>
        <w:tblStyle w:val="Tablaconcuadrcula2"/>
        <w:tblW w:w="8895" w:type="dxa"/>
        <w:jc w:val="center"/>
        <w:tblInd w:w="0" w:type="dxa"/>
        <w:tblLayout w:type="fixed"/>
        <w:tblLook w:val="04A0" w:firstRow="1" w:lastRow="0" w:firstColumn="1" w:lastColumn="0" w:noHBand="0" w:noVBand="1"/>
      </w:tblPr>
      <w:tblGrid>
        <w:gridCol w:w="616"/>
        <w:gridCol w:w="1572"/>
        <w:gridCol w:w="4014"/>
        <w:gridCol w:w="1275"/>
        <w:gridCol w:w="1418"/>
      </w:tblGrid>
      <w:tr w:rsidR="00906AFB" w:rsidRPr="00906AFB" w:rsidTr="00906AFB">
        <w:trPr>
          <w:trHeight w:val="283"/>
          <w:jc w:val="center"/>
        </w:trPr>
        <w:tc>
          <w:tcPr>
            <w:tcW w:w="617" w:type="dxa"/>
            <w:tcBorders>
              <w:top w:val="single" w:sz="4" w:space="0" w:color="auto"/>
              <w:left w:val="single" w:sz="4" w:space="0" w:color="auto"/>
              <w:bottom w:val="single" w:sz="4" w:space="0" w:color="auto"/>
              <w:right w:val="single" w:sz="4" w:space="0" w:color="auto"/>
            </w:tcBorders>
            <w:vAlign w:val="center"/>
            <w:hideMark/>
          </w:tcPr>
          <w:p w:rsidR="00906AFB" w:rsidRPr="00AD7F05" w:rsidRDefault="00906AFB" w:rsidP="00906AFB">
            <w:pPr>
              <w:jc w:val="center"/>
              <w:rPr>
                <w:rFonts w:ascii="Arial" w:hAnsi="Arial" w:cs="Arial"/>
                <w:b/>
                <w:bCs/>
                <w:sz w:val="16"/>
                <w:szCs w:val="18"/>
              </w:rPr>
            </w:pPr>
            <w:r w:rsidRPr="00AD7F05">
              <w:rPr>
                <w:rFonts w:ascii="Arial" w:hAnsi="Arial" w:cs="Arial"/>
                <w:b/>
                <w:bCs/>
                <w:sz w:val="16"/>
                <w:szCs w:val="18"/>
              </w:rPr>
              <w:t>U.P</w:t>
            </w:r>
          </w:p>
        </w:tc>
        <w:tc>
          <w:tcPr>
            <w:tcW w:w="1572"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bCs/>
                <w:sz w:val="18"/>
                <w:szCs w:val="18"/>
              </w:rPr>
            </w:pPr>
            <w:r w:rsidRPr="00906AFB">
              <w:rPr>
                <w:rFonts w:ascii="Arial" w:hAnsi="Arial" w:cs="Arial"/>
                <w:b/>
                <w:bCs/>
                <w:sz w:val="18"/>
                <w:szCs w:val="18"/>
              </w:rPr>
              <w:t>Unidad Presupuestal</w:t>
            </w:r>
          </w:p>
        </w:tc>
        <w:tc>
          <w:tcPr>
            <w:tcW w:w="4015"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bCs/>
                <w:sz w:val="18"/>
                <w:szCs w:val="18"/>
              </w:rPr>
            </w:pPr>
            <w:r w:rsidRPr="00906AFB">
              <w:rPr>
                <w:rFonts w:ascii="Arial" w:hAnsi="Arial" w:cs="Arial"/>
                <w:b/>
                <w:bCs/>
                <w:sz w:val="18"/>
                <w:szCs w:val="18"/>
              </w:rPr>
              <w:t xml:space="preserve">Denominación </w:t>
            </w:r>
          </w:p>
          <w:p w:rsidR="00906AFB" w:rsidRPr="00906AFB" w:rsidRDefault="00906AFB" w:rsidP="00906AFB">
            <w:pPr>
              <w:jc w:val="center"/>
              <w:rPr>
                <w:rFonts w:ascii="Arial" w:hAnsi="Arial" w:cs="Arial"/>
                <w:b/>
                <w:bCs/>
                <w:sz w:val="18"/>
                <w:szCs w:val="18"/>
              </w:rPr>
            </w:pPr>
            <w:r w:rsidRPr="00906AFB">
              <w:rPr>
                <w:rFonts w:ascii="Arial" w:hAnsi="Arial" w:cs="Arial"/>
                <w:b/>
                <w:bCs/>
                <w:sz w:val="18"/>
                <w:szCs w:val="18"/>
              </w:rPr>
              <w:t>del Fideicomiso</w:t>
            </w:r>
          </w:p>
        </w:tc>
        <w:tc>
          <w:tcPr>
            <w:tcW w:w="1275"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bCs/>
                <w:sz w:val="18"/>
                <w:szCs w:val="18"/>
              </w:rPr>
            </w:pPr>
            <w:r w:rsidRPr="00906AFB">
              <w:rPr>
                <w:rFonts w:ascii="Arial" w:hAnsi="Arial" w:cs="Arial"/>
                <w:b/>
                <w:bCs/>
                <w:sz w:val="18"/>
                <w:szCs w:val="18"/>
              </w:rPr>
              <w:t>Saldo Patrimonial</w:t>
            </w:r>
          </w:p>
        </w:tc>
        <w:tc>
          <w:tcPr>
            <w:tcW w:w="141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bCs/>
                <w:sz w:val="18"/>
                <w:szCs w:val="18"/>
              </w:rPr>
            </w:pPr>
            <w:r w:rsidRPr="00906AFB">
              <w:rPr>
                <w:rFonts w:ascii="Arial" w:hAnsi="Arial" w:cs="Arial"/>
                <w:b/>
                <w:bCs/>
                <w:sz w:val="18"/>
                <w:szCs w:val="18"/>
              </w:rPr>
              <w:t>Asignación Presupuestal</w:t>
            </w:r>
          </w:p>
        </w:tc>
      </w:tr>
      <w:tr w:rsidR="00906AFB" w:rsidRPr="00906AFB" w:rsidTr="00906AFB">
        <w:trPr>
          <w:trHeight w:val="283"/>
          <w:jc w:val="center"/>
        </w:trPr>
        <w:tc>
          <w:tcPr>
            <w:tcW w:w="617" w:type="dxa"/>
            <w:tcBorders>
              <w:top w:val="single" w:sz="4" w:space="0" w:color="auto"/>
              <w:left w:val="single" w:sz="4" w:space="0" w:color="auto"/>
              <w:bottom w:val="single" w:sz="4" w:space="0" w:color="auto"/>
              <w:right w:val="single" w:sz="4" w:space="0" w:color="auto"/>
            </w:tcBorders>
            <w:noWrap/>
            <w:hideMark/>
          </w:tcPr>
          <w:p w:rsidR="00906AFB" w:rsidRPr="00AD7F05" w:rsidRDefault="00906AFB" w:rsidP="00906AFB">
            <w:pPr>
              <w:rPr>
                <w:rFonts w:ascii="Arial" w:hAnsi="Arial" w:cs="Arial"/>
                <w:sz w:val="16"/>
                <w:szCs w:val="18"/>
              </w:rPr>
            </w:pPr>
            <w:r w:rsidRPr="00AD7F05">
              <w:rPr>
                <w:rFonts w:ascii="Arial" w:hAnsi="Arial" w:cs="Arial"/>
                <w:sz w:val="16"/>
                <w:szCs w:val="18"/>
              </w:rPr>
              <w:t>0200</w:t>
            </w:r>
          </w:p>
        </w:tc>
        <w:tc>
          <w:tcPr>
            <w:tcW w:w="1572" w:type="dxa"/>
            <w:tcBorders>
              <w:top w:val="single" w:sz="4" w:space="0" w:color="auto"/>
              <w:left w:val="single" w:sz="4" w:space="0" w:color="auto"/>
              <w:bottom w:val="single" w:sz="4" w:space="0" w:color="auto"/>
              <w:right w:val="single" w:sz="4" w:space="0" w:color="auto"/>
            </w:tcBorders>
            <w:hideMark/>
          </w:tcPr>
          <w:p w:rsidR="00906AFB" w:rsidRPr="00906AFB" w:rsidRDefault="00906AFB" w:rsidP="00906AFB">
            <w:pPr>
              <w:rPr>
                <w:rFonts w:ascii="Arial" w:hAnsi="Arial" w:cs="Arial"/>
                <w:sz w:val="18"/>
                <w:szCs w:val="18"/>
              </w:rPr>
            </w:pPr>
            <w:r w:rsidRPr="00906AFB">
              <w:rPr>
                <w:rFonts w:ascii="Arial" w:hAnsi="Arial" w:cs="Arial"/>
                <w:sz w:val="18"/>
                <w:szCs w:val="18"/>
              </w:rPr>
              <w:t>Secretaría General de Gobierno</w:t>
            </w:r>
          </w:p>
        </w:tc>
        <w:tc>
          <w:tcPr>
            <w:tcW w:w="4015"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18"/>
                <w:szCs w:val="18"/>
              </w:rPr>
            </w:pPr>
            <w:r w:rsidRPr="00906AFB">
              <w:rPr>
                <w:rFonts w:ascii="Arial" w:hAnsi="Arial" w:cs="Arial"/>
                <w:sz w:val="18"/>
                <w:szCs w:val="18"/>
              </w:rPr>
              <w:t>Fid 2215., Fideicomiso del Estado de Colima para la Implementación del Sistema de Justicia Penal. (Fid. 2215)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2,141,461</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0</w:t>
            </w:r>
          </w:p>
        </w:tc>
      </w:tr>
      <w:tr w:rsidR="00906AFB" w:rsidRPr="00906AFB" w:rsidTr="00906AFB">
        <w:trPr>
          <w:trHeight w:val="283"/>
          <w:jc w:val="center"/>
        </w:trPr>
        <w:tc>
          <w:tcPr>
            <w:tcW w:w="617" w:type="dxa"/>
            <w:tcBorders>
              <w:top w:val="single" w:sz="4" w:space="0" w:color="auto"/>
              <w:left w:val="single" w:sz="4" w:space="0" w:color="auto"/>
              <w:bottom w:val="single" w:sz="4" w:space="0" w:color="auto"/>
              <w:right w:val="single" w:sz="4" w:space="0" w:color="auto"/>
            </w:tcBorders>
            <w:noWrap/>
            <w:hideMark/>
          </w:tcPr>
          <w:p w:rsidR="00906AFB" w:rsidRPr="00AD7F05" w:rsidRDefault="00906AFB" w:rsidP="00906AFB">
            <w:pPr>
              <w:rPr>
                <w:rFonts w:ascii="Arial" w:hAnsi="Arial" w:cs="Arial"/>
                <w:sz w:val="16"/>
                <w:szCs w:val="18"/>
              </w:rPr>
            </w:pPr>
            <w:r w:rsidRPr="00AD7F05">
              <w:rPr>
                <w:rFonts w:ascii="Arial" w:hAnsi="Arial" w:cs="Arial"/>
                <w:sz w:val="16"/>
                <w:szCs w:val="18"/>
              </w:rPr>
              <w:t>0300</w:t>
            </w:r>
          </w:p>
        </w:tc>
        <w:tc>
          <w:tcPr>
            <w:tcW w:w="1572" w:type="dxa"/>
            <w:tcBorders>
              <w:top w:val="single" w:sz="4" w:space="0" w:color="auto"/>
              <w:left w:val="single" w:sz="4" w:space="0" w:color="auto"/>
              <w:bottom w:val="single" w:sz="4" w:space="0" w:color="auto"/>
              <w:right w:val="single" w:sz="4" w:space="0" w:color="auto"/>
            </w:tcBorders>
            <w:hideMark/>
          </w:tcPr>
          <w:p w:rsidR="00906AFB" w:rsidRPr="00906AFB" w:rsidRDefault="00906AFB" w:rsidP="00906AFB">
            <w:pPr>
              <w:rPr>
                <w:rFonts w:ascii="Arial" w:hAnsi="Arial" w:cs="Arial"/>
                <w:sz w:val="18"/>
                <w:szCs w:val="18"/>
              </w:rPr>
            </w:pPr>
            <w:r w:rsidRPr="00906AFB">
              <w:rPr>
                <w:rFonts w:ascii="Arial" w:hAnsi="Arial" w:cs="Arial"/>
                <w:sz w:val="18"/>
                <w:szCs w:val="18"/>
              </w:rPr>
              <w:t>Secretaría de Planeación y Finanzas</w:t>
            </w:r>
          </w:p>
        </w:tc>
        <w:tc>
          <w:tcPr>
            <w:tcW w:w="4015"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18"/>
                <w:szCs w:val="18"/>
              </w:rPr>
            </w:pPr>
            <w:r w:rsidRPr="00906AFB">
              <w:rPr>
                <w:rFonts w:ascii="Arial" w:hAnsi="Arial" w:cs="Arial"/>
                <w:sz w:val="18"/>
                <w:szCs w:val="18"/>
              </w:rPr>
              <w:t>Fideicomiso número 2247.- Para la Contratación Conjunta de Seguros Catastróficos u Otros Instrumentos de Transferencia de Riesgos, para Entidades Federativas.</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0</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26,354,000</w:t>
            </w:r>
          </w:p>
        </w:tc>
      </w:tr>
      <w:tr w:rsidR="00906AFB" w:rsidRPr="00906AFB" w:rsidTr="00906AFB">
        <w:trPr>
          <w:trHeight w:val="283"/>
          <w:jc w:val="center"/>
        </w:trPr>
        <w:tc>
          <w:tcPr>
            <w:tcW w:w="617" w:type="dxa"/>
            <w:tcBorders>
              <w:top w:val="single" w:sz="4" w:space="0" w:color="auto"/>
              <w:left w:val="single" w:sz="4" w:space="0" w:color="auto"/>
              <w:bottom w:val="single" w:sz="4" w:space="0" w:color="auto"/>
              <w:right w:val="single" w:sz="4" w:space="0" w:color="auto"/>
            </w:tcBorders>
            <w:noWrap/>
            <w:hideMark/>
          </w:tcPr>
          <w:p w:rsidR="00906AFB" w:rsidRPr="00AD7F05" w:rsidRDefault="00906AFB" w:rsidP="00906AFB">
            <w:pPr>
              <w:rPr>
                <w:rFonts w:ascii="Arial" w:hAnsi="Arial" w:cs="Arial"/>
                <w:sz w:val="16"/>
                <w:szCs w:val="18"/>
              </w:rPr>
            </w:pPr>
            <w:r w:rsidRPr="00AD7F05">
              <w:rPr>
                <w:rFonts w:ascii="Arial" w:hAnsi="Arial" w:cs="Arial"/>
                <w:sz w:val="16"/>
                <w:szCs w:val="18"/>
              </w:rPr>
              <w:t>0600</w:t>
            </w:r>
          </w:p>
        </w:tc>
        <w:tc>
          <w:tcPr>
            <w:tcW w:w="1572" w:type="dxa"/>
            <w:tcBorders>
              <w:top w:val="single" w:sz="4" w:space="0" w:color="auto"/>
              <w:left w:val="single" w:sz="4" w:space="0" w:color="auto"/>
              <w:bottom w:val="single" w:sz="4" w:space="0" w:color="auto"/>
              <w:right w:val="single" w:sz="4" w:space="0" w:color="auto"/>
            </w:tcBorders>
            <w:hideMark/>
          </w:tcPr>
          <w:p w:rsidR="00906AFB" w:rsidRPr="00906AFB" w:rsidRDefault="00906AFB" w:rsidP="00906AFB">
            <w:pPr>
              <w:rPr>
                <w:rFonts w:ascii="Arial" w:hAnsi="Arial" w:cs="Arial"/>
                <w:sz w:val="18"/>
                <w:szCs w:val="18"/>
              </w:rPr>
            </w:pPr>
            <w:r w:rsidRPr="00906AFB">
              <w:rPr>
                <w:rFonts w:ascii="Arial" w:hAnsi="Arial" w:cs="Arial"/>
                <w:sz w:val="18"/>
                <w:szCs w:val="18"/>
              </w:rPr>
              <w:t>Secretaría de Desarrollo Rural</w:t>
            </w:r>
          </w:p>
        </w:tc>
        <w:tc>
          <w:tcPr>
            <w:tcW w:w="4015"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18"/>
                <w:szCs w:val="18"/>
              </w:rPr>
            </w:pPr>
            <w:r w:rsidRPr="00906AFB">
              <w:rPr>
                <w:rFonts w:ascii="Arial" w:hAnsi="Arial" w:cs="Arial"/>
                <w:sz w:val="18"/>
                <w:szCs w:val="18"/>
              </w:rPr>
              <w:t>Fideicomiso del Fondo de Fomento Agropecuario del Estado de Colima. (FOFAE COL)</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77,147,428</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0</w:t>
            </w:r>
          </w:p>
        </w:tc>
      </w:tr>
      <w:tr w:rsidR="00906AFB" w:rsidRPr="00906AFB" w:rsidTr="00906AFB">
        <w:trPr>
          <w:trHeight w:val="283"/>
          <w:jc w:val="center"/>
        </w:trPr>
        <w:tc>
          <w:tcPr>
            <w:tcW w:w="617" w:type="dxa"/>
            <w:vMerge w:val="restart"/>
            <w:tcBorders>
              <w:top w:val="single" w:sz="4" w:space="0" w:color="auto"/>
              <w:left w:val="single" w:sz="4" w:space="0" w:color="auto"/>
              <w:bottom w:val="single" w:sz="4" w:space="0" w:color="auto"/>
              <w:right w:val="single" w:sz="4" w:space="0" w:color="auto"/>
            </w:tcBorders>
            <w:hideMark/>
          </w:tcPr>
          <w:p w:rsidR="00906AFB" w:rsidRPr="00AD7F05" w:rsidRDefault="00906AFB" w:rsidP="00906AFB">
            <w:pPr>
              <w:rPr>
                <w:rFonts w:ascii="Arial" w:hAnsi="Arial" w:cs="Arial"/>
                <w:sz w:val="16"/>
                <w:szCs w:val="18"/>
              </w:rPr>
            </w:pPr>
            <w:r w:rsidRPr="00AD7F05">
              <w:rPr>
                <w:rFonts w:ascii="Arial" w:hAnsi="Arial" w:cs="Arial"/>
                <w:sz w:val="16"/>
                <w:szCs w:val="18"/>
              </w:rPr>
              <w:t>0700</w:t>
            </w:r>
          </w:p>
        </w:tc>
        <w:tc>
          <w:tcPr>
            <w:tcW w:w="1572" w:type="dxa"/>
            <w:vMerge w:val="restart"/>
            <w:tcBorders>
              <w:top w:val="single" w:sz="4" w:space="0" w:color="auto"/>
              <w:left w:val="single" w:sz="4" w:space="0" w:color="auto"/>
              <w:bottom w:val="single" w:sz="4" w:space="0" w:color="auto"/>
              <w:right w:val="single" w:sz="4" w:space="0" w:color="auto"/>
            </w:tcBorders>
            <w:hideMark/>
          </w:tcPr>
          <w:p w:rsidR="00906AFB" w:rsidRPr="00906AFB" w:rsidRDefault="00906AFB" w:rsidP="00906AFB">
            <w:pPr>
              <w:rPr>
                <w:rFonts w:ascii="Arial" w:hAnsi="Arial" w:cs="Arial"/>
                <w:sz w:val="18"/>
                <w:szCs w:val="18"/>
              </w:rPr>
            </w:pPr>
            <w:r w:rsidRPr="00906AFB">
              <w:rPr>
                <w:rFonts w:ascii="Arial" w:hAnsi="Arial" w:cs="Arial"/>
                <w:sz w:val="18"/>
                <w:szCs w:val="18"/>
              </w:rPr>
              <w:t>Secretaría de Educación</w:t>
            </w:r>
          </w:p>
        </w:tc>
        <w:tc>
          <w:tcPr>
            <w:tcW w:w="4015"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18"/>
                <w:szCs w:val="18"/>
              </w:rPr>
            </w:pPr>
            <w:r w:rsidRPr="00906AFB">
              <w:rPr>
                <w:rFonts w:ascii="Arial" w:hAnsi="Arial" w:cs="Arial"/>
                <w:sz w:val="18"/>
                <w:szCs w:val="18"/>
              </w:rPr>
              <w:t>Programa Especial de Financiamiento a la Vivienda para el Magisterio del Estado de Colima. (FOVIM)</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2,771,546</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0</w:t>
            </w:r>
          </w:p>
        </w:tc>
      </w:tr>
      <w:tr w:rsidR="00906AFB" w:rsidRPr="00906AFB" w:rsidTr="00906AFB">
        <w:trPr>
          <w:trHeight w:val="283"/>
          <w:jc w:val="center"/>
        </w:trPr>
        <w:tc>
          <w:tcPr>
            <w:tcW w:w="6204" w:type="dxa"/>
            <w:vMerge/>
            <w:tcBorders>
              <w:top w:val="single" w:sz="4" w:space="0" w:color="auto"/>
              <w:left w:val="single" w:sz="4" w:space="0" w:color="auto"/>
              <w:bottom w:val="single" w:sz="4" w:space="0" w:color="auto"/>
              <w:right w:val="single" w:sz="4" w:space="0" w:color="auto"/>
            </w:tcBorders>
            <w:vAlign w:val="center"/>
            <w:hideMark/>
          </w:tcPr>
          <w:p w:rsidR="00906AFB" w:rsidRPr="00AD7F05" w:rsidRDefault="00906AFB" w:rsidP="00906AFB">
            <w:pPr>
              <w:rPr>
                <w:rFonts w:ascii="Arial" w:hAnsi="Arial" w:cs="Arial"/>
                <w:sz w:val="16"/>
                <w:szCs w:val="18"/>
              </w:rPr>
            </w:pPr>
          </w:p>
        </w:tc>
        <w:tc>
          <w:tcPr>
            <w:tcW w:w="1572" w:type="dxa"/>
            <w:vMerge/>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18"/>
                <w:szCs w:val="18"/>
              </w:rPr>
            </w:pPr>
          </w:p>
        </w:tc>
        <w:tc>
          <w:tcPr>
            <w:tcW w:w="4015"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18"/>
                <w:szCs w:val="18"/>
              </w:rPr>
            </w:pPr>
            <w:r w:rsidRPr="00906AFB">
              <w:rPr>
                <w:rFonts w:ascii="Arial" w:hAnsi="Arial" w:cs="Arial"/>
                <w:sz w:val="18"/>
                <w:szCs w:val="18"/>
              </w:rPr>
              <w:t>Gobierno del Estado de Colima / Programa Escuelas de Calidad. (PEC)</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287,917</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0</w:t>
            </w:r>
          </w:p>
        </w:tc>
      </w:tr>
      <w:tr w:rsidR="00906AFB" w:rsidRPr="00906AFB" w:rsidTr="00906AFB">
        <w:trPr>
          <w:trHeight w:val="283"/>
          <w:jc w:val="center"/>
        </w:trPr>
        <w:tc>
          <w:tcPr>
            <w:tcW w:w="6204" w:type="dxa"/>
            <w:vMerge/>
            <w:tcBorders>
              <w:top w:val="single" w:sz="4" w:space="0" w:color="auto"/>
              <w:left w:val="single" w:sz="4" w:space="0" w:color="auto"/>
              <w:bottom w:val="single" w:sz="4" w:space="0" w:color="auto"/>
              <w:right w:val="single" w:sz="4" w:space="0" w:color="auto"/>
            </w:tcBorders>
            <w:vAlign w:val="center"/>
            <w:hideMark/>
          </w:tcPr>
          <w:p w:rsidR="00906AFB" w:rsidRPr="00AD7F05" w:rsidRDefault="00906AFB" w:rsidP="00906AFB">
            <w:pPr>
              <w:rPr>
                <w:rFonts w:ascii="Arial" w:hAnsi="Arial" w:cs="Arial"/>
                <w:sz w:val="16"/>
                <w:szCs w:val="18"/>
              </w:rPr>
            </w:pPr>
          </w:p>
        </w:tc>
        <w:tc>
          <w:tcPr>
            <w:tcW w:w="1572" w:type="dxa"/>
            <w:vMerge/>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18"/>
                <w:szCs w:val="18"/>
              </w:rPr>
            </w:pPr>
          </w:p>
        </w:tc>
        <w:tc>
          <w:tcPr>
            <w:tcW w:w="4015"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18"/>
                <w:szCs w:val="18"/>
              </w:rPr>
            </w:pPr>
            <w:r w:rsidRPr="00906AFB">
              <w:rPr>
                <w:rFonts w:ascii="Arial" w:hAnsi="Arial" w:cs="Arial"/>
                <w:sz w:val="18"/>
                <w:szCs w:val="18"/>
              </w:rPr>
              <w:t>Proyecto de Innovación Colima</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5,221,022</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0</w:t>
            </w:r>
          </w:p>
        </w:tc>
      </w:tr>
      <w:tr w:rsidR="00906AFB" w:rsidRPr="00906AFB" w:rsidTr="00906AFB">
        <w:trPr>
          <w:trHeight w:val="283"/>
          <w:jc w:val="center"/>
        </w:trPr>
        <w:tc>
          <w:tcPr>
            <w:tcW w:w="6204" w:type="dxa"/>
            <w:vMerge/>
            <w:tcBorders>
              <w:top w:val="single" w:sz="4" w:space="0" w:color="auto"/>
              <w:left w:val="single" w:sz="4" w:space="0" w:color="auto"/>
              <w:bottom w:val="single" w:sz="4" w:space="0" w:color="auto"/>
              <w:right w:val="single" w:sz="4" w:space="0" w:color="auto"/>
            </w:tcBorders>
            <w:vAlign w:val="center"/>
            <w:hideMark/>
          </w:tcPr>
          <w:p w:rsidR="00906AFB" w:rsidRPr="00AD7F05" w:rsidRDefault="00906AFB" w:rsidP="00906AFB">
            <w:pPr>
              <w:rPr>
                <w:rFonts w:ascii="Arial" w:hAnsi="Arial" w:cs="Arial"/>
                <w:sz w:val="16"/>
                <w:szCs w:val="18"/>
              </w:rPr>
            </w:pPr>
          </w:p>
        </w:tc>
        <w:tc>
          <w:tcPr>
            <w:tcW w:w="1572" w:type="dxa"/>
            <w:vMerge/>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18"/>
                <w:szCs w:val="18"/>
              </w:rPr>
            </w:pPr>
          </w:p>
        </w:tc>
        <w:tc>
          <w:tcPr>
            <w:tcW w:w="4015"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18"/>
                <w:szCs w:val="18"/>
              </w:rPr>
            </w:pPr>
            <w:r w:rsidRPr="00906AFB">
              <w:rPr>
                <w:rFonts w:ascii="Arial" w:hAnsi="Arial" w:cs="Arial"/>
                <w:sz w:val="18"/>
                <w:szCs w:val="18"/>
              </w:rPr>
              <w:t>Ciclo Escolar 2015-2016 Proyecto Diplomado de Supervisores</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0</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0</w:t>
            </w:r>
          </w:p>
        </w:tc>
      </w:tr>
      <w:tr w:rsidR="00906AFB" w:rsidRPr="00906AFB" w:rsidTr="00906AFB">
        <w:trPr>
          <w:trHeight w:val="283"/>
          <w:jc w:val="center"/>
        </w:trPr>
        <w:tc>
          <w:tcPr>
            <w:tcW w:w="6204" w:type="dxa"/>
            <w:vMerge/>
            <w:tcBorders>
              <w:top w:val="single" w:sz="4" w:space="0" w:color="auto"/>
              <w:left w:val="single" w:sz="4" w:space="0" w:color="auto"/>
              <w:bottom w:val="single" w:sz="4" w:space="0" w:color="auto"/>
              <w:right w:val="single" w:sz="4" w:space="0" w:color="auto"/>
            </w:tcBorders>
            <w:vAlign w:val="center"/>
            <w:hideMark/>
          </w:tcPr>
          <w:p w:rsidR="00906AFB" w:rsidRPr="00AD7F05" w:rsidRDefault="00906AFB" w:rsidP="00906AFB">
            <w:pPr>
              <w:rPr>
                <w:rFonts w:ascii="Arial" w:hAnsi="Arial" w:cs="Arial"/>
                <w:sz w:val="16"/>
                <w:szCs w:val="18"/>
              </w:rPr>
            </w:pPr>
          </w:p>
        </w:tc>
        <w:tc>
          <w:tcPr>
            <w:tcW w:w="1572" w:type="dxa"/>
            <w:vMerge/>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18"/>
                <w:szCs w:val="18"/>
              </w:rPr>
            </w:pPr>
          </w:p>
        </w:tc>
        <w:tc>
          <w:tcPr>
            <w:tcW w:w="4015"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18"/>
                <w:szCs w:val="18"/>
              </w:rPr>
            </w:pPr>
            <w:r w:rsidRPr="00906AFB">
              <w:rPr>
                <w:rFonts w:ascii="Arial" w:hAnsi="Arial" w:cs="Arial"/>
                <w:sz w:val="18"/>
                <w:szCs w:val="18"/>
              </w:rPr>
              <w:t>Proyecto " Tecnologías Educativas y de la Información para el Personal al Servicio de la Educación"</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7,321,700</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0</w:t>
            </w:r>
          </w:p>
        </w:tc>
      </w:tr>
      <w:tr w:rsidR="00906AFB" w:rsidRPr="00906AFB" w:rsidTr="00906AFB">
        <w:trPr>
          <w:trHeight w:val="283"/>
          <w:jc w:val="center"/>
        </w:trPr>
        <w:tc>
          <w:tcPr>
            <w:tcW w:w="6204" w:type="dxa"/>
            <w:vMerge/>
            <w:tcBorders>
              <w:top w:val="single" w:sz="4" w:space="0" w:color="auto"/>
              <w:left w:val="single" w:sz="4" w:space="0" w:color="auto"/>
              <w:bottom w:val="single" w:sz="4" w:space="0" w:color="auto"/>
              <w:right w:val="single" w:sz="4" w:space="0" w:color="auto"/>
            </w:tcBorders>
            <w:vAlign w:val="center"/>
            <w:hideMark/>
          </w:tcPr>
          <w:p w:rsidR="00906AFB" w:rsidRPr="00AD7F05" w:rsidRDefault="00906AFB" w:rsidP="00906AFB">
            <w:pPr>
              <w:rPr>
                <w:rFonts w:ascii="Arial" w:hAnsi="Arial" w:cs="Arial"/>
                <w:sz w:val="16"/>
                <w:szCs w:val="18"/>
              </w:rPr>
            </w:pPr>
          </w:p>
        </w:tc>
        <w:tc>
          <w:tcPr>
            <w:tcW w:w="1572" w:type="dxa"/>
            <w:vMerge/>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18"/>
                <w:szCs w:val="18"/>
              </w:rPr>
            </w:pPr>
          </w:p>
        </w:tc>
        <w:tc>
          <w:tcPr>
            <w:tcW w:w="4015"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18"/>
                <w:szCs w:val="18"/>
              </w:rPr>
            </w:pPr>
            <w:r w:rsidRPr="00906AFB">
              <w:rPr>
                <w:rFonts w:ascii="Arial" w:hAnsi="Arial" w:cs="Arial"/>
                <w:sz w:val="18"/>
                <w:szCs w:val="18"/>
              </w:rPr>
              <w:t>Proyecto " Tecnologías Educativas y de la Información para el Personal al Servicio de la Educación"</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7,966</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0</w:t>
            </w:r>
          </w:p>
        </w:tc>
      </w:tr>
      <w:tr w:rsidR="00906AFB" w:rsidRPr="00906AFB" w:rsidTr="00906AFB">
        <w:trPr>
          <w:trHeight w:val="283"/>
          <w:jc w:val="center"/>
        </w:trPr>
        <w:tc>
          <w:tcPr>
            <w:tcW w:w="617" w:type="dxa"/>
            <w:vMerge w:val="restart"/>
            <w:tcBorders>
              <w:top w:val="single" w:sz="4" w:space="0" w:color="auto"/>
              <w:left w:val="single" w:sz="4" w:space="0" w:color="auto"/>
              <w:bottom w:val="single" w:sz="4" w:space="0" w:color="auto"/>
              <w:right w:val="single" w:sz="4" w:space="0" w:color="auto"/>
            </w:tcBorders>
            <w:hideMark/>
          </w:tcPr>
          <w:p w:rsidR="00906AFB" w:rsidRPr="00AD7F05" w:rsidRDefault="00906AFB" w:rsidP="00906AFB">
            <w:pPr>
              <w:rPr>
                <w:rFonts w:ascii="Arial" w:hAnsi="Arial" w:cs="Arial"/>
                <w:sz w:val="16"/>
                <w:szCs w:val="18"/>
              </w:rPr>
            </w:pPr>
            <w:r w:rsidRPr="00AD7F05">
              <w:rPr>
                <w:rFonts w:ascii="Arial" w:hAnsi="Arial" w:cs="Arial"/>
                <w:sz w:val="16"/>
                <w:szCs w:val="18"/>
              </w:rPr>
              <w:t>1000</w:t>
            </w:r>
          </w:p>
        </w:tc>
        <w:tc>
          <w:tcPr>
            <w:tcW w:w="1572" w:type="dxa"/>
            <w:vMerge w:val="restart"/>
            <w:tcBorders>
              <w:top w:val="single" w:sz="4" w:space="0" w:color="auto"/>
              <w:left w:val="single" w:sz="4" w:space="0" w:color="auto"/>
              <w:bottom w:val="single" w:sz="4" w:space="0" w:color="auto"/>
              <w:right w:val="single" w:sz="4" w:space="0" w:color="auto"/>
            </w:tcBorders>
            <w:hideMark/>
          </w:tcPr>
          <w:p w:rsidR="00906AFB" w:rsidRPr="00906AFB" w:rsidRDefault="00906AFB" w:rsidP="00906AFB">
            <w:pPr>
              <w:rPr>
                <w:rFonts w:ascii="Arial" w:hAnsi="Arial" w:cs="Arial"/>
                <w:sz w:val="18"/>
                <w:szCs w:val="18"/>
              </w:rPr>
            </w:pPr>
            <w:r w:rsidRPr="00906AFB">
              <w:rPr>
                <w:rFonts w:ascii="Arial" w:hAnsi="Arial" w:cs="Arial"/>
                <w:sz w:val="18"/>
                <w:szCs w:val="18"/>
              </w:rPr>
              <w:t>Secretaría de Fomento Económico</w:t>
            </w:r>
          </w:p>
        </w:tc>
        <w:tc>
          <w:tcPr>
            <w:tcW w:w="4015"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18"/>
                <w:szCs w:val="18"/>
              </w:rPr>
            </w:pPr>
            <w:r w:rsidRPr="00906AFB">
              <w:rPr>
                <w:rFonts w:ascii="Arial" w:hAnsi="Arial" w:cs="Arial"/>
                <w:sz w:val="18"/>
                <w:szCs w:val="18"/>
              </w:rPr>
              <w:t>Fideicomiso Público Revocable de Administración e Inversión para el Desarrollo del Estado de Colima. (FIDEC)</w:t>
            </w:r>
          </w:p>
        </w:tc>
        <w:tc>
          <w:tcPr>
            <w:tcW w:w="1275"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9,844,190</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51,488,300</w:t>
            </w:r>
          </w:p>
        </w:tc>
      </w:tr>
      <w:tr w:rsidR="00906AFB" w:rsidRPr="00906AFB" w:rsidTr="00906AFB">
        <w:trPr>
          <w:trHeight w:val="283"/>
          <w:jc w:val="center"/>
        </w:trPr>
        <w:tc>
          <w:tcPr>
            <w:tcW w:w="6204" w:type="dxa"/>
            <w:vMerge/>
            <w:tcBorders>
              <w:top w:val="single" w:sz="4" w:space="0" w:color="auto"/>
              <w:left w:val="single" w:sz="4" w:space="0" w:color="auto"/>
              <w:bottom w:val="single" w:sz="4" w:space="0" w:color="auto"/>
              <w:right w:val="single" w:sz="4" w:space="0" w:color="auto"/>
            </w:tcBorders>
            <w:vAlign w:val="center"/>
            <w:hideMark/>
          </w:tcPr>
          <w:p w:rsidR="00906AFB" w:rsidRPr="00AD7F05" w:rsidRDefault="00906AFB" w:rsidP="00906AFB">
            <w:pPr>
              <w:rPr>
                <w:rFonts w:ascii="Arial" w:hAnsi="Arial" w:cs="Arial"/>
                <w:sz w:val="16"/>
                <w:szCs w:val="18"/>
              </w:rPr>
            </w:pPr>
          </w:p>
        </w:tc>
        <w:tc>
          <w:tcPr>
            <w:tcW w:w="1572" w:type="dxa"/>
            <w:vMerge/>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18"/>
                <w:szCs w:val="18"/>
              </w:rPr>
            </w:pPr>
          </w:p>
        </w:tc>
        <w:tc>
          <w:tcPr>
            <w:tcW w:w="4015"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18"/>
                <w:szCs w:val="18"/>
              </w:rPr>
            </w:pPr>
            <w:r w:rsidRPr="00906AFB">
              <w:rPr>
                <w:rFonts w:ascii="Arial" w:hAnsi="Arial" w:cs="Arial"/>
                <w:sz w:val="18"/>
                <w:szCs w:val="18"/>
              </w:rPr>
              <w:t>Fideicomiso Público Revocable de Administración e Inversión Denominado Impulsa. (IMPULSA)</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4,448,091</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0</w:t>
            </w:r>
          </w:p>
        </w:tc>
      </w:tr>
      <w:tr w:rsidR="00906AFB" w:rsidRPr="00906AFB" w:rsidTr="00906AFB">
        <w:trPr>
          <w:trHeight w:val="283"/>
          <w:jc w:val="center"/>
        </w:trPr>
        <w:tc>
          <w:tcPr>
            <w:tcW w:w="6204" w:type="dxa"/>
            <w:vMerge/>
            <w:tcBorders>
              <w:top w:val="single" w:sz="4" w:space="0" w:color="auto"/>
              <w:left w:val="single" w:sz="4" w:space="0" w:color="auto"/>
              <w:bottom w:val="single" w:sz="4" w:space="0" w:color="auto"/>
              <w:right w:val="single" w:sz="4" w:space="0" w:color="auto"/>
            </w:tcBorders>
            <w:vAlign w:val="center"/>
            <w:hideMark/>
          </w:tcPr>
          <w:p w:rsidR="00906AFB" w:rsidRPr="00AD7F05" w:rsidRDefault="00906AFB" w:rsidP="00906AFB">
            <w:pPr>
              <w:rPr>
                <w:rFonts w:ascii="Arial" w:hAnsi="Arial" w:cs="Arial"/>
                <w:sz w:val="16"/>
                <w:szCs w:val="18"/>
              </w:rPr>
            </w:pPr>
          </w:p>
        </w:tc>
        <w:tc>
          <w:tcPr>
            <w:tcW w:w="1572" w:type="dxa"/>
            <w:vMerge/>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18"/>
                <w:szCs w:val="18"/>
              </w:rPr>
            </w:pPr>
          </w:p>
        </w:tc>
        <w:tc>
          <w:tcPr>
            <w:tcW w:w="4015"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18"/>
                <w:szCs w:val="18"/>
              </w:rPr>
            </w:pPr>
            <w:r w:rsidRPr="00906AFB">
              <w:rPr>
                <w:rFonts w:ascii="Arial" w:hAnsi="Arial" w:cs="Arial"/>
                <w:sz w:val="18"/>
                <w:szCs w:val="18"/>
              </w:rPr>
              <w:t>Fideicomiso del Fondo para la Creación y Apoyo de Microempresas en el Estado de Colima. (FOCOL)</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0</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0</w:t>
            </w:r>
          </w:p>
        </w:tc>
      </w:tr>
      <w:tr w:rsidR="00906AFB" w:rsidRPr="00906AFB" w:rsidTr="00906AFB">
        <w:trPr>
          <w:trHeight w:val="283"/>
          <w:jc w:val="center"/>
        </w:trPr>
        <w:tc>
          <w:tcPr>
            <w:tcW w:w="6204" w:type="dxa"/>
            <w:vMerge/>
            <w:tcBorders>
              <w:top w:val="single" w:sz="4" w:space="0" w:color="auto"/>
              <w:left w:val="single" w:sz="4" w:space="0" w:color="auto"/>
              <w:bottom w:val="single" w:sz="4" w:space="0" w:color="auto"/>
              <w:right w:val="single" w:sz="4" w:space="0" w:color="auto"/>
            </w:tcBorders>
            <w:vAlign w:val="center"/>
            <w:hideMark/>
          </w:tcPr>
          <w:p w:rsidR="00906AFB" w:rsidRPr="00AD7F05" w:rsidRDefault="00906AFB" w:rsidP="00906AFB">
            <w:pPr>
              <w:rPr>
                <w:rFonts w:ascii="Arial" w:hAnsi="Arial" w:cs="Arial"/>
                <w:sz w:val="16"/>
                <w:szCs w:val="18"/>
              </w:rPr>
            </w:pPr>
          </w:p>
        </w:tc>
        <w:tc>
          <w:tcPr>
            <w:tcW w:w="1572" w:type="dxa"/>
            <w:vMerge/>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18"/>
                <w:szCs w:val="18"/>
              </w:rPr>
            </w:pPr>
          </w:p>
        </w:tc>
        <w:tc>
          <w:tcPr>
            <w:tcW w:w="4015"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18"/>
                <w:szCs w:val="18"/>
              </w:rPr>
            </w:pPr>
            <w:r w:rsidRPr="00906AFB">
              <w:rPr>
                <w:rFonts w:ascii="Arial" w:hAnsi="Arial" w:cs="Arial"/>
                <w:sz w:val="18"/>
                <w:szCs w:val="18"/>
              </w:rPr>
              <w:t>Fondo Estatal para el Desarrollo de Municipal en el Estado de Colima. (FEDEMUN)</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0</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0</w:t>
            </w:r>
          </w:p>
        </w:tc>
      </w:tr>
      <w:tr w:rsidR="00906AFB" w:rsidRPr="00906AFB" w:rsidTr="00906AFB">
        <w:trPr>
          <w:trHeight w:val="283"/>
          <w:jc w:val="center"/>
        </w:trPr>
        <w:tc>
          <w:tcPr>
            <w:tcW w:w="6204" w:type="dxa"/>
            <w:vMerge/>
            <w:tcBorders>
              <w:top w:val="single" w:sz="4" w:space="0" w:color="auto"/>
              <w:left w:val="single" w:sz="4" w:space="0" w:color="auto"/>
              <w:bottom w:val="single" w:sz="4" w:space="0" w:color="auto"/>
              <w:right w:val="single" w:sz="4" w:space="0" w:color="auto"/>
            </w:tcBorders>
            <w:vAlign w:val="center"/>
            <w:hideMark/>
          </w:tcPr>
          <w:p w:rsidR="00906AFB" w:rsidRPr="00AD7F05" w:rsidRDefault="00906AFB" w:rsidP="00906AFB">
            <w:pPr>
              <w:rPr>
                <w:rFonts w:ascii="Arial" w:hAnsi="Arial" w:cs="Arial"/>
                <w:sz w:val="16"/>
                <w:szCs w:val="18"/>
              </w:rPr>
            </w:pPr>
          </w:p>
        </w:tc>
        <w:tc>
          <w:tcPr>
            <w:tcW w:w="1572" w:type="dxa"/>
            <w:vMerge/>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18"/>
                <w:szCs w:val="18"/>
              </w:rPr>
            </w:pPr>
          </w:p>
        </w:tc>
        <w:tc>
          <w:tcPr>
            <w:tcW w:w="4015"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18"/>
                <w:szCs w:val="18"/>
              </w:rPr>
            </w:pPr>
            <w:r w:rsidRPr="00906AFB">
              <w:rPr>
                <w:rFonts w:ascii="Arial" w:hAnsi="Arial" w:cs="Arial"/>
                <w:sz w:val="18"/>
                <w:szCs w:val="18"/>
              </w:rPr>
              <w:t>Fideicomiso Revocable de Administración e Inversión para la Dotación de Infraestructura Industrial, Comercial, de Servicios y Urbana del Estado de Colima. (FIEC)</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1,386,049</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500,000</w:t>
            </w:r>
          </w:p>
        </w:tc>
      </w:tr>
      <w:tr w:rsidR="00906AFB" w:rsidRPr="00906AFB" w:rsidTr="00906AFB">
        <w:trPr>
          <w:trHeight w:val="283"/>
          <w:jc w:val="center"/>
        </w:trPr>
        <w:tc>
          <w:tcPr>
            <w:tcW w:w="617" w:type="dxa"/>
            <w:tcBorders>
              <w:top w:val="single" w:sz="4" w:space="0" w:color="auto"/>
              <w:left w:val="single" w:sz="4" w:space="0" w:color="auto"/>
              <w:bottom w:val="single" w:sz="4" w:space="0" w:color="auto"/>
              <w:right w:val="single" w:sz="4" w:space="0" w:color="auto"/>
            </w:tcBorders>
            <w:noWrap/>
            <w:hideMark/>
          </w:tcPr>
          <w:p w:rsidR="00906AFB" w:rsidRPr="00AD7F05" w:rsidRDefault="00906AFB" w:rsidP="00906AFB">
            <w:pPr>
              <w:rPr>
                <w:rFonts w:ascii="Arial" w:hAnsi="Arial" w:cs="Arial"/>
                <w:sz w:val="16"/>
                <w:szCs w:val="18"/>
              </w:rPr>
            </w:pPr>
            <w:r w:rsidRPr="00AD7F05">
              <w:rPr>
                <w:rFonts w:ascii="Arial" w:hAnsi="Arial" w:cs="Arial"/>
                <w:sz w:val="16"/>
                <w:szCs w:val="18"/>
              </w:rPr>
              <w:t>1200</w:t>
            </w:r>
          </w:p>
        </w:tc>
        <w:tc>
          <w:tcPr>
            <w:tcW w:w="1572" w:type="dxa"/>
            <w:tcBorders>
              <w:top w:val="single" w:sz="4" w:space="0" w:color="auto"/>
              <w:left w:val="single" w:sz="4" w:space="0" w:color="auto"/>
              <w:bottom w:val="single" w:sz="4" w:space="0" w:color="auto"/>
              <w:right w:val="single" w:sz="4" w:space="0" w:color="auto"/>
            </w:tcBorders>
            <w:hideMark/>
          </w:tcPr>
          <w:p w:rsidR="00906AFB" w:rsidRPr="00906AFB" w:rsidRDefault="00906AFB" w:rsidP="00906AFB">
            <w:pPr>
              <w:rPr>
                <w:rFonts w:ascii="Arial" w:hAnsi="Arial" w:cs="Arial"/>
                <w:sz w:val="18"/>
                <w:szCs w:val="18"/>
              </w:rPr>
            </w:pPr>
            <w:r w:rsidRPr="00906AFB">
              <w:rPr>
                <w:rFonts w:ascii="Arial" w:hAnsi="Arial" w:cs="Arial"/>
                <w:sz w:val="18"/>
                <w:szCs w:val="18"/>
              </w:rPr>
              <w:t>Secretaría de Turismo</w:t>
            </w:r>
          </w:p>
        </w:tc>
        <w:tc>
          <w:tcPr>
            <w:tcW w:w="4015"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18"/>
                <w:szCs w:val="18"/>
              </w:rPr>
            </w:pPr>
            <w:r w:rsidRPr="00906AFB">
              <w:rPr>
                <w:rFonts w:ascii="Arial" w:hAnsi="Arial" w:cs="Arial"/>
                <w:sz w:val="18"/>
                <w:szCs w:val="18"/>
              </w:rPr>
              <w:t>Fideicomiso para la Promoción Turística del Estado de Colima. (Fideicomiso de Turismo)</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18,510,372</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19,617,000</w:t>
            </w:r>
          </w:p>
        </w:tc>
      </w:tr>
      <w:tr w:rsidR="00906AFB" w:rsidRPr="00906AFB" w:rsidTr="00906AFB">
        <w:trPr>
          <w:trHeight w:val="449"/>
          <w:jc w:val="center"/>
        </w:trPr>
        <w:tc>
          <w:tcPr>
            <w:tcW w:w="6204" w:type="dxa"/>
            <w:gridSpan w:val="3"/>
            <w:tcBorders>
              <w:top w:val="single" w:sz="4" w:space="0" w:color="auto"/>
              <w:left w:val="single" w:sz="4" w:space="0" w:color="auto"/>
              <w:bottom w:val="single" w:sz="4" w:space="0" w:color="auto"/>
              <w:right w:val="single" w:sz="4" w:space="0" w:color="auto"/>
            </w:tcBorders>
            <w:noWrap/>
            <w:vAlign w:val="center"/>
            <w:hideMark/>
          </w:tcPr>
          <w:p w:rsidR="00906AFB" w:rsidRPr="00AD7F05" w:rsidRDefault="00906AFB" w:rsidP="00906AFB">
            <w:pPr>
              <w:jc w:val="center"/>
              <w:rPr>
                <w:rFonts w:ascii="Arial" w:hAnsi="Arial" w:cs="Arial"/>
                <w:b/>
                <w:sz w:val="16"/>
                <w:szCs w:val="18"/>
              </w:rPr>
            </w:pPr>
            <w:r w:rsidRPr="00AD7F05">
              <w:rPr>
                <w:rFonts w:ascii="Arial" w:hAnsi="Arial" w:cs="Arial"/>
                <w:b/>
                <w:sz w:val="16"/>
                <w:szCs w:val="18"/>
              </w:rPr>
              <w:t>Total</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b/>
                <w:sz w:val="18"/>
                <w:szCs w:val="18"/>
              </w:rPr>
            </w:pPr>
            <w:r w:rsidRPr="00906AFB">
              <w:rPr>
                <w:rFonts w:ascii="Arial" w:hAnsi="Arial" w:cs="Arial"/>
                <w:b/>
                <w:sz w:val="18"/>
                <w:szCs w:val="18"/>
              </w:rPr>
              <w:t>129,087,742</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8C670D" w:rsidP="00906AFB">
            <w:pPr>
              <w:jc w:val="right"/>
              <w:rPr>
                <w:rFonts w:ascii="Arial" w:hAnsi="Arial" w:cs="Arial"/>
                <w:b/>
                <w:sz w:val="18"/>
                <w:szCs w:val="18"/>
              </w:rPr>
            </w:pPr>
            <w:r w:rsidRPr="008C670D">
              <w:rPr>
                <w:rFonts w:ascii="Arial" w:hAnsi="Arial" w:cs="Arial"/>
                <w:b/>
                <w:sz w:val="18"/>
                <w:szCs w:val="18"/>
              </w:rPr>
              <w:t>97,403,300</w:t>
            </w:r>
          </w:p>
        </w:tc>
      </w:tr>
    </w:tbl>
    <w:p w:rsidR="00906AFB" w:rsidRPr="00906AFB" w:rsidRDefault="00906AFB" w:rsidP="00906AFB">
      <w:pPr>
        <w:spacing w:after="0" w:line="240" w:lineRule="auto"/>
        <w:jc w:val="both"/>
        <w:rPr>
          <w:rFonts w:ascii="Arial" w:eastAsia="Calibri" w:hAnsi="Arial" w:cs="Arial"/>
          <w:b/>
          <w:sz w:val="20"/>
          <w:szCs w:val="24"/>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b/>
          <w:sz w:val="24"/>
          <w:szCs w:val="24"/>
          <w:lang w:val="es-ES" w:eastAsia="en-US"/>
        </w:rPr>
        <w:lastRenderedPageBreak/>
        <w:t>Artículo 22</w:t>
      </w:r>
      <w:r w:rsidRPr="00906AFB">
        <w:rPr>
          <w:rFonts w:ascii="Arial" w:eastAsia="Calibri" w:hAnsi="Arial" w:cs="Arial"/>
          <w:sz w:val="24"/>
          <w:szCs w:val="24"/>
          <w:lang w:val="es-ES" w:eastAsia="en-US"/>
        </w:rPr>
        <w:t>. Las asignaciones a Instituciones sin Fines de Lucro y Organismos de la Sociedad Civil para el ejercicio fiscal 2017 son las siguientes:</w:t>
      </w:r>
    </w:p>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Pr="00906AFB" w:rsidRDefault="00906AFB" w:rsidP="00906AFB">
      <w:pPr>
        <w:keepNext/>
        <w:keepLines/>
        <w:spacing w:after="0" w:line="240" w:lineRule="auto"/>
        <w:jc w:val="center"/>
        <w:outlineLvl w:val="1"/>
        <w:rPr>
          <w:rFonts w:ascii="Arial" w:eastAsia="Times New Roman" w:hAnsi="Arial" w:cs="Times New Roman"/>
          <w:b/>
          <w:sz w:val="18"/>
          <w:szCs w:val="26"/>
          <w:lang w:val="es-ES" w:eastAsia="en-US"/>
        </w:rPr>
      </w:pPr>
      <w:r w:rsidRPr="00906AFB">
        <w:rPr>
          <w:rFonts w:ascii="Arial" w:eastAsia="Times New Roman" w:hAnsi="Arial" w:cs="Times New Roman"/>
          <w:b/>
          <w:sz w:val="18"/>
          <w:szCs w:val="26"/>
          <w:lang w:val="es-ES" w:eastAsia="en-US"/>
        </w:rPr>
        <w:t>Tabla 26. Asignaciones a Instituciones sin Fines de Lucro y Organismos de la Sociedad Civil</w:t>
      </w:r>
    </w:p>
    <w:tbl>
      <w:tblPr>
        <w:tblW w:w="8160" w:type="dxa"/>
        <w:tblInd w:w="70" w:type="dxa"/>
        <w:tblCellMar>
          <w:left w:w="70" w:type="dxa"/>
          <w:right w:w="70" w:type="dxa"/>
        </w:tblCellMar>
        <w:tblLook w:val="04A0" w:firstRow="1" w:lastRow="0" w:firstColumn="1" w:lastColumn="0" w:noHBand="0" w:noVBand="1"/>
      </w:tblPr>
      <w:tblGrid>
        <w:gridCol w:w="751"/>
        <w:gridCol w:w="5969"/>
        <w:gridCol w:w="1440"/>
      </w:tblGrid>
      <w:tr w:rsidR="00906AFB" w:rsidRPr="00906AFB" w:rsidTr="0087733B">
        <w:trPr>
          <w:trHeight w:val="283"/>
        </w:trPr>
        <w:tc>
          <w:tcPr>
            <w:tcW w:w="751" w:type="dxa"/>
            <w:tcBorders>
              <w:top w:val="single" w:sz="4" w:space="0" w:color="auto"/>
              <w:left w:val="single" w:sz="4" w:space="0" w:color="auto"/>
              <w:bottom w:val="single" w:sz="4" w:space="0" w:color="auto"/>
              <w:right w:val="single" w:sz="4" w:space="0" w:color="auto"/>
            </w:tcBorders>
            <w:noWrap/>
            <w:vAlign w:val="center"/>
            <w:hideMark/>
          </w:tcPr>
          <w:p w:rsidR="00906AFB" w:rsidRPr="0087733B" w:rsidRDefault="00906AFB" w:rsidP="0087733B">
            <w:pPr>
              <w:spacing w:after="0" w:line="240" w:lineRule="auto"/>
              <w:jc w:val="center"/>
              <w:rPr>
                <w:rFonts w:ascii="Arial" w:eastAsia="Times New Roman" w:hAnsi="Arial" w:cs="Arial"/>
                <w:b/>
                <w:bCs/>
                <w:color w:val="000000"/>
                <w:sz w:val="18"/>
                <w:szCs w:val="18"/>
                <w:lang w:val="es-ES" w:eastAsia="es-ES"/>
              </w:rPr>
            </w:pPr>
            <w:r w:rsidRPr="0087733B">
              <w:rPr>
                <w:rFonts w:ascii="Arial" w:eastAsia="Times New Roman" w:hAnsi="Arial" w:cs="Arial"/>
                <w:b/>
                <w:bCs/>
                <w:color w:val="000000"/>
                <w:sz w:val="18"/>
                <w:szCs w:val="18"/>
                <w:lang w:val="es-ES" w:eastAsia="es-ES"/>
              </w:rPr>
              <w:t>Partida</w:t>
            </w:r>
          </w:p>
        </w:tc>
        <w:tc>
          <w:tcPr>
            <w:tcW w:w="5969" w:type="dxa"/>
            <w:tcBorders>
              <w:top w:val="single" w:sz="4" w:space="0" w:color="auto"/>
              <w:left w:val="nil"/>
              <w:bottom w:val="single" w:sz="4" w:space="0" w:color="auto"/>
              <w:right w:val="single" w:sz="4" w:space="0" w:color="auto"/>
            </w:tcBorders>
            <w:vAlign w:val="center"/>
            <w:hideMark/>
          </w:tcPr>
          <w:p w:rsidR="00906AFB" w:rsidRPr="0087733B" w:rsidRDefault="00906AFB" w:rsidP="0087733B">
            <w:pPr>
              <w:spacing w:after="0" w:line="240" w:lineRule="auto"/>
              <w:jc w:val="center"/>
              <w:rPr>
                <w:rFonts w:ascii="Arial" w:eastAsia="Times New Roman" w:hAnsi="Arial" w:cs="Arial"/>
                <w:b/>
                <w:bCs/>
                <w:color w:val="000000"/>
                <w:sz w:val="18"/>
                <w:szCs w:val="18"/>
                <w:lang w:val="es-ES" w:eastAsia="es-ES"/>
              </w:rPr>
            </w:pPr>
            <w:r w:rsidRPr="0087733B">
              <w:rPr>
                <w:rFonts w:ascii="Arial" w:eastAsia="Times New Roman" w:hAnsi="Arial" w:cs="Arial"/>
                <w:b/>
                <w:bCs/>
                <w:color w:val="000000"/>
                <w:sz w:val="18"/>
                <w:szCs w:val="18"/>
                <w:lang w:val="es-ES" w:eastAsia="es-ES"/>
              </w:rPr>
              <w:t>Instituciones sin Fines de Lucro y Organismos de la Sociedad Civil</w:t>
            </w:r>
          </w:p>
        </w:tc>
        <w:tc>
          <w:tcPr>
            <w:tcW w:w="1440" w:type="dxa"/>
            <w:tcBorders>
              <w:top w:val="single" w:sz="4" w:space="0" w:color="auto"/>
              <w:left w:val="nil"/>
              <w:bottom w:val="single" w:sz="4" w:space="0" w:color="auto"/>
              <w:right w:val="single" w:sz="4" w:space="0" w:color="auto"/>
            </w:tcBorders>
            <w:vAlign w:val="center"/>
            <w:hideMark/>
          </w:tcPr>
          <w:p w:rsidR="00906AFB" w:rsidRPr="0087733B" w:rsidRDefault="00906AFB" w:rsidP="0087733B">
            <w:pPr>
              <w:spacing w:after="0" w:line="240" w:lineRule="auto"/>
              <w:jc w:val="right"/>
              <w:rPr>
                <w:rFonts w:ascii="Arial" w:eastAsia="Times New Roman" w:hAnsi="Arial" w:cs="Arial"/>
                <w:b/>
                <w:bCs/>
                <w:color w:val="000000"/>
                <w:sz w:val="18"/>
                <w:szCs w:val="18"/>
                <w:lang w:val="es-ES" w:eastAsia="es-ES"/>
              </w:rPr>
            </w:pPr>
            <w:r w:rsidRPr="0087733B">
              <w:rPr>
                <w:rFonts w:ascii="Arial" w:eastAsia="Times New Roman" w:hAnsi="Arial" w:cs="Arial"/>
                <w:b/>
                <w:bCs/>
                <w:color w:val="000000"/>
                <w:sz w:val="18"/>
                <w:szCs w:val="18"/>
                <w:lang w:val="es-ES" w:eastAsia="es-ES"/>
              </w:rPr>
              <w:t>Asignación Presupuestal</w:t>
            </w:r>
          </w:p>
        </w:tc>
      </w:tr>
      <w:tr w:rsidR="00906AFB" w:rsidRPr="00906AFB" w:rsidTr="0087733B">
        <w:trPr>
          <w:trHeight w:val="283"/>
        </w:trPr>
        <w:tc>
          <w:tcPr>
            <w:tcW w:w="751" w:type="dxa"/>
            <w:tcBorders>
              <w:top w:val="nil"/>
              <w:left w:val="single" w:sz="8" w:space="0" w:color="auto"/>
              <w:bottom w:val="single" w:sz="4" w:space="0" w:color="auto"/>
              <w:right w:val="nil"/>
            </w:tcBorders>
            <w:noWrap/>
            <w:vAlign w:val="center"/>
            <w:hideMark/>
          </w:tcPr>
          <w:p w:rsidR="00906AFB" w:rsidRPr="0087733B" w:rsidRDefault="00906AFB" w:rsidP="0087733B">
            <w:pPr>
              <w:spacing w:after="0" w:line="240" w:lineRule="auto"/>
              <w:jc w:val="center"/>
              <w:rPr>
                <w:rFonts w:ascii="Arial" w:eastAsia="Times New Roman" w:hAnsi="Arial" w:cs="Arial"/>
                <w:b/>
                <w:bCs/>
                <w:color w:val="000000"/>
                <w:sz w:val="18"/>
                <w:szCs w:val="18"/>
                <w:lang w:val="es-ES" w:eastAsia="es-ES"/>
              </w:rPr>
            </w:pPr>
            <w:r w:rsidRPr="0087733B">
              <w:rPr>
                <w:rFonts w:ascii="Arial" w:eastAsia="Times New Roman" w:hAnsi="Arial" w:cs="Arial"/>
                <w:b/>
                <w:bCs/>
                <w:color w:val="000000"/>
                <w:sz w:val="18"/>
                <w:szCs w:val="18"/>
                <w:lang w:val="es-ES" w:eastAsia="es-ES"/>
              </w:rPr>
              <w:t>44500</w:t>
            </w:r>
          </w:p>
        </w:tc>
        <w:tc>
          <w:tcPr>
            <w:tcW w:w="5969" w:type="dxa"/>
            <w:tcBorders>
              <w:top w:val="nil"/>
              <w:left w:val="single" w:sz="8" w:space="0" w:color="auto"/>
              <w:bottom w:val="single" w:sz="4" w:space="0" w:color="auto"/>
              <w:right w:val="single" w:sz="8" w:space="0" w:color="auto"/>
            </w:tcBorders>
            <w:vAlign w:val="center"/>
            <w:hideMark/>
          </w:tcPr>
          <w:p w:rsidR="00906AFB" w:rsidRPr="0087733B" w:rsidRDefault="00906AFB" w:rsidP="0087733B">
            <w:pPr>
              <w:spacing w:after="0" w:line="240" w:lineRule="auto"/>
              <w:rPr>
                <w:rFonts w:ascii="Arial" w:eastAsia="Times New Roman" w:hAnsi="Arial" w:cs="Arial"/>
                <w:b/>
                <w:bCs/>
                <w:color w:val="000000"/>
                <w:sz w:val="18"/>
                <w:szCs w:val="18"/>
                <w:lang w:val="es-ES" w:eastAsia="es-ES"/>
              </w:rPr>
            </w:pPr>
            <w:r w:rsidRPr="0087733B">
              <w:rPr>
                <w:rFonts w:ascii="Arial" w:eastAsia="Times New Roman" w:hAnsi="Arial" w:cs="Arial"/>
                <w:b/>
                <w:bCs/>
                <w:color w:val="000000"/>
                <w:sz w:val="18"/>
                <w:szCs w:val="18"/>
                <w:lang w:val="es-ES" w:eastAsia="es-ES"/>
              </w:rPr>
              <w:t>Ayudas sociales a instituciones sin fines de lucro</w:t>
            </w:r>
          </w:p>
        </w:tc>
        <w:tc>
          <w:tcPr>
            <w:tcW w:w="1440" w:type="dxa"/>
            <w:tcBorders>
              <w:top w:val="nil"/>
              <w:left w:val="nil"/>
              <w:bottom w:val="single" w:sz="4" w:space="0" w:color="auto"/>
              <w:right w:val="single" w:sz="4" w:space="0" w:color="auto"/>
            </w:tcBorders>
            <w:noWrap/>
            <w:vAlign w:val="center"/>
          </w:tcPr>
          <w:p w:rsidR="00906AFB" w:rsidRPr="0087733B" w:rsidRDefault="00410FB8" w:rsidP="0087733B">
            <w:pPr>
              <w:spacing w:after="0" w:line="240" w:lineRule="auto"/>
              <w:jc w:val="right"/>
              <w:rPr>
                <w:rFonts w:ascii="Arial" w:eastAsia="Times New Roman" w:hAnsi="Arial" w:cs="Arial"/>
                <w:b/>
                <w:bCs/>
                <w:color w:val="000000"/>
                <w:sz w:val="18"/>
                <w:szCs w:val="18"/>
                <w:lang w:val="es-ES" w:eastAsia="es-ES"/>
              </w:rPr>
            </w:pPr>
            <w:r w:rsidRPr="00410FB8">
              <w:rPr>
                <w:rFonts w:ascii="Arial" w:eastAsia="Times New Roman" w:hAnsi="Arial" w:cs="Arial"/>
                <w:b/>
                <w:bCs/>
                <w:color w:val="000000"/>
                <w:sz w:val="18"/>
                <w:szCs w:val="18"/>
                <w:lang w:val="es-ES" w:eastAsia="es-ES"/>
              </w:rPr>
              <w:t>20,470,715</w:t>
            </w:r>
          </w:p>
        </w:tc>
      </w:tr>
      <w:tr w:rsidR="0087733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hideMark/>
          </w:tcPr>
          <w:p w:rsidR="0087733B" w:rsidRPr="0087733B" w:rsidRDefault="0087733B" w:rsidP="0087733B">
            <w:pPr>
              <w:spacing w:after="0" w:line="240" w:lineRule="auto"/>
              <w:jc w:val="center"/>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44501</w:t>
            </w:r>
          </w:p>
        </w:tc>
        <w:tc>
          <w:tcPr>
            <w:tcW w:w="5969" w:type="dxa"/>
            <w:tcBorders>
              <w:top w:val="nil"/>
              <w:left w:val="nil"/>
              <w:bottom w:val="single" w:sz="4" w:space="0" w:color="auto"/>
              <w:right w:val="single" w:sz="4" w:space="0" w:color="auto"/>
            </w:tcBorders>
            <w:vAlign w:val="center"/>
            <w:hideMark/>
          </w:tcPr>
          <w:p w:rsidR="0087733B" w:rsidRPr="0087733B" w:rsidRDefault="0087733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Centro de Integración Juvenil de Colima, A.C.</w:t>
            </w:r>
          </w:p>
        </w:tc>
        <w:tc>
          <w:tcPr>
            <w:tcW w:w="1440" w:type="dxa"/>
            <w:tcBorders>
              <w:top w:val="nil"/>
              <w:left w:val="nil"/>
              <w:bottom w:val="single" w:sz="4" w:space="0" w:color="auto"/>
              <w:right w:val="single" w:sz="4" w:space="0" w:color="auto"/>
            </w:tcBorders>
            <w:noWrap/>
            <w:vAlign w:val="center"/>
          </w:tcPr>
          <w:p w:rsidR="0087733B" w:rsidRPr="0087733B" w:rsidRDefault="0087733B" w:rsidP="0087733B">
            <w:pPr>
              <w:spacing w:after="0" w:line="240" w:lineRule="auto"/>
              <w:jc w:val="right"/>
              <w:rPr>
                <w:rFonts w:ascii="Arial" w:hAnsi="Arial" w:cs="Arial"/>
                <w:sz w:val="18"/>
                <w:szCs w:val="18"/>
              </w:rPr>
            </w:pPr>
            <w:r w:rsidRPr="0087733B">
              <w:rPr>
                <w:rFonts w:ascii="Arial" w:hAnsi="Arial" w:cs="Arial"/>
                <w:sz w:val="18"/>
                <w:szCs w:val="18"/>
              </w:rPr>
              <w:t>1,796,965</w:t>
            </w:r>
          </w:p>
        </w:tc>
      </w:tr>
      <w:tr w:rsidR="0087733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hideMark/>
          </w:tcPr>
          <w:p w:rsidR="0087733B" w:rsidRPr="0087733B" w:rsidRDefault="0087733B" w:rsidP="0087733B">
            <w:pPr>
              <w:spacing w:after="0" w:line="240" w:lineRule="auto"/>
              <w:jc w:val="center"/>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44502</w:t>
            </w:r>
          </w:p>
        </w:tc>
        <w:tc>
          <w:tcPr>
            <w:tcW w:w="5969" w:type="dxa"/>
            <w:tcBorders>
              <w:top w:val="nil"/>
              <w:left w:val="nil"/>
              <w:bottom w:val="single" w:sz="4" w:space="0" w:color="auto"/>
              <w:right w:val="single" w:sz="4" w:space="0" w:color="auto"/>
            </w:tcBorders>
            <w:vAlign w:val="center"/>
            <w:hideMark/>
          </w:tcPr>
          <w:p w:rsidR="0087733B" w:rsidRPr="0087733B" w:rsidRDefault="0087733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Albergue Estudiantil Graciano Sánchez, A.C.</w:t>
            </w:r>
          </w:p>
        </w:tc>
        <w:tc>
          <w:tcPr>
            <w:tcW w:w="1440" w:type="dxa"/>
            <w:tcBorders>
              <w:top w:val="nil"/>
              <w:left w:val="nil"/>
              <w:bottom w:val="single" w:sz="4" w:space="0" w:color="auto"/>
              <w:right w:val="single" w:sz="4" w:space="0" w:color="auto"/>
            </w:tcBorders>
            <w:noWrap/>
            <w:vAlign w:val="center"/>
          </w:tcPr>
          <w:p w:rsidR="0087733B" w:rsidRPr="0087733B" w:rsidRDefault="0087733B" w:rsidP="0087733B">
            <w:pPr>
              <w:spacing w:after="0" w:line="240" w:lineRule="auto"/>
              <w:jc w:val="right"/>
              <w:rPr>
                <w:rFonts w:ascii="Arial" w:hAnsi="Arial" w:cs="Arial"/>
                <w:sz w:val="18"/>
                <w:szCs w:val="18"/>
              </w:rPr>
            </w:pPr>
            <w:r w:rsidRPr="0087733B">
              <w:rPr>
                <w:rFonts w:ascii="Arial" w:hAnsi="Arial" w:cs="Arial"/>
                <w:sz w:val="18"/>
                <w:szCs w:val="18"/>
              </w:rPr>
              <w:t>132,000</w:t>
            </w:r>
          </w:p>
        </w:tc>
      </w:tr>
      <w:tr w:rsidR="0087733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hideMark/>
          </w:tcPr>
          <w:p w:rsidR="0087733B" w:rsidRPr="0087733B" w:rsidRDefault="0087733B" w:rsidP="0087733B">
            <w:pPr>
              <w:spacing w:after="0" w:line="240" w:lineRule="auto"/>
              <w:jc w:val="center"/>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44503</w:t>
            </w:r>
          </w:p>
        </w:tc>
        <w:tc>
          <w:tcPr>
            <w:tcW w:w="5969" w:type="dxa"/>
            <w:tcBorders>
              <w:top w:val="nil"/>
              <w:left w:val="nil"/>
              <w:bottom w:val="single" w:sz="4" w:space="0" w:color="auto"/>
              <w:right w:val="single" w:sz="4" w:space="0" w:color="auto"/>
            </w:tcBorders>
            <w:vAlign w:val="center"/>
            <w:hideMark/>
          </w:tcPr>
          <w:p w:rsidR="0087733B" w:rsidRPr="0087733B" w:rsidRDefault="0087733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Hogar de Amor y Protección al Niño, A.C.</w:t>
            </w:r>
          </w:p>
        </w:tc>
        <w:tc>
          <w:tcPr>
            <w:tcW w:w="1440" w:type="dxa"/>
            <w:tcBorders>
              <w:top w:val="nil"/>
              <w:left w:val="nil"/>
              <w:bottom w:val="single" w:sz="4" w:space="0" w:color="auto"/>
              <w:right w:val="single" w:sz="4" w:space="0" w:color="auto"/>
            </w:tcBorders>
            <w:noWrap/>
            <w:vAlign w:val="center"/>
          </w:tcPr>
          <w:p w:rsidR="0087733B" w:rsidRPr="0087733B" w:rsidRDefault="0087733B" w:rsidP="0087733B">
            <w:pPr>
              <w:spacing w:after="0" w:line="240" w:lineRule="auto"/>
              <w:jc w:val="right"/>
              <w:rPr>
                <w:rFonts w:ascii="Arial" w:hAnsi="Arial" w:cs="Arial"/>
                <w:sz w:val="18"/>
                <w:szCs w:val="18"/>
              </w:rPr>
            </w:pPr>
            <w:r w:rsidRPr="0087733B">
              <w:rPr>
                <w:rFonts w:ascii="Arial" w:hAnsi="Arial" w:cs="Arial"/>
                <w:sz w:val="18"/>
                <w:szCs w:val="18"/>
              </w:rPr>
              <w:t>162,635</w:t>
            </w:r>
          </w:p>
        </w:tc>
      </w:tr>
      <w:tr w:rsidR="0087733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hideMark/>
          </w:tcPr>
          <w:p w:rsidR="0087733B" w:rsidRPr="0087733B" w:rsidRDefault="0087733B" w:rsidP="0087733B">
            <w:pPr>
              <w:spacing w:after="0" w:line="240" w:lineRule="auto"/>
              <w:jc w:val="center"/>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44504</w:t>
            </w:r>
          </w:p>
        </w:tc>
        <w:tc>
          <w:tcPr>
            <w:tcW w:w="5969" w:type="dxa"/>
            <w:tcBorders>
              <w:top w:val="nil"/>
              <w:left w:val="nil"/>
              <w:bottom w:val="single" w:sz="4" w:space="0" w:color="auto"/>
              <w:right w:val="single" w:sz="4" w:space="0" w:color="auto"/>
            </w:tcBorders>
            <w:vAlign w:val="center"/>
            <w:hideMark/>
          </w:tcPr>
          <w:p w:rsidR="0087733B" w:rsidRPr="0087733B" w:rsidRDefault="0087733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Centro Ecológico Cuyutlán "El Tortugario", A.C.</w:t>
            </w:r>
          </w:p>
        </w:tc>
        <w:tc>
          <w:tcPr>
            <w:tcW w:w="1440" w:type="dxa"/>
            <w:tcBorders>
              <w:top w:val="nil"/>
              <w:left w:val="nil"/>
              <w:bottom w:val="single" w:sz="4" w:space="0" w:color="auto"/>
              <w:right w:val="single" w:sz="4" w:space="0" w:color="auto"/>
            </w:tcBorders>
            <w:noWrap/>
            <w:vAlign w:val="center"/>
          </w:tcPr>
          <w:p w:rsidR="0087733B" w:rsidRPr="0087733B" w:rsidRDefault="0087733B" w:rsidP="0087733B">
            <w:pPr>
              <w:spacing w:after="0" w:line="240" w:lineRule="auto"/>
              <w:jc w:val="right"/>
              <w:rPr>
                <w:rFonts w:ascii="Arial" w:hAnsi="Arial" w:cs="Arial"/>
                <w:sz w:val="18"/>
                <w:szCs w:val="18"/>
              </w:rPr>
            </w:pPr>
            <w:r w:rsidRPr="0087733B">
              <w:rPr>
                <w:rFonts w:ascii="Arial" w:hAnsi="Arial" w:cs="Arial"/>
                <w:sz w:val="18"/>
                <w:szCs w:val="18"/>
              </w:rPr>
              <w:t>184,961</w:t>
            </w:r>
          </w:p>
        </w:tc>
      </w:tr>
      <w:tr w:rsidR="0087733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hideMark/>
          </w:tcPr>
          <w:p w:rsidR="0087733B" w:rsidRPr="0087733B" w:rsidRDefault="0087733B" w:rsidP="0087733B">
            <w:pPr>
              <w:spacing w:after="0" w:line="240" w:lineRule="auto"/>
              <w:jc w:val="center"/>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44505</w:t>
            </w:r>
          </w:p>
        </w:tc>
        <w:tc>
          <w:tcPr>
            <w:tcW w:w="5969" w:type="dxa"/>
            <w:tcBorders>
              <w:top w:val="nil"/>
              <w:left w:val="nil"/>
              <w:bottom w:val="single" w:sz="4" w:space="0" w:color="auto"/>
              <w:right w:val="single" w:sz="4" w:space="0" w:color="auto"/>
            </w:tcBorders>
            <w:vAlign w:val="center"/>
            <w:hideMark/>
          </w:tcPr>
          <w:p w:rsidR="0087733B" w:rsidRPr="0087733B" w:rsidRDefault="0087733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Unidos en la Esperanza de Quesería Colima, A.C.</w:t>
            </w:r>
          </w:p>
        </w:tc>
        <w:tc>
          <w:tcPr>
            <w:tcW w:w="1440" w:type="dxa"/>
            <w:tcBorders>
              <w:top w:val="nil"/>
              <w:left w:val="nil"/>
              <w:bottom w:val="single" w:sz="4" w:space="0" w:color="auto"/>
              <w:right w:val="single" w:sz="4" w:space="0" w:color="auto"/>
            </w:tcBorders>
            <w:noWrap/>
            <w:vAlign w:val="center"/>
          </w:tcPr>
          <w:p w:rsidR="0087733B" w:rsidRPr="0087733B" w:rsidRDefault="0087733B" w:rsidP="0087733B">
            <w:pPr>
              <w:spacing w:after="0" w:line="240" w:lineRule="auto"/>
              <w:jc w:val="right"/>
              <w:rPr>
                <w:rFonts w:ascii="Arial" w:hAnsi="Arial" w:cs="Arial"/>
                <w:sz w:val="18"/>
                <w:szCs w:val="18"/>
              </w:rPr>
            </w:pPr>
            <w:r w:rsidRPr="0087733B">
              <w:rPr>
                <w:rFonts w:ascii="Arial" w:hAnsi="Arial" w:cs="Arial"/>
                <w:sz w:val="18"/>
                <w:szCs w:val="18"/>
              </w:rPr>
              <w:t>120,033</w:t>
            </w:r>
          </w:p>
        </w:tc>
      </w:tr>
      <w:tr w:rsidR="0087733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hideMark/>
          </w:tcPr>
          <w:p w:rsidR="0087733B" w:rsidRPr="0087733B" w:rsidRDefault="0087733B" w:rsidP="0087733B">
            <w:pPr>
              <w:spacing w:after="0" w:line="240" w:lineRule="auto"/>
              <w:jc w:val="center"/>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44506</w:t>
            </w:r>
          </w:p>
        </w:tc>
        <w:tc>
          <w:tcPr>
            <w:tcW w:w="5969" w:type="dxa"/>
            <w:tcBorders>
              <w:top w:val="nil"/>
              <w:left w:val="nil"/>
              <w:bottom w:val="single" w:sz="4" w:space="0" w:color="auto"/>
              <w:right w:val="single" w:sz="4" w:space="0" w:color="auto"/>
            </w:tcBorders>
            <w:vAlign w:val="center"/>
            <w:hideMark/>
          </w:tcPr>
          <w:p w:rsidR="0087733B" w:rsidRPr="0087733B" w:rsidRDefault="0087733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Centro de Recuperación y Rehabilitación para enfermos de Alcoholismo y Drogadicción Michoacán, A.C.</w:t>
            </w:r>
          </w:p>
        </w:tc>
        <w:tc>
          <w:tcPr>
            <w:tcW w:w="1440" w:type="dxa"/>
            <w:tcBorders>
              <w:top w:val="nil"/>
              <w:left w:val="nil"/>
              <w:bottom w:val="single" w:sz="4" w:space="0" w:color="auto"/>
              <w:right w:val="single" w:sz="4" w:space="0" w:color="auto"/>
            </w:tcBorders>
            <w:noWrap/>
            <w:vAlign w:val="center"/>
          </w:tcPr>
          <w:p w:rsidR="0087733B" w:rsidRPr="0087733B" w:rsidRDefault="0087733B" w:rsidP="0087733B">
            <w:pPr>
              <w:spacing w:after="0" w:line="240" w:lineRule="auto"/>
              <w:jc w:val="right"/>
              <w:rPr>
                <w:rFonts w:ascii="Arial" w:hAnsi="Arial" w:cs="Arial"/>
                <w:sz w:val="18"/>
                <w:szCs w:val="18"/>
              </w:rPr>
            </w:pPr>
            <w:r w:rsidRPr="0087733B">
              <w:rPr>
                <w:rFonts w:ascii="Arial" w:hAnsi="Arial" w:cs="Arial"/>
                <w:sz w:val="18"/>
                <w:szCs w:val="18"/>
              </w:rPr>
              <w:t>182,176</w:t>
            </w:r>
          </w:p>
        </w:tc>
      </w:tr>
      <w:tr w:rsidR="0087733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hideMark/>
          </w:tcPr>
          <w:p w:rsidR="0087733B" w:rsidRPr="0087733B" w:rsidRDefault="0087733B" w:rsidP="0087733B">
            <w:pPr>
              <w:spacing w:after="0" w:line="240" w:lineRule="auto"/>
              <w:jc w:val="center"/>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44507</w:t>
            </w:r>
          </w:p>
        </w:tc>
        <w:tc>
          <w:tcPr>
            <w:tcW w:w="5969" w:type="dxa"/>
            <w:tcBorders>
              <w:top w:val="nil"/>
              <w:left w:val="nil"/>
              <w:bottom w:val="single" w:sz="4" w:space="0" w:color="auto"/>
              <w:right w:val="single" w:sz="4" w:space="0" w:color="auto"/>
            </w:tcBorders>
            <w:vAlign w:val="center"/>
            <w:hideMark/>
          </w:tcPr>
          <w:p w:rsidR="0087733B" w:rsidRPr="0087733B" w:rsidRDefault="0087733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Grupo de Apoyo y Protección al Adulto en Plenitud, A.C.</w:t>
            </w:r>
          </w:p>
        </w:tc>
        <w:tc>
          <w:tcPr>
            <w:tcW w:w="1440" w:type="dxa"/>
            <w:tcBorders>
              <w:top w:val="nil"/>
              <w:left w:val="nil"/>
              <w:bottom w:val="single" w:sz="4" w:space="0" w:color="auto"/>
              <w:right w:val="single" w:sz="4" w:space="0" w:color="auto"/>
            </w:tcBorders>
            <w:noWrap/>
            <w:vAlign w:val="center"/>
          </w:tcPr>
          <w:p w:rsidR="0087733B" w:rsidRPr="0087733B" w:rsidRDefault="0087733B" w:rsidP="0087733B">
            <w:pPr>
              <w:spacing w:after="0" w:line="240" w:lineRule="auto"/>
              <w:jc w:val="right"/>
              <w:rPr>
                <w:rFonts w:ascii="Arial" w:hAnsi="Arial" w:cs="Arial"/>
                <w:sz w:val="18"/>
                <w:szCs w:val="18"/>
              </w:rPr>
            </w:pPr>
            <w:r w:rsidRPr="0087733B">
              <w:rPr>
                <w:rFonts w:ascii="Arial" w:hAnsi="Arial" w:cs="Arial"/>
                <w:sz w:val="18"/>
                <w:szCs w:val="18"/>
              </w:rPr>
              <w:t>35,433</w:t>
            </w:r>
          </w:p>
        </w:tc>
      </w:tr>
      <w:tr w:rsidR="0087733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hideMark/>
          </w:tcPr>
          <w:p w:rsidR="0087733B" w:rsidRPr="0087733B" w:rsidRDefault="0087733B" w:rsidP="0087733B">
            <w:pPr>
              <w:spacing w:after="0" w:line="240" w:lineRule="auto"/>
              <w:jc w:val="center"/>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44508</w:t>
            </w:r>
          </w:p>
        </w:tc>
        <w:tc>
          <w:tcPr>
            <w:tcW w:w="5969" w:type="dxa"/>
            <w:tcBorders>
              <w:top w:val="nil"/>
              <w:left w:val="nil"/>
              <w:bottom w:val="single" w:sz="4" w:space="0" w:color="auto"/>
              <w:right w:val="single" w:sz="4" w:space="0" w:color="auto"/>
            </w:tcBorders>
            <w:vAlign w:val="center"/>
            <w:hideMark/>
          </w:tcPr>
          <w:p w:rsidR="0087733B" w:rsidRPr="0087733B" w:rsidRDefault="0087733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Asociación de Personas con Discapacidad del Municipio de Armería, Col, A.C.</w:t>
            </w:r>
          </w:p>
        </w:tc>
        <w:tc>
          <w:tcPr>
            <w:tcW w:w="1440" w:type="dxa"/>
            <w:tcBorders>
              <w:top w:val="nil"/>
              <w:left w:val="nil"/>
              <w:bottom w:val="single" w:sz="4" w:space="0" w:color="auto"/>
              <w:right w:val="single" w:sz="4" w:space="0" w:color="auto"/>
            </w:tcBorders>
            <w:noWrap/>
            <w:vAlign w:val="center"/>
          </w:tcPr>
          <w:p w:rsidR="0087733B" w:rsidRPr="0087733B" w:rsidRDefault="0087733B" w:rsidP="0087733B">
            <w:pPr>
              <w:spacing w:after="0" w:line="240" w:lineRule="auto"/>
              <w:jc w:val="right"/>
              <w:rPr>
                <w:rFonts w:ascii="Arial" w:hAnsi="Arial" w:cs="Arial"/>
                <w:sz w:val="18"/>
                <w:szCs w:val="18"/>
              </w:rPr>
            </w:pPr>
            <w:r w:rsidRPr="0087733B">
              <w:rPr>
                <w:rFonts w:ascii="Arial" w:hAnsi="Arial" w:cs="Arial"/>
                <w:sz w:val="18"/>
                <w:szCs w:val="18"/>
              </w:rPr>
              <w:t>83,630</w:t>
            </w:r>
          </w:p>
        </w:tc>
      </w:tr>
      <w:tr w:rsidR="0087733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hideMark/>
          </w:tcPr>
          <w:p w:rsidR="0087733B" w:rsidRPr="0087733B" w:rsidRDefault="0087733B" w:rsidP="0087733B">
            <w:pPr>
              <w:spacing w:after="0" w:line="240" w:lineRule="auto"/>
              <w:jc w:val="center"/>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44509</w:t>
            </w:r>
          </w:p>
        </w:tc>
        <w:tc>
          <w:tcPr>
            <w:tcW w:w="5969" w:type="dxa"/>
            <w:tcBorders>
              <w:top w:val="nil"/>
              <w:left w:val="nil"/>
              <w:bottom w:val="single" w:sz="4" w:space="0" w:color="auto"/>
              <w:right w:val="single" w:sz="4" w:space="0" w:color="auto"/>
            </w:tcBorders>
            <w:vAlign w:val="center"/>
            <w:hideMark/>
          </w:tcPr>
          <w:p w:rsidR="0087733B" w:rsidRPr="0087733B" w:rsidRDefault="0087733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Por Amor a los Necesitados, A.C.</w:t>
            </w:r>
          </w:p>
        </w:tc>
        <w:tc>
          <w:tcPr>
            <w:tcW w:w="1440" w:type="dxa"/>
            <w:tcBorders>
              <w:top w:val="nil"/>
              <w:left w:val="nil"/>
              <w:bottom w:val="single" w:sz="4" w:space="0" w:color="auto"/>
              <w:right w:val="single" w:sz="4" w:space="0" w:color="auto"/>
            </w:tcBorders>
            <w:noWrap/>
            <w:vAlign w:val="center"/>
          </w:tcPr>
          <w:p w:rsidR="0087733B" w:rsidRPr="0087733B" w:rsidRDefault="0087733B" w:rsidP="0087733B">
            <w:pPr>
              <w:spacing w:after="0" w:line="240" w:lineRule="auto"/>
              <w:jc w:val="right"/>
              <w:rPr>
                <w:rFonts w:ascii="Arial" w:hAnsi="Arial" w:cs="Arial"/>
                <w:sz w:val="18"/>
                <w:szCs w:val="18"/>
              </w:rPr>
            </w:pPr>
            <w:r w:rsidRPr="0087733B">
              <w:rPr>
                <w:rFonts w:ascii="Arial" w:hAnsi="Arial" w:cs="Arial"/>
                <w:sz w:val="18"/>
                <w:szCs w:val="18"/>
              </w:rPr>
              <w:t>29,197</w:t>
            </w:r>
          </w:p>
        </w:tc>
      </w:tr>
      <w:tr w:rsidR="0087733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hideMark/>
          </w:tcPr>
          <w:p w:rsidR="0087733B" w:rsidRPr="0087733B" w:rsidRDefault="0087733B" w:rsidP="0087733B">
            <w:pPr>
              <w:spacing w:after="0" w:line="240" w:lineRule="auto"/>
              <w:jc w:val="center"/>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44510</w:t>
            </w:r>
          </w:p>
        </w:tc>
        <w:tc>
          <w:tcPr>
            <w:tcW w:w="5969" w:type="dxa"/>
            <w:tcBorders>
              <w:top w:val="nil"/>
              <w:left w:val="nil"/>
              <w:bottom w:val="single" w:sz="4" w:space="0" w:color="auto"/>
              <w:right w:val="single" w:sz="4" w:space="0" w:color="auto"/>
            </w:tcBorders>
            <w:vAlign w:val="center"/>
            <w:hideMark/>
          </w:tcPr>
          <w:p w:rsidR="0087733B" w:rsidRPr="0087733B" w:rsidRDefault="0087733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Asociación de Limitados Físicos de Colima, A.C.</w:t>
            </w:r>
          </w:p>
        </w:tc>
        <w:tc>
          <w:tcPr>
            <w:tcW w:w="1440" w:type="dxa"/>
            <w:tcBorders>
              <w:top w:val="nil"/>
              <w:left w:val="nil"/>
              <w:bottom w:val="single" w:sz="4" w:space="0" w:color="auto"/>
              <w:right w:val="single" w:sz="4" w:space="0" w:color="auto"/>
            </w:tcBorders>
            <w:noWrap/>
            <w:vAlign w:val="center"/>
          </w:tcPr>
          <w:p w:rsidR="0087733B" w:rsidRPr="0087733B" w:rsidRDefault="0087733B" w:rsidP="0087733B">
            <w:pPr>
              <w:spacing w:after="0" w:line="240" w:lineRule="auto"/>
              <w:jc w:val="right"/>
              <w:rPr>
                <w:rFonts w:ascii="Arial" w:hAnsi="Arial" w:cs="Arial"/>
                <w:sz w:val="18"/>
                <w:szCs w:val="18"/>
              </w:rPr>
            </w:pPr>
            <w:r w:rsidRPr="0087733B">
              <w:rPr>
                <w:rFonts w:ascii="Arial" w:hAnsi="Arial" w:cs="Arial"/>
                <w:sz w:val="18"/>
                <w:szCs w:val="18"/>
              </w:rPr>
              <w:t>85,238</w:t>
            </w:r>
          </w:p>
        </w:tc>
      </w:tr>
      <w:tr w:rsidR="0087733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hideMark/>
          </w:tcPr>
          <w:p w:rsidR="0087733B" w:rsidRPr="0087733B" w:rsidRDefault="0087733B" w:rsidP="0087733B">
            <w:pPr>
              <w:spacing w:after="0" w:line="240" w:lineRule="auto"/>
              <w:jc w:val="center"/>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44511</w:t>
            </w:r>
          </w:p>
        </w:tc>
        <w:tc>
          <w:tcPr>
            <w:tcW w:w="5969" w:type="dxa"/>
            <w:tcBorders>
              <w:top w:val="nil"/>
              <w:left w:val="nil"/>
              <w:bottom w:val="single" w:sz="4" w:space="0" w:color="auto"/>
              <w:right w:val="single" w:sz="4" w:space="0" w:color="auto"/>
            </w:tcBorders>
            <w:vAlign w:val="center"/>
            <w:hideMark/>
          </w:tcPr>
          <w:p w:rsidR="0087733B" w:rsidRPr="0087733B" w:rsidRDefault="0087733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Asociación de Personas con Discapacidad, su Familiares y/o Representantes de Coquimatlán, A.C.</w:t>
            </w:r>
          </w:p>
        </w:tc>
        <w:tc>
          <w:tcPr>
            <w:tcW w:w="1440" w:type="dxa"/>
            <w:tcBorders>
              <w:top w:val="nil"/>
              <w:left w:val="nil"/>
              <w:bottom w:val="single" w:sz="4" w:space="0" w:color="auto"/>
              <w:right w:val="single" w:sz="4" w:space="0" w:color="auto"/>
            </w:tcBorders>
            <w:noWrap/>
            <w:vAlign w:val="center"/>
          </w:tcPr>
          <w:p w:rsidR="0087733B" w:rsidRPr="0087733B" w:rsidRDefault="0087733B" w:rsidP="0087733B">
            <w:pPr>
              <w:spacing w:after="0" w:line="240" w:lineRule="auto"/>
              <w:jc w:val="right"/>
              <w:rPr>
                <w:rFonts w:ascii="Arial" w:hAnsi="Arial" w:cs="Arial"/>
                <w:sz w:val="18"/>
                <w:szCs w:val="18"/>
              </w:rPr>
            </w:pPr>
            <w:r w:rsidRPr="0087733B">
              <w:rPr>
                <w:rFonts w:ascii="Arial" w:hAnsi="Arial" w:cs="Arial"/>
                <w:sz w:val="18"/>
                <w:szCs w:val="18"/>
              </w:rPr>
              <w:t>85,238</w:t>
            </w:r>
          </w:p>
        </w:tc>
      </w:tr>
      <w:tr w:rsidR="0087733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hideMark/>
          </w:tcPr>
          <w:p w:rsidR="0087733B" w:rsidRPr="0087733B" w:rsidRDefault="0087733B" w:rsidP="0087733B">
            <w:pPr>
              <w:spacing w:after="0" w:line="240" w:lineRule="auto"/>
              <w:jc w:val="center"/>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44512</w:t>
            </w:r>
          </w:p>
        </w:tc>
        <w:tc>
          <w:tcPr>
            <w:tcW w:w="5969" w:type="dxa"/>
            <w:tcBorders>
              <w:top w:val="nil"/>
              <w:left w:val="nil"/>
              <w:bottom w:val="single" w:sz="4" w:space="0" w:color="auto"/>
              <w:right w:val="single" w:sz="4" w:space="0" w:color="auto"/>
            </w:tcBorders>
            <w:vAlign w:val="center"/>
            <w:hideMark/>
          </w:tcPr>
          <w:p w:rsidR="0087733B" w:rsidRPr="0087733B" w:rsidRDefault="0087733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Capacitación y Trabajo para Discapacitados, A.C.</w:t>
            </w:r>
          </w:p>
        </w:tc>
        <w:tc>
          <w:tcPr>
            <w:tcW w:w="1440" w:type="dxa"/>
            <w:tcBorders>
              <w:top w:val="nil"/>
              <w:left w:val="nil"/>
              <w:bottom w:val="single" w:sz="4" w:space="0" w:color="auto"/>
              <w:right w:val="single" w:sz="4" w:space="0" w:color="auto"/>
            </w:tcBorders>
            <w:noWrap/>
            <w:vAlign w:val="center"/>
          </w:tcPr>
          <w:p w:rsidR="0087733B" w:rsidRPr="0087733B" w:rsidRDefault="0087733B" w:rsidP="0087733B">
            <w:pPr>
              <w:spacing w:after="0" w:line="240" w:lineRule="auto"/>
              <w:jc w:val="right"/>
              <w:rPr>
                <w:rFonts w:ascii="Arial" w:hAnsi="Arial" w:cs="Arial"/>
                <w:sz w:val="18"/>
                <w:szCs w:val="18"/>
              </w:rPr>
            </w:pPr>
            <w:r w:rsidRPr="0087733B">
              <w:rPr>
                <w:rFonts w:ascii="Arial" w:hAnsi="Arial" w:cs="Arial"/>
                <w:sz w:val="18"/>
                <w:szCs w:val="18"/>
              </w:rPr>
              <w:t>85,238</w:t>
            </w:r>
          </w:p>
        </w:tc>
      </w:tr>
      <w:tr w:rsidR="0087733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hideMark/>
          </w:tcPr>
          <w:p w:rsidR="0087733B" w:rsidRPr="0087733B" w:rsidRDefault="0087733B" w:rsidP="0087733B">
            <w:pPr>
              <w:spacing w:after="0" w:line="240" w:lineRule="auto"/>
              <w:jc w:val="center"/>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44513</w:t>
            </w:r>
          </w:p>
        </w:tc>
        <w:tc>
          <w:tcPr>
            <w:tcW w:w="5969" w:type="dxa"/>
            <w:tcBorders>
              <w:top w:val="nil"/>
              <w:left w:val="nil"/>
              <w:bottom w:val="single" w:sz="4" w:space="0" w:color="auto"/>
              <w:right w:val="single" w:sz="4" w:space="0" w:color="auto"/>
            </w:tcBorders>
            <w:vAlign w:val="center"/>
            <w:hideMark/>
          </w:tcPr>
          <w:p w:rsidR="0087733B" w:rsidRPr="0087733B" w:rsidRDefault="0087733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Unidos por la Discapacidad de Manzanillo, A.C.</w:t>
            </w:r>
          </w:p>
        </w:tc>
        <w:tc>
          <w:tcPr>
            <w:tcW w:w="1440" w:type="dxa"/>
            <w:tcBorders>
              <w:top w:val="nil"/>
              <w:left w:val="nil"/>
              <w:bottom w:val="single" w:sz="4" w:space="0" w:color="auto"/>
              <w:right w:val="single" w:sz="4" w:space="0" w:color="auto"/>
            </w:tcBorders>
            <w:noWrap/>
            <w:vAlign w:val="center"/>
          </w:tcPr>
          <w:p w:rsidR="0087733B" w:rsidRPr="0087733B" w:rsidRDefault="0087733B" w:rsidP="0087733B">
            <w:pPr>
              <w:spacing w:after="0" w:line="240" w:lineRule="auto"/>
              <w:jc w:val="right"/>
              <w:rPr>
                <w:rFonts w:ascii="Arial" w:hAnsi="Arial" w:cs="Arial"/>
                <w:sz w:val="18"/>
                <w:szCs w:val="18"/>
              </w:rPr>
            </w:pPr>
            <w:r w:rsidRPr="0087733B">
              <w:rPr>
                <w:rFonts w:ascii="Arial" w:hAnsi="Arial" w:cs="Arial"/>
                <w:sz w:val="18"/>
                <w:szCs w:val="18"/>
              </w:rPr>
              <w:t>85,238</w:t>
            </w:r>
          </w:p>
        </w:tc>
      </w:tr>
      <w:tr w:rsidR="0087733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hideMark/>
          </w:tcPr>
          <w:p w:rsidR="0087733B" w:rsidRPr="0087733B" w:rsidRDefault="0087733B" w:rsidP="0087733B">
            <w:pPr>
              <w:spacing w:after="0" w:line="240" w:lineRule="auto"/>
              <w:jc w:val="center"/>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44514</w:t>
            </w:r>
          </w:p>
        </w:tc>
        <w:tc>
          <w:tcPr>
            <w:tcW w:w="5969" w:type="dxa"/>
            <w:tcBorders>
              <w:top w:val="nil"/>
              <w:left w:val="nil"/>
              <w:bottom w:val="single" w:sz="4" w:space="0" w:color="auto"/>
              <w:right w:val="single" w:sz="4" w:space="0" w:color="auto"/>
            </w:tcBorders>
            <w:vAlign w:val="center"/>
            <w:hideMark/>
          </w:tcPr>
          <w:p w:rsidR="0087733B" w:rsidRPr="0087733B" w:rsidRDefault="0087733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Fundación Vidrio Figueroa para el Discapacitado, A.C.</w:t>
            </w:r>
          </w:p>
        </w:tc>
        <w:tc>
          <w:tcPr>
            <w:tcW w:w="1440" w:type="dxa"/>
            <w:tcBorders>
              <w:top w:val="nil"/>
              <w:left w:val="nil"/>
              <w:bottom w:val="single" w:sz="4" w:space="0" w:color="auto"/>
              <w:right w:val="single" w:sz="4" w:space="0" w:color="auto"/>
            </w:tcBorders>
            <w:noWrap/>
            <w:vAlign w:val="center"/>
          </w:tcPr>
          <w:p w:rsidR="0087733B" w:rsidRPr="0087733B" w:rsidRDefault="0087733B" w:rsidP="0087733B">
            <w:pPr>
              <w:spacing w:after="0" w:line="240" w:lineRule="auto"/>
              <w:jc w:val="right"/>
              <w:rPr>
                <w:rFonts w:ascii="Arial" w:hAnsi="Arial" w:cs="Arial"/>
                <w:sz w:val="18"/>
                <w:szCs w:val="18"/>
              </w:rPr>
            </w:pPr>
            <w:r w:rsidRPr="0087733B">
              <w:rPr>
                <w:rFonts w:ascii="Arial" w:hAnsi="Arial" w:cs="Arial"/>
                <w:sz w:val="18"/>
                <w:szCs w:val="18"/>
              </w:rPr>
              <w:t>101,560</w:t>
            </w:r>
          </w:p>
        </w:tc>
      </w:tr>
      <w:tr w:rsidR="0087733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hideMark/>
          </w:tcPr>
          <w:p w:rsidR="0087733B" w:rsidRPr="0087733B" w:rsidRDefault="0087733B" w:rsidP="0087733B">
            <w:pPr>
              <w:spacing w:after="0" w:line="240" w:lineRule="auto"/>
              <w:jc w:val="center"/>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44515</w:t>
            </w:r>
          </w:p>
        </w:tc>
        <w:tc>
          <w:tcPr>
            <w:tcW w:w="5969" w:type="dxa"/>
            <w:tcBorders>
              <w:top w:val="nil"/>
              <w:left w:val="nil"/>
              <w:bottom w:val="single" w:sz="4" w:space="0" w:color="auto"/>
              <w:right w:val="single" w:sz="4" w:space="0" w:color="auto"/>
            </w:tcBorders>
            <w:vAlign w:val="center"/>
            <w:hideMark/>
          </w:tcPr>
          <w:p w:rsidR="0087733B" w:rsidRPr="0087733B" w:rsidRDefault="0087733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Organización de Ciegos Colimenses, A.C.</w:t>
            </w:r>
          </w:p>
        </w:tc>
        <w:tc>
          <w:tcPr>
            <w:tcW w:w="1440" w:type="dxa"/>
            <w:tcBorders>
              <w:top w:val="nil"/>
              <w:left w:val="nil"/>
              <w:bottom w:val="single" w:sz="4" w:space="0" w:color="auto"/>
              <w:right w:val="single" w:sz="4" w:space="0" w:color="auto"/>
            </w:tcBorders>
            <w:noWrap/>
            <w:vAlign w:val="center"/>
          </w:tcPr>
          <w:p w:rsidR="0087733B" w:rsidRPr="0087733B" w:rsidRDefault="0087733B" w:rsidP="0087733B">
            <w:pPr>
              <w:spacing w:after="0" w:line="240" w:lineRule="auto"/>
              <w:jc w:val="right"/>
              <w:rPr>
                <w:rFonts w:ascii="Arial" w:hAnsi="Arial" w:cs="Arial"/>
                <w:sz w:val="18"/>
                <w:szCs w:val="18"/>
              </w:rPr>
            </w:pPr>
            <w:r w:rsidRPr="0087733B">
              <w:rPr>
                <w:rFonts w:ascii="Arial" w:hAnsi="Arial" w:cs="Arial"/>
                <w:sz w:val="18"/>
                <w:szCs w:val="18"/>
              </w:rPr>
              <w:t>91,171</w:t>
            </w:r>
          </w:p>
        </w:tc>
      </w:tr>
      <w:tr w:rsidR="0087733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hideMark/>
          </w:tcPr>
          <w:p w:rsidR="0087733B" w:rsidRPr="0087733B" w:rsidRDefault="0087733B" w:rsidP="0087733B">
            <w:pPr>
              <w:spacing w:after="0" w:line="240" w:lineRule="auto"/>
              <w:jc w:val="center"/>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44516</w:t>
            </w:r>
          </w:p>
        </w:tc>
        <w:tc>
          <w:tcPr>
            <w:tcW w:w="5969" w:type="dxa"/>
            <w:tcBorders>
              <w:top w:val="nil"/>
              <w:left w:val="nil"/>
              <w:bottom w:val="single" w:sz="4" w:space="0" w:color="auto"/>
              <w:right w:val="single" w:sz="4" w:space="0" w:color="auto"/>
            </w:tcBorders>
            <w:vAlign w:val="center"/>
            <w:hideMark/>
          </w:tcPr>
          <w:p w:rsidR="0087733B" w:rsidRPr="0087733B" w:rsidRDefault="0087733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Padres de Hijos con Discapacidad, A.C.</w:t>
            </w:r>
          </w:p>
        </w:tc>
        <w:tc>
          <w:tcPr>
            <w:tcW w:w="1440" w:type="dxa"/>
            <w:tcBorders>
              <w:top w:val="nil"/>
              <w:left w:val="nil"/>
              <w:bottom w:val="single" w:sz="4" w:space="0" w:color="auto"/>
              <w:right w:val="single" w:sz="4" w:space="0" w:color="auto"/>
            </w:tcBorders>
            <w:noWrap/>
            <w:vAlign w:val="center"/>
          </w:tcPr>
          <w:p w:rsidR="0087733B" w:rsidRPr="0087733B" w:rsidRDefault="0087733B" w:rsidP="0087733B">
            <w:pPr>
              <w:spacing w:after="0" w:line="240" w:lineRule="auto"/>
              <w:jc w:val="right"/>
              <w:rPr>
                <w:rFonts w:ascii="Arial" w:hAnsi="Arial" w:cs="Arial"/>
                <w:sz w:val="18"/>
                <w:szCs w:val="18"/>
              </w:rPr>
            </w:pPr>
            <w:r w:rsidRPr="0087733B">
              <w:rPr>
                <w:rFonts w:ascii="Arial" w:hAnsi="Arial" w:cs="Arial"/>
                <w:sz w:val="18"/>
                <w:szCs w:val="18"/>
              </w:rPr>
              <w:t>87,795</w:t>
            </w:r>
          </w:p>
        </w:tc>
      </w:tr>
      <w:tr w:rsidR="0087733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hideMark/>
          </w:tcPr>
          <w:p w:rsidR="0087733B" w:rsidRPr="0087733B" w:rsidRDefault="0087733B" w:rsidP="0087733B">
            <w:pPr>
              <w:spacing w:after="0" w:line="240" w:lineRule="auto"/>
              <w:jc w:val="center"/>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44517</w:t>
            </w:r>
          </w:p>
        </w:tc>
        <w:tc>
          <w:tcPr>
            <w:tcW w:w="5969" w:type="dxa"/>
            <w:tcBorders>
              <w:top w:val="nil"/>
              <w:left w:val="nil"/>
              <w:bottom w:val="single" w:sz="4" w:space="0" w:color="auto"/>
              <w:right w:val="single" w:sz="4" w:space="0" w:color="auto"/>
            </w:tcBorders>
            <w:vAlign w:val="center"/>
            <w:hideMark/>
          </w:tcPr>
          <w:p w:rsidR="0087733B" w:rsidRPr="0087733B" w:rsidRDefault="0087733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Asociación de Personas con Discapacidad de Paticajo y Comunidades de Minatitlán, A.C.</w:t>
            </w:r>
          </w:p>
        </w:tc>
        <w:tc>
          <w:tcPr>
            <w:tcW w:w="1440" w:type="dxa"/>
            <w:tcBorders>
              <w:top w:val="nil"/>
              <w:left w:val="nil"/>
              <w:bottom w:val="single" w:sz="4" w:space="0" w:color="auto"/>
              <w:right w:val="single" w:sz="4" w:space="0" w:color="auto"/>
            </w:tcBorders>
            <w:noWrap/>
            <w:vAlign w:val="center"/>
          </w:tcPr>
          <w:p w:rsidR="0087733B" w:rsidRPr="0087733B" w:rsidRDefault="0087733B" w:rsidP="0087733B">
            <w:pPr>
              <w:spacing w:after="0" w:line="240" w:lineRule="auto"/>
              <w:jc w:val="right"/>
              <w:rPr>
                <w:rFonts w:ascii="Arial" w:hAnsi="Arial" w:cs="Arial"/>
                <w:sz w:val="18"/>
                <w:szCs w:val="18"/>
              </w:rPr>
            </w:pPr>
            <w:r w:rsidRPr="0087733B">
              <w:rPr>
                <w:rFonts w:ascii="Arial" w:hAnsi="Arial" w:cs="Arial"/>
                <w:sz w:val="18"/>
                <w:szCs w:val="18"/>
              </w:rPr>
              <w:t>35,586</w:t>
            </w:r>
          </w:p>
        </w:tc>
      </w:tr>
      <w:tr w:rsidR="0087733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hideMark/>
          </w:tcPr>
          <w:p w:rsidR="0087733B" w:rsidRPr="0087733B" w:rsidRDefault="0087733B" w:rsidP="0087733B">
            <w:pPr>
              <w:spacing w:after="0" w:line="240" w:lineRule="auto"/>
              <w:jc w:val="center"/>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44518</w:t>
            </w:r>
          </w:p>
        </w:tc>
        <w:tc>
          <w:tcPr>
            <w:tcW w:w="5969" w:type="dxa"/>
            <w:tcBorders>
              <w:top w:val="nil"/>
              <w:left w:val="nil"/>
              <w:bottom w:val="single" w:sz="4" w:space="0" w:color="auto"/>
              <w:right w:val="single" w:sz="4" w:space="0" w:color="auto"/>
            </w:tcBorders>
            <w:vAlign w:val="center"/>
            <w:hideMark/>
          </w:tcPr>
          <w:p w:rsidR="0087733B" w:rsidRPr="0087733B" w:rsidRDefault="0087733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Asociación de Deportistas Especiales del Estado de Colima, A.C.</w:t>
            </w:r>
          </w:p>
        </w:tc>
        <w:tc>
          <w:tcPr>
            <w:tcW w:w="1440" w:type="dxa"/>
            <w:tcBorders>
              <w:top w:val="nil"/>
              <w:left w:val="nil"/>
              <w:bottom w:val="single" w:sz="4" w:space="0" w:color="auto"/>
              <w:right w:val="single" w:sz="4" w:space="0" w:color="auto"/>
            </w:tcBorders>
            <w:noWrap/>
            <w:vAlign w:val="center"/>
          </w:tcPr>
          <w:p w:rsidR="0087733B" w:rsidRPr="0087733B" w:rsidRDefault="0087733B" w:rsidP="0087733B">
            <w:pPr>
              <w:spacing w:after="0" w:line="240" w:lineRule="auto"/>
              <w:jc w:val="right"/>
              <w:rPr>
                <w:rFonts w:ascii="Arial" w:hAnsi="Arial" w:cs="Arial"/>
                <w:sz w:val="18"/>
                <w:szCs w:val="18"/>
              </w:rPr>
            </w:pPr>
            <w:r w:rsidRPr="0087733B">
              <w:rPr>
                <w:rFonts w:ascii="Arial" w:hAnsi="Arial" w:cs="Arial"/>
                <w:sz w:val="18"/>
                <w:szCs w:val="18"/>
              </w:rPr>
              <w:t>85,238</w:t>
            </w:r>
          </w:p>
        </w:tc>
      </w:tr>
      <w:tr w:rsidR="0087733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hideMark/>
          </w:tcPr>
          <w:p w:rsidR="0087733B" w:rsidRPr="0087733B" w:rsidRDefault="0087733B" w:rsidP="0087733B">
            <w:pPr>
              <w:spacing w:after="0" w:line="240" w:lineRule="auto"/>
              <w:jc w:val="center"/>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44519</w:t>
            </w:r>
          </w:p>
        </w:tc>
        <w:tc>
          <w:tcPr>
            <w:tcW w:w="5969" w:type="dxa"/>
            <w:tcBorders>
              <w:top w:val="nil"/>
              <w:left w:val="nil"/>
              <w:bottom w:val="single" w:sz="4" w:space="0" w:color="auto"/>
              <w:right w:val="single" w:sz="4" w:space="0" w:color="auto"/>
            </w:tcBorders>
            <w:vAlign w:val="center"/>
            <w:hideMark/>
          </w:tcPr>
          <w:p w:rsidR="0087733B" w:rsidRPr="0087733B" w:rsidRDefault="0087733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Centro de Apoyo a la Mujer Griselda Álvarez, A.C.</w:t>
            </w:r>
          </w:p>
        </w:tc>
        <w:tc>
          <w:tcPr>
            <w:tcW w:w="1440" w:type="dxa"/>
            <w:tcBorders>
              <w:top w:val="nil"/>
              <w:left w:val="nil"/>
              <w:bottom w:val="single" w:sz="4" w:space="0" w:color="auto"/>
              <w:right w:val="single" w:sz="4" w:space="0" w:color="auto"/>
            </w:tcBorders>
            <w:noWrap/>
            <w:vAlign w:val="center"/>
          </w:tcPr>
          <w:p w:rsidR="0087733B" w:rsidRPr="0087733B" w:rsidRDefault="0087733B" w:rsidP="0087733B">
            <w:pPr>
              <w:spacing w:after="0" w:line="240" w:lineRule="auto"/>
              <w:jc w:val="right"/>
              <w:rPr>
                <w:rFonts w:ascii="Arial" w:hAnsi="Arial" w:cs="Arial"/>
                <w:sz w:val="18"/>
                <w:szCs w:val="18"/>
              </w:rPr>
            </w:pPr>
            <w:r w:rsidRPr="0087733B">
              <w:rPr>
                <w:rFonts w:ascii="Arial" w:hAnsi="Arial" w:cs="Arial"/>
                <w:sz w:val="18"/>
                <w:szCs w:val="18"/>
              </w:rPr>
              <w:t>1,315,756</w:t>
            </w:r>
          </w:p>
        </w:tc>
      </w:tr>
      <w:tr w:rsidR="0087733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hideMark/>
          </w:tcPr>
          <w:p w:rsidR="0087733B" w:rsidRPr="0087733B" w:rsidRDefault="0087733B" w:rsidP="0087733B">
            <w:pPr>
              <w:spacing w:after="0" w:line="240" w:lineRule="auto"/>
              <w:jc w:val="center"/>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44520</w:t>
            </w:r>
          </w:p>
        </w:tc>
        <w:tc>
          <w:tcPr>
            <w:tcW w:w="5969" w:type="dxa"/>
            <w:tcBorders>
              <w:top w:val="nil"/>
              <w:left w:val="nil"/>
              <w:bottom w:val="single" w:sz="4" w:space="0" w:color="auto"/>
              <w:right w:val="single" w:sz="4" w:space="0" w:color="auto"/>
            </w:tcBorders>
            <w:vAlign w:val="center"/>
            <w:hideMark/>
          </w:tcPr>
          <w:p w:rsidR="0087733B" w:rsidRPr="0087733B" w:rsidRDefault="0087733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Patronato del H. Cuerpo Bomberos Voluntarios de Colima, A.C.</w:t>
            </w:r>
          </w:p>
        </w:tc>
        <w:tc>
          <w:tcPr>
            <w:tcW w:w="1440" w:type="dxa"/>
            <w:tcBorders>
              <w:top w:val="nil"/>
              <w:left w:val="nil"/>
              <w:bottom w:val="single" w:sz="4" w:space="0" w:color="auto"/>
              <w:right w:val="single" w:sz="4" w:space="0" w:color="auto"/>
            </w:tcBorders>
            <w:noWrap/>
            <w:vAlign w:val="center"/>
          </w:tcPr>
          <w:p w:rsidR="0087733B" w:rsidRPr="0087733B" w:rsidRDefault="0087733B" w:rsidP="0087733B">
            <w:pPr>
              <w:spacing w:after="0" w:line="240" w:lineRule="auto"/>
              <w:jc w:val="right"/>
              <w:rPr>
                <w:rFonts w:ascii="Arial" w:hAnsi="Arial" w:cs="Arial"/>
                <w:sz w:val="18"/>
                <w:szCs w:val="18"/>
              </w:rPr>
            </w:pPr>
            <w:r w:rsidRPr="0087733B">
              <w:rPr>
                <w:rFonts w:ascii="Arial" w:hAnsi="Arial" w:cs="Arial"/>
                <w:sz w:val="18"/>
                <w:szCs w:val="18"/>
              </w:rPr>
              <w:t>448,840</w:t>
            </w:r>
          </w:p>
        </w:tc>
      </w:tr>
      <w:tr w:rsidR="0087733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hideMark/>
          </w:tcPr>
          <w:p w:rsidR="0087733B" w:rsidRPr="0087733B" w:rsidRDefault="0087733B" w:rsidP="0087733B">
            <w:pPr>
              <w:spacing w:after="0" w:line="240" w:lineRule="auto"/>
              <w:jc w:val="center"/>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44521</w:t>
            </w:r>
          </w:p>
        </w:tc>
        <w:tc>
          <w:tcPr>
            <w:tcW w:w="5969" w:type="dxa"/>
            <w:tcBorders>
              <w:top w:val="nil"/>
              <w:left w:val="nil"/>
              <w:bottom w:val="single" w:sz="4" w:space="0" w:color="auto"/>
              <w:right w:val="single" w:sz="4" w:space="0" w:color="auto"/>
            </w:tcBorders>
            <w:vAlign w:val="center"/>
            <w:hideMark/>
          </w:tcPr>
          <w:p w:rsidR="0087733B" w:rsidRPr="0087733B" w:rsidRDefault="0087733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Patronato del H. Cuerpo Bomberos Voluntarios de Villa de Álvarez, A.C.</w:t>
            </w:r>
          </w:p>
        </w:tc>
        <w:tc>
          <w:tcPr>
            <w:tcW w:w="1440" w:type="dxa"/>
            <w:tcBorders>
              <w:top w:val="nil"/>
              <w:left w:val="nil"/>
              <w:bottom w:val="single" w:sz="4" w:space="0" w:color="auto"/>
              <w:right w:val="single" w:sz="4" w:space="0" w:color="auto"/>
            </w:tcBorders>
            <w:noWrap/>
            <w:vAlign w:val="center"/>
          </w:tcPr>
          <w:p w:rsidR="0087733B" w:rsidRPr="0087733B" w:rsidRDefault="0087733B" w:rsidP="0087733B">
            <w:pPr>
              <w:spacing w:after="0" w:line="240" w:lineRule="auto"/>
              <w:jc w:val="right"/>
              <w:rPr>
                <w:rFonts w:ascii="Arial" w:hAnsi="Arial" w:cs="Arial"/>
                <w:sz w:val="18"/>
                <w:szCs w:val="18"/>
              </w:rPr>
            </w:pPr>
            <w:r w:rsidRPr="0087733B">
              <w:rPr>
                <w:rFonts w:ascii="Arial" w:hAnsi="Arial" w:cs="Arial"/>
                <w:sz w:val="18"/>
                <w:szCs w:val="18"/>
              </w:rPr>
              <w:t>123,307</w:t>
            </w:r>
          </w:p>
        </w:tc>
      </w:tr>
      <w:tr w:rsidR="0087733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hideMark/>
          </w:tcPr>
          <w:p w:rsidR="0087733B" w:rsidRPr="0087733B" w:rsidRDefault="0087733B" w:rsidP="0087733B">
            <w:pPr>
              <w:spacing w:after="0" w:line="240" w:lineRule="auto"/>
              <w:jc w:val="center"/>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44522</w:t>
            </w:r>
          </w:p>
        </w:tc>
        <w:tc>
          <w:tcPr>
            <w:tcW w:w="5969" w:type="dxa"/>
            <w:tcBorders>
              <w:top w:val="nil"/>
              <w:left w:val="nil"/>
              <w:bottom w:val="single" w:sz="4" w:space="0" w:color="auto"/>
              <w:right w:val="single" w:sz="4" w:space="0" w:color="auto"/>
            </w:tcBorders>
            <w:vAlign w:val="center"/>
            <w:hideMark/>
          </w:tcPr>
          <w:p w:rsidR="0087733B" w:rsidRPr="0087733B" w:rsidRDefault="0087733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Sección Colima de la Federación Nacional de  Jubilados y Pensionados  por el Estado, A.C.</w:t>
            </w:r>
          </w:p>
        </w:tc>
        <w:tc>
          <w:tcPr>
            <w:tcW w:w="1440" w:type="dxa"/>
            <w:tcBorders>
              <w:top w:val="nil"/>
              <w:left w:val="nil"/>
              <w:bottom w:val="single" w:sz="4" w:space="0" w:color="auto"/>
              <w:right w:val="single" w:sz="4" w:space="0" w:color="auto"/>
            </w:tcBorders>
            <w:noWrap/>
            <w:vAlign w:val="center"/>
          </w:tcPr>
          <w:p w:rsidR="0087733B" w:rsidRPr="0087733B" w:rsidRDefault="0087733B" w:rsidP="0087733B">
            <w:pPr>
              <w:spacing w:after="0" w:line="240" w:lineRule="auto"/>
              <w:jc w:val="right"/>
              <w:rPr>
                <w:rFonts w:ascii="Arial" w:hAnsi="Arial" w:cs="Arial"/>
                <w:sz w:val="18"/>
                <w:szCs w:val="18"/>
              </w:rPr>
            </w:pPr>
            <w:r w:rsidRPr="0087733B">
              <w:rPr>
                <w:rFonts w:ascii="Arial" w:hAnsi="Arial" w:cs="Arial"/>
                <w:sz w:val="18"/>
                <w:szCs w:val="18"/>
              </w:rPr>
              <w:t>85,760</w:t>
            </w:r>
          </w:p>
        </w:tc>
      </w:tr>
      <w:tr w:rsidR="0087733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hideMark/>
          </w:tcPr>
          <w:p w:rsidR="0087733B" w:rsidRPr="0087733B" w:rsidRDefault="0087733B" w:rsidP="0087733B">
            <w:pPr>
              <w:spacing w:after="0" w:line="240" w:lineRule="auto"/>
              <w:jc w:val="center"/>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44523</w:t>
            </w:r>
          </w:p>
        </w:tc>
        <w:tc>
          <w:tcPr>
            <w:tcW w:w="5969" w:type="dxa"/>
            <w:tcBorders>
              <w:top w:val="nil"/>
              <w:left w:val="nil"/>
              <w:bottom w:val="single" w:sz="4" w:space="0" w:color="auto"/>
              <w:right w:val="single" w:sz="4" w:space="0" w:color="auto"/>
            </w:tcBorders>
            <w:vAlign w:val="center"/>
            <w:hideMark/>
          </w:tcPr>
          <w:p w:rsidR="0087733B" w:rsidRPr="0087733B" w:rsidRDefault="0087733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Asociación de Colimenses en Guadalajara, A.C.</w:t>
            </w:r>
          </w:p>
        </w:tc>
        <w:tc>
          <w:tcPr>
            <w:tcW w:w="1440" w:type="dxa"/>
            <w:tcBorders>
              <w:top w:val="nil"/>
              <w:left w:val="nil"/>
              <w:bottom w:val="single" w:sz="4" w:space="0" w:color="auto"/>
              <w:right w:val="single" w:sz="4" w:space="0" w:color="auto"/>
            </w:tcBorders>
            <w:noWrap/>
            <w:vAlign w:val="center"/>
          </w:tcPr>
          <w:p w:rsidR="0087733B" w:rsidRPr="0087733B" w:rsidRDefault="0087733B" w:rsidP="0087733B">
            <w:pPr>
              <w:spacing w:after="0" w:line="240" w:lineRule="auto"/>
              <w:jc w:val="right"/>
              <w:rPr>
                <w:rFonts w:ascii="Arial" w:hAnsi="Arial" w:cs="Arial"/>
                <w:sz w:val="18"/>
                <w:szCs w:val="18"/>
              </w:rPr>
            </w:pPr>
            <w:r w:rsidRPr="0087733B">
              <w:rPr>
                <w:rFonts w:ascii="Arial" w:hAnsi="Arial" w:cs="Arial"/>
                <w:sz w:val="18"/>
                <w:szCs w:val="18"/>
              </w:rPr>
              <w:t>162,000</w:t>
            </w:r>
          </w:p>
        </w:tc>
      </w:tr>
      <w:tr w:rsidR="0087733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hideMark/>
          </w:tcPr>
          <w:p w:rsidR="0087733B" w:rsidRPr="0087733B" w:rsidRDefault="0087733B" w:rsidP="0087733B">
            <w:pPr>
              <w:spacing w:after="0" w:line="240" w:lineRule="auto"/>
              <w:jc w:val="center"/>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44524</w:t>
            </w:r>
          </w:p>
        </w:tc>
        <w:tc>
          <w:tcPr>
            <w:tcW w:w="5969" w:type="dxa"/>
            <w:tcBorders>
              <w:top w:val="nil"/>
              <w:left w:val="nil"/>
              <w:bottom w:val="single" w:sz="4" w:space="0" w:color="auto"/>
              <w:right w:val="single" w:sz="4" w:space="0" w:color="auto"/>
            </w:tcBorders>
            <w:vAlign w:val="center"/>
            <w:hideMark/>
          </w:tcPr>
          <w:p w:rsidR="0087733B" w:rsidRPr="0087733B" w:rsidRDefault="0087733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Asociación Colimense de Periodistas y Escritores, A.C.</w:t>
            </w:r>
          </w:p>
        </w:tc>
        <w:tc>
          <w:tcPr>
            <w:tcW w:w="1440" w:type="dxa"/>
            <w:tcBorders>
              <w:top w:val="nil"/>
              <w:left w:val="nil"/>
              <w:bottom w:val="single" w:sz="4" w:space="0" w:color="auto"/>
              <w:right w:val="single" w:sz="4" w:space="0" w:color="auto"/>
            </w:tcBorders>
            <w:noWrap/>
            <w:vAlign w:val="center"/>
          </w:tcPr>
          <w:p w:rsidR="0087733B" w:rsidRPr="0087733B" w:rsidRDefault="0087733B" w:rsidP="0087733B">
            <w:pPr>
              <w:spacing w:after="0" w:line="240" w:lineRule="auto"/>
              <w:jc w:val="right"/>
              <w:rPr>
                <w:rFonts w:ascii="Arial" w:hAnsi="Arial" w:cs="Arial"/>
                <w:sz w:val="18"/>
                <w:szCs w:val="18"/>
              </w:rPr>
            </w:pPr>
            <w:r w:rsidRPr="0087733B">
              <w:rPr>
                <w:rFonts w:ascii="Arial" w:hAnsi="Arial" w:cs="Arial"/>
                <w:sz w:val="18"/>
                <w:szCs w:val="18"/>
              </w:rPr>
              <w:t>78,177</w:t>
            </w:r>
          </w:p>
        </w:tc>
      </w:tr>
      <w:tr w:rsidR="0087733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hideMark/>
          </w:tcPr>
          <w:p w:rsidR="0087733B" w:rsidRPr="0087733B" w:rsidRDefault="0087733B" w:rsidP="0087733B">
            <w:pPr>
              <w:spacing w:after="0" w:line="240" w:lineRule="auto"/>
              <w:jc w:val="center"/>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44525</w:t>
            </w:r>
          </w:p>
        </w:tc>
        <w:tc>
          <w:tcPr>
            <w:tcW w:w="5969" w:type="dxa"/>
            <w:tcBorders>
              <w:top w:val="nil"/>
              <w:left w:val="nil"/>
              <w:bottom w:val="single" w:sz="4" w:space="0" w:color="auto"/>
              <w:right w:val="single" w:sz="4" w:space="0" w:color="auto"/>
            </w:tcBorders>
            <w:vAlign w:val="center"/>
            <w:hideMark/>
          </w:tcPr>
          <w:p w:rsidR="0087733B" w:rsidRPr="0087733B" w:rsidRDefault="0087733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Asociación Colimense Jubilados y Pensionados A.C.</w:t>
            </w:r>
          </w:p>
        </w:tc>
        <w:tc>
          <w:tcPr>
            <w:tcW w:w="1440" w:type="dxa"/>
            <w:tcBorders>
              <w:top w:val="nil"/>
              <w:left w:val="nil"/>
              <w:bottom w:val="single" w:sz="4" w:space="0" w:color="auto"/>
              <w:right w:val="single" w:sz="4" w:space="0" w:color="auto"/>
            </w:tcBorders>
            <w:noWrap/>
            <w:vAlign w:val="center"/>
          </w:tcPr>
          <w:p w:rsidR="0087733B" w:rsidRPr="0087733B" w:rsidRDefault="0087733B" w:rsidP="0087733B">
            <w:pPr>
              <w:spacing w:after="0" w:line="240" w:lineRule="auto"/>
              <w:jc w:val="right"/>
              <w:rPr>
                <w:rFonts w:ascii="Arial" w:hAnsi="Arial" w:cs="Arial"/>
                <w:sz w:val="18"/>
                <w:szCs w:val="18"/>
              </w:rPr>
            </w:pPr>
            <w:r w:rsidRPr="0087733B">
              <w:rPr>
                <w:rFonts w:ascii="Arial" w:hAnsi="Arial" w:cs="Arial"/>
                <w:sz w:val="18"/>
                <w:szCs w:val="18"/>
              </w:rPr>
              <w:t>55,488</w:t>
            </w:r>
          </w:p>
        </w:tc>
      </w:tr>
      <w:tr w:rsidR="0087733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hideMark/>
          </w:tcPr>
          <w:p w:rsidR="0087733B" w:rsidRPr="0087733B" w:rsidRDefault="0087733B" w:rsidP="0087733B">
            <w:pPr>
              <w:spacing w:after="0" w:line="240" w:lineRule="auto"/>
              <w:jc w:val="center"/>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44526</w:t>
            </w:r>
          </w:p>
        </w:tc>
        <w:tc>
          <w:tcPr>
            <w:tcW w:w="5969" w:type="dxa"/>
            <w:tcBorders>
              <w:top w:val="nil"/>
              <w:left w:val="nil"/>
              <w:bottom w:val="single" w:sz="4" w:space="0" w:color="auto"/>
              <w:right w:val="single" w:sz="4" w:space="0" w:color="auto"/>
            </w:tcBorders>
            <w:vAlign w:val="center"/>
            <w:hideMark/>
          </w:tcPr>
          <w:p w:rsidR="0087733B" w:rsidRPr="0087733B" w:rsidRDefault="0087733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Asociación Mexicana de Mujeres Empresarias, A.C.</w:t>
            </w:r>
          </w:p>
        </w:tc>
        <w:tc>
          <w:tcPr>
            <w:tcW w:w="1440" w:type="dxa"/>
            <w:tcBorders>
              <w:top w:val="nil"/>
              <w:left w:val="nil"/>
              <w:bottom w:val="single" w:sz="4" w:space="0" w:color="auto"/>
              <w:right w:val="single" w:sz="4" w:space="0" w:color="auto"/>
            </w:tcBorders>
            <w:noWrap/>
            <w:vAlign w:val="center"/>
          </w:tcPr>
          <w:p w:rsidR="0087733B" w:rsidRPr="0087733B" w:rsidRDefault="0087733B" w:rsidP="0087733B">
            <w:pPr>
              <w:spacing w:after="0" w:line="240" w:lineRule="auto"/>
              <w:jc w:val="right"/>
              <w:rPr>
                <w:rFonts w:ascii="Arial" w:hAnsi="Arial" w:cs="Arial"/>
                <w:sz w:val="18"/>
                <w:szCs w:val="18"/>
              </w:rPr>
            </w:pPr>
            <w:r w:rsidRPr="0087733B">
              <w:rPr>
                <w:rFonts w:ascii="Arial" w:hAnsi="Arial" w:cs="Arial"/>
                <w:sz w:val="18"/>
                <w:szCs w:val="18"/>
              </w:rPr>
              <w:t>60,497</w:t>
            </w:r>
          </w:p>
        </w:tc>
      </w:tr>
      <w:tr w:rsidR="0087733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hideMark/>
          </w:tcPr>
          <w:p w:rsidR="0087733B" w:rsidRPr="0087733B" w:rsidRDefault="0087733B" w:rsidP="0087733B">
            <w:pPr>
              <w:spacing w:after="0" w:line="240" w:lineRule="auto"/>
              <w:jc w:val="center"/>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44527</w:t>
            </w:r>
          </w:p>
        </w:tc>
        <w:tc>
          <w:tcPr>
            <w:tcW w:w="5969" w:type="dxa"/>
            <w:tcBorders>
              <w:top w:val="nil"/>
              <w:left w:val="nil"/>
              <w:bottom w:val="single" w:sz="4" w:space="0" w:color="auto"/>
              <w:right w:val="single" w:sz="4" w:space="0" w:color="auto"/>
            </w:tcBorders>
            <w:vAlign w:val="center"/>
            <w:hideMark/>
          </w:tcPr>
          <w:p w:rsidR="0087733B" w:rsidRPr="0087733B" w:rsidRDefault="0087733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Gente Pequeña, A.C</w:t>
            </w:r>
          </w:p>
        </w:tc>
        <w:tc>
          <w:tcPr>
            <w:tcW w:w="1440" w:type="dxa"/>
            <w:tcBorders>
              <w:top w:val="nil"/>
              <w:left w:val="nil"/>
              <w:bottom w:val="single" w:sz="4" w:space="0" w:color="auto"/>
              <w:right w:val="single" w:sz="4" w:space="0" w:color="auto"/>
            </w:tcBorders>
            <w:noWrap/>
            <w:vAlign w:val="center"/>
          </w:tcPr>
          <w:p w:rsidR="0087733B" w:rsidRPr="0087733B" w:rsidRDefault="0087733B" w:rsidP="0087733B">
            <w:pPr>
              <w:spacing w:after="0" w:line="240" w:lineRule="auto"/>
              <w:jc w:val="right"/>
              <w:rPr>
                <w:rFonts w:ascii="Arial" w:hAnsi="Arial" w:cs="Arial"/>
                <w:sz w:val="18"/>
                <w:szCs w:val="18"/>
              </w:rPr>
            </w:pPr>
            <w:r w:rsidRPr="0087733B">
              <w:rPr>
                <w:rFonts w:ascii="Arial" w:hAnsi="Arial" w:cs="Arial"/>
                <w:sz w:val="18"/>
                <w:szCs w:val="18"/>
              </w:rPr>
              <w:t>64,896</w:t>
            </w:r>
          </w:p>
        </w:tc>
      </w:tr>
      <w:tr w:rsidR="0087733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hideMark/>
          </w:tcPr>
          <w:p w:rsidR="0087733B" w:rsidRPr="0087733B" w:rsidRDefault="0087733B" w:rsidP="0087733B">
            <w:pPr>
              <w:spacing w:after="0" w:line="240" w:lineRule="auto"/>
              <w:jc w:val="center"/>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44529</w:t>
            </w:r>
          </w:p>
        </w:tc>
        <w:tc>
          <w:tcPr>
            <w:tcW w:w="5969" w:type="dxa"/>
            <w:tcBorders>
              <w:top w:val="nil"/>
              <w:left w:val="nil"/>
              <w:bottom w:val="single" w:sz="4" w:space="0" w:color="auto"/>
              <w:right w:val="single" w:sz="4" w:space="0" w:color="auto"/>
            </w:tcBorders>
            <w:vAlign w:val="center"/>
            <w:hideMark/>
          </w:tcPr>
          <w:p w:rsidR="0087733B" w:rsidRPr="0087733B" w:rsidRDefault="0087733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Fundación Mexicana René Mey, A.C.</w:t>
            </w:r>
          </w:p>
        </w:tc>
        <w:tc>
          <w:tcPr>
            <w:tcW w:w="1440" w:type="dxa"/>
            <w:tcBorders>
              <w:top w:val="nil"/>
              <w:left w:val="nil"/>
              <w:bottom w:val="single" w:sz="4" w:space="0" w:color="auto"/>
              <w:right w:val="single" w:sz="4" w:space="0" w:color="auto"/>
            </w:tcBorders>
            <w:noWrap/>
            <w:vAlign w:val="center"/>
          </w:tcPr>
          <w:p w:rsidR="0087733B" w:rsidRPr="0087733B" w:rsidRDefault="0087733B" w:rsidP="0087733B">
            <w:pPr>
              <w:spacing w:after="0" w:line="240" w:lineRule="auto"/>
              <w:jc w:val="right"/>
              <w:rPr>
                <w:rFonts w:ascii="Arial" w:hAnsi="Arial" w:cs="Arial"/>
                <w:sz w:val="18"/>
                <w:szCs w:val="18"/>
              </w:rPr>
            </w:pPr>
            <w:r w:rsidRPr="0087733B">
              <w:rPr>
                <w:rFonts w:ascii="Arial" w:hAnsi="Arial" w:cs="Arial"/>
                <w:sz w:val="18"/>
                <w:szCs w:val="18"/>
              </w:rPr>
              <w:t>45,428</w:t>
            </w:r>
          </w:p>
        </w:tc>
      </w:tr>
      <w:tr w:rsidR="0087733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hideMark/>
          </w:tcPr>
          <w:p w:rsidR="0087733B" w:rsidRPr="0087733B" w:rsidRDefault="0087733B" w:rsidP="0087733B">
            <w:pPr>
              <w:spacing w:after="0" w:line="240" w:lineRule="auto"/>
              <w:jc w:val="center"/>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44530</w:t>
            </w:r>
          </w:p>
        </w:tc>
        <w:tc>
          <w:tcPr>
            <w:tcW w:w="5969" w:type="dxa"/>
            <w:tcBorders>
              <w:top w:val="nil"/>
              <w:left w:val="nil"/>
              <w:bottom w:val="single" w:sz="4" w:space="0" w:color="auto"/>
              <w:right w:val="single" w:sz="4" w:space="0" w:color="auto"/>
            </w:tcBorders>
            <w:vAlign w:val="center"/>
            <w:hideMark/>
          </w:tcPr>
          <w:p w:rsidR="0087733B" w:rsidRPr="0087733B" w:rsidRDefault="0087733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Centro de Estudios Universitarios de Colima, A.C.</w:t>
            </w:r>
          </w:p>
        </w:tc>
        <w:tc>
          <w:tcPr>
            <w:tcW w:w="1440" w:type="dxa"/>
            <w:tcBorders>
              <w:top w:val="nil"/>
              <w:left w:val="nil"/>
              <w:bottom w:val="single" w:sz="4" w:space="0" w:color="auto"/>
              <w:right w:val="single" w:sz="4" w:space="0" w:color="auto"/>
            </w:tcBorders>
            <w:noWrap/>
            <w:vAlign w:val="center"/>
          </w:tcPr>
          <w:p w:rsidR="0087733B" w:rsidRPr="0087733B" w:rsidRDefault="0087733B" w:rsidP="0087733B">
            <w:pPr>
              <w:spacing w:after="0" w:line="240" w:lineRule="auto"/>
              <w:jc w:val="right"/>
              <w:rPr>
                <w:rFonts w:ascii="Arial" w:hAnsi="Arial" w:cs="Arial"/>
                <w:sz w:val="18"/>
                <w:szCs w:val="18"/>
              </w:rPr>
            </w:pPr>
            <w:r w:rsidRPr="0087733B">
              <w:rPr>
                <w:rFonts w:ascii="Arial" w:hAnsi="Arial" w:cs="Arial"/>
                <w:sz w:val="18"/>
                <w:szCs w:val="18"/>
              </w:rPr>
              <w:t>61,651</w:t>
            </w:r>
          </w:p>
        </w:tc>
      </w:tr>
      <w:tr w:rsidR="0087733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hideMark/>
          </w:tcPr>
          <w:p w:rsidR="0087733B" w:rsidRPr="0087733B" w:rsidRDefault="0087733B" w:rsidP="0087733B">
            <w:pPr>
              <w:spacing w:after="0" w:line="240" w:lineRule="auto"/>
              <w:jc w:val="center"/>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44531</w:t>
            </w:r>
          </w:p>
        </w:tc>
        <w:tc>
          <w:tcPr>
            <w:tcW w:w="5969" w:type="dxa"/>
            <w:tcBorders>
              <w:top w:val="nil"/>
              <w:left w:val="nil"/>
              <w:bottom w:val="single" w:sz="4" w:space="0" w:color="auto"/>
              <w:right w:val="single" w:sz="4" w:space="0" w:color="auto"/>
            </w:tcBorders>
            <w:vAlign w:val="center"/>
            <w:hideMark/>
          </w:tcPr>
          <w:p w:rsidR="0087733B" w:rsidRPr="0087733B" w:rsidRDefault="0087733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Por la Comprensión de la Salud Mental, A.C.</w:t>
            </w:r>
          </w:p>
        </w:tc>
        <w:tc>
          <w:tcPr>
            <w:tcW w:w="1440" w:type="dxa"/>
            <w:tcBorders>
              <w:top w:val="nil"/>
              <w:left w:val="nil"/>
              <w:bottom w:val="single" w:sz="4" w:space="0" w:color="auto"/>
              <w:right w:val="single" w:sz="4" w:space="0" w:color="auto"/>
            </w:tcBorders>
            <w:noWrap/>
            <w:vAlign w:val="center"/>
          </w:tcPr>
          <w:p w:rsidR="0087733B" w:rsidRPr="0087733B" w:rsidRDefault="0087733B" w:rsidP="0087733B">
            <w:pPr>
              <w:spacing w:after="0" w:line="240" w:lineRule="auto"/>
              <w:jc w:val="right"/>
              <w:rPr>
                <w:rFonts w:ascii="Arial" w:hAnsi="Arial" w:cs="Arial"/>
                <w:sz w:val="18"/>
                <w:szCs w:val="18"/>
              </w:rPr>
            </w:pPr>
            <w:r w:rsidRPr="0087733B">
              <w:rPr>
                <w:rFonts w:ascii="Arial" w:hAnsi="Arial" w:cs="Arial"/>
                <w:sz w:val="18"/>
                <w:szCs w:val="18"/>
              </w:rPr>
              <w:t>60,000</w:t>
            </w:r>
          </w:p>
        </w:tc>
      </w:tr>
      <w:tr w:rsidR="0087733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hideMark/>
          </w:tcPr>
          <w:p w:rsidR="0087733B" w:rsidRPr="0087733B" w:rsidRDefault="0087733B" w:rsidP="0087733B">
            <w:pPr>
              <w:spacing w:after="0" w:line="240" w:lineRule="auto"/>
              <w:jc w:val="center"/>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44532</w:t>
            </w:r>
          </w:p>
        </w:tc>
        <w:tc>
          <w:tcPr>
            <w:tcW w:w="5969" w:type="dxa"/>
            <w:tcBorders>
              <w:top w:val="nil"/>
              <w:left w:val="nil"/>
              <w:bottom w:val="single" w:sz="4" w:space="0" w:color="auto"/>
              <w:right w:val="single" w:sz="4" w:space="0" w:color="auto"/>
            </w:tcBorders>
            <w:vAlign w:val="center"/>
            <w:hideMark/>
          </w:tcPr>
          <w:p w:rsidR="0087733B" w:rsidRPr="0087733B" w:rsidRDefault="0087733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Becas y Educación para todos, A.C.</w:t>
            </w:r>
          </w:p>
        </w:tc>
        <w:tc>
          <w:tcPr>
            <w:tcW w:w="1440" w:type="dxa"/>
            <w:tcBorders>
              <w:top w:val="nil"/>
              <w:left w:val="nil"/>
              <w:bottom w:val="single" w:sz="4" w:space="0" w:color="auto"/>
              <w:right w:val="single" w:sz="4" w:space="0" w:color="auto"/>
            </w:tcBorders>
            <w:noWrap/>
            <w:vAlign w:val="center"/>
          </w:tcPr>
          <w:p w:rsidR="0087733B" w:rsidRPr="0087733B" w:rsidRDefault="0087733B" w:rsidP="0087733B">
            <w:pPr>
              <w:spacing w:after="0" w:line="240" w:lineRule="auto"/>
              <w:jc w:val="right"/>
              <w:rPr>
                <w:rFonts w:ascii="Arial" w:hAnsi="Arial" w:cs="Arial"/>
                <w:sz w:val="18"/>
                <w:szCs w:val="18"/>
              </w:rPr>
            </w:pPr>
            <w:r w:rsidRPr="0087733B">
              <w:rPr>
                <w:rFonts w:ascii="Arial" w:hAnsi="Arial" w:cs="Arial"/>
                <w:sz w:val="18"/>
                <w:szCs w:val="18"/>
              </w:rPr>
              <w:t>700,000</w:t>
            </w:r>
          </w:p>
        </w:tc>
      </w:tr>
      <w:tr w:rsidR="0087733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hideMark/>
          </w:tcPr>
          <w:p w:rsidR="0087733B" w:rsidRPr="0087733B" w:rsidRDefault="0087733B" w:rsidP="0087733B">
            <w:pPr>
              <w:spacing w:after="0" w:line="240" w:lineRule="auto"/>
              <w:jc w:val="center"/>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lastRenderedPageBreak/>
              <w:t>44533</w:t>
            </w:r>
          </w:p>
        </w:tc>
        <w:tc>
          <w:tcPr>
            <w:tcW w:w="5969" w:type="dxa"/>
            <w:tcBorders>
              <w:top w:val="nil"/>
              <w:left w:val="nil"/>
              <w:bottom w:val="single" w:sz="4" w:space="0" w:color="auto"/>
              <w:right w:val="single" w:sz="4" w:space="0" w:color="auto"/>
            </w:tcBorders>
            <w:vAlign w:val="center"/>
            <w:hideMark/>
          </w:tcPr>
          <w:p w:rsidR="0087733B" w:rsidRPr="0087733B" w:rsidRDefault="0087733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Unión de Ahorradores Cooperativistas Colimenses, A.C.</w:t>
            </w:r>
          </w:p>
        </w:tc>
        <w:tc>
          <w:tcPr>
            <w:tcW w:w="1440" w:type="dxa"/>
            <w:tcBorders>
              <w:top w:val="nil"/>
              <w:left w:val="nil"/>
              <w:bottom w:val="single" w:sz="4" w:space="0" w:color="auto"/>
              <w:right w:val="single" w:sz="4" w:space="0" w:color="auto"/>
            </w:tcBorders>
            <w:noWrap/>
            <w:vAlign w:val="center"/>
          </w:tcPr>
          <w:p w:rsidR="0087733B" w:rsidRPr="0087733B" w:rsidRDefault="0087733B" w:rsidP="0087733B">
            <w:pPr>
              <w:spacing w:after="0" w:line="240" w:lineRule="auto"/>
              <w:jc w:val="right"/>
              <w:rPr>
                <w:rFonts w:ascii="Arial" w:hAnsi="Arial" w:cs="Arial"/>
                <w:sz w:val="18"/>
                <w:szCs w:val="18"/>
              </w:rPr>
            </w:pPr>
            <w:r w:rsidRPr="0087733B">
              <w:rPr>
                <w:rFonts w:ascii="Arial" w:hAnsi="Arial" w:cs="Arial"/>
                <w:sz w:val="18"/>
                <w:szCs w:val="18"/>
              </w:rPr>
              <w:t>45,427</w:t>
            </w:r>
          </w:p>
        </w:tc>
      </w:tr>
      <w:tr w:rsidR="0087733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hideMark/>
          </w:tcPr>
          <w:p w:rsidR="0087733B" w:rsidRPr="0087733B" w:rsidRDefault="0087733B" w:rsidP="0087733B">
            <w:pPr>
              <w:spacing w:after="0" w:line="240" w:lineRule="auto"/>
              <w:jc w:val="center"/>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44534</w:t>
            </w:r>
          </w:p>
        </w:tc>
        <w:tc>
          <w:tcPr>
            <w:tcW w:w="5969" w:type="dxa"/>
            <w:tcBorders>
              <w:top w:val="nil"/>
              <w:left w:val="nil"/>
              <w:bottom w:val="single" w:sz="4" w:space="0" w:color="auto"/>
              <w:right w:val="single" w:sz="4" w:space="0" w:color="auto"/>
            </w:tcBorders>
            <w:vAlign w:val="center"/>
            <w:hideMark/>
          </w:tcPr>
          <w:p w:rsidR="0087733B" w:rsidRPr="0087733B" w:rsidRDefault="0087733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Asociación de los Derechos y Garantías de las Personas con Discapacidad, A.C.</w:t>
            </w:r>
          </w:p>
        </w:tc>
        <w:tc>
          <w:tcPr>
            <w:tcW w:w="1440" w:type="dxa"/>
            <w:tcBorders>
              <w:top w:val="nil"/>
              <w:left w:val="nil"/>
              <w:bottom w:val="single" w:sz="4" w:space="0" w:color="auto"/>
              <w:right w:val="single" w:sz="4" w:space="0" w:color="auto"/>
            </w:tcBorders>
            <w:noWrap/>
            <w:vAlign w:val="center"/>
          </w:tcPr>
          <w:p w:rsidR="0087733B" w:rsidRPr="0087733B" w:rsidRDefault="0087733B" w:rsidP="0087733B">
            <w:pPr>
              <w:spacing w:after="0" w:line="240" w:lineRule="auto"/>
              <w:jc w:val="right"/>
              <w:rPr>
                <w:rFonts w:ascii="Arial" w:hAnsi="Arial" w:cs="Arial"/>
                <w:sz w:val="18"/>
                <w:szCs w:val="18"/>
              </w:rPr>
            </w:pPr>
            <w:r w:rsidRPr="0087733B">
              <w:rPr>
                <w:rFonts w:ascii="Arial" w:hAnsi="Arial" w:cs="Arial"/>
                <w:sz w:val="18"/>
                <w:szCs w:val="18"/>
              </w:rPr>
              <w:t>43,680</w:t>
            </w:r>
          </w:p>
        </w:tc>
      </w:tr>
      <w:tr w:rsidR="0087733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hideMark/>
          </w:tcPr>
          <w:p w:rsidR="0087733B" w:rsidRPr="0087733B" w:rsidRDefault="0087733B" w:rsidP="0087733B">
            <w:pPr>
              <w:spacing w:after="0" w:line="240" w:lineRule="auto"/>
              <w:jc w:val="center"/>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44535</w:t>
            </w:r>
          </w:p>
        </w:tc>
        <w:tc>
          <w:tcPr>
            <w:tcW w:w="5969" w:type="dxa"/>
            <w:tcBorders>
              <w:top w:val="nil"/>
              <w:left w:val="nil"/>
              <w:bottom w:val="single" w:sz="4" w:space="0" w:color="auto"/>
              <w:right w:val="single" w:sz="4" w:space="0" w:color="auto"/>
            </w:tcBorders>
            <w:vAlign w:val="center"/>
            <w:hideMark/>
          </w:tcPr>
          <w:p w:rsidR="0087733B" w:rsidRPr="0087733B" w:rsidRDefault="0087733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Nuestras Manos, Nuestra voz, A.C.</w:t>
            </w:r>
          </w:p>
        </w:tc>
        <w:tc>
          <w:tcPr>
            <w:tcW w:w="1440" w:type="dxa"/>
            <w:tcBorders>
              <w:top w:val="nil"/>
              <w:left w:val="nil"/>
              <w:bottom w:val="single" w:sz="4" w:space="0" w:color="auto"/>
              <w:right w:val="single" w:sz="4" w:space="0" w:color="auto"/>
            </w:tcBorders>
            <w:noWrap/>
            <w:vAlign w:val="center"/>
          </w:tcPr>
          <w:p w:rsidR="0087733B" w:rsidRPr="0087733B" w:rsidRDefault="0087733B" w:rsidP="0087733B">
            <w:pPr>
              <w:spacing w:after="0" w:line="240" w:lineRule="auto"/>
              <w:jc w:val="right"/>
              <w:rPr>
                <w:rFonts w:ascii="Arial" w:hAnsi="Arial" w:cs="Arial"/>
                <w:sz w:val="18"/>
                <w:szCs w:val="18"/>
              </w:rPr>
            </w:pPr>
            <w:r w:rsidRPr="0087733B">
              <w:rPr>
                <w:rFonts w:ascii="Arial" w:hAnsi="Arial" w:cs="Arial"/>
                <w:sz w:val="18"/>
                <w:szCs w:val="18"/>
              </w:rPr>
              <w:t>60,000</w:t>
            </w:r>
          </w:p>
        </w:tc>
      </w:tr>
      <w:tr w:rsidR="0087733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hideMark/>
          </w:tcPr>
          <w:p w:rsidR="0087733B" w:rsidRPr="0087733B" w:rsidRDefault="0087733B" w:rsidP="0087733B">
            <w:pPr>
              <w:spacing w:after="0" w:line="240" w:lineRule="auto"/>
              <w:jc w:val="center"/>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44536</w:t>
            </w:r>
          </w:p>
        </w:tc>
        <w:tc>
          <w:tcPr>
            <w:tcW w:w="5969" w:type="dxa"/>
            <w:tcBorders>
              <w:top w:val="nil"/>
              <w:left w:val="nil"/>
              <w:bottom w:val="single" w:sz="4" w:space="0" w:color="auto"/>
              <w:right w:val="single" w:sz="4" w:space="0" w:color="auto"/>
            </w:tcBorders>
            <w:vAlign w:val="center"/>
            <w:hideMark/>
          </w:tcPr>
          <w:p w:rsidR="0087733B" w:rsidRPr="0087733B" w:rsidRDefault="0087733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Albergue Femenil Recolavi, A.C.</w:t>
            </w:r>
          </w:p>
        </w:tc>
        <w:tc>
          <w:tcPr>
            <w:tcW w:w="1440" w:type="dxa"/>
            <w:tcBorders>
              <w:top w:val="nil"/>
              <w:left w:val="nil"/>
              <w:bottom w:val="single" w:sz="4" w:space="0" w:color="auto"/>
              <w:right w:val="single" w:sz="4" w:space="0" w:color="auto"/>
            </w:tcBorders>
            <w:noWrap/>
            <w:vAlign w:val="center"/>
          </w:tcPr>
          <w:p w:rsidR="0087733B" w:rsidRPr="0087733B" w:rsidRDefault="0087733B" w:rsidP="0087733B">
            <w:pPr>
              <w:spacing w:after="0" w:line="240" w:lineRule="auto"/>
              <w:jc w:val="right"/>
              <w:rPr>
                <w:rFonts w:ascii="Arial" w:hAnsi="Arial" w:cs="Arial"/>
                <w:sz w:val="18"/>
                <w:szCs w:val="18"/>
              </w:rPr>
            </w:pPr>
            <w:r w:rsidRPr="0087733B">
              <w:rPr>
                <w:rFonts w:ascii="Arial" w:hAnsi="Arial" w:cs="Arial"/>
                <w:sz w:val="18"/>
                <w:szCs w:val="18"/>
              </w:rPr>
              <w:t>40,000</w:t>
            </w:r>
          </w:p>
        </w:tc>
      </w:tr>
      <w:tr w:rsidR="0087733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hideMark/>
          </w:tcPr>
          <w:p w:rsidR="0087733B" w:rsidRPr="0087733B" w:rsidRDefault="0087733B" w:rsidP="0087733B">
            <w:pPr>
              <w:spacing w:after="0" w:line="240" w:lineRule="auto"/>
              <w:jc w:val="center"/>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44537</w:t>
            </w:r>
          </w:p>
        </w:tc>
        <w:tc>
          <w:tcPr>
            <w:tcW w:w="5969" w:type="dxa"/>
            <w:tcBorders>
              <w:top w:val="nil"/>
              <w:left w:val="nil"/>
              <w:bottom w:val="single" w:sz="4" w:space="0" w:color="auto"/>
              <w:right w:val="single" w:sz="4" w:space="0" w:color="auto"/>
            </w:tcBorders>
            <w:vAlign w:val="center"/>
            <w:hideMark/>
          </w:tcPr>
          <w:p w:rsidR="0087733B" w:rsidRPr="0087733B" w:rsidRDefault="0087733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Clínica de Tratamiento de Adicciones Cristo, A.C.</w:t>
            </w:r>
          </w:p>
        </w:tc>
        <w:tc>
          <w:tcPr>
            <w:tcW w:w="1440" w:type="dxa"/>
            <w:tcBorders>
              <w:top w:val="nil"/>
              <w:left w:val="nil"/>
              <w:bottom w:val="single" w:sz="4" w:space="0" w:color="auto"/>
              <w:right w:val="single" w:sz="4" w:space="0" w:color="auto"/>
            </w:tcBorders>
            <w:noWrap/>
            <w:vAlign w:val="center"/>
          </w:tcPr>
          <w:p w:rsidR="0087733B" w:rsidRPr="0087733B" w:rsidRDefault="0087733B" w:rsidP="0087733B">
            <w:pPr>
              <w:spacing w:after="0" w:line="240" w:lineRule="auto"/>
              <w:jc w:val="right"/>
              <w:rPr>
                <w:rFonts w:ascii="Arial" w:hAnsi="Arial" w:cs="Arial"/>
                <w:sz w:val="18"/>
                <w:szCs w:val="18"/>
              </w:rPr>
            </w:pPr>
            <w:r w:rsidRPr="0087733B">
              <w:rPr>
                <w:rFonts w:ascii="Arial" w:hAnsi="Arial" w:cs="Arial"/>
                <w:sz w:val="18"/>
                <w:szCs w:val="18"/>
              </w:rPr>
              <w:t>30,000</w:t>
            </w:r>
          </w:p>
        </w:tc>
      </w:tr>
      <w:tr w:rsidR="0087733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hideMark/>
          </w:tcPr>
          <w:p w:rsidR="0087733B" w:rsidRPr="0087733B" w:rsidRDefault="0087733B" w:rsidP="0087733B">
            <w:pPr>
              <w:spacing w:after="0" w:line="240" w:lineRule="auto"/>
              <w:jc w:val="center"/>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44538</w:t>
            </w:r>
          </w:p>
        </w:tc>
        <w:tc>
          <w:tcPr>
            <w:tcW w:w="5969" w:type="dxa"/>
            <w:tcBorders>
              <w:top w:val="nil"/>
              <w:left w:val="nil"/>
              <w:bottom w:val="single" w:sz="4" w:space="0" w:color="auto"/>
              <w:right w:val="single" w:sz="4" w:space="0" w:color="auto"/>
            </w:tcBorders>
            <w:vAlign w:val="center"/>
            <w:hideMark/>
          </w:tcPr>
          <w:p w:rsidR="0087733B" w:rsidRPr="0087733B" w:rsidRDefault="0087733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Quédate en la Vida, A.C.</w:t>
            </w:r>
          </w:p>
        </w:tc>
        <w:tc>
          <w:tcPr>
            <w:tcW w:w="1440" w:type="dxa"/>
            <w:tcBorders>
              <w:top w:val="nil"/>
              <w:left w:val="nil"/>
              <w:bottom w:val="single" w:sz="4" w:space="0" w:color="auto"/>
              <w:right w:val="single" w:sz="4" w:space="0" w:color="auto"/>
            </w:tcBorders>
            <w:noWrap/>
            <w:vAlign w:val="center"/>
          </w:tcPr>
          <w:p w:rsidR="0087733B" w:rsidRPr="0087733B" w:rsidRDefault="0087733B" w:rsidP="0087733B">
            <w:pPr>
              <w:spacing w:after="0" w:line="240" w:lineRule="auto"/>
              <w:jc w:val="right"/>
              <w:rPr>
                <w:rFonts w:ascii="Arial" w:hAnsi="Arial" w:cs="Arial"/>
                <w:sz w:val="18"/>
                <w:szCs w:val="18"/>
              </w:rPr>
            </w:pPr>
            <w:r w:rsidRPr="0087733B">
              <w:rPr>
                <w:rFonts w:ascii="Arial" w:hAnsi="Arial" w:cs="Arial"/>
                <w:sz w:val="18"/>
                <w:szCs w:val="18"/>
              </w:rPr>
              <w:t>50,000</w:t>
            </w:r>
          </w:p>
        </w:tc>
      </w:tr>
      <w:tr w:rsidR="0087733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hideMark/>
          </w:tcPr>
          <w:p w:rsidR="0087733B" w:rsidRPr="0087733B" w:rsidRDefault="0087733B" w:rsidP="0087733B">
            <w:pPr>
              <w:spacing w:after="0" w:line="240" w:lineRule="auto"/>
              <w:jc w:val="center"/>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44539</w:t>
            </w:r>
          </w:p>
        </w:tc>
        <w:tc>
          <w:tcPr>
            <w:tcW w:w="5969" w:type="dxa"/>
            <w:tcBorders>
              <w:top w:val="nil"/>
              <w:left w:val="nil"/>
              <w:bottom w:val="single" w:sz="4" w:space="0" w:color="auto"/>
              <w:right w:val="single" w:sz="4" w:space="0" w:color="auto"/>
            </w:tcBorders>
            <w:vAlign w:val="center"/>
            <w:hideMark/>
          </w:tcPr>
          <w:p w:rsidR="0087733B" w:rsidRPr="0087733B" w:rsidRDefault="0087733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Yo Soy, A.C.</w:t>
            </w:r>
          </w:p>
        </w:tc>
        <w:tc>
          <w:tcPr>
            <w:tcW w:w="1440" w:type="dxa"/>
            <w:tcBorders>
              <w:top w:val="nil"/>
              <w:left w:val="nil"/>
              <w:bottom w:val="single" w:sz="4" w:space="0" w:color="auto"/>
              <w:right w:val="single" w:sz="4" w:space="0" w:color="auto"/>
            </w:tcBorders>
            <w:noWrap/>
            <w:vAlign w:val="center"/>
          </w:tcPr>
          <w:p w:rsidR="0087733B" w:rsidRPr="0087733B" w:rsidRDefault="0087733B" w:rsidP="0087733B">
            <w:pPr>
              <w:spacing w:after="0" w:line="240" w:lineRule="auto"/>
              <w:jc w:val="right"/>
              <w:rPr>
                <w:rFonts w:ascii="Arial" w:hAnsi="Arial" w:cs="Arial"/>
                <w:sz w:val="18"/>
                <w:szCs w:val="18"/>
              </w:rPr>
            </w:pPr>
            <w:r w:rsidRPr="0087733B">
              <w:rPr>
                <w:rFonts w:ascii="Arial" w:hAnsi="Arial" w:cs="Arial"/>
                <w:sz w:val="18"/>
                <w:szCs w:val="18"/>
              </w:rPr>
              <w:t>30,000</w:t>
            </w:r>
          </w:p>
        </w:tc>
      </w:tr>
      <w:tr w:rsidR="0087733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hideMark/>
          </w:tcPr>
          <w:p w:rsidR="0087733B" w:rsidRPr="0087733B" w:rsidRDefault="0087733B" w:rsidP="0087733B">
            <w:pPr>
              <w:spacing w:after="0" w:line="240" w:lineRule="auto"/>
              <w:jc w:val="center"/>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44540</w:t>
            </w:r>
          </w:p>
        </w:tc>
        <w:tc>
          <w:tcPr>
            <w:tcW w:w="5969" w:type="dxa"/>
            <w:tcBorders>
              <w:top w:val="nil"/>
              <w:left w:val="nil"/>
              <w:bottom w:val="single" w:sz="4" w:space="0" w:color="auto"/>
              <w:right w:val="single" w:sz="4" w:space="0" w:color="auto"/>
            </w:tcBorders>
            <w:vAlign w:val="center"/>
            <w:hideMark/>
          </w:tcPr>
          <w:p w:rsidR="0087733B" w:rsidRPr="0087733B" w:rsidRDefault="0087733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Movimiento de Adultos Mayores y con Discapacidad, A.C.</w:t>
            </w:r>
          </w:p>
        </w:tc>
        <w:tc>
          <w:tcPr>
            <w:tcW w:w="1440" w:type="dxa"/>
            <w:tcBorders>
              <w:top w:val="nil"/>
              <w:left w:val="nil"/>
              <w:bottom w:val="single" w:sz="4" w:space="0" w:color="auto"/>
              <w:right w:val="single" w:sz="4" w:space="0" w:color="auto"/>
            </w:tcBorders>
            <w:noWrap/>
            <w:vAlign w:val="center"/>
          </w:tcPr>
          <w:p w:rsidR="0087733B" w:rsidRPr="0087733B" w:rsidRDefault="0087733B" w:rsidP="0087733B">
            <w:pPr>
              <w:spacing w:after="0" w:line="240" w:lineRule="auto"/>
              <w:jc w:val="right"/>
              <w:rPr>
                <w:rFonts w:ascii="Arial" w:hAnsi="Arial" w:cs="Arial"/>
                <w:sz w:val="18"/>
                <w:szCs w:val="18"/>
              </w:rPr>
            </w:pPr>
            <w:r w:rsidRPr="0087733B">
              <w:rPr>
                <w:rFonts w:ascii="Arial" w:hAnsi="Arial" w:cs="Arial"/>
                <w:sz w:val="18"/>
                <w:szCs w:val="18"/>
              </w:rPr>
              <w:t>40,000</w:t>
            </w:r>
          </w:p>
        </w:tc>
      </w:tr>
      <w:tr w:rsidR="0087733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hideMark/>
          </w:tcPr>
          <w:p w:rsidR="0087733B" w:rsidRPr="0087733B" w:rsidRDefault="0087733B" w:rsidP="0087733B">
            <w:pPr>
              <w:spacing w:after="0" w:line="240" w:lineRule="auto"/>
              <w:jc w:val="center"/>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44541</w:t>
            </w:r>
          </w:p>
        </w:tc>
        <w:tc>
          <w:tcPr>
            <w:tcW w:w="5969" w:type="dxa"/>
            <w:tcBorders>
              <w:top w:val="nil"/>
              <w:left w:val="nil"/>
              <w:bottom w:val="single" w:sz="4" w:space="0" w:color="auto"/>
              <w:right w:val="single" w:sz="4" w:space="0" w:color="auto"/>
            </w:tcBorders>
            <w:vAlign w:val="center"/>
            <w:hideMark/>
          </w:tcPr>
          <w:p w:rsidR="0087733B" w:rsidRPr="0087733B" w:rsidRDefault="0087733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Centro de Tratamiento Integral Camino a la Felicidad, A.C.</w:t>
            </w:r>
          </w:p>
        </w:tc>
        <w:tc>
          <w:tcPr>
            <w:tcW w:w="1440" w:type="dxa"/>
            <w:tcBorders>
              <w:top w:val="nil"/>
              <w:left w:val="nil"/>
              <w:bottom w:val="single" w:sz="4" w:space="0" w:color="auto"/>
              <w:right w:val="single" w:sz="4" w:space="0" w:color="auto"/>
            </w:tcBorders>
            <w:noWrap/>
            <w:vAlign w:val="center"/>
          </w:tcPr>
          <w:p w:rsidR="0087733B" w:rsidRPr="0087733B" w:rsidRDefault="0087733B" w:rsidP="0087733B">
            <w:pPr>
              <w:spacing w:after="0" w:line="240" w:lineRule="auto"/>
              <w:jc w:val="right"/>
              <w:rPr>
                <w:rFonts w:ascii="Arial" w:hAnsi="Arial" w:cs="Arial"/>
                <w:sz w:val="18"/>
                <w:szCs w:val="18"/>
              </w:rPr>
            </w:pPr>
            <w:r w:rsidRPr="0087733B">
              <w:rPr>
                <w:rFonts w:ascii="Arial" w:hAnsi="Arial" w:cs="Arial"/>
                <w:sz w:val="18"/>
                <w:szCs w:val="18"/>
              </w:rPr>
              <w:t>50,000</w:t>
            </w:r>
          </w:p>
        </w:tc>
      </w:tr>
      <w:tr w:rsidR="0087733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hideMark/>
          </w:tcPr>
          <w:p w:rsidR="0087733B" w:rsidRPr="0087733B" w:rsidRDefault="0087733B" w:rsidP="0087733B">
            <w:pPr>
              <w:spacing w:after="0" w:line="240" w:lineRule="auto"/>
              <w:jc w:val="center"/>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44542</w:t>
            </w:r>
          </w:p>
        </w:tc>
        <w:tc>
          <w:tcPr>
            <w:tcW w:w="5969" w:type="dxa"/>
            <w:tcBorders>
              <w:top w:val="nil"/>
              <w:left w:val="nil"/>
              <w:bottom w:val="single" w:sz="4" w:space="0" w:color="auto"/>
              <w:right w:val="single" w:sz="4" w:space="0" w:color="auto"/>
            </w:tcBorders>
            <w:vAlign w:val="center"/>
            <w:hideMark/>
          </w:tcPr>
          <w:p w:rsidR="0087733B" w:rsidRPr="0087733B" w:rsidRDefault="0087733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Red de Organizaciones Sociales Siglo XXI, A.C.</w:t>
            </w:r>
          </w:p>
        </w:tc>
        <w:tc>
          <w:tcPr>
            <w:tcW w:w="1440" w:type="dxa"/>
            <w:tcBorders>
              <w:top w:val="nil"/>
              <w:left w:val="nil"/>
              <w:bottom w:val="single" w:sz="4" w:space="0" w:color="auto"/>
              <w:right w:val="single" w:sz="4" w:space="0" w:color="auto"/>
            </w:tcBorders>
            <w:noWrap/>
            <w:vAlign w:val="center"/>
          </w:tcPr>
          <w:p w:rsidR="0087733B" w:rsidRPr="0087733B" w:rsidRDefault="0087733B" w:rsidP="0087733B">
            <w:pPr>
              <w:spacing w:after="0" w:line="240" w:lineRule="auto"/>
              <w:jc w:val="right"/>
              <w:rPr>
                <w:rFonts w:ascii="Arial" w:hAnsi="Arial" w:cs="Arial"/>
                <w:sz w:val="18"/>
                <w:szCs w:val="18"/>
              </w:rPr>
            </w:pPr>
            <w:r w:rsidRPr="0087733B">
              <w:rPr>
                <w:rFonts w:ascii="Arial" w:hAnsi="Arial" w:cs="Arial"/>
                <w:sz w:val="18"/>
                <w:szCs w:val="18"/>
              </w:rPr>
              <w:t>40,000</w:t>
            </w:r>
          </w:p>
        </w:tc>
      </w:tr>
      <w:tr w:rsidR="0087733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hideMark/>
          </w:tcPr>
          <w:p w:rsidR="0087733B" w:rsidRPr="0087733B" w:rsidRDefault="0087733B" w:rsidP="0087733B">
            <w:pPr>
              <w:spacing w:after="0" w:line="240" w:lineRule="auto"/>
              <w:jc w:val="center"/>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44543</w:t>
            </w:r>
          </w:p>
        </w:tc>
        <w:tc>
          <w:tcPr>
            <w:tcW w:w="5969" w:type="dxa"/>
            <w:tcBorders>
              <w:top w:val="nil"/>
              <w:left w:val="nil"/>
              <w:bottom w:val="single" w:sz="4" w:space="0" w:color="auto"/>
              <w:right w:val="single" w:sz="4" w:space="0" w:color="auto"/>
            </w:tcBorders>
            <w:vAlign w:val="center"/>
            <w:hideMark/>
          </w:tcPr>
          <w:p w:rsidR="0087733B" w:rsidRPr="0087733B" w:rsidRDefault="0087733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Mujer de Max, A.C.</w:t>
            </w:r>
          </w:p>
        </w:tc>
        <w:tc>
          <w:tcPr>
            <w:tcW w:w="1440" w:type="dxa"/>
            <w:tcBorders>
              <w:top w:val="nil"/>
              <w:left w:val="nil"/>
              <w:bottom w:val="single" w:sz="4" w:space="0" w:color="auto"/>
              <w:right w:val="single" w:sz="4" w:space="0" w:color="auto"/>
            </w:tcBorders>
            <w:noWrap/>
            <w:vAlign w:val="center"/>
          </w:tcPr>
          <w:p w:rsidR="0087733B" w:rsidRPr="0087733B" w:rsidRDefault="0087733B" w:rsidP="0087733B">
            <w:pPr>
              <w:spacing w:after="0" w:line="240" w:lineRule="auto"/>
              <w:jc w:val="right"/>
              <w:rPr>
                <w:rFonts w:ascii="Arial" w:hAnsi="Arial" w:cs="Arial"/>
                <w:sz w:val="18"/>
                <w:szCs w:val="18"/>
              </w:rPr>
            </w:pPr>
            <w:r w:rsidRPr="0087733B">
              <w:rPr>
                <w:rFonts w:ascii="Arial" w:hAnsi="Arial" w:cs="Arial"/>
                <w:sz w:val="18"/>
                <w:szCs w:val="18"/>
              </w:rPr>
              <w:t>290,000</w:t>
            </w:r>
          </w:p>
        </w:tc>
      </w:tr>
      <w:tr w:rsidR="0087733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hideMark/>
          </w:tcPr>
          <w:p w:rsidR="0087733B" w:rsidRPr="0087733B" w:rsidRDefault="0087733B" w:rsidP="0087733B">
            <w:pPr>
              <w:spacing w:after="0" w:line="240" w:lineRule="auto"/>
              <w:jc w:val="center"/>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44544</w:t>
            </w:r>
          </w:p>
        </w:tc>
        <w:tc>
          <w:tcPr>
            <w:tcW w:w="5969" w:type="dxa"/>
            <w:tcBorders>
              <w:top w:val="nil"/>
              <w:left w:val="nil"/>
              <w:bottom w:val="single" w:sz="4" w:space="0" w:color="auto"/>
              <w:right w:val="single" w:sz="4" w:space="0" w:color="auto"/>
            </w:tcBorders>
            <w:vAlign w:val="center"/>
            <w:hideMark/>
          </w:tcPr>
          <w:p w:rsidR="0087733B" w:rsidRPr="0087733B" w:rsidRDefault="0087733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Centro de Atención Especializado en Adicciones Bill y Bob, A.C.</w:t>
            </w:r>
          </w:p>
        </w:tc>
        <w:tc>
          <w:tcPr>
            <w:tcW w:w="1440" w:type="dxa"/>
            <w:tcBorders>
              <w:top w:val="nil"/>
              <w:left w:val="nil"/>
              <w:bottom w:val="single" w:sz="4" w:space="0" w:color="auto"/>
              <w:right w:val="single" w:sz="4" w:space="0" w:color="auto"/>
            </w:tcBorders>
            <w:noWrap/>
            <w:vAlign w:val="center"/>
          </w:tcPr>
          <w:p w:rsidR="0087733B" w:rsidRPr="0087733B" w:rsidRDefault="0087733B" w:rsidP="0087733B">
            <w:pPr>
              <w:spacing w:after="0" w:line="240" w:lineRule="auto"/>
              <w:jc w:val="right"/>
              <w:rPr>
                <w:rFonts w:ascii="Arial" w:hAnsi="Arial" w:cs="Arial"/>
                <w:sz w:val="18"/>
                <w:szCs w:val="18"/>
              </w:rPr>
            </w:pPr>
            <w:r w:rsidRPr="0087733B">
              <w:rPr>
                <w:rFonts w:ascii="Arial" w:hAnsi="Arial" w:cs="Arial"/>
                <w:sz w:val="18"/>
                <w:szCs w:val="18"/>
              </w:rPr>
              <w:t>30,000</w:t>
            </w:r>
          </w:p>
        </w:tc>
      </w:tr>
      <w:tr w:rsidR="0087733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hideMark/>
          </w:tcPr>
          <w:p w:rsidR="0087733B" w:rsidRPr="0087733B" w:rsidRDefault="0087733B" w:rsidP="0087733B">
            <w:pPr>
              <w:spacing w:after="0" w:line="240" w:lineRule="auto"/>
              <w:jc w:val="center"/>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44545</w:t>
            </w:r>
          </w:p>
        </w:tc>
        <w:tc>
          <w:tcPr>
            <w:tcW w:w="5969" w:type="dxa"/>
            <w:tcBorders>
              <w:top w:val="nil"/>
              <w:left w:val="nil"/>
              <w:bottom w:val="single" w:sz="4" w:space="0" w:color="auto"/>
              <w:right w:val="single" w:sz="4" w:space="0" w:color="auto"/>
            </w:tcBorders>
            <w:vAlign w:val="center"/>
            <w:hideMark/>
          </w:tcPr>
          <w:p w:rsidR="0087733B" w:rsidRPr="0087733B" w:rsidRDefault="0087733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Unión Regional de Agricultores y Campesinos, A.C.</w:t>
            </w:r>
          </w:p>
        </w:tc>
        <w:tc>
          <w:tcPr>
            <w:tcW w:w="1440" w:type="dxa"/>
            <w:tcBorders>
              <w:top w:val="nil"/>
              <w:left w:val="nil"/>
              <w:bottom w:val="single" w:sz="4" w:space="0" w:color="auto"/>
              <w:right w:val="single" w:sz="4" w:space="0" w:color="auto"/>
            </w:tcBorders>
            <w:noWrap/>
            <w:vAlign w:val="center"/>
          </w:tcPr>
          <w:p w:rsidR="0087733B" w:rsidRPr="0087733B" w:rsidRDefault="0087733B" w:rsidP="0087733B">
            <w:pPr>
              <w:spacing w:after="0" w:line="240" w:lineRule="auto"/>
              <w:jc w:val="right"/>
              <w:rPr>
                <w:rFonts w:ascii="Arial" w:hAnsi="Arial" w:cs="Arial"/>
                <w:sz w:val="18"/>
                <w:szCs w:val="18"/>
              </w:rPr>
            </w:pPr>
            <w:r w:rsidRPr="0087733B">
              <w:rPr>
                <w:rFonts w:ascii="Arial" w:hAnsi="Arial" w:cs="Arial"/>
                <w:sz w:val="18"/>
                <w:szCs w:val="18"/>
              </w:rPr>
              <w:t>40,000</w:t>
            </w:r>
          </w:p>
        </w:tc>
      </w:tr>
      <w:tr w:rsidR="0087733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hideMark/>
          </w:tcPr>
          <w:p w:rsidR="0087733B" w:rsidRPr="0087733B" w:rsidRDefault="0087733B" w:rsidP="0087733B">
            <w:pPr>
              <w:spacing w:after="0" w:line="240" w:lineRule="auto"/>
              <w:jc w:val="center"/>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44546</w:t>
            </w:r>
          </w:p>
        </w:tc>
        <w:tc>
          <w:tcPr>
            <w:tcW w:w="5969" w:type="dxa"/>
            <w:tcBorders>
              <w:top w:val="nil"/>
              <w:left w:val="nil"/>
              <w:bottom w:val="single" w:sz="4" w:space="0" w:color="auto"/>
              <w:right w:val="single" w:sz="4" w:space="0" w:color="auto"/>
            </w:tcBorders>
            <w:vAlign w:val="center"/>
            <w:hideMark/>
          </w:tcPr>
          <w:p w:rsidR="0087733B" w:rsidRPr="0087733B" w:rsidRDefault="0087733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Liga Mun</w:t>
            </w:r>
            <w:r>
              <w:rPr>
                <w:rFonts w:ascii="Arial" w:eastAsia="Times New Roman" w:hAnsi="Arial" w:cs="Arial"/>
                <w:color w:val="000000"/>
                <w:sz w:val="18"/>
                <w:szCs w:val="18"/>
                <w:lang w:val="es-ES" w:eastAsia="es-ES"/>
              </w:rPr>
              <w:t>i</w:t>
            </w:r>
            <w:r w:rsidRPr="0087733B">
              <w:rPr>
                <w:rFonts w:ascii="Arial" w:eastAsia="Times New Roman" w:hAnsi="Arial" w:cs="Arial"/>
                <w:color w:val="000000"/>
                <w:sz w:val="18"/>
                <w:szCs w:val="18"/>
                <w:lang w:val="es-ES" w:eastAsia="es-ES"/>
              </w:rPr>
              <w:t>cipal del Fútbol de Coquimatlán, A.C.</w:t>
            </w:r>
          </w:p>
        </w:tc>
        <w:tc>
          <w:tcPr>
            <w:tcW w:w="1440" w:type="dxa"/>
            <w:tcBorders>
              <w:top w:val="nil"/>
              <w:left w:val="nil"/>
              <w:bottom w:val="single" w:sz="4" w:space="0" w:color="auto"/>
              <w:right w:val="single" w:sz="4" w:space="0" w:color="auto"/>
            </w:tcBorders>
            <w:noWrap/>
            <w:vAlign w:val="center"/>
          </w:tcPr>
          <w:p w:rsidR="0087733B" w:rsidRPr="0087733B" w:rsidRDefault="0087733B" w:rsidP="0087733B">
            <w:pPr>
              <w:spacing w:after="0" w:line="240" w:lineRule="auto"/>
              <w:jc w:val="right"/>
              <w:rPr>
                <w:rFonts w:ascii="Arial" w:hAnsi="Arial" w:cs="Arial"/>
                <w:sz w:val="18"/>
                <w:szCs w:val="18"/>
              </w:rPr>
            </w:pPr>
            <w:r w:rsidRPr="0087733B">
              <w:rPr>
                <w:rFonts w:ascii="Arial" w:hAnsi="Arial" w:cs="Arial"/>
                <w:sz w:val="18"/>
                <w:szCs w:val="18"/>
              </w:rPr>
              <w:t>50,000</w:t>
            </w:r>
          </w:p>
        </w:tc>
      </w:tr>
      <w:tr w:rsidR="0087733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hideMark/>
          </w:tcPr>
          <w:p w:rsidR="0087733B" w:rsidRPr="0087733B" w:rsidRDefault="0087733B" w:rsidP="0087733B">
            <w:pPr>
              <w:spacing w:after="0" w:line="240" w:lineRule="auto"/>
              <w:jc w:val="center"/>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44547</w:t>
            </w:r>
          </w:p>
        </w:tc>
        <w:tc>
          <w:tcPr>
            <w:tcW w:w="5969" w:type="dxa"/>
            <w:tcBorders>
              <w:top w:val="nil"/>
              <w:left w:val="nil"/>
              <w:bottom w:val="single" w:sz="4" w:space="0" w:color="auto"/>
              <w:right w:val="single" w:sz="4" w:space="0" w:color="auto"/>
            </w:tcBorders>
            <w:vAlign w:val="center"/>
            <w:hideMark/>
          </w:tcPr>
          <w:p w:rsidR="0087733B" w:rsidRPr="0087733B" w:rsidRDefault="0087733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Por una Educación Silente, A.C.</w:t>
            </w:r>
          </w:p>
        </w:tc>
        <w:tc>
          <w:tcPr>
            <w:tcW w:w="1440" w:type="dxa"/>
            <w:tcBorders>
              <w:top w:val="nil"/>
              <w:left w:val="nil"/>
              <w:bottom w:val="single" w:sz="4" w:space="0" w:color="auto"/>
              <w:right w:val="single" w:sz="4" w:space="0" w:color="auto"/>
            </w:tcBorders>
            <w:noWrap/>
            <w:vAlign w:val="center"/>
          </w:tcPr>
          <w:p w:rsidR="0087733B" w:rsidRPr="0087733B" w:rsidRDefault="0087733B" w:rsidP="0087733B">
            <w:pPr>
              <w:spacing w:after="0" w:line="240" w:lineRule="auto"/>
              <w:jc w:val="right"/>
              <w:rPr>
                <w:rFonts w:ascii="Arial" w:hAnsi="Arial" w:cs="Arial"/>
                <w:sz w:val="18"/>
                <w:szCs w:val="18"/>
              </w:rPr>
            </w:pPr>
            <w:r w:rsidRPr="0087733B">
              <w:rPr>
                <w:rFonts w:ascii="Arial" w:hAnsi="Arial" w:cs="Arial"/>
                <w:sz w:val="18"/>
                <w:szCs w:val="18"/>
              </w:rPr>
              <w:t>40,000</w:t>
            </w:r>
          </w:p>
        </w:tc>
      </w:tr>
      <w:tr w:rsidR="0087733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hideMark/>
          </w:tcPr>
          <w:p w:rsidR="0087733B" w:rsidRPr="0087733B" w:rsidRDefault="0087733B" w:rsidP="0087733B">
            <w:pPr>
              <w:spacing w:after="0" w:line="240" w:lineRule="auto"/>
              <w:jc w:val="center"/>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44548</w:t>
            </w:r>
          </w:p>
        </w:tc>
        <w:tc>
          <w:tcPr>
            <w:tcW w:w="5969" w:type="dxa"/>
            <w:tcBorders>
              <w:top w:val="nil"/>
              <w:left w:val="nil"/>
              <w:bottom w:val="single" w:sz="4" w:space="0" w:color="auto"/>
              <w:right w:val="single" w:sz="4" w:space="0" w:color="auto"/>
            </w:tcBorders>
            <w:vAlign w:val="center"/>
            <w:hideMark/>
          </w:tcPr>
          <w:p w:rsidR="0087733B" w:rsidRPr="0087733B" w:rsidRDefault="0087733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Unidad Mexicana de Rehabilitación Neuromotriz Gael, A.C.</w:t>
            </w:r>
          </w:p>
        </w:tc>
        <w:tc>
          <w:tcPr>
            <w:tcW w:w="1440" w:type="dxa"/>
            <w:tcBorders>
              <w:top w:val="nil"/>
              <w:left w:val="nil"/>
              <w:bottom w:val="single" w:sz="4" w:space="0" w:color="auto"/>
              <w:right w:val="single" w:sz="4" w:space="0" w:color="auto"/>
            </w:tcBorders>
            <w:noWrap/>
            <w:vAlign w:val="center"/>
          </w:tcPr>
          <w:p w:rsidR="0087733B" w:rsidRPr="0087733B" w:rsidRDefault="0087733B" w:rsidP="0087733B">
            <w:pPr>
              <w:spacing w:after="0" w:line="240" w:lineRule="auto"/>
              <w:jc w:val="right"/>
              <w:rPr>
                <w:rFonts w:ascii="Arial" w:hAnsi="Arial" w:cs="Arial"/>
                <w:sz w:val="18"/>
                <w:szCs w:val="18"/>
              </w:rPr>
            </w:pPr>
            <w:r w:rsidRPr="0087733B">
              <w:rPr>
                <w:rFonts w:ascii="Arial" w:hAnsi="Arial" w:cs="Arial"/>
                <w:sz w:val="18"/>
                <w:szCs w:val="18"/>
              </w:rPr>
              <w:t>25,000</w:t>
            </w:r>
          </w:p>
        </w:tc>
      </w:tr>
      <w:tr w:rsidR="0087733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hideMark/>
          </w:tcPr>
          <w:p w:rsidR="0087733B" w:rsidRPr="0087733B" w:rsidRDefault="0087733B" w:rsidP="0087733B">
            <w:pPr>
              <w:spacing w:after="0" w:line="240" w:lineRule="auto"/>
              <w:jc w:val="center"/>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44549</w:t>
            </w:r>
          </w:p>
        </w:tc>
        <w:tc>
          <w:tcPr>
            <w:tcW w:w="5969" w:type="dxa"/>
            <w:tcBorders>
              <w:top w:val="nil"/>
              <w:left w:val="nil"/>
              <w:bottom w:val="single" w:sz="4" w:space="0" w:color="auto"/>
              <w:right w:val="single" w:sz="4" w:space="0" w:color="auto"/>
            </w:tcBorders>
            <w:vAlign w:val="center"/>
            <w:hideMark/>
          </w:tcPr>
          <w:p w:rsidR="0087733B" w:rsidRPr="0087733B" w:rsidRDefault="0087733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Conciencia Ciudadana, A.C.</w:t>
            </w:r>
          </w:p>
        </w:tc>
        <w:tc>
          <w:tcPr>
            <w:tcW w:w="1440" w:type="dxa"/>
            <w:tcBorders>
              <w:top w:val="nil"/>
              <w:left w:val="nil"/>
              <w:bottom w:val="single" w:sz="4" w:space="0" w:color="auto"/>
              <w:right w:val="single" w:sz="4" w:space="0" w:color="auto"/>
            </w:tcBorders>
            <w:noWrap/>
            <w:vAlign w:val="center"/>
          </w:tcPr>
          <w:p w:rsidR="0087733B" w:rsidRPr="0087733B" w:rsidRDefault="0087733B" w:rsidP="0087733B">
            <w:pPr>
              <w:spacing w:after="0" w:line="240" w:lineRule="auto"/>
              <w:jc w:val="right"/>
              <w:rPr>
                <w:rFonts w:ascii="Arial" w:hAnsi="Arial" w:cs="Arial"/>
                <w:sz w:val="18"/>
                <w:szCs w:val="18"/>
              </w:rPr>
            </w:pPr>
            <w:r w:rsidRPr="0087733B">
              <w:rPr>
                <w:rFonts w:ascii="Arial" w:hAnsi="Arial" w:cs="Arial"/>
                <w:sz w:val="18"/>
                <w:szCs w:val="18"/>
              </w:rPr>
              <w:t>70,000</w:t>
            </w:r>
          </w:p>
        </w:tc>
      </w:tr>
      <w:tr w:rsidR="0087733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hideMark/>
          </w:tcPr>
          <w:p w:rsidR="0087733B" w:rsidRPr="0087733B" w:rsidRDefault="0087733B" w:rsidP="0087733B">
            <w:pPr>
              <w:spacing w:after="0" w:line="240" w:lineRule="auto"/>
              <w:jc w:val="center"/>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44550</w:t>
            </w:r>
          </w:p>
        </w:tc>
        <w:tc>
          <w:tcPr>
            <w:tcW w:w="5969" w:type="dxa"/>
            <w:tcBorders>
              <w:top w:val="nil"/>
              <w:left w:val="nil"/>
              <w:bottom w:val="single" w:sz="4" w:space="0" w:color="auto"/>
              <w:right w:val="single" w:sz="4" w:space="0" w:color="auto"/>
            </w:tcBorders>
            <w:vAlign w:val="center"/>
            <w:hideMark/>
          </w:tcPr>
          <w:p w:rsidR="0087733B" w:rsidRPr="0087733B" w:rsidRDefault="0087733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Caminemos Juntos con Amor, Luz y Esperanza, A.C.</w:t>
            </w:r>
          </w:p>
        </w:tc>
        <w:tc>
          <w:tcPr>
            <w:tcW w:w="1440" w:type="dxa"/>
            <w:tcBorders>
              <w:top w:val="nil"/>
              <w:left w:val="nil"/>
              <w:bottom w:val="single" w:sz="4" w:space="0" w:color="auto"/>
              <w:right w:val="single" w:sz="4" w:space="0" w:color="auto"/>
            </w:tcBorders>
            <w:noWrap/>
            <w:vAlign w:val="center"/>
          </w:tcPr>
          <w:p w:rsidR="0087733B" w:rsidRPr="0087733B" w:rsidRDefault="0087733B" w:rsidP="0087733B">
            <w:pPr>
              <w:spacing w:after="0" w:line="240" w:lineRule="auto"/>
              <w:jc w:val="right"/>
              <w:rPr>
                <w:rFonts w:ascii="Arial" w:hAnsi="Arial" w:cs="Arial"/>
                <w:sz w:val="18"/>
                <w:szCs w:val="18"/>
              </w:rPr>
            </w:pPr>
            <w:r w:rsidRPr="0087733B">
              <w:rPr>
                <w:rFonts w:ascii="Arial" w:hAnsi="Arial" w:cs="Arial"/>
                <w:sz w:val="18"/>
                <w:szCs w:val="18"/>
              </w:rPr>
              <w:t>40,000</w:t>
            </w:r>
          </w:p>
        </w:tc>
      </w:tr>
      <w:tr w:rsidR="0087733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hideMark/>
          </w:tcPr>
          <w:p w:rsidR="0087733B" w:rsidRPr="0087733B" w:rsidRDefault="0087733B" w:rsidP="0087733B">
            <w:pPr>
              <w:spacing w:after="0" w:line="240" w:lineRule="auto"/>
              <w:jc w:val="center"/>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44551</w:t>
            </w:r>
          </w:p>
        </w:tc>
        <w:tc>
          <w:tcPr>
            <w:tcW w:w="5969" w:type="dxa"/>
            <w:tcBorders>
              <w:top w:val="nil"/>
              <w:left w:val="nil"/>
              <w:bottom w:val="single" w:sz="4" w:space="0" w:color="auto"/>
              <w:right w:val="single" w:sz="4" w:space="0" w:color="auto"/>
            </w:tcBorders>
            <w:vAlign w:val="center"/>
            <w:hideMark/>
          </w:tcPr>
          <w:p w:rsidR="0087733B" w:rsidRPr="0087733B" w:rsidRDefault="0087733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Ministerios Viviendo en Amor, A.C.</w:t>
            </w:r>
          </w:p>
        </w:tc>
        <w:tc>
          <w:tcPr>
            <w:tcW w:w="1440" w:type="dxa"/>
            <w:tcBorders>
              <w:top w:val="nil"/>
              <w:left w:val="nil"/>
              <w:bottom w:val="single" w:sz="4" w:space="0" w:color="auto"/>
              <w:right w:val="single" w:sz="4" w:space="0" w:color="auto"/>
            </w:tcBorders>
            <w:noWrap/>
            <w:vAlign w:val="center"/>
          </w:tcPr>
          <w:p w:rsidR="0087733B" w:rsidRPr="0087733B" w:rsidRDefault="0087733B" w:rsidP="0087733B">
            <w:pPr>
              <w:spacing w:after="0" w:line="240" w:lineRule="auto"/>
              <w:jc w:val="right"/>
              <w:rPr>
                <w:rFonts w:ascii="Arial" w:hAnsi="Arial" w:cs="Arial"/>
                <w:sz w:val="18"/>
                <w:szCs w:val="18"/>
              </w:rPr>
            </w:pPr>
            <w:r w:rsidRPr="0087733B">
              <w:rPr>
                <w:rFonts w:ascii="Arial" w:hAnsi="Arial" w:cs="Arial"/>
                <w:sz w:val="18"/>
                <w:szCs w:val="18"/>
              </w:rPr>
              <w:t>20,000</w:t>
            </w:r>
          </w:p>
        </w:tc>
      </w:tr>
      <w:tr w:rsidR="0087733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hideMark/>
          </w:tcPr>
          <w:p w:rsidR="0087733B" w:rsidRPr="0087733B" w:rsidRDefault="0087733B" w:rsidP="0087733B">
            <w:pPr>
              <w:spacing w:after="0" w:line="240" w:lineRule="auto"/>
              <w:jc w:val="center"/>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44552</w:t>
            </w:r>
          </w:p>
        </w:tc>
        <w:tc>
          <w:tcPr>
            <w:tcW w:w="5969" w:type="dxa"/>
            <w:tcBorders>
              <w:top w:val="nil"/>
              <w:left w:val="nil"/>
              <w:bottom w:val="single" w:sz="4" w:space="0" w:color="auto"/>
              <w:right w:val="single" w:sz="4" w:space="0" w:color="auto"/>
            </w:tcBorders>
            <w:vAlign w:val="center"/>
            <w:hideMark/>
          </w:tcPr>
          <w:p w:rsidR="0087733B" w:rsidRPr="0087733B" w:rsidRDefault="0087733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Instituto Griselda Álvarez, A.C.</w:t>
            </w:r>
          </w:p>
        </w:tc>
        <w:tc>
          <w:tcPr>
            <w:tcW w:w="1440" w:type="dxa"/>
            <w:tcBorders>
              <w:top w:val="nil"/>
              <w:left w:val="nil"/>
              <w:bottom w:val="single" w:sz="4" w:space="0" w:color="auto"/>
              <w:right w:val="single" w:sz="4" w:space="0" w:color="auto"/>
            </w:tcBorders>
            <w:noWrap/>
            <w:vAlign w:val="center"/>
          </w:tcPr>
          <w:p w:rsidR="0087733B" w:rsidRPr="0087733B" w:rsidRDefault="0087733B" w:rsidP="0087733B">
            <w:pPr>
              <w:spacing w:after="0" w:line="240" w:lineRule="auto"/>
              <w:jc w:val="right"/>
              <w:rPr>
                <w:rFonts w:ascii="Arial" w:hAnsi="Arial" w:cs="Arial"/>
                <w:sz w:val="18"/>
                <w:szCs w:val="18"/>
              </w:rPr>
            </w:pPr>
            <w:r w:rsidRPr="0087733B">
              <w:rPr>
                <w:rFonts w:ascii="Arial" w:hAnsi="Arial" w:cs="Arial"/>
                <w:sz w:val="18"/>
                <w:szCs w:val="18"/>
              </w:rPr>
              <w:t>40,000</w:t>
            </w:r>
          </w:p>
        </w:tc>
      </w:tr>
      <w:tr w:rsidR="0087733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hideMark/>
          </w:tcPr>
          <w:p w:rsidR="0087733B" w:rsidRPr="0087733B" w:rsidRDefault="0087733B" w:rsidP="0087733B">
            <w:pPr>
              <w:spacing w:after="0" w:line="240" w:lineRule="auto"/>
              <w:jc w:val="center"/>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44553</w:t>
            </w:r>
          </w:p>
        </w:tc>
        <w:tc>
          <w:tcPr>
            <w:tcW w:w="5969" w:type="dxa"/>
            <w:tcBorders>
              <w:top w:val="nil"/>
              <w:left w:val="nil"/>
              <w:bottom w:val="single" w:sz="4" w:space="0" w:color="auto"/>
              <w:right w:val="single" w:sz="4" w:space="0" w:color="auto"/>
            </w:tcBorders>
            <w:vAlign w:val="center"/>
            <w:hideMark/>
          </w:tcPr>
          <w:p w:rsidR="0087733B" w:rsidRPr="0087733B" w:rsidRDefault="0087733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Plan V., A.C.</w:t>
            </w:r>
          </w:p>
        </w:tc>
        <w:tc>
          <w:tcPr>
            <w:tcW w:w="1440" w:type="dxa"/>
            <w:tcBorders>
              <w:top w:val="nil"/>
              <w:left w:val="nil"/>
              <w:bottom w:val="single" w:sz="4" w:space="0" w:color="auto"/>
              <w:right w:val="single" w:sz="4" w:space="0" w:color="auto"/>
            </w:tcBorders>
            <w:noWrap/>
            <w:vAlign w:val="center"/>
          </w:tcPr>
          <w:p w:rsidR="0087733B" w:rsidRPr="0087733B" w:rsidRDefault="0087733B" w:rsidP="0087733B">
            <w:pPr>
              <w:spacing w:after="0" w:line="240" w:lineRule="auto"/>
              <w:jc w:val="right"/>
              <w:rPr>
                <w:rFonts w:ascii="Arial" w:hAnsi="Arial" w:cs="Arial"/>
                <w:sz w:val="18"/>
                <w:szCs w:val="18"/>
              </w:rPr>
            </w:pPr>
            <w:r w:rsidRPr="0087733B">
              <w:rPr>
                <w:rFonts w:ascii="Arial" w:hAnsi="Arial" w:cs="Arial"/>
                <w:sz w:val="18"/>
                <w:szCs w:val="18"/>
              </w:rPr>
              <w:t>60,000</w:t>
            </w:r>
          </w:p>
        </w:tc>
      </w:tr>
      <w:tr w:rsidR="0087733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hideMark/>
          </w:tcPr>
          <w:p w:rsidR="0087733B" w:rsidRPr="0087733B" w:rsidRDefault="0087733B" w:rsidP="0087733B">
            <w:pPr>
              <w:spacing w:after="0" w:line="240" w:lineRule="auto"/>
              <w:jc w:val="center"/>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44554</w:t>
            </w:r>
          </w:p>
        </w:tc>
        <w:tc>
          <w:tcPr>
            <w:tcW w:w="5969" w:type="dxa"/>
            <w:tcBorders>
              <w:top w:val="nil"/>
              <w:left w:val="nil"/>
              <w:bottom w:val="single" w:sz="4" w:space="0" w:color="auto"/>
              <w:right w:val="single" w:sz="4" w:space="0" w:color="auto"/>
            </w:tcBorders>
            <w:vAlign w:val="center"/>
            <w:hideMark/>
          </w:tcPr>
          <w:p w:rsidR="0087733B" w:rsidRPr="0087733B" w:rsidRDefault="0087733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Luz Género, A.C.</w:t>
            </w:r>
          </w:p>
        </w:tc>
        <w:tc>
          <w:tcPr>
            <w:tcW w:w="1440" w:type="dxa"/>
            <w:tcBorders>
              <w:top w:val="nil"/>
              <w:left w:val="nil"/>
              <w:bottom w:val="single" w:sz="4" w:space="0" w:color="auto"/>
              <w:right w:val="single" w:sz="4" w:space="0" w:color="auto"/>
            </w:tcBorders>
            <w:noWrap/>
            <w:vAlign w:val="center"/>
          </w:tcPr>
          <w:p w:rsidR="0087733B" w:rsidRPr="0087733B" w:rsidRDefault="0087733B" w:rsidP="0087733B">
            <w:pPr>
              <w:spacing w:after="0" w:line="240" w:lineRule="auto"/>
              <w:jc w:val="right"/>
              <w:rPr>
                <w:rFonts w:ascii="Arial" w:hAnsi="Arial" w:cs="Arial"/>
                <w:sz w:val="18"/>
                <w:szCs w:val="18"/>
              </w:rPr>
            </w:pPr>
            <w:r w:rsidRPr="0087733B">
              <w:rPr>
                <w:rFonts w:ascii="Arial" w:hAnsi="Arial" w:cs="Arial"/>
                <w:sz w:val="18"/>
                <w:szCs w:val="18"/>
              </w:rPr>
              <w:t>60,000</w:t>
            </w:r>
          </w:p>
        </w:tc>
      </w:tr>
      <w:tr w:rsidR="0087733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hideMark/>
          </w:tcPr>
          <w:p w:rsidR="0087733B" w:rsidRPr="0087733B" w:rsidRDefault="0087733B" w:rsidP="0087733B">
            <w:pPr>
              <w:spacing w:after="0" w:line="240" w:lineRule="auto"/>
              <w:jc w:val="center"/>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44555</w:t>
            </w:r>
          </w:p>
        </w:tc>
        <w:tc>
          <w:tcPr>
            <w:tcW w:w="5969" w:type="dxa"/>
            <w:tcBorders>
              <w:top w:val="nil"/>
              <w:left w:val="nil"/>
              <w:bottom w:val="single" w:sz="4" w:space="0" w:color="auto"/>
              <w:right w:val="single" w:sz="4" w:space="0" w:color="auto"/>
            </w:tcBorders>
            <w:vAlign w:val="center"/>
            <w:hideMark/>
          </w:tcPr>
          <w:p w:rsidR="0087733B" w:rsidRPr="0087733B" w:rsidRDefault="0087733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Club Deportivo Jaguares, A.C.</w:t>
            </w:r>
          </w:p>
        </w:tc>
        <w:tc>
          <w:tcPr>
            <w:tcW w:w="1440" w:type="dxa"/>
            <w:tcBorders>
              <w:top w:val="nil"/>
              <w:left w:val="nil"/>
              <w:bottom w:val="single" w:sz="4" w:space="0" w:color="auto"/>
              <w:right w:val="single" w:sz="4" w:space="0" w:color="auto"/>
            </w:tcBorders>
            <w:noWrap/>
            <w:vAlign w:val="center"/>
          </w:tcPr>
          <w:p w:rsidR="0087733B" w:rsidRPr="0087733B" w:rsidRDefault="0087733B" w:rsidP="0087733B">
            <w:pPr>
              <w:spacing w:after="0" w:line="240" w:lineRule="auto"/>
              <w:jc w:val="right"/>
              <w:rPr>
                <w:rFonts w:ascii="Arial" w:hAnsi="Arial" w:cs="Arial"/>
                <w:sz w:val="18"/>
                <w:szCs w:val="18"/>
              </w:rPr>
            </w:pPr>
            <w:r w:rsidRPr="0087733B">
              <w:rPr>
                <w:rFonts w:ascii="Arial" w:hAnsi="Arial" w:cs="Arial"/>
                <w:sz w:val="18"/>
                <w:szCs w:val="18"/>
              </w:rPr>
              <w:t>90,000</w:t>
            </w:r>
          </w:p>
        </w:tc>
      </w:tr>
      <w:tr w:rsidR="0087733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hideMark/>
          </w:tcPr>
          <w:p w:rsidR="0087733B" w:rsidRPr="0087733B" w:rsidRDefault="0087733B" w:rsidP="0087733B">
            <w:pPr>
              <w:spacing w:after="0" w:line="240" w:lineRule="auto"/>
              <w:jc w:val="center"/>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44556</w:t>
            </w:r>
          </w:p>
        </w:tc>
        <w:tc>
          <w:tcPr>
            <w:tcW w:w="5969" w:type="dxa"/>
            <w:tcBorders>
              <w:top w:val="nil"/>
              <w:left w:val="nil"/>
              <w:bottom w:val="single" w:sz="4" w:space="0" w:color="auto"/>
              <w:right w:val="single" w:sz="4" w:space="0" w:color="auto"/>
            </w:tcBorders>
            <w:vAlign w:val="center"/>
            <w:hideMark/>
          </w:tcPr>
          <w:p w:rsidR="0087733B" w:rsidRPr="0087733B" w:rsidRDefault="0087733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Colectivo Zonas de Tolerancia, A.C.</w:t>
            </w:r>
          </w:p>
        </w:tc>
        <w:tc>
          <w:tcPr>
            <w:tcW w:w="1440" w:type="dxa"/>
            <w:tcBorders>
              <w:top w:val="nil"/>
              <w:left w:val="nil"/>
              <w:bottom w:val="single" w:sz="4" w:space="0" w:color="auto"/>
              <w:right w:val="single" w:sz="4" w:space="0" w:color="auto"/>
            </w:tcBorders>
            <w:noWrap/>
            <w:vAlign w:val="center"/>
          </w:tcPr>
          <w:p w:rsidR="0087733B" w:rsidRPr="0087733B" w:rsidRDefault="0087733B" w:rsidP="0087733B">
            <w:pPr>
              <w:spacing w:after="0" w:line="240" w:lineRule="auto"/>
              <w:jc w:val="right"/>
              <w:rPr>
                <w:rFonts w:ascii="Arial" w:hAnsi="Arial" w:cs="Arial"/>
                <w:sz w:val="18"/>
                <w:szCs w:val="18"/>
              </w:rPr>
            </w:pPr>
            <w:r w:rsidRPr="0087733B">
              <w:rPr>
                <w:rFonts w:ascii="Arial" w:hAnsi="Arial" w:cs="Arial"/>
                <w:sz w:val="18"/>
                <w:szCs w:val="18"/>
              </w:rPr>
              <w:t>80,000</w:t>
            </w:r>
          </w:p>
        </w:tc>
      </w:tr>
      <w:tr w:rsidR="0087733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hideMark/>
          </w:tcPr>
          <w:p w:rsidR="0087733B" w:rsidRPr="0087733B" w:rsidRDefault="0087733B" w:rsidP="0087733B">
            <w:pPr>
              <w:spacing w:after="0" w:line="240" w:lineRule="auto"/>
              <w:jc w:val="center"/>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44557</w:t>
            </w:r>
          </w:p>
        </w:tc>
        <w:tc>
          <w:tcPr>
            <w:tcW w:w="5969" w:type="dxa"/>
            <w:tcBorders>
              <w:top w:val="nil"/>
              <w:left w:val="nil"/>
              <w:bottom w:val="single" w:sz="4" w:space="0" w:color="auto"/>
              <w:right w:val="single" w:sz="4" w:space="0" w:color="auto"/>
            </w:tcBorders>
            <w:vAlign w:val="center"/>
            <w:hideMark/>
          </w:tcPr>
          <w:p w:rsidR="0087733B" w:rsidRPr="0087733B" w:rsidRDefault="0087733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Integradora de Asociaciones y Grupos Organizados Dr. Julián Gascón Mercado Estado de Colima, A.C.</w:t>
            </w:r>
          </w:p>
        </w:tc>
        <w:tc>
          <w:tcPr>
            <w:tcW w:w="1440" w:type="dxa"/>
            <w:tcBorders>
              <w:top w:val="nil"/>
              <w:left w:val="nil"/>
              <w:bottom w:val="single" w:sz="4" w:space="0" w:color="auto"/>
              <w:right w:val="single" w:sz="4" w:space="0" w:color="auto"/>
            </w:tcBorders>
            <w:noWrap/>
            <w:vAlign w:val="center"/>
          </w:tcPr>
          <w:p w:rsidR="0087733B" w:rsidRPr="0087733B" w:rsidRDefault="0087733B" w:rsidP="0087733B">
            <w:pPr>
              <w:spacing w:after="0" w:line="240" w:lineRule="auto"/>
              <w:jc w:val="right"/>
              <w:rPr>
                <w:rFonts w:ascii="Arial" w:hAnsi="Arial" w:cs="Arial"/>
                <w:sz w:val="18"/>
                <w:szCs w:val="18"/>
              </w:rPr>
            </w:pPr>
            <w:r w:rsidRPr="0087733B">
              <w:rPr>
                <w:rFonts w:ascii="Arial" w:hAnsi="Arial" w:cs="Arial"/>
                <w:sz w:val="18"/>
                <w:szCs w:val="18"/>
              </w:rPr>
              <w:t>90,000</w:t>
            </w:r>
          </w:p>
        </w:tc>
      </w:tr>
      <w:tr w:rsidR="0087733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hideMark/>
          </w:tcPr>
          <w:p w:rsidR="0087733B" w:rsidRPr="0087733B" w:rsidRDefault="0087733B" w:rsidP="0087733B">
            <w:pPr>
              <w:spacing w:after="0" w:line="240" w:lineRule="auto"/>
              <w:jc w:val="center"/>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44558</w:t>
            </w:r>
          </w:p>
        </w:tc>
        <w:tc>
          <w:tcPr>
            <w:tcW w:w="5969" w:type="dxa"/>
            <w:tcBorders>
              <w:top w:val="nil"/>
              <w:left w:val="nil"/>
              <w:bottom w:val="single" w:sz="4" w:space="0" w:color="auto"/>
              <w:right w:val="single" w:sz="4" w:space="0" w:color="auto"/>
            </w:tcBorders>
            <w:vAlign w:val="center"/>
            <w:hideMark/>
          </w:tcPr>
          <w:p w:rsidR="0087733B" w:rsidRPr="0087733B" w:rsidRDefault="0087733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Fé de Vida, A.C.</w:t>
            </w:r>
          </w:p>
        </w:tc>
        <w:tc>
          <w:tcPr>
            <w:tcW w:w="1440" w:type="dxa"/>
            <w:tcBorders>
              <w:top w:val="nil"/>
              <w:left w:val="nil"/>
              <w:bottom w:val="single" w:sz="4" w:space="0" w:color="auto"/>
              <w:right w:val="single" w:sz="4" w:space="0" w:color="auto"/>
            </w:tcBorders>
            <w:noWrap/>
            <w:vAlign w:val="center"/>
          </w:tcPr>
          <w:p w:rsidR="0087733B" w:rsidRPr="0087733B" w:rsidRDefault="0087733B" w:rsidP="0087733B">
            <w:pPr>
              <w:spacing w:after="0" w:line="240" w:lineRule="auto"/>
              <w:jc w:val="right"/>
              <w:rPr>
                <w:rFonts w:ascii="Arial" w:hAnsi="Arial" w:cs="Arial"/>
                <w:sz w:val="18"/>
                <w:szCs w:val="18"/>
              </w:rPr>
            </w:pPr>
            <w:r w:rsidRPr="0087733B">
              <w:rPr>
                <w:rFonts w:ascii="Arial" w:hAnsi="Arial" w:cs="Arial"/>
                <w:sz w:val="18"/>
                <w:szCs w:val="18"/>
              </w:rPr>
              <w:t>40,000</w:t>
            </w:r>
          </w:p>
        </w:tc>
      </w:tr>
      <w:tr w:rsidR="0087733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hideMark/>
          </w:tcPr>
          <w:p w:rsidR="0087733B" w:rsidRPr="0087733B" w:rsidRDefault="0087733B" w:rsidP="0087733B">
            <w:pPr>
              <w:spacing w:after="0" w:line="240" w:lineRule="auto"/>
              <w:jc w:val="center"/>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44559</w:t>
            </w:r>
          </w:p>
        </w:tc>
        <w:tc>
          <w:tcPr>
            <w:tcW w:w="5969" w:type="dxa"/>
            <w:tcBorders>
              <w:top w:val="nil"/>
              <w:left w:val="nil"/>
              <w:bottom w:val="single" w:sz="4" w:space="0" w:color="auto"/>
              <w:right w:val="single" w:sz="4" w:space="0" w:color="auto"/>
            </w:tcBorders>
            <w:vAlign w:val="center"/>
            <w:hideMark/>
          </w:tcPr>
          <w:p w:rsidR="0087733B" w:rsidRPr="0087733B" w:rsidRDefault="0087733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Yololo Kokó, A.C.</w:t>
            </w:r>
          </w:p>
        </w:tc>
        <w:tc>
          <w:tcPr>
            <w:tcW w:w="1440" w:type="dxa"/>
            <w:tcBorders>
              <w:top w:val="nil"/>
              <w:left w:val="nil"/>
              <w:bottom w:val="single" w:sz="4" w:space="0" w:color="auto"/>
              <w:right w:val="single" w:sz="4" w:space="0" w:color="auto"/>
            </w:tcBorders>
            <w:noWrap/>
            <w:vAlign w:val="center"/>
          </w:tcPr>
          <w:p w:rsidR="0087733B" w:rsidRPr="0087733B" w:rsidRDefault="0087733B" w:rsidP="0087733B">
            <w:pPr>
              <w:spacing w:after="0" w:line="240" w:lineRule="auto"/>
              <w:jc w:val="right"/>
              <w:rPr>
                <w:rFonts w:ascii="Arial" w:hAnsi="Arial" w:cs="Arial"/>
                <w:sz w:val="18"/>
                <w:szCs w:val="18"/>
              </w:rPr>
            </w:pPr>
            <w:r w:rsidRPr="0087733B">
              <w:rPr>
                <w:rFonts w:ascii="Arial" w:hAnsi="Arial" w:cs="Arial"/>
                <w:sz w:val="18"/>
                <w:szCs w:val="18"/>
              </w:rPr>
              <w:t>50,000</w:t>
            </w:r>
          </w:p>
        </w:tc>
      </w:tr>
      <w:tr w:rsidR="0087733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hideMark/>
          </w:tcPr>
          <w:p w:rsidR="0087733B" w:rsidRPr="0087733B" w:rsidRDefault="0087733B" w:rsidP="0087733B">
            <w:pPr>
              <w:spacing w:after="0" w:line="240" w:lineRule="auto"/>
              <w:jc w:val="center"/>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44561</w:t>
            </w:r>
          </w:p>
        </w:tc>
        <w:tc>
          <w:tcPr>
            <w:tcW w:w="5969" w:type="dxa"/>
            <w:tcBorders>
              <w:top w:val="nil"/>
              <w:left w:val="nil"/>
              <w:bottom w:val="single" w:sz="4" w:space="0" w:color="auto"/>
              <w:right w:val="single" w:sz="4" w:space="0" w:color="auto"/>
            </w:tcBorders>
            <w:vAlign w:val="center"/>
            <w:hideMark/>
          </w:tcPr>
          <w:p w:rsidR="0087733B" w:rsidRPr="0087733B" w:rsidRDefault="0087733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Vive Fuerte, A.C.</w:t>
            </w:r>
          </w:p>
        </w:tc>
        <w:tc>
          <w:tcPr>
            <w:tcW w:w="1440" w:type="dxa"/>
            <w:tcBorders>
              <w:top w:val="nil"/>
              <w:left w:val="nil"/>
              <w:bottom w:val="single" w:sz="4" w:space="0" w:color="auto"/>
              <w:right w:val="single" w:sz="4" w:space="0" w:color="auto"/>
            </w:tcBorders>
            <w:noWrap/>
          </w:tcPr>
          <w:p w:rsidR="0087733B" w:rsidRPr="0087733B" w:rsidRDefault="0087733B" w:rsidP="0087733B">
            <w:pPr>
              <w:spacing w:after="0" w:line="240" w:lineRule="auto"/>
              <w:jc w:val="right"/>
              <w:rPr>
                <w:rFonts w:ascii="Arial" w:hAnsi="Arial" w:cs="Arial"/>
                <w:sz w:val="18"/>
                <w:szCs w:val="18"/>
              </w:rPr>
            </w:pPr>
            <w:r w:rsidRPr="0087733B">
              <w:rPr>
                <w:rFonts w:ascii="Arial" w:hAnsi="Arial" w:cs="Arial"/>
                <w:sz w:val="18"/>
                <w:szCs w:val="18"/>
              </w:rPr>
              <w:t>95,000</w:t>
            </w:r>
          </w:p>
        </w:tc>
      </w:tr>
      <w:tr w:rsidR="0087733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hideMark/>
          </w:tcPr>
          <w:p w:rsidR="0087733B" w:rsidRPr="0087733B" w:rsidRDefault="0087733B" w:rsidP="0087733B">
            <w:pPr>
              <w:spacing w:after="0" w:line="240" w:lineRule="auto"/>
              <w:jc w:val="center"/>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44562</w:t>
            </w:r>
          </w:p>
        </w:tc>
        <w:tc>
          <w:tcPr>
            <w:tcW w:w="5969" w:type="dxa"/>
            <w:tcBorders>
              <w:top w:val="nil"/>
              <w:left w:val="nil"/>
              <w:bottom w:val="single" w:sz="4" w:space="0" w:color="auto"/>
              <w:right w:val="single" w:sz="4" w:space="0" w:color="auto"/>
            </w:tcBorders>
            <w:vAlign w:val="center"/>
            <w:hideMark/>
          </w:tcPr>
          <w:p w:rsidR="0087733B" w:rsidRPr="0087733B" w:rsidRDefault="0087733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Cruz Roja Mexicana (Delegación Colima)</w:t>
            </w:r>
          </w:p>
        </w:tc>
        <w:tc>
          <w:tcPr>
            <w:tcW w:w="1440" w:type="dxa"/>
            <w:tcBorders>
              <w:top w:val="nil"/>
              <w:left w:val="nil"/>
              <w:bottom w:val="single" w:sz="4" w:space="0" w:color="auto"/>
              <w:right w:val="single" w:sz="4" w:space="0" w:color="auto"/>
            </w:tcBorders>
            <w:noWrap/>
          </w:tcPr>
          <w:p w:rsidR="0087733B" w:rsidRPr="0087733B" w:rsidRDefault="0087733B" w:rsidP="0087733B">
            <w:pPr>
              <w:spacing w:after="0" w:line="240" w:lineRule="auto"/>
              <w:jc w:val="right"/>
              <w:rPr>
                <w:rFonts w:ascii="Arial" w:hAnsi="Arial" w:cs="Arial"/>
                <w:sz w:val="18"/>
                <w:szCs w:val="18"/>
              </w:rPr>
            </w:pPr>
            <w:r w:rsidRPr="0087733B">
              <w:rPr>
                <w:rFonts w:ascii="Arial" w:hAnsi="Arial" w:cs="Arial"/>
                <w:sz w:val="18"/>
                <w:szCs w:val="18"/>
              </w:rPr>
              <w:t>6,411,995</w:t>
            </w:r>
          </w:p>
        </w:tc>
      </w:tr>
      <w:tr w:rsidR="0087733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hideMark/>
          </w:tcPr>
          <w:p w:rsidR="0087733B" w:rsidRPr="0087733B" w:rsidRDefault="0087733B" w:rsidP="0087733B">
            <w:pPr>
              <w:spacing w:after="0" w:line="240" w:lineRule="auto"/>
              <w:jc w:val="center"/>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44563</w:t>
            </w:r>
          </w:p>
        </w:tc>
        <w:tc>
          <w:tcPr>
            <w:tcW w:w="5969" w:type="dxa"/>
            <w:tcBorders>
              <w:top w:val="nil"/>
              <w:left w:val="nil"/>
              <w:bottom w:val="single" w:sz="4" w:space="0" w:color="auto"/>
              <w:right w:val="single" w:sz="4" w:space="0" w:color="auto"/>
            </w:tcBorders>
            <w:vAlign w:val="center"/>
            <w:hideMark/>
          </w:tcPr>
          <w:p w:rsidR="0087733B" w:rsidRPr="0087733B" w:rsidRDefault="0087733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Ballet Folklórico de Villa de Álvarez, A.C.</w:t>
            </w:r>
          </w:p>
        </w:tc>
        <w:tc>
          <w:tcPr>
            <w:tcW w:w="1440" w:type="dxa"/>
            <w:tcBorders>
              <w:top w:val="nil"/>
              <w:left w:val="nil"/>
              <w:bottom w:val="single" w:sz="4" w:space="0" w:color="auto"/>
              <w:right w:val="single" w:sz="4" w:space="0" w:color="auto"/>
            </w:tcBorders>
            <w:noWrap/>
          </w:tcPr>
          <w:p w:rsidR="0087733B" w:rsidRPr="0087733B" w:rsidRDefault="0087733B" w:rsidP="0087733B">
            <w:pPr>
              <w:spacing w:after="0" w:line="240" w:lineRule="auto"/>
              <w:jc w:val="right"/>
              <w:rPr>
                <w:rFonts w:ascii="Arial" w:hAnsi="Arial" w:cs="Arial"/>
                <w:sz w:val="18"/>
                <w:szCs w:val="18"/>
              </w:rPr>
            </w:pPr>
            <w:r w:rsidRPr="0087733B">
              <w:rPr>
                <w:rFonts w:ascii="Arial" w:hAnsi="Arial" w:cs="Arial"/>
                <w:sz w:val="18"/>
                <w:szCs w:val="18"/>
              </w:rPr>
              <w:t>52,931</w:t>
            </w:r>
          </w:p>
        </w:tc>
      </w:tr>
      <w:tr w:rsidR="0087733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hideMark/>
          </w:tcPr>
          <w:p w:rsidR="0087733B" w:rsidRPr="0087733B" w:rsidRDefault="0087733B" w:rsidP="0087733B">
            <w:pPr>
              <w:spacing w:after="0" w:line="240" w:lineRule="auto"/>
              <w:jc w:val="center"/>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44564</w:t>
            </w:r>
          </w:p>
        </w:tc>
        <w:tc>
          <w:tcPr>
            <w:tcW w:w="5969" w:type="dxa"/>
            <w:tcBorders>
              <w:top w:val="nil"/>
              <w:left w:val="nil"/>
              <w:bottom w:val="single" w:sz="4" w:space="0" w:color="auto"/>
              <w:right w:val="single" w:sz="4" w:space="0" w:color="auto"/>
            </w:tcBorders>
            <w:vAlign w:val="center"/>
            <w:hideMark/>
          </w:tcPr>
          <w:p w:rsidR="0087733B" w:rsidRPr="0087733B" w:rsidRDefault="0087733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Comité Pro-Desarrollo Social y Ambiental de Quesería, A.C.</w:t>
            </w:r>
          </w:p>
        </w:tc>
        <w:tc>
          <w:tcPr>
            <w:tcW w:w="1440" w:type="dxa"/>
            <w:tcBorders>
              <w:top w:val="nil"/>
              <w:left w:val="nil"/>
              <w:bottom w:val="single" w:sz="4" w:space="0" w:color="auto"/>
              <w:right w:val="single" w:sz="4" w:space="0" w:color="auto"/>
            </w:tcBorders>
            <w:noWrap/>
          </w:tcPr>
          <w:p w:rsidR="0087733B" w:rsidRPr="0087733B" w:rsidRDefault="0087733B" w:rsidP="0087733B">
            <w:pPr>
              <w:spacing w:after="0" w:line="240" w:lineRule="auto"/>
              <w:jc w:val="right"/>
              <w:rPr>
                <w:rFonts w:ascii="Arial" w:hAnsi="Arial" w:cs="Arial"/>
                <w:sz w:val="18"/>
                <w:szCs w:val="18"/>
              </w:rPr>
            </w:pPr>
            <w:r w:rsidRPr="0087733B">
              <w:rPr>
                <w:rFonts w:ascii="Arial" w:hAnsi="Arial" w:cs="Arial"/>
                <w:sz w:val="18"/>
                <w:szCs w:val="18"/>
              </w:rPr>
              <w:t>80,040</w:t>
            </w:r>
          </w:p>
        </w:tc>
      </w:tr>
      <w:tr w:rsidR="00906AF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hideMark/>
          </w:tcPr>
          <w:p w:rsidR="00906AFB" w:rsidRPr="0087733B" w:rsidRDefault="00906AFB" w:rsidP="0087733B">
            <w:pPr>
              <w:spacing w:after="0" w:line="240" w:lineRule="auto"/>
              <w:jc w:val="center"/>
              <w:rPr>
                <w:rFonts w:ascii="Arial" w:eastAsia="Times New Roman" w:hAnsi="Arial" w:cs="Arial"/>
                <w:b/>
                <w:bCs/>
                <w:color w:val="000000"/>
                <w:sz w:val="18"/>
                <w:szCs w:val="18"/>
                <w:lang w:val="es-ES" w:eastAsia="es-ES"/>
              </w:rPr>
            </w:pPr>
            <w:r w:rsidRPr="0087733B">
              <w:rPr>
                <w:rFonts w:ascii="Arial" w:eastAsia="Times New Roman" w:hAnsi="Arial" w:cs="Arial"/>
                <w:b/>
                <w:bCs/>
                <w:color w:val="000000"/>
                <w:sz w:val="18"/>
                <w:szCs w:val="18"/>
                <w:lang w:val="es-ES" w:eastAsia="es-ES"/>
              </w:rPr>
              <w:t>44560</w:t>
            </w:r>
          </w:p>
        </w:tc>
        <w:tc>
          <w:tcPr>
            <w:tcW w:w="5969" w:type="dxa"/>
            <w:tcBorders>
              <w:top w:val="nil"/>
              <w:left w:val="nil"/>
              <w:bottom w:val="single" w:sz="4" w:space="0" w:color="auto"/>
              <w:right w:val="single" w:sz="4" w:space="0" w:color="auto"/>
            </w:tcBorders>
            <w:vAlign w:val="center"/>
            <w:hideMark/>
          </w:tcPr>
          <w:p w:rsidR="00906AFB" w:rsidRPr="0087733B" w:rsidRDefault="00906AFB" w:rsidP="0087733B">
            <w:pPr>
              <w:spacing w:after="0" w:line="240" w:lineRule="auto"/>
              <w:rPr>
                <w:rFonts w:ascii="Arial" w:eastAsia="Times New Roman" w:hAnsi="Arial" w:cs="Arial"/>
                <w:b/>
                <w:bCs/>
                <w:color w:val="000000"/>
                <w:sz w:val="18"/>
                <w:szCs w:val="18"/>
                <w:lang w:val="es-ES" w:eastAsia="es-ES"/>
              </w:rPr>
            </w:pPr>
            <w:r w:rsidRPr="0087733B">
              <w:rPr>
                <w:rFonts w:ascii="Arial" w:eastAsia="Times New Roman" w:hAnsi="Arial" w:cs="Arial"/>
                <w:b/>
                <w:bCs/>
                <w:color w:val="000000"/>
                <w:sz w:val="18"/>
                <w:szCs w:val="18"/>
                <w:lang w:val="es-ES" w:eastAsia="es-ES"/>
              </w:rPr>
              <w:t>Ayudas a Instituciones de Asistencia</w:t>
            </w:r>
          </w:p>
        </w:tc>
        <w:tc>
          <w:tcPr>
            <w:tcW w:w="1440" w:type="dxa"/>
            <w:tcBorders>
              <w:top w:val="nil"/>
              <w:left w:val="nil"/>
              <w:bottom w:val="single" w:sz="4" w:space="0" w:color="auto"/>
              <w:right w:val="single" w:sz="4" w:space="0" w:color="auto"/>
            </w:tcBorders>
            <w:noWrap/>
            <w:vAlign w:val="center"/>
            <w:hideMark/>
          </w:tcPr>
          <w:p w:rsidR="00906AFB" w:rsidRPr="0087733B" w:rsidRDefault="0087733B" w:rsidP="0087733B">
            <w:pPr>
              <w:spacing w:after="0" w:line="240" w:lineRule="auto"/>
              <w:jc w:val="right"/>
              <w:rPr>
                <w:rFonts w:ascii="Arial" w:eastAsia="Times New Roman" w:hAnsi="Arial" w:cs="Arial"/>
                <w:b/>
                <w:bCs/>
                <w:color w:val="000000"/>
                <w:sz w:val="18"/>
                <w:szCs w:val="18"/>
                <w:lang w:val="es-ES" w:eastAsia="es-ES"/>
              </w:rPr>
            </w:pPr>
            <w:r w:rsidRPr="0087733B">
              <w:rPr>
                <w:rFonts w:ascii="Arial" w:eastAsia="Times New Roman" w:hAnsi="Arial" w:cs="Arial"/>
                <w:b/>
                <w:bCs/>
                <w:color w:val="000000"/>
                <w:sz w:val="18"/>
                <w:szCs w:val="18"/>
                <w:lang w:val="es-ES" w:eastAsia="es-ES"/>
              </w:rPr>
              <w:t>5,555,510</w:t>
            </w:r>
          </w:p>
        </w:tc>
      </w:tr>
      <w:tr w:rsidR="00906AF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tcPr>
          <w:p w:rsidR="00906AFB" w:rsidRPr="0087733B" w:rsidRDefault="00906AFB" w:rsidP="0087733B">
            <w:pPr>
              <w:spacing w:after="0" w:line="240" w:lineRule="auto"/>
              <w:jc w:val="center"/>
              <w:rPr>
                <w:rFonts w:ascii="Arial" w:eastAsia="Times New Roman" w:hAnsi="Arial" w:cs="Arial"/>
                <w:color w:val="000000"/>
                <w:sz w:val="18"/>
                <w:szCs w:val="18"/>
                <w:lang w:val="es-ES" w:eastAsia="es-ES"/>
              </w:rPr>
            </w:pPr>
          </w:p>
        </w:tc>
        <w:tc>
          <w:tcPr>
            <w:tcW w:w="5969" w:type="dxa"/>
            <w:tcBorders>
              <w:top w:val="nil"/>
              <w:left w:val="nil"/>
              <w:bottom w:val="single" w:sz="4" w:space="0" w:color="auto"/>
              <w:right w:val="single" w:sz="4" w:space="0" w:color="auto"/>
            </w:tcBorders>
            <w:vAlign w:val="center"/>
            <w:hideMark/>
          </w:tcPr>
          <w:p w:rsidR="00906AFB" w:rsidRPr="0087733B" w:rsidRDefault="00906AF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Instituto Down de Colima I.A.P.</w:t>
            </w:r>
          </w:p>
        </w:tc>
        <w:tc>
          <w:tcPr>
            <w:tcW w:w="1440" w:type="dxa"/>
            <w:tcBorders>
              <w:top w:val="nil"/>
              <w:left w:val="nil"/>
              <w:bottom w:val="single" w:sz="4" w:space="0" w:color="auto"/>
              <w:right w:val="single" w:sz="4" w:space="0" w:color="auto"/>
            </w:tcBorders>
            <w:noWrap/>
            <w:vAlign w:val="center"/>
            <w:hideMark/>
          </w:tcPr>
          <w:p w:rsidR="00906AFB" w:rsidRPr="0087733B" w:rsidRDefault="00906AFB" w:rsidP="0087733B">
            <w:pPr>
              <w:spacing w:after="0" w:line="240" w:lineRule="auto"/>
              <w:jc w:val="right"/>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103,283</w:t>
            </w:r>
          </w:p>
        </w:tc>
      </w:tr>
      <w:tr w:rsidR="00906AF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tcPr>
          <w:p w:rsidR="00906AFB" w:rsidRPr="0087733B" w:rsidRDefault="00906AFB" w:rsidP="0087733B">
            <w:pPr>
              <w:spacing w:after="0" w:line="240" w:lineRule="auto"/>
              <w:jc w:val="center"/>
              <w:rPr>
                <w:rFonts w:ascii="Arial" w:eastAsia="Times New Roman" w:hAnsi="Arial" w:cs="Arial"/>
                <w:color w:val="000000"/>
                <w:sz w:val="18"/>
                <w:szCs w:val="18"/>
                <w:lang w:val="es-ES" w:eastAsia="es-ES"/>
              </w:rPr>
            </w:pPr>
          </w:p>
        </w:tc>
        <w:tc>
          <w:tcPr>
            <w:tcW w:w="5969" w:type="dxa"/>
            <w:tcBorders>
              <w:top w:val="nil"/>
              <w:left w:val="nil"/>
              <w:bottom w:val="single" w:sz="4" w:space="0" w:color="auto"/>
              <w:right w:val="single" w:sz="4" w:space="0" w:color="auto"/>
            </w:tcBorders>
            <w:vAlign w:val="center"/>
            <w:hideMark/>
          </w:tcPr>
          <w:p w:rsidR="00906AFB" w:rsidRPr="0087733B" w:rsidRDefault="00906AF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Nosotros también contamos (Jean Piaget) I.A.P.</w:t>
            </w:r>
          </w:p>
        </w:tc>
        <w:tc>
          <w:tcPr>
            <w:tcW w:w="1440" w:type="dxa"/>
            <w:tcBorders>
              <w:top w:val="nil"/>
              <w:left w:val="nil"/>
              <w:bottom w:val="single" w:sz="4" w:space="0" w:color="auto"/>
              <w:right w:val="single" w:sz="4" w:space="0" w:color="auto"/>
            </w:tcBorders>
            <w:noWrap/>
            <w:vAlign w:val="center"/>
            <w:hideMark/>
          </w:tcPr>
          <w:p w:rsidR="00906AFB" w:rsidRPr="0087733B" w:rsidRDefault="00906AFB" w:rsidP="0087733B">
            <w:pPr>
              <w:spacing w:after="0" w:line="240" w:lineRule="auto"/>
              <w:jc w:val="right"/>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148,446</w:t>
            </w:r>
          </w:p>
        </w:tc>
      </w:tr>
      <w:tr w:rsidR="00906AF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tcPr>
          <w:p w:rsidR="00906AFB" w:rsidRPr="0087733B" w:rsidRDefault="00906AFB" w:rsidP="0087733B">
            <w:pPr>
              <w:spacing w:after="0" w:line="240" w:lineRule="auto"/>
              <w:jc w:val="center"/>
              <w:rPr>
                <w:rFonts w:ascii="Arial" w:eastAsia="Times New Roman" w:hAnsi="Arial" w:cs="Arial"/>
                <w:color w:val="000000"/>
                <w:sz w:val="18"/>
                <w:szCs w:val="18"/>
                <w:lang w:val="es-ES" w:eastAsia="es-ES"/>
              </w:rPr>
            </w:pPr>
          </w:p>
        </w:tc>
        <w:tc>
          <w:tcPr>
            <w:tcW w:w="5969" w:type="dxa"/>
            <w:tcBorders>
              <w:top w:val="nil"/>
              <w:left w:val="nil"/>
              <w:bottom w:val="single" w:sz="4" w:space="0" w:color="auto"/>
              <w:right w:val="single" w:sz="4" w:space="0" w:color="auto"/>
            </w:tcBorders>
            <w:vAlign w:val="center"/>
            <w:hideMark/>
          </w:tcPr>
          <w:p w:rsidR="00906AFB" w:rsidRPr="0087733B" w:rsidRDefault="00906AF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La Casa Socorrito Estancia Infantil I.A.P.</w:t>
            </w:r>
          </w:p>
        </w:tc>
        <w:tc>
          <w:tcPr>
            <w:tcW w:w="1440" w:type="dxa"/>
            <w:tcBorders>
              <w:top w:val="nil"/>
              <w:left w:val="nil"/>
              <w:bottom w:val="single" w:sz="4" w:space="0" w:color="auto"/>
              <w:right w:val="single" w:sz="4" w:space="0" w:color="auto"/>
            </w:tcBorders>
            <w:noWrap/>
            <w:vAlign w:val="center"/>
            <w:hideMark/>
          </w:tcPr>
          <w:p w:rsidR="00906AFB" w:rsidRPr="0087733B" w:rsidRDefault="00906AFB" w:rsidP="0087733B">
            <w:pPr>
              <w:spacing w:after="0" w:line="240" w:lineRule="auto"/>
              <w:jc w:val="right"/>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116,986</w:t>
            </w:r>
          </w:p>
        </w:tc>
      </w:tr>
      <w:tr w:rsidR="00906AF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tcPr>
          <w:p w:rsidR="00906AFB" w:rsidRPr="0087733B" w:rsidRDefault="00906AFB" w:rsidP="0087733B">
            <w:pPr>
              <w:spacing w:after="0" w:line="240" w:lineRule="auto"/>
              <w:jc w:val="center"/>
              <w:rPr>
                <w:rFonts w:ascii="Arial" w:eastAsia="Times New Roman" w:hAnsi="Arial" w:cs="Arial"/>
                <w:color w:val="000000"/>
                <w:sz w:val="18"/>
                <w:szCs w:val="18"/>
                <w:lang w:val="es-ES" w:eastAsia="es-ES"/>
              </w:rPr>
            </w:pPr>
          </w:p>
        </w:tc>
        <w:tc>
          <w:tcPr>
            <w:tcW w:w="5969" w:type="dxa"/>
            <w:tcBorders>
              <w:top w:val="nil"/>
              <w:left w:val="nil"/>
              <w:bottom w:val="single" w:sz="4" w:space="0" w:color="auto"/>
              <w:right w:val="single" w:sz="4" w:space="0" w:color="auto"/>
            </w:tcBorders>
            <w:vAlign w:val="center"/>
            <w:hideMark/>
          </w:tcPr>
          <w:p w:rsidR="00906AFB" w:rsidRPr="0087733B" w:rsidRDefault="00906AF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Voces Contra Cáncer, I.A.P.</w:t>
            </w:r>
          </w:p>
        </w:tc>
        <w:tc>
          <w:tcPr>
            <w:tcW w:w="1440" w:type="dxa"/>
            <w:tcBorders>
              <w:top w:val="nil"/>
              <w:left w:val="nil"/>
              <w:bottom w:val="single" w:sz="4" w:space="0" w:color="auto"/>
              <w:right w:val="single" w:sz="4" w:space="0" w:color="auto"/>
            </w:tcBorders>
            <w:noWrap/>
            <w:vAlign w:val="center"/>
            <w:hideMark/>
          </w:tcPr>
          <w:p w:rsidR="00906AFB" w:rsidRPr="0087733B" w:rsidRDefault="00906AFB" w:rsidP="0087733B">
            <w:pPr>
              <w:spacing w:after="0" w:line="240" w:lineRule="auto"/>
              <w:jc w:val="right"/>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44,053</w:t>
            </w:r>
          </w:p>
        </w:tc>
      </w:tr>
      <w:tr w:rsidR="00906AF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tcPr>
          <w:p w:rsidR="00906AFB" w:rsidRPr="0087733B" w:rsidRDefault="00906AFB" w:rsidP="0087733B">
            <w:pPr>
              <w:spacing w:after="0" w:line="240" w:lineRule="auto"/>
              <w:jc w:val="center"/>
              <w:rPr>
                <w:rFonts w:ascii="Arial" w:eastAsia="Times New Roman" w:hAnsi="Arial" w:cs="Arial"/>
                <w:color w:val="000000"/>
                <w:sz w:val="18"/>
                <w:szCs w:val="18"/>
                <w:lang w:val="es-ES" w:eastAsia="es-ES"/>
              </w:rPr>
            </w:pPr>
          </w:p>
        </w:tc>
        <w:tc>
          <w:tcPr>
            <w:tcW w:w="5969" w:type="dxa"/>
            <w:tcBorders>
              <w:top w:val="nil"/>
              <w:left w:val="nil"/>
              <w:bottom w:val="single" w:sz="4" w:space="0" w:color="auto"/>
              <w:right w:val="single" w:sz="4" w:space="0" w:color="auto"/>
            </w:tcBorders>
            <w:vAlign w:val="center"/>
            <w:hideMark/>
          </w:tcPr>
          <w:p w:rsidR="00906AFB" w:rsidRPr="0087733B" w:rsidRDefault="00906AF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Banco Diocesano de Alimentos Colima, I.A.P.</w:t>
            </w:r>
          </w:p>
        </w:tc>
        <w:tc>
          <w:tcPr>
            <w:tcW w:w="1440" w:type="dxa"/>
            <w:tcBorders>
              <w:top w:val="nil"/>
              <w:left w:val="nil"/>
              <w:bottom w:val="single" w:sz="4" w:space="0" w:color="auto"/>
              <w:right w:val="single" w:sz="4" w:space="0" w:color="auto"/>
            </w:tcBorders>
            <w:noWrap/>
            <w:vAlign w:val="center"/>
            <w:hideMark/>
          </w:tcPr>
          <w:p w:rsidR="00906AFB" w:rsidRPr="0087733B" w:rsidRDefault="00906AFB" w:rsidP="0087733B">
            <w:pPr>
              <w:spacing w:after="0" w:line="240" w:lineRule="auto"/>
              <w:jc w:val="right"/>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43,034</w:t>
            </w:r>
          </w:p>
        </w:tc>
      </w:tr>
      <w:tr w:rsidR="00906AF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tcPr>
          <w:p w:rsidR="00906AFB" w:rsidRPr="0087733B" w:rsidRDefault="00906AFB" w:rsidP="0087733B">
            <w:pPr>
              <w:spacing w:after="0" w:line="240" w:lineRule="auto"/>
              <w:jc w:val="center"/>
              <w:rPr>
                <w:rFonts w:ascii="Arial" w:eastAsia="Times New Roman" w:hAnsi="Arial" w:cs="Arial"/>
                <w:color w:val="000000"/>
                <w:sz w:val="18"/>
                <w:szCs w:val="18"/>
                <w:lang w:val="es-ES" w:eastAsia="es-ES"/>
              </w:rPr>
            </w:pPr>
          </w:p>
        </w:tc>
        <w:tc>
          <w:tcPr>
            <w:tcW w:w="5969" w:type="dxa"/>
            <w:tcBorders>
              <w:top w:val="nil"/>
              <w:left w:val="nil"/>
              <w:bottom w:val="single" w:sz="4" w:space="0" w:color="auto"/>
              <w:right w:val="single" w:sz="4" w:space="0" w:color="auto"/>
            </w:tcBorders>
            <w:vAlign w:val="center"/>
            <w:hideMark/>
          </w:tcPr>
          <w:p w:rsidR="00906AFB" w:rsidRPr="0087733B" w:rsidRDefault="00906AF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Asociación Contra el Cáncer Tecomán, I.A.P.</w:t>
            </w:r>
          </w:p>
        </w:tc>
        <w:tc>
          <w:tcPr>
            <w:tcW w:w="1440" w:type="dxa"/>
            <w:tcBorders>
              <w:top w:val="nil"/>
              <w:left w:val="nil"/>
              <w:bottom w:val="single" w:sz="4" w:space="0" w:color="auto"/>
              <w:right w:val="single" w:sz="4" w:space="0" w:color="auto"/>
            </w:tcBorders>
            <w:noWrap/>
            <w:vAlign w:val="center"/>
            <w:hideMark/>
          </w:tcPr>
          <w:p w:rsidR="00906AFB" w:rsidRPr="0087733B" w:rsidRDefault="00906AFB" w:rsidP="0087733B">
            <w:pPr>
              <w:spacing w:after="0" w:line="240" w:lineRule="auto"/>
              <w:jc w:val="right"/>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146,030</w:t>
            </w:r>
          </w:p>
        </w:tc>
      </w:tr>
      <w:tr w:rsidR="00906AF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tcPr>
          <w:p w:rsidR="00906AFB" w:rsidRPr="0087733B" w:rsidRDefault="00906AFB" w:rsidP="0087733B">
            <w:pPr>
              <w:spacing w:after="0" w:line="240" w:lineRule="auto"/>
              <w:jc w:val="center"/>
              <w:rPr>
                <w:rFonts w:ascii="Arial" w:eastAsia="Times New Roman" w:hAnsi="Arial" w:cs="Arial"/>
                <w:color w:val="000000"/>
                <w:sz w:val="18"/>
                <w:szCs w:val="18"/>
                <w:lang w:val="es-ES" w:eastAsia="es-ES"/>
              </w:rPr>
            </w:pPr>
          </w:p>
        </w:tc>
        <w:tc>
          <w:tcPr>
            <w:tcW w:w="5969" w:type="dxa"/>
            <w:tcBorders>
              <w:top w:val="nil"/>
              <w:left w:val="nil"/>
              <w:bottom w:val="single" w:sz="4" w:space="0" w:color="auto"/>
              <w:right w:val="single" w:sz="4" w:space="0" w:color="auto"/>
            </w:tcBorders>
            <w:vAlign w:val="center"/>
            <w:hideMark/>
          </w:tcPr>
          <w:p w:rsidR="00906AFB" w:rsidRPr="0087733B" w:rsidRDefault="00906AF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Sigue Adelante Siempre Hay Luz, I.A.P.</w:t>
            </w:r>
          </w:p>
        </w:tc>
        <w:tc>
          <w:tcPr>
            <w:tcW w:w="1440" w:type="dxa"/>
            <w:tcBorders>
              <w:top w:val="nil"/>
              <w:left w:val="nil"/>
              <w:bottom w:val="single" w:sz="4" w:space="0" w:color="auto"/>
              <w:right w:val="single" w:sz="4" w:space="0" w:color="auto"/>
            </w:tcBorders>
            <w:noWrap/>
            <w:vAlign w:val="center"/>
            <w:hideMark/>
          </w:tcPr>
          <w:p w:rsidR="00906AFB" w:rsidRPr="0087733B" w:rsidRDefault="00906AFB" w:rsidP="0087733B">
            <w:pPr>
              <w:spacing w:after="0" w:line="240" w:lineRule="auto"/>
              <w:jc w:val="right"/>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66,854</w:t>
            </w:r>
          </w:p>
        </w:tc>
      </w:tr>
      <w:tr w:rsidR="00906AF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tcPr>
          <w:p w:rsidR="00906AFB" w:rsidRPr="0087733B" w:rsidRDefault="00906AFB" w:rsidP="0087733B">
            <w:pPr>
              <w:spacing w:after="0" w:line="240" w:lineRule="auto"/>
              <w:jc w:val="center"/>
              <w:rPr>
                <w:rFonts w:ascii="Arial" w:eastAsia="Times New Roman" w:hAnsi="Arial" w:cs="Arial"/>
                <w:color w:val="000000"/>
                <w:sz w:val="18"/>
                <w:szCs w:val="18"/>
                <w:lang w:val="es-ES" w:eastAsia="es-ES"/>
              </w:rPr>
            </w:pPr>
          </w:p>
        </w:tc>
        <w:tc>
          <w:tcPr>
            <w:tcW w:w="5969" w:type="dxa"/>
            <w:tcBorders>
              <w:top w:val="nil"/>
              <w:left w:val="nil"/>
              <w:bottom w:val="single" w:sz="4" w:space="0" w:color="auto"/>
              <w:right w:val="single" w:sz="4" w:space="0" w:color="auto"/>
            </w:tcBorders>
            <w:vAlign w:val="center"/>
            <w:hideMark/>
          </w:tcPr>
          <w:p w:rsidR="00906AFB" w:rsidRPr="0087733B" w:rsidRDefault="00906AF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Unidas para Servir, I.A.P.</w:t>
            </w:r>
          </w:p>
        </w:tc>
        <w:tc>
          <w:tcPr>
            <w:tcW w:w="1440" w:type="dxa"/>
            <w:tcBorders>
              <w:top w:val="nil"/>
              <w:left w:val="nil"/>
              <w:bottom w:val="single" w:sz="4" w:space="0" w:color="auto"/>
              <w:right w:val="single" w:sz="4" w:space="0" w:color="auto"/>
            </w:tcBorders>
            <w:noWrap/>
            <w:vAlign w:val="center"/>
            <w:hideMark/>
          </w:tcPr>
          <w:p w:rsidR="00906AFB" w:rsidRPr="0087733B" w:rsidRDefault="00906AFB" w:rsidP="0087733B">
            <w:pPr>
              <w:spacing w:after="0" w:line="240" w:lineRule="auto"/>
              <w:jc w:val="right"/>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70,189</w:t>
            </w:r>
          </w:p>
        </w:tc>
      </w:tr>
      <w:tr w:rsidR="00906AF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tcPr>
          <w:p w:rsidR="00906AFB" w:rsidRPr="0087733B" w:rsidRDefault="00906AFB" w:rsidP="0087733B">
            <w:pPr>
              <w:spacing w:after="0" w:line="240" w:lineRule="auto"/>
              <w:jc w:val="center"/>
              <w:rPr>
                <w:rFonts w:ascii="Arial" w:eastAsia="Times New Roman" w:hAnsi="Arial" w:cs="Arial"/>
                <w:color w:val="000000"/>
                <w:sz w:val="18"/>
                <w:szCs w:val="18"/>
                <w:lang w:val="es-ES" w:eastAsia="es-ES"/>
              </w:rPr>
            </w:pPr>
          </w:p>
        </w:tc>
        <w:tc>
          <w:tcPr>
            <w:tcW w:w="5969" w:type="dxa"/>
            <w:tcBorders>
              <w:top w:val="nil"/>
              <w:left w:val="nil"/>
              <w:bottom w:val="single" w:sz="4" w:space="0" w:color="auto"/>
              <w:right w:val="single" w:sz="4" w:space="0" w:color="auto"/>
            </w:tcBorders>
            <w:vAlign w:val="center"/>
            <w:hideMark/>
          </w:tcPr>
          <w:p w:rsidR="00906AFB" w:rsidRPr="0087733B" w:rsidRDefault="00906AF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Asociación de Ostomizados de Colima, I.A.P</w:t>
            </w:r>
          </w:p>
        </w:tc>
        <w:tc>
          <w:tcPr>
            <w:tcW w:w="1440" w:type="dxa"/>
            <w:tcBorders>
              <w:top w:val="nil"/>
              <w:left w:val="nil"/>
              <w:bottom w:val="single" w:sz="4" w:space="0" w:color="auto"/>
              <w:right w:val="single" w:sz="4" w:space="0" w:color="auto"/>
            </w:tcBorders>
            <w:noWrap/>
            <w:vAlign w:val="center"/>
            <w:hideMark/>
          </w:tcPr>
          <w:p w:rsidR="00906AFB" w:rsidRPr="0087733B" w:rsidRDefault="00906AFB" w:rsidP="0087733B">
            <w:pPr>
              <w:spacing w:after="0" w:line="240" w:lineRule="auto"/>
              <w:jc w:val="right"/>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90,142</w:t>
            </w:r>
          </w:p>
        </w:tc>
      </w:tr>
      <w:tr w:rsidR="00906AF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tcPr>
          <w:p w:rsidR="00906AFB" w:rsidRPr="0087733B" w:rsidRDefault="00906AFB" w:rsidP="0087733B">
            <w:pPr>
              <w:spacing w:after="0" w:line="240" w:lineRule="auto"/>
              <w:jc w:val="center"/>
              <w:rPr>
                <w:rFonts w:ascii="Arial" w:eastAsia="Times New Roman" w:hAnsi="Arial" w:cs="Arial"/>
                <w:color w:val="000000"/>
                <w:sz w:val="18"/>
                <w:szCs w:val="18"/>
                <w:lang w:val="es-ES" w:eastAsia="es-ES"/>
              </w:rPr>
            </w:pPr>
          </w:p>
        </w:tc>
        <w:tc>
          <w:tcPr>
            <w:tcW w:w="5969" w:type="dxa"/>
            <w:tcBorders>
              <w:top w:val="nil"/>
              <w:left w:val="nil"/>
              <w:bottom w:val="single" w:sz="4" w:space="0" w:color="auto"/>
              <w:right w:val="single" w:sz="4" w:space="0" w:color="auto"/>
            </w:tcBorders>
            <w:vAlign w:val="center"/>
            <w:hideMark/>
          </w:tcPr>
          <w:p w:rsidR="00906AFB" w:rsidRPr="0087733B" w:rsidRDefault="00906AF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VIHDA Manzanillo, I.A.P.</w:t>
            </w:r>
          </w:p>
        </w:tc>
        <w:tc>
          <w:tcPr>
            <w:tcW w:w="1440" w:type="dxa"/>
            <w:tcBorders>
              <w:top w:val="nil"/>
              <w:left w:val="nil"/>
              <w:bottom w:val="single" w:sz="4" w:space="0" w:color="auto"/>
              <w:right w:val="single" w:sz="4" w:space="0" w:color="auto"/>
            </w:tcBorders>
            <w:noWrap/>
            <w:vAlign w:val="center"/>
            <w:hideMark/>
          </w:tcPr>
          <w:p w:rsidR="00906AFB" w:rsidRPr="0087733B" w:rsidRDefault="00906AFB" w:rsidP="0087733B">
            <w:pPr>
              <w:spacing w:after="0" w:line="240" w:lineRule="auto"/>
              <w:jc w:val="right"/>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48,675</w:t>
            </w:r>
          </w:p>
        </w:tc>
      </w:tr>
      <w:tr w:rsidR="00906AF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tcPr>
          <w:p w:rsidR="00906AFB" w:rsidRPr="0087733B" w:rsidRDefault="00906AFB" w:rsidP="0087733B">
            <w:pPr>
              <w:spacing w:after="0" w:line="240" w:lineRule="auto"/>
              <w:jc w:val="center"/>
              <w:rPr>
                <w:rFonts w:ascii="Arial" w:eastAsia="Times New Roman" w:hAnsi="Arial" w:cs="Arial"/>
                <w:color w:val="000000"/>
                <w:sz w:val="18"/>
                <w:szCs w:val="18"/>
                <w:lang w:val="es-ES" w:eastAsia="es-ES"/>
              </w:rPr>
            </w:pPr>
          </w:p>
        </w:tc>
        <w:tc>
          <w:tcPr>
            <w:tcW w:w="5969" w:type="dxa"/>
            <w:tcBorders>
              <w:top w:val="nil"/>
              <w:left w:val="nil"/>
              <w:bottom w:val="single" w:sz="4" w:space="0" w:color="auto"/>
              <w:right w:val="single" w:sz="4" w:space="0" w:color="auto"/>
            </w:tcBorders>
            <w:vAlign w:val="center"/>
            <w:hideMark/>
          </w:tcPr>
          <w:p w:rsidR="00906AFB" w:rsidRPr="0087733B" w:rsidRDefault="00906AF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Manos Unidas Dando la Vida I.A.P.</w:t>
            </w:r>
          </w:p>
        </w:tc>
        <w:tc>
          <w:tcPr>
            <w:tcW w:w="1440" w:type="dxa"/>
            <w:tcBorders>
              <w:top w:val="nil"/>
              <w:left w:val="nil"/>
              <w:bottom w:val="single" w:sz="4" w:space="0" w:color="auto"/>
              <w:right w:val="single" w:sz="4" w:space="0" w:color="auto"/>
            </w:tcBorders>
            <w:noWrap/>
            <w:vAlign w:val="center"/>
            <w:hideMark/>
          </w:tcPr>
          <w:p w:rsidR="00906AFB" w:rsidRPr="0087733B" w:rsidRDefault="00906AFB" w:rsidP="0087733B">
            <w:pPr>
              <w:spacing w:after="0" w:line="240" w:lineRule="auto"/>
              <w:jc w:val="right"/>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37,240</w:t>
            </w:r>
          </w:p>
        </w:tc>
      </w:tr>
      <w:tr w:rsidR="00906AF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tcPr>
          <w:p w:rsidR="00906AFB" w:rsidRPr="0087733B" w:rsidRDefault="00906AFB" w:rsidP="0087733B">
            <w:pPr>
              <w:spacing w:after="0" w:line="240" w:lineRule="auto"/>
              <w:jc w:val="center"/>
              <w:rPr>
                <w:rFonts w:ascii="Arial" w:eastAsia="Times New Roman" w:hAnsi="Arial" w:cs="Arial"/>
                <w:color w:val="000000"/>
                <w:sz w:val="18"/>
                <w:szCs w:val="18"/>
                <w:lang w:val="es-ES" w:eastAsia="es-ES"/>
              </w:rPr>
            </w:pPr>
          </w:p>
        </w:tc>
        <w:tc>
          <w:tcPr>
            <w:tcW w:w="5969" w:type="dxa"/>
            <w:tcBorders>
              <w:top w:val="nil"/>
              <w:left w:val="nil"/>
              <w:bottom w:val="single" w:sz="4" w:space="0" w:color="auto"/>
              <w:right w:val="single" w:sz="4" w:space="0" w:color="auto"/>
            </w:tcBorders>
            <w:vAlign w:val="center"/>
            <w:hideMark/>
          </w:tcPr>
          <w:p w:rsidR="00906AFB" w:rsidRPr="0087733B" w:rsidRDefault="00906AF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Asociación Mexicana Ayuda a niños Cáncer de Colima, I.A.P.</w:t>
            </w:r>
          </w:p>
        </w:tc>
        <w:tc>
          <w:tcPr>
            <w:tcW w:w="1440" w:type="dxa"/>
            <w:tcBorders>
              <w:top w:val="nil"/>
              <w:left w:val="nil"/>
              <w:bottom w:val="single" w:sz="4" w:space="0" w:color="auto"/>
              <w:right w:val="single" w:sz="4" w:space="0" w:color="auto"/>
            </w:tcBorders>
            <w:noWrap/>
            <w:vAlign w:val="center"/>
            <w:hideMark/>
          </w:tcPr>
          <w:p w:rsidR="00906AFB" w:rsidRPr="0087733B" w:rsidRDefault="00906AFB" w:rsidP="0087733B">
            <w:pPr>
              <w:spacing w:after="0" w:line="240" w:lineRule="auto"/>
              <w:jc w:val="right"/>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60,000</w:t>
            </w:r>
          </w:p>
        </w:tc>
      </w:tr>
      <w:tr w:rsidR="00906AF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tcPr>
          <w:p w:rsidR="00906AFB" w:rsidRPr="0087733B" w:rsidRDefault="00906AFB" w:rsidP="0087733B">
            <w:pPr>
              <w:spacing w:after="0" w:line="240" w:lineRule="auto"/>
              <w:jc w:val="center"/>
              <w:rPr>
                <w:rFonts w:ascii="Arial" w:eastAsia="Times New Roman" w:hAnsi="Arial" w:cs="Arial"/>
                <w:color w:val="000000"/>
                <w:sz w:val="18"/>
                <w:szCs w:val="18"/>
                <w:lang w:val="es-ES" w:eastAsia="es-ES"/>
              </w:rPr>
            </w:pPr>
          </w:p>
        </w:tc>
        <w:tc>
          <w:tcPr>
            <w:tcW w:w="5969" w:type="dxa"/>
            <w:tcBorders>
              <w:top w:val="nil"/>
              <w:left w:val="nil"/>
              <w:bottom w:val="single" w:sz="4" w:space="0" w:color="auto"/>
              <w:right w:val="single" w:sz="4" w:space="0" w:color="auto"/>
            </w:tcBorders>
            <w:vAlign w:val="center"/>
            <w:hideMark/>
          </w:tcPr>
          <w:p w:rsidR="00906AFB" w:rsidRPr="0087733B" w:rsidRDefault="00906AF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Fundación de Autismo TATTO, I.A.P.</w:t>
            </w:r>
          </w:p>
        </w:tc>
        <w:tc>
          <w:tcPr>
            <w:tcW w:w="1440" w:type="dxa"/>
            <w:tcBorders>
              <w:top w:val="nil"/>
              <w:left w:val="nil"/>
              <w:bottom w:val="single" w:sz="4" w:space="0" w:color="auto"/>
              <w:right w:val="single" w:sz="4" w:space="0" w:color="auto"/>
            </w:tcBorders>
            <w:noWrap/>
            <w:vAlign w:val="center"/>
            <w:hideMark/>
          </w:tcPr>
          <w:p w:rsidR="00906AFB" w:rsidRPr="0087733B" w:rsidRDefault="00906AFB" w:rsidP="0087733B">
            <w:pPr>
              <w:spacing w:after="0" w:line="240" w:lineRule="auto"/>
              <w:jc w:val="right"/>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129,926</w:t>
            </w:r>
          </w:p>
        </w:tc>
      </w:tr>
      <w:tr w:rsidR="00906AF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tcPr>
          <w:p w:rsidR="00906AFB" w:rsidRPr="0087733B" w:rsidRDefault="00906AFB" w:rsidP="0087733B">
            <w:pPr>
              <w:spacing w:after="0" w:line="240" w:lineRule="auto"/>
              <w:jc w:val="center"/>
              <w:rPr>
                <w:rFonts w:ascii="Arial" w:eastAsia="Times New Roman" w:hAnsi="Arial" w:cs="Arial"/>
                <w:color w:val="000000"/>
                <w:sz w:val="18"/>
                <w:szCs w:val="18"/>
                <w:lang w:val="es-ES" w:eastAsia="es-ES"/>
              </w:rPr>
            </w:pPr>
          </w:p>
        </w:tc>
        <w:tc>
          <w:tcPr>
            <w:tcW w:w="5969" w:type="dxa"/>
            <w:tcBorders>
              <w:top w:val="nil"/>
              <w:left w:val="nil"/>
              <w:bottom w:val="single" w:sz="4" w:space="0" w:color="auto"/>
              <w:right w:val="single" w:sz="4" w:space="0" w:color="auto"/>
            </w:tcBorders>
            <w:vAlign w:val="center"/>
            <w:hideMark/>
          </w:tcPr>
          <w:p w:rsidR="00906AFB" w:rsidRPr="0087733B" w:rsidRDefault="00906AF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Albatros Centro de Desarrollo Integral, I.A.P.</w:t>
            </w:r>
          </w:p>
        </w:tc>
        <w:tc>
          <w:tcPr>
            <w:tcW w:w="1440" w:type="dxa"/>
            <w:tcBorders>
              <w:top w:val="nil"/>
              <w:left w:val="nil"/>
              <w:bottom w:val="single" w:sz="4" w:space="0" w:color="auto"/>
              <w:right w:val="single" w:sz="4" w:space="0" w:color="auto"/>
            </w:tcBorders>
            <w:noWrap/>
            <w:vAlign w:val="center"/>
            <w:hideMark/>
          </w:tcPr>
          <w:p w:rsidR="00906AFB" w:rsidRPr="0087733B" w:rsidRDefault="00906AFB" w:rsidP="0087733B">
            <w:pPr>
              <w:spacing w:after="0" w:line="240" w:lineRule="auto"/>
              <w:jc w:val="right"/>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90,000</w:t>
            </w:r>
          </w:p>
        </w:tc>
      </w:tr>
      <w:tr w:rsidR="00906AF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tcPr>
          <w:p w:rsidR="00906AFB" w:rsidRPr="0087733B" w:rsidRDefault="00906AFB" w:rsidP="0087733B">
            <w:pPr>
              <w:spacing w:after="0" w:line="240" w:lineRule="auto"/>
              <w:jc w:val="center"/>
              <w:rPr>
                <w:rFonts w:ascii="Arial" w:eastAsia="Times New Roman" w:hAnsi="Arial" w:cs="Arial"/>
                <w:color w:val="000000"/>
                <w:sz w:val="18"/>
                <w:szCs w:val="18"/>
                <w:lang w:val="es-ES" w:eastAsia="es-ES"/>
              </w:rPr>
            </w:pPr>
          </w:p>
        </w:tc>
        <w:tc>
          <w:tcPr>
            <w:tcW w:w="5969" w:type="dxa"/>
            <w:tcBorders>
              <w:top w:val="nil"/>
              <w:left w:val="nil"/>
              <w:bottom w:val="single" w:sz="4" w:space="0" w:color="auto"/>
              <w:right w:val="single" w:sz="4" w:space="0" w:color="auto"/>
            </w:tcBorders>
            <w:vAlign w:val="center"/>
            <w:hideMark/>
          </w:tcPr>
          <w:p w:rsidR="00906AFB" w:rsidRPr="0087733B" w:rsidRDefault="00906AF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La Sal de Colima Apoyo Humanitario, I.A.P.</w:t>
            </w:r>
          </w:p>
        </w:tc>
        <w:tc>
          <w:tcPr>
            <w:tcW w:w="1440" w:type="dxa"/>
            <w:tcBorders>
              <w:top w:val="nil"/>
              <w:left w:val="nil"/>
              <w:bottom w:val="single" w:sz="4" w:space="0" w:color="auto"/>
              <w:right w:val="single" w:sz="4" w:space="0" w:color="auto"/>
            </w:tcBorders>
            <w:noWrap/>
            <w:vAlign w:val="center"/>
            <w:hideMark/>
          </w:tcPr>
          <w:p w:rsidR="00906AFB" w:rsidRPr="0087733B" w:rsidRDefault="00906AFB" w:rsidP="0087733B">
            <w:pPr>
              <w:spacing w:after="0" w:line="240" w:lineRule="auto"/>
              <w:jc w:val="right"/>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45,072</w:t>
            </w:r>
          </w:p>
        </w:tc>
      </w:tr>
      <w:tr w:rsidR="00906AF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tcPr>
          <w:p w:rsidR="00906AFB" w:rsidRPr="0087733B" w:rsidRDefault="00906AFB" w:rsidP="0087733B">
            <w:pPr>
              <w:spacing w:after="0" w:line="240" w:lineRule="auto"/>
              <w:jc w:val="center"/>
              <w:rPr>
                <w:rFonts w:ascii="Arial" w:eastAsia="Times New Roman" w:hAnsi="Arial" w:cs="Arial"/>
                <w:color w:val="000000"/>
                <w:sz w:val="18"/>
                <w:szCs w:val="18"/>
                <w:lang w:val="es-ES" w:eastAsia="es-ES"/>
              </w:rPr>
            </w:pPr>
          </w:p>
        </w:tc>
        <w:tc>
          <w:tcPr>
            <w:tcW w:w="5969" w:type="dxa"/>
            <w:tcBorders>
              <w:top w:val="nil"/>
              <w:left w:val="nil"/>
              <w:bottom w:val="single" w:sz="4" w:space="0" w:color="auto"/>
              <w:right w:val="single" w:sz="4" w:space="0" w:color="auto"/>
            </w:tcBorders>
            <w:vAlign w:val="center"/>
            <w:hideMark/>
          </w:tcPr>
          <w:p w:rsidR="00906AFB" w:rsidRPr="0087733B" w:rsidRDefault="00906AF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Patronato Pro-Educación Especial Niño Tecomense, I.A.P.</w:t>
            </w:r>
          </w:p>
        </w:tc>
        <w:tc>
          <w:tcPr>
            <w:tcW w:w="1440" w:type="dxa"/>
            <w:tcBorders>
              <w:top w:val="nil"/>
              <w:left w:val="nil"/>
              <w:bottom w:val="single" w:sz="4" w:space="0" w:color="auto"/>
              <w:right w:val="single" w:sz="4" w:space="0" w:color="auto"/>
            </w:tcBorders>
            <w:noWrap/>
            <w:vAlign w:val="center"/>
            <w:hideMark/>
          </w:tcPr>
          <w:p w:rsidR="00906AFB" w:rsidRPr="0087733B" w:rsidRDefault="00906AFB" w:rsidP="0087733B">
            <w:pPr>
              <w:spacing w:after="0" w:line="240" w:lineRule="auto"/>
              <w:jc w:val="right"/>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132,609</w:t>
            </w:r>
          </w:p>
        </w:tc>
      </w:tr>
      <w:tr w:rsidR="00906AF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tcPr>
          <w:p w:rsidR="00906AFB" w:rsidRPr="0087733B" w:rsidRDefault="00906AFB" w:rsidP="0087733B">
            <w:pPr>
              <w:spacing w:after="0" w:line="240" w:lineRule="auto"/>
              <w:jc w:val="center"/>
              <w:rPr>
                <w:rFonts w:ascii="Arial" w:eastAsia="Times New Roman" w:hAnsi="Arial" w:cs="Arial"/>
                <w:color w:val="000000"/>
                <w:sz w:val="18"/>
                <w:szCs w:val="18"/>
                <w:lang w:val="es-ES" w:eastAsia="es-ES"/>
              </w:rPr>
            </w:pPr>
          </w:p>
        </w:tc>
        <w:tc>
          <w:tcPr>
            <w:tcW w:w="5969" w:type="dxa"/>
            <w:tcBorders>
              <w:top w:val="nil"/>
              <w:left w:val="nil"/>
              <w:bottom w:val="single" w:sz="4" w:space="0" w:color="auto"/>
              <w:right w:val="single" w:sz="4" w:space="0" w:color="auto"/>
            </w:tcBorders>
            <w:vAlign w:val="center"/>
            <w:hideMark/>
          </w:tcPr>
          <w:p w:rsidR="00906AFB" w:rsidRPr="0087733B" w:rsidRDefault="00906AF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Una Mano Amiga (Hellen Keller Manzanillo) I.A.P</w:t>
            </w:r>
          </w:p>
        </w:tc>
        <w:tc>
          <w:tcPr>
            <w:tcW w:w="1440" w:type="dxa"/>
            <w:tcBorders>
              <w:top w:val="nil"/>
              <w:left w:val="nil"/>
              <w:bottom w:val="single" w:sz="4" w:space="0" w:color="auto"/>
              <w:right w:val="single" w:sz="4" w:space="0" w:color="auto"/>
            </w:tcBorders>
            <w:noWrap/>
            <w:vAlign w:val="center"/>
            <w:hideMark/>
          </w:tcPr>
          <w:p w:rsidR="00906AFB" w:rsidRPr="0087733B" w:rsidRDefault="00906AFB" w:rsidP="0087733B">
            <w:pPr>
              <w:spacing w:after="0" w:line="240" w:lineRule="auto"/>
              <w:jc w:val="right"/>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77,464</w:t>
            </w:r>
          </w:p>
        </w:tc>
      </w:tr>
      <w:tr w:rsidR="00906AF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tcPr>
          <w:p w:rsidR="00906AFB" w:rsidRPr="0087733B" w:rsidRDefault="00906AFB" w:rsidP="0087733B">
            <w:pPr>
              <w:spacing w:after="0" w:line="240" w:lineRule="auto"/>
              <w:jc w:val="center"/>
              <w:rPr>
                <w:rFonts w:ascii="Arial" w:eastAsia="Times New Roman" w:hAnsi="Arial" w:cs="Arial"/>
                <w:color w:val="000000"/>
                <w:sz w:val="18"/>
                <w:szCs w:val="18"/>
                <w:lang w:val="es-ES" w:eastAsia="es-ES"/>
              </w:rPr>
            </w:pPr>
          </w:p>
        </w:tc>
        <w:tc>
          <w:tcPr>
            <w:tcW w:w="5969" w:type="dxa"/>
            <w:tcBorders>
              <w:top w:val="nil"/>
              <w:left w:val="nil"/>
              <w:bottom w:val="single" w:sz="4" w:space="0" w:color="auto"/>
              <w:right w:val="single" w:sz="4" w:space="0" w:color="auto"/>
            </w:tcBorders>
            <w:vAlign w:val="center"/>
            <w:hideMark/>
          </w:tcPr>
          <w:p w:rsidR="00906AFB" w:rsidRPr="0087733B" w:rsidRDefault="00906AF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Una Nueva Vida I.A.P.</w:t>
            </w:r>
          </w:p>
        </w:tc>
        <w:tc>
          <w:tcPr>
            <w:tcW w:w="1440" w:type="dxa"/>
            <w:tcBorders>
              <w:top w:val="nil"/>
              <w:left w:val="nil"/>
              <w:bottom w:val="single" w:sz="4" w:space="0" w:color="auto"/>
              <w:right w:val="single" w:sz="4" w:space="0" w:color="auto"/>
            </w:tcBorders>
            <w:noWrap/>
            <w:vAlign w:val="center"/>
            <w:hideMark/>
          </w:tcPr>
          <w:p w:rsidR="00906AFB" w:rsidRPr="0087733B" w:rsidRDefault="00906AFB" w:rsidP="0087733B">
            <w:pPr>
              <w:spacing w:after="0" w:line="240" w:lineRule="auto"/>
              <w:jc w:val="right"/>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35,288</w:t>
            </w:r>
          </w:p>
        </w:tc>
      </w:tr>
      <w:tr w:rsidR="00906AF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tcPr>
          <w:p w:rsidR="00906AFB" w:rsidRPr="0087733B" w:rsidRDefault="00906AFB" w:rsidP="0087733B">
            <w:pPr>
              <w:spacing w:after="0" w:line="240" w:lineRule="auto"/>
              <w:jc w:val="center"/>
              <w:rPr>
                <w:rFonts w:ascii="Arial" w:eastAsia="Times New Roman" w:hAnsi="Arial" w:cs="Arial"/>
                <w:color w:val="000000"/>
                <w:sz w:val="18"/>
                <w:szCs w:val="18"/>
                <w:lang w:val="es-ES" w:eastAsia="es-ES"/>
              </w:rPr>
            </w:pPr>
          </w:p>
        </w:tc>
        <w:tc>
          <w:tcPr>
            <w:tcW w:w="5969" w:type="dxa"/>
            <w:tcBorders>
              <w:top w:val="nil"/>
              <w:left w:val="nil"/>
              <w:bottom w:val="single" w:sz="4" w:space="0" w:color="auto"/>
              <w:right w:val="single" w:sz="4" w:space="0" w:color="auto"/>
            </w:tcBorders>
            <w:vAlign w:val="center"/>
            <w:hideMark/>
          </w:tcPr>
          <w:p w:rsidR="00906AFB" w:rsidRPr="0087733B" w:rsidRDefault="00906AF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Pastoral Penitenciaria, I.A.P.</w:t>
            </w:r>
          </w:p>
        </w:tc>
        <w:tc>
          <w:tcPr>
            <w:tcW w:w="1440" w:type="dxa"/>
            <w:tcBorders>
              <w:top w:val="nil"/>
              <w:left w:val="nil"/>
              <w:bottom w:val="single" w:sz="4" w:space="0" w:color="auto"/>
              <w:right w:val="single" w:sz="4" w:space="0" w:color="auto"/>
            </w:tcBorders>
            <w:noWrap/>
            <w:vAlign w:val="center"/>
            <w:hideMark/>
          </w:tcPr>
          <w:p w:rsidR="00906AFB" w:rsidRPr="0087733B" w:rsidRDefault="00906AFB" w:rsidP="0087733B">
            <w:pPr>
              <w:spacing w:after="0" w:line="240" w:lineRule="auto"/>
              <w:jc w:val="right"/>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85,278</w:t>
            </w:r>
          </w:p>
        </w:tc>
      </w:tr>
      <w:tr w:rsidR="00906AF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tcPr>
          <w:p w:rsidR="00906AFB" w:rsidRPr="0087733B" w:rsidRDefault="00906AFB" w:rsidP="0087733B">
            <w:pPr>
              <w:spacing w:after="0" w:line="240" w:lineRule="auto"/>
              <w:jc w:val="center"/>
              <w:rPr>
                <w:rFonts w:ascii="Arial" w:eastAsia="Times New Roman" w:hAnsi="Arial" w:cs="Arial"/>
                <w:color w:val="000000"/>
                <w:sz w:val="18"/>
                <w:szCs w:val="18"/>
                <w:lang w:val="es-ES" w:eastAsia="es-ES"/>
              </w:rPr>
            </w:pPr>
          </w:p>
        </w:tc>
        <w:tc>
          <w:tcPr>
            <w:tcW w:w="5969" w:type="dxa"/>
            <w:tcBorders>
              <w:top w:val="nil"/>
              <w:left w:val="nil"/>
              <w:bottom w:val="single" w:sz="4" w:space="0" w:color="auto"/>
              <w:right w:val="single" w:sz="4" w:space="0" w:color="auto"/>
            </w:tcBorders>
            <w:vAlign w:val="center"/>
            <w:hideMark/>
          </w:tcPr>
          <w:p w:rsidR="00906AFB" w:rsidRPr="0087733B" w:rsidRDefault="00906AF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Amigos de Betania "Luis Variara", I.A.P.</w:t>
            </w:r>
          </w:p>
        </w:tc>
        <w:tc>
          <w:tcPr>
            <w:tcW w:w="1440" w:type="dxa"/>
            <w:tcBorders>
              <w:top w:val="nil"/>
              <w:left w:val="nil"/>
              <w:bottom w:val="single" w:sz="4" w:space="0" w:color="auto"/>
              <w:right w:val="single" w:sz="4" w:space="0" w:color="auto"/>
            </w:tcBorders>
            <w:noWrap/>
            <w:vAlign w:val="center"/>
            <w:hideMark/>
          </w:tcPr>
          <w:p w:rsidR="00906AFB" w:rsidRPr="0087733B" w:rsidRDefault="00906AFB" w:rsidP="0087733B">
            <w:pPr>
              <w:spacing w:after="0" w:line="240" w:lineRule="auto"/>
              <w:jc w:val="right"/>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68,608</w:t>
            </w:r>
          </w:p>
        </w:tc>
      </w:tr>
      <w:tr w:rsidR="00906AF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tcPr>
          <w:p w:rsidR="00906AFB" w:rsidRPr="0087733B" w:rsidRDefault="00906AFB" w:rsidP="0087733B">
            <w:pPr>
              <w:spacing w:after="0" w:line="240" w:lineRule="auto"/>
              <w:jc w:val="center"/>
              <w:rPr>
                <w:rFonts w:ascii="Arial" w:eastAsia="Times New Roman" w:hAnsi="Arial" w:cs="Arial"/>
                <w:color w:val="000000"/>
                <w:sz w:val="18"/>
                <w:szCs w:val="18"/>
                <w:lang w:val="es-ES" w:eastAsia="es-ES"/>
              </w:rPr>
            </w:pPr>
          </w:p>
        </w:tc>
        <w:tc>
          <w:tcPr>
            <w:tcW w:w="5969" w:type="dxa"/>
            <w:tcBorders>
              <w:top w:val="nil"/>
              <w:left w:val="nil"/>
              <w:bottom w:val="single" w:sz="4" w:space="0" w:color="auto"/>
              <w:right w:val="single" w:sz="4" w:space="0" w:color="auto"/>
            </w:tcBorders>
            <w:vAlign w:val="center"/>
            <w:hideMark/>
          </w:tcPr>
          <w:p w:rsidR="00906AFB" w:rsidRPr="0087733B" w:rsidRDefault="00906AF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Un Paso hacia la Recuperación, I.A.P.(Mujeres)</w:t>
            </w:r>
          </w:p>
        </w:tc>
        <w:tc>
          <w:tcPr>
            <w:tcW w:w="1440" w:type="dxa"/>
            <w:tcBorders>
              <w:top w:val="nil"/>
              <w:left w:val="nil"/>
              <w:bottom w:val="single" w:sz="4" w:space="0" w:color="auto"/>
              <w:right w:val="single" w:sz="4" w:space="0" w:color="auto"/>
            </w:tcBorders>
            <w:noWrap/>
            <w:vAlign w:val="center"/>
            <w:hideMark/>
          </w:tcPr>
          <w:p w:rsidR="00906AFB" w:rsidRPr="0087733B" w:rsidRDefault="00906AFB" w:rsidP="0087733B">
            <w:pPr>
              <w:spacing w:after="0" w:line="240" w:lineRule="auto"/>
              <w:jc w:val="right"/>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110,353</w:t>
            </w:r>
          </w:p>
        </w:tc>
      </w:tr>
      <w:tr w:rsidR="00906AF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tcPr>
          <w:p w:rsidR="00906AFB" w:rsidRPr="0087733B" w:rsidRDefault="00906AFB" w:rsidP="0087733B">
            <w:pPr>
              <w:spacing w:after="0" w:line="240" w:lineRule="auto"/>
              <w:jc w:val="center"/>
              <w:rPr>
                <w:rFonts w:ascii="Arial" w:eastAsia="Times New Roman" w:hAnsi="Arial" w:cs="Arial"/>
                <w:color w:val="000000"/>
                <w:sz w:val="18"/>
                <w:szCs w:val="18"/>
                <w:lang w:val="es-ES" w:eastAsia="es-ES"/>
              </w:rPr>
            </w:pPr>
          </w:p>
        </w:tc>
        <w:tc>
          <w:tcPr>
            <w:tcW w:w="5969" w:type="dxa"/>
            <w:tcBorders>
              <w:top w:val="nil"/>
              <w:left w:val="nil"/>
              <w:bottom w:val="single" w:sz="4" w:space="0" w:color="auto"/>
              <w:right w:val="single" w:sz="4" w:space="0" w:color="auto"/>
            </w:tcBorders>
            <w:vAlign w:val="center"/>
            <w:hideMark/>
          </w:tcPr>
          <w:p w:rsidR="00906AFB" w:rsidRPr="0087733B" w:rsidRDefault="00906AF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Un Paso hacia la Recuperación, I.A.P. (Hombres)</w:t>
            </w:r>
          </w:p>
        </w:tc>
        <w:tc>
          <w:tcPr>
            <w:tcW w:w="1440" w:type="dxa"/>
            <w:tcBorders>
              <w:top w:val="nil"/>
              <w:left w:val="nil"/>
              <w:bottom w:val="single" w:sz="4" w:space="0" w:color="auto"/>
              <w:right w:val="single" w:sz="4" w:space="0" w:color="auto"/>
            </w:tcBorders>
            <w:noWrap/>
            <w:vAlign w:val="center"/>
            <w:hideMark/>
          </w:tcPr>
          <w:p w:rsidR="00906AFB" w:rsidRPr="0087733B" w:rsidRDefault="00906AFB" w:rsidP="0087733B">
            <w:pPr>
              <w:spacing w:after="0" w:line="240" w:lineRule="auto"/>
              <w:jc w:val="right"/>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121,744</w:t>
            </w:r>
          </w:p>
        </w:tc>
      </w:tr>
      <w:tr w:rsidR="00906AF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tcPr>
          <w:p w:rsidR="00906AFB" w:rsidRPr="0087733B" w:rsidRDefault="00906AFB" w:rsidP="0087733B">
            <w:pPr>
              <w:spacing w:after="0" w:line="240" w:lineRule="auto"/>
              <w:jc w:val="center"/>
              <w:rPr>
                <w:rFonts w:ascii="Arial" w:eastAsia="Times New Roman" w:hAnsi="Arial" w:cs="Arial"/>
                <w:color w:val="000000"/>
                <w:sz w:val="18"/>
                <w:szCs w:val="18"/>
                <w:lang w:val="es-ES" w:eastAsia="es-ES"/>
              </w:rPr>
            </w:pPr>
          </w:p>
        </w:tc>
        <w:tc>
          <w:tcPr>
            <w:tcW w:w="5969" w:type="dxa"/>
            <w:tcBorders>
              <w:top w:val="nil"/>
              <w:left w:val="nil"/>
              <w:bottom w:val="single" w:sz="4" w:space="0" w:color="auto"/>
              <w:right w:val="single" w:sz="4" w:space="0" w:color="auto"/>
            </w:tcBorders>
            <w:vAlign w:val="center"/>
            <w:hideMark/>
          </w:tcPr>
          <w:p w:rsidR="00906AFB" w:rsidRPr="0087733B" w:rsidRDefault="00906AF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Asilo Ancianos La Purísima Concepción de Tecomán, I.A.P.</w:t>
            </w:r>
          </w:p>
        </w:tc>
        <w:tc>
          <w:tcPr>
            <w:tcW w:w="1440" w:type="dxa"/>
            <w:tcBorders>
              <w:top w:val="nil"/>
              <w:left w:val="nil"/>
              <w:bottom w:val="single" w:sz="4" w:space="0" w:color="auto"/>
              <w:right w:val="single" w:sz="4" w:space="0" w:color="auto"/>
            </w:tcBorders>
            <w:noWrap/>
            <w:vAlign w:val="center"/>
            <w:hideMark/>
          </w:tcPr>
          <w:p w:rsidR="00906AFB" w:rsidRPr="0087733B" w:rsidRDefault="00906AFB" w:rsidP="0087733B">
            <w:pPr>
              <w:spacing w:after="0" w:line="240" w:lineRule="auto"/>
              <w:jc w:val="right"/>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179,658</w:t>
            </w:r>
          </w:p>
        </w:tc>
      </w:tr>
      <w:tr w:rsidR="00906AF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tcPr>
          <w:p w:rsidR="00906AFB" w:rsidRPr="0087733B" w:rsidRDefault="00906AFB" w:rsidP="0087733B">
            <w:pPr>
              <w:spacing w:after="0" w:line="240" w:lineRule="auto"/>
              <w:jc w:val="center"/>
              <w:rPr>
                <w:rFonts w:ascii="Arial" w:eastAsia="Times New Roman" w:hAnsi="Arial" w:cs="Arial"/>
                <w:color w:val="000000"/>
                <w:sz w:val="18"/>
                <w:szCs w:val="18"/>
                <w:lang w:val="es-ES" w:eastAsia="es-ES"/>
              </w:rPr>
            </w:pPr>
          </w:p>
        </w:tc>
        <w:tc>
          <w:tcPr>
            <w:tcW w:w="5969" w:type="dxa"/>
            <w:tcBorders>
              <w:top w:val="nil"/>
              <w:left w:val="nil"/>
              <w:bottom w:val="single" w:sz="4" w:space="0" w:color="auto"/>
              <w:right w:val="single" w:sz="4" w:space="0" w:color="auto"/>
            </w:tcBorders>
            <w:vAlign w:val="center"/>
            <w:hideMark/>
          </w:tcPr>
          <w:p w:rsidR="00906AFB" w:rsidRPr="0087733B" w:rsidRDefault="00906AF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Asociación de Beneficencia Privada de Colima, I.A.</w:t>
            </w:r>
          </w:p>
        </w:tc>
        <w:tc>
          <w:tcPr>
            <w:tcW w:w="1440" w:type="dxa"/>
            <w:tcBorders>
              <w:top w:val="nil"/>
              <w:left w:val="nil"/>
              <w:bottom w:val="single" w:sz="4" w:space="0" w:color="auto"/>
              <w:right w:val="single" w:sz="4" w:space="0" w:color="auto"/>
            </w:tcBorders>
            <w:noWrap/>
            <w:vAlign w:val="center"/>
            <w:hideMark/>
          </w:tcPr>
          <w:p w:rsidR="00906AFB" w:rsidRPr="0087733B" w:rsidRDefault="00906AFB" w:rsidP="0087733B">
            <w:pPr>
              <w:spacing w:after="0" w:line="240" w:lineRule="auto"/>
              <w:jc w:val="right"/>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271,576</w:t>
            </w:r>
          </w:p>
        </w:tc>
      </w:tr>
      <w:tr w:rsidR="00906AF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tcPr>
          <w:p w:rsidR="00906AFB" w:rsidRPr="0087733B" w:rsidRDefault="00906AFB" w:rsidP="0087733B">
            <w:pPr>
              <w:spacing w:after="0" w:line="240" w:lineRule="auto"/>
              <w:jc w:val="center"/>
              <w:rPr>
                <w:rFonts w:ascii="Arial" w:eastAsia="Times New Roman" w:hAnsi="Arial" w:cs="Arial"/>
                <w:color w:val="000000"/>
                <w:sz w:val="18"/>
                <w:szCs w:val="18"/>
                <w:lang w:val="es-ES" w:eastAsia="es-ES"/>
              </w:rPr>
            </w:pPr>
          </w:p>
        </w:tc>
        <w:tc>
          <w:tcPr>
            <w:tcW w:w="5969" w:type="dxa"/>
            <w:tcBorders>
              <w:top w:val="nil"/>
              <w:left w:val="nil"/>
              <w:bottom w:val="single" w:sz="4" w:space="0" w:color="auto"/>
              <w:right w:val="single" w:sz="4" w:space="0" w:color="auto"/>
            </w:tcBorders>
            <w:vAlign w:val="center"/>
            <w:hideMark/>
          </w:tcPr>
          <w:p w:rsidR="00906AFB" w:rsidRPr="0087733B" w:rsidRDefault="00906AF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Hogar del Niño Tecomense, I.A.P.</w:t>
            </w:r>
          </w:p>
        </w:tc>
        <w:tc>
          <w:tcPr>
            <w:tcW w:w="1440" w:type="dxa"/>
            <w:tcBorders>
              <w:top w:val="nil"/>
              <w:left w:val="nil"/>
              <w:bottom w:val="single" w:sz="4" w:space="0" w:color="auto"/>
              <w:right w:val="single" w:sz="4" w:space="0" w:color="auto"/>
            </w:tcBorders>
            <w:noWrap/>
            <w:vAlign w:val="center"/>
            <w:hideMark/>
          </w:tcPr>
          <w:p w:rsidR="00906AFB" w:rsidRPr="0087733B" w:rsidRDefault="00906AFB" w:rsidP="0087733B">
            <w:pPr>
              <w:spacing w:after="0" w:line="240" w:lineRule="auto"/>
              <w:jc w:val="right"/>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222,673</w:t>
            </w:r>
          </w:p>
        </w:tc>
      </w:tr>
      <w:tr w:rsidR="00906AF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tcPr>
          <w:p w:rsidR="00906AFB" w:rsidRPr="0087733B" w:rsidRDefault="00906AFB" w:rsidP="0087733B">
            <w:pPr>
              <w:spacing w:after="0" w:line="240" w:lineRule="auto"/>
              <w:jc w:val="center"/>
              <w:rPr>
                <w:rFonts w:ascii="Arial" w:eastAsia="Times New Roman" w:hAnsi="Arial" w:cs="Arial"/>
                <w:color w:val="000000"/>
                <w:sz w:val="18"/>
                <w:szCs w:val="18"/>
                <w:lang w:val="es-ES" w:eastAsia="es-ES"/>
              </w:rPr>
            </w:pPr>
          </w:p>
        </w:tc>
        <w:tc>
          <w:tcPr>
            <w:tcW w:w="5969" w:type="dxa"/>
            <w:tcBorders>
              <w:top w:val="nil"/>
              <w:left w:val="nil"/>
              <w:bottom w:val="single" w:sz="4" w:space="0" w:color="auto"/>
              <w:right w:val="single" w:sz="4" w:space="0" w:color="auto"/>
            </w:tcBorders>
            <w:vAlign w:val="center"/>
            <w:hideMark/>
          </w:tcPr>
          <w:p w:rsidR="00906AFB" w:rsidRPr="0087733B" w:rsidRDefault="00906AF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Asociación Civil Amiga del Niño Colimense I.A.P. (Ma. Ángela)</w:t>
            </w:r>
          </w:p>
        </w:tc>
        <w:tc>
          <w:tcPr>
            <w:tcW w:w="1440" w:type="dxa"/>
            <w:tcBorders>
              <w:top w:val="nil"/>
              <w:left w:val="nil"/>
              <w:bottom w:val="single" w:sz="4" w:space="0" w:color="auto"/>
              <w:right w:val="single" w:sz="4" w:space="0" w:color="auto"/>
            </w:tcBorders>
            <w:noWrap/>
            <w:vAlign w:val="center"/>
            <w:hideMark/>
          </w:tcPr>
          <w:p w:rsidR="00906AFB" w:rsidRPr="0087733B" w:rsidRDefault="00906AFB" w:rsidP="0087733B">
            <w:pPr>
              <w:spacing w:after="0" w:line="240" w:lineRule="auto"/>
              <w:jc w:val="right"/>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185,561</w:t>
            </w:r>
          </w:p>
        </w:tc>
      </w:tr>
      <w:tr w:rsidR="00906AF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tcPr>
          <w:p w:rsidR="00906AFB" w:rsidRPr="0087733B" w:rsidRDefault="00906AFB" w:rsidP="0087733B">
            <w:pPr>
              <w:spacing w:after="0" w:line="240" w:lineRule="auto"/>
              <w:jc w:val="center"/>
              <w:rPr>
                <w:rFonts w:ascii="Arial" w:eastAsia="Times New Roman" w:hAnsi="Arial" w:cs="Arial"/>
                <w:color w:val="000000"/>
                <w:sz w:val="18"/>
                <w:szCs w:val="18"/>
                <w:lang w:val="es-ES" w:eastAsia="es-ES"/>
              </w:rPr>
            </w:pPr>
          </w:p>
        </w:tc>
        <w:tc>
          <w:tcPr>
            <w:tcW w:w="5969" w:type="dxa"/>
            <w:tcBorders>
              <w:top w:val="nil"/>
              <w:left w:val="nil"/>
              <w:bottom w:val="single" w:sz="4" w:space="0" w:color="auto"/>
              <w:right w:val="single" w:sz="4" w:space="0" w:color="auto"/>
            </w:tcBorders>
            <w:vAlign w:val="center"/>
            <w:hideMark/>
          </w:tcPr>
          <w:p w:rsidR="00906AFB" w:rsidRPr="0087733B" w:rsidRDefault="00906AF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Guardería Infantil José Amador Velasco I.A.P.</w:t>
            </w:r>
          </w:p>
        </w:tc>
        <w:tc>
          <w:tcPr>
            <w:tcW w:w="1440" w:type="dxa"/>
            <w:tcBorders>
              <w:top w:val="nil"/>
              <w:left w:val="nil"/>
              <w:bottom w:val="single" w:sz="4" w:space="0" w:color="auto"/>
              <w:right w:val="single" w:sz="4" w:space="0" w:color="auto"/>
            </w:tcBorders>
            <w:noWrap/>
            <w:vAlign w:val="center"/>
            <w:hideMark/>
          </w:tcPr>
          <w:p w:rsidR="00906AFB" w:rsidRPr="0087733B" w:rsidRDefault="0087733B" w:rsidP="0087733B">
            <w:pPr>
              <w:spacing w:after="0" w:line="240" w:lineRule="auto"/>
              <w:jc w:val="right"/>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123,000</w:t>
            </w:r>
          </w:p>
        </w:tc>
      </w:tr>
      <w:tr w:rsidR="00906AF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tcPr>
          <w:p w:rsidR="00906AFB" w:rsidRPr="0087733B" w:rsidRDefault="00906AFB" w:rsidP="0087733B">
            <w:pPr>
              <w:spacing w:after="0" w:line="240" w:lineRule="auto"/>
              <w:jc w:val="center"/>
              <w:rPr>
                <w:rFonts w:ascii="Arial" w:eastAsia="Times New Roman" w:hAnsi="Arial" w:cs="Arial"/>
                <w:color w:val="000000"/>
                <w:sz w:val="18"/>
                <w:szCs w:val="18"/>
                <w:lang w:val="es-ES" w:eastAsia="es-ES"/>
              </w:rPr>
            </w:pPr>
          </w:p>
        </w:tc>
        <w:tc>
          <w:tcPr>
            <w:tcW w:w="5969" w:type="dxa"/>
            <w:tcBorders>
              <w:top w:val="nil"/>
              <w:left w:val="nil"/>
              <w:bottom w:val="single" w:sz="4" w:space="0" w:color="auto"/>
              <w:right w:val="single" w:sz="4" w:space="0" w:color="auto"/>
            </w:tcBorders>
            <w:vAlign w:val="center"/>
            <w:hideMark/>
          </w:tcPr>
          <w:p w:rsidR="00906AFB" w:rsidRPr="0087733B" w:rsidRDefault="00906AF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Centro de Promoción Humana y de Cultura de Colima, I.A.P.</w:t>
            </w:r>
          </w:p>
        </w:tc>
        <w:tc>
          <w:tcPr>
            <w:tcW w:w="1440" w:type="dxa"/>
            <w:tcBorders>
              <w:top w:val="nil"/>
              <w:left w:val="nil"/>
              <w:bottom w:val="single" w:sz="4" w:space="0" w:color="auto"/>
              <w:right w:val="single" w:sz="4" w:space="0" w:color="auto"/>
            </w:tcBorders>
            <w:noWrap/>
            <w:vAlign w:val="center"/>
            <w:hideMark/>
          </w:tcPr>
          <w:p w:rsidR="00906AFB" w:rsidRPr="0087733B" w:rsidRDefault="00906AFB" w:rsidP="0087733B">
            <w:pPr>
              <w:spacing w:after="0" w:line="240" w:lineRule="auto"/>
              <w:jc w:val="right"/>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290,670</w:t>
            </w:r>
          </w:p>
        </w:tc>
      </w:tr>
      <w:tr w:rsidR="00906AF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tcPr>
          <w:p w:rsidR="00906AFB" w:rsidRPr="0087733B" w:rsidRDefault="00906AFB" w:rsidP="0087733B">
            <w:pPr>
              <w:spacing w:after="0" w:line="240" w:lineRule="auto"/>
              <w:jc w:val="center"/>
              <w:rPr>
                <w:rFonts w:ascii="Arial" w:eastAsia="Times New Roman" w:hAnsi="Arial" w:cs="Arial"/>
                <w:color w:val="000000"/>
                <w:sz w:val="18"/>
                <w:szCs w:val="18"/>
                <w:lang w:val="es-ES" w:eastAsia="es-ES"/>
              </w:rPr>
            </w:pPr>
          </w:p>
        </w:tc>
        <w:tc>
          <w:tcPr>
            <w:tcW w:w="5969" w:type="dxa"/>
            <w:tcBorders>
              <w:top w:val="nil"/>
              <w:left w:val="nil"/>
              <w:bottom w:val="single" w:sz="4" w:space="0" w:color="auto"/>
              <w:right w:val="single" w:sz="4" w:space="0" w:color="auto"/>
            </w:tcBorders>
            <w:vAlign w:val="center"/>
            <w:hideMark/>
          </w:tcPr>
          <w:p w:rsidR="00906AFB" w:rsidRPr="0087733B" w:rsidRDefault="00906AF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El Poder de tu Amor Sana al Prójimo, I.A.P.</w:t>
            </w:r>
          </w:p>
        </w:tc>
        <w:tc>
          <w:tcPr>
            <w:tcW w:w="1440" w:type="dxa"/>
            <w:tcBorders>
              <w:top w:val="nil"/>
              <w:left w:val="nil"/>
              <w:bottom w:val="single" w:sz="4" w:space="0" w:color="auto"/>
              <w:right w:val="single" w:sz="4" w:space="0" w:color="auto"/>
            </w:tcBorders>
            <w:noWrap/>
            <w:vAlign w:val="center"/>
            <w:hideMark/>
          </w:tcPr>
          <w:p w:rsidR="00906AFB" w:rsidRPr="0087733B" w:rsidRDefault="00906AFB" w:rsidP="0087733B">
            <w:pPr>
              <w:spacing w:after="0" w:line="240" w:lineRule="auto"/>
              <w:jc w:val="right"/>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35,288</w:t>
            </w:r>
          </w:p>
        </w:tc>
      </w:tr>
      <w:tr w:rsidR="00906AF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tcPr>
          <w:p w:rsidR="00906AFB" w:rsidRPr="0087733B" w:rsidRDefault="00906AFB" w:rsidP="0087733B">
            <w:pPr>
              <w:spacing w:after="0" w:line="240" w:lineRule="auto"/>
              <w:jc w:val="center"/>
              <w:rPr>
                <w:rFonts w:ascii="Arial" w:eastAsia="Times New Roman" w:hAnsi="Arial" w:cs="Arial"/>
                <w:color w:val="000000"/>
                <w:sz w:val="18"/>
                <w:szCs w:val="18"/>
                <w:lang w:val="es-ES" w:eastAsia="es-ES"/>
              </w:rPr>
            </w:pPr>
          </w:p>
        </w:tc>
        <w:tc>
          <w:tcPr>
            <w:tcW w:w="5969" w:type="dxa"/>
            <w:tcBorders>
              <w:top w:val="nil"/>
              <w:left w:val="nil"/>
              <w:bottom w:val="single" w:sz="4" w:space="0" w:color="auto"/>
              <w:right w:val="single" w:sz="4" w:space="0" w:color="auto"/>
            </w:tcBorders>
            <w:vAlign w:val="center"/>
            <w:hideMark/>
          </w:tcPr>
          <w:p w:rsidR="00906AFB" w:rsidRPr="0087733B" w:rsidRDefault="00906AF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Cáritas Colima, I.A.P.</w:t>
            </w:r>
          </w:p>
        </w:tc>
        <w:tc>
          <w:tcPr>
            <w:tcW w:w="1440" w:type="dxa"/>
            <w:tcBorders>
              <w:top w:val="nil"/>
              <w:left w:val="nil"/>
              <w:bottom w:val="single" w:sz="4" w:space="0" w:color="auto"/>
              <w:right w:val="single" w:sz="4" w:space="0" w:color="auto"/>
            </w:tcBorders>
            <w:noWrap/>
            <w:vAlign w:val="center"/>
            <w:hideMark/>
          </w:tcPr>
          <w:p w:rsidR="00906AFB" w:rsidRPr="0087733B" w:rsidRDefault="00906AFB" w:rsidP="0087733B">
            <w:pPr>
              <w:spacing w:after="0" w:line="240" w:lineRule="auto"/>
              <w:jc w:val="right"/>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112,179</w:t>
            </w:r>
          </w:p>
        </w:tc>
      </w:tr>
      <w:tr w:rsidR="00906AF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tcPr>
          <w:p w:rsidR="00906AFB" w:rsidRPr="0087733B" w:rsidRDefault="00906AFB" w:rsidP="0087733B">
            <w:pPr>
              <w:spacing w:after="0" w:line="240" w:lineRule="auto"/>
              <w:jc w:val="center"/>
              <w:rPr>
                <w:rFonts w:ascii="Arial" w:eastAsia="Times New Roman" w:hAnsi="Arial" w:cs="Arial"/>
                <w:color w:val="000000"/>
                <w:sz w:val="18"/>
                <w:szCs w:val="18"/>
                <w:lang w:val="es-ES" w:eastAsia="es-ES"/>
              </w:rPr>
            </w:pPr>
          </w:p>
        </w:tc>
        <w:tc>
          <w:tcPr>
            <w:tcW w:w="5969" w:type="dxa"/>
            <w:tcBorders>
              <w:top w:val="nil"/>
              <w:left w:val="nil"/>
              <w:bottom w:val="single" w:sz="4" w:space="0" w:color="auto"/>
              <w:right w:val="single" w:sz="4" w:space="0" w:color="auto"/>
            </w:tcBorders>
            <w:vAlign w:val="center"/>
            <w:hideMark/>
          </w:tcPr>
          <w:p w:rsidR="00906AFB" w:rsidRPr="0087733B" w:rsidRDefault="00906AF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Patronato del Centro Estatal de Cancerología I.A.P</w:t>
            </w:r>
          </w:p>
        </w:tc>
        <w:tc>
          <w:tcPr>
            <w:tcW w:w="1440" w:type="dxa"/>
            <w:tcBorders>
              <w:top w:val="nil"/>
              <w:left w:val="nil"/>
              <w:bottom w:val="single" w:sz="4" w:space="0" w:color="auto"/>
              <w:right w:val="single" w:sz="4" w:space="0" w:color="auto"/>
            </w:tcBorders>
            <w:noWrap/>
            <w:vAlign w:val="center"/>
            <w:hideMark/>
          </w:tcPr>
          <w:p w:rsidR="00906AFB" w:rsidRPr="0087733B" w:rsidRDefault="00906AFB" w:rsidP="0087733B">
            <w:pPr>
              <w:spacing w:after="0" w:line="240" w:lineRule="auto"/>
              <w:jc w:val="right"/>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41,360</w:t>
            </w:r>
          </w:p>
        </w:tc>
      </w:tr>
      <w:tr w:rsidR="00906AF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tcPr>
          <w:p w:rsidR="00906AFB" w:rsidRPr="0087733B" w:rsidRDefault="00906AFB" w:rsidP="0087733B">
            <w:pPr>
              <w:spacing w:after="0" w:line="240" w:lineRule="auto"/>
              <w:jc w:val="center"/>
              <w:rPr>
                <w:rFonts w:ascii="Arial" w:eastAsia="Times New Roman" w:hAnsi="Arial" w:cs="Arial"/>
                <w:color w:val="000000"/>
                <w:sz w:val="18"/>
                <w:szCs w:val="18"/>
                <w:lang w:val="es-ES" w:eastAsia="es-ES"/>
              </w:rPr>
            </w:pPr>
          </w:p>
        </w:tc>
        <w:tc>
          <w:tcPr>
            <w:tcW w:w="5969" w:type="dxa"/>
            <w:tcBorders>
              <w:top w:val="nil"/>
              <w:left w:val="nil"/>
              <w:bottom w:val="single" w:sz="4" w:space="0" w:color="auto"/>
              <w:right w:val="single" w:sz="4" w:space="0" w:color="auto"/>
            </w:tcBorders>
            <w:vAlign w:val="center"/>
            <w:hideMark/>
          </w:tcPr>
          <w:p w:rsidR="00906AFB" w:rsidRPr="0087733B" w:rsidRDefault="00906AF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Promotores de Medicina Tradicional Armería, I.A.P</w:t>
            </w:r>
          </w:p>
        </w:tc>
        <w:tc>
          <w:tcPr>
            <w:tcW w:w="1440" w:type="dxa"/>
            <w:tcBorders>
              <w:top w:val="nil"/>
              <w:left w:val="nil"/>
              <w:bottom w:val="single" w:sz="4" w:space="0" w:color="auto"/>
              <w:right w:val="single" w:sz="4" w:space="0" w:color="auto"/>
            </w:tcBorders>
            <w:noWrap/>
            <w:vAlign w:val="center"/>
            <w:hideMark/>
          </w:tcPr>
          <w:p w:rsidR="00906AFB" w:rsidRPr="0087733B" w:rsidRDefault="00906AFB" w:rsidP="0087733B">
            <w:pPr>
              <w:spacing w:after="0" w:line="240" w:lineRule="auto"/>
              <w:jc w:val="right"/>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29,171</w:t>
            </w:r>
          </w:p>
        </w:tc>
      </w:tr>
      <w:tr w:rsidR="00906AF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tcPr>
          <w:p w:rsidR="00906AFB" w:rsidRPr="0087733B" w:rsidRDefault="00906AFB" w:rsidP="0087733B">
            <w:pPr>
              <w:spacing w:after="0" w:line="240" w:lineRule="auto"/>
              <w:jc w:val="center"/>
              <w:rPr>
                <w:rFonts w:ascii="Arial" w:eastAsia="Times New Roman" w:hAnsi="Arial" w:cs="Arial"/>
                <w:color w:val="000000"/>
                <w:sz w:val="18"/>
                <w:szCs w:val="18"/>
                <w:lang w:val="es-ES" w:eastAsia="es-ES"/>
              </w:rPr>
            </w:pPr>
          </w:p>
        </w:tc>
        <w:tc>
          <w:tcPr>
            <w:tcW w:w="5969" w:type="dxa"/>
            <w:tcBorders>
              <w:top w:val="nil"/>
              <w:left w:val="nil"/>
              <w:bottom w:val="single" w:sz="4" w:space="0" w:color="auto"/>
              <w:right w:val="single" w:sz="4" w:space="0" w:color="auto"/>
            </w:tcBorders>
            <w:vAlign w:val="center"/>
            <w:hideMark/>
          </w:tcPr>
          <w:p w:rsidR="00906AFB" w:rsidRPr="0087733B" w:rsidRDefault="00906AF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Obras Sociales San Felipe de Jesús I.A.P.</w:t>
            </w:r>
          </w:p>
        </w:tc>
        <w:tc>
          <w:tcPr>
            <w:tcW w:w="1440" w:type="dxa"/>
            <w:tcBorders>
              <w:top w:val="nil"/>
              <w:left w:val="nil"/>
              <w:bottom w:val="single" w:sz="4" w:space="0" w:color="auto"/>
              <w:right w:val="single" w:sz="4" w:space="0" w:color="auto"/>
            </w:tcBorders>
            <w:noWrap/>
            <w:vAlign w:val="center"/>
            <w:hideMark/>
          </w:tcPr>
          <w:p w:rsidR="00906AFB" w:rsidRPr="0087733B" w:rsidRDefault="00906AFB" w:rsidP="0087733B">
            <w:pPr>
              <w:spacing w:after="0" w:line="240" w:lineRule="auto"/>
              <w:jc w:val="right"/>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120,496</w:t>
            </w:r>
          </w:p>
        </w:tc>
      </w:tr>
      <w:tr w:rsidR="00906AF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tcPr>
          <w:p w:rsidR="00906AFB" w:rsidRPr="0087733B" w:rsidRDefault="00906AFB" w:rsidP="0087733B">
            <w:pPr>
              <w:spacing w:after="0" w:line="240" w:lineRule="auto"/>
              <w:jc w:val="center"/>
              <w:rPr>
                <w:rFonts w:ascii="Arial" w:eastAsia="Times New Roman" w:hAnsi="Arial" w:cs="Arial"/>
                <w:color w:val="000000"/>
                <w:sz w:val="18"/>
                <w:szCs w:val="18"/>
                <w:lang w:val="es-ES" w:eastAsia="es-ES"/>
              </w:rPr>
            </w:pPr>
          </w:p>
        </w:tc>
        <w:tc>
          <w:tcPr>
            <w:tcW w:w="5969" w:type="dxa"/>
            <w:tcBorders>
              <w:top w:val="nil"/>
              <w:left w:val="nil"/>
              <w:bottom w:val="single" w:sz="4" w:space="0" w:color="auto"/>
              <w:right w:val="single" w:sz="4" w:space="0" w:color="auto"/>
            </w:tcBorders>
            <w:vAlign w:val="center"/>
            <w:hideMark/>
          </w:tcPr>
          <w:p w:rsidR="00906AFB" w:rsidRPr="0087733B" w:rsidRDefault="00906AF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Amigos Colimenses contra el VIH/Sida, I.A.P.</w:t>
            </w:r>
          </w:p>
        </w:tc>
        <w:tc>
          <w:tcPr>
            <w:tcW w:w="1440" w:type="dxa"/>
            <w:tcBorders>
              <w:top w:val="nil"/>
              <w:left w:val="nil"/>
              <w:bottom w:val="single" w:sz="4" w:space="0" w:color="auto"/>
              <w:right w:val="single" w:sz="4" w:space="0" w:color="auto"/>
            </w:tcBorders>
            <w:noWrap/>
            <w:vAlign w:val="center"/>
            <w:hideMark/>
          </w:tcPr>
          <w:p w:rsidR="00906AFB" w:rsidRPr="0087733B" w:rsidRDefault="00906AFB" w:rsidP="0087733B">
            <w:pPr>
              <w:spacing w:after="0" w:line="240" w:lineRule="auto"/>
              <w:jc w:val="right"/>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68,597</w:t>
            </w:r>
          </w:p>
        </w:tc>
      </w:tr>
      <w:tr w:rsidR="00906AF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tcPr>
          <w:p w:rsidR="00906AFB" w:rsidRPr="0087733B" w:rsidRDefault="00906AFB" w:rsidP="0087733B">
            <w:pPr>
              <w:spacing w:after="0" w:line="240" w:lineRule="auto"/>
              <w:jc w:val="center"/>
              <w:rPr>
                <w:rFonts w:ascii="Arial" w:eastAsia="Times New Roman" w:hAnsi="Arial" w:cs="Arial"/>
                <w:color w:val="000000"/>
                <w:sz w:val="18"/>
                <w:szCs w:val="18"/>
                <w:lang w:val="es-ES" w:eastAsia="es-ES"/>
              </w:rPr>
            </w:pPr>
          </w:p>
        </w:tc>
        <w:tc>
          <w:tcPr>
            <w:tcW w:w="5969" w:type="dxa"/>
            <w:tcBorders>
              <w:top w:val="nil"/>
              <w:left w:val="nil"/>
              <w:bottom w:val="single" w:sz="4" w:space="0" w:color="auto"/>
              <w:right w:val="single" w:sz="4" w:space="0" w:color="auto"/>
            </w:tcBorders>
            <w:vAlign w:val="center"/>
            <w:hideMark/>
          </w:tcPr>
          <w:p w:rsidR="00906AFB" w:rsidRPr="0087733B" w:rsidRDefault="00906AF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Asociación Civil Amiga del Niño Colimense I.A.P.</w:t>
            </w:r>
          </w:p>
        </w:tc>
        <w:tc>
          <w:tcPr>
            <w:tcW w:w="1440" w:type="dxa"/>
            <w:tcBorders>
              <w:top w:val="nil"/>
              <w:left w:val="nil"/>
              <w:bottom w:val="single" w:sz="4" w:space="0" w:color="auto"/>
              <w:right w:val="single" w:sz="4" w:space="0" w:color="auto"/>
            </w:tcBorders>
            <w:noWrap/>
            <w:vAlign w:val="center"/>
            <w:hideMark/>
          </w:tcPr>
          <w:p w:rsidR="00906AFB" w:rsidRPr="0087733B" w:rsidRDefault="00906AFB" w:rsidP="0087733B">
            <w:pPr>
              <w:spacing w:after="0" w:line="240" w:lineRule="auto"/>
              <w:jc w:val="right"/>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245,858</w:t>
            </w:r>
          </w:p>
        </w:tc>
      </w:tr>
      <w:tr w:rsidR="00906AF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tcPr>
          <w:p w:rsidR="00906AFB" w:rsidRPr="0087733B" w:rsidRDefault="00906AFB" w:rsidP="0087733B">
            <w:pPr>
              <w:spacing w:after="0" w:line="240" w:lineRule="auto"/>
              <w:jc w:val="center"/>
              <w:rPr>
                <w:rFonts w:ascii="Arial" w:eastAsia="Times New Roman" w:hAnsi="Arial" w:cs="Arial"/>
                <w:color w:val="000000"/>
                <w:sz w:val="18"/>
                <w:szCs w:val="18"/>
                <w:lang w:val="es-ES" w:eastAsia="es-ES"/>
              </w:rPr>
            </w:pPr>
          </w:p>
        </w:tc>
        <w:tc>
          <w:tcPr>
            <w:tcW w:w="5969" w:type="dxa"/>
            <w:tcBorders>
              <w:top w:val="nil"/>
              <w:left w:val="nil"/>
              <w:bottom w:val="single" w:sz="4" w:space="0" w:color="auto"/>
              <w:right w:val="single" w:sz="4" w:space="0" w:color="auto"/>
            </w:tcBorders>
            <w:vAlign w:val="center"/>
            <w:hideMark/>
          </w:tcPr>
          <w:p w:rsidR="00906AFB" w:rsidRPr="0087733B" w:rsidRDefault="00906AF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APAC Colima Centro Integral de Rehabilitación I.A.P.</w:t>
            </w:r>
          </w:p>
        </w:tc>
        <w:tc>
          <w:tcPr>
            <w:tcW w:w="1440" w:type="dxa"/>
            <w:tcBorders>
              <w:top w:val="nil"/>
              <w:left w:val="nil"/>
              <w:bottom w:val="single" w:sz="4" w:space="0" w:color="auto"/>
              <w:right w:val="single" w:sz="4" w:space="0" w:color="auto"/>
            </w:tcBorders>
            <w:noWrap/>
            <w:vAlign w:val="center"/>
            <w:hideMark/>
          </w:tcPr>
          <w:p w:rsidR="00906AFB" w:rsidRPr="0087733B" w:rsidRDefault="00906AFB" w:rsidP="0087733B">
            <w:pPr>
              <w:spacing w:after="0" w:line="240" w:lineRule="auto"/>
              <w:jc w:val="right"/>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289,680</w:t>
            </w:r>
          </w:p>
        </w:tc>
      </w:tr>
      <w:tr w:rsidR="00906AF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tcPr>
          <w:p w:rsidR="00906AFB" w:rsidRPr="0087733B" w:rsidRDefault="00906AFB" w:rsidP="0087733B">
            <w:pPr>
              <w:spacing w:after="0" w:line="240" w:lineRule="auto"/>
              <w:jc w:val="center"/>
              <w:rPr>
                <w:rFonts w:ascii="Arial" w:eastAsia="Times New Roman" w:hAnsi="Arial" w:cs="Arial"/>
                <w:color w:val="000000"/>
                <w:sz w:val="18"/>
                <w:szCs w:val="18"/>
                <w:lang w:val="es-ES" w:eastAsia="es-ES"/>
              </w:rPr>
            </w:pPr>
          </w:p>
        </w:tc>
        <w:tc>
          <w:tcPr>
            <w:tcW w:w="5969" w:type="dxa"/>
            <w:tcBorders>
              <w:top w:val="nil"/>
              <w:left w:val="nil"/>
              <w:bottom w:val="single" w:sz="4" w:space="0" w:color="auto"/>
              <w:right w:val="single" w:sz="4" w:space="0" w:color="auto"/>
            </w:tcBorders>
            <w:vAlign w:val="center"/>
            <w:hideMark/>
          </w:tcPr>
          <w:p w:rsidR="00906AFB" w:rsidRPr="0087733B" w:rsidRDefault="00906AF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Comunidad Fraterna por una Vida Mejor, I.A.P.</w:t>
            </w:r>
          </w:p>
        </w:tc>
        <w:tc>
          <w:tcPr>
            <w:tcW w:w="1440" w:type="dxa"/>
            <w:tcBorders>
              <w:top w:val="nil"/>
              <w:left w:val="nil"/>
              <w:bottom w:val="single" w:sz="4" w:space="0" w:color="auto"/>
              <w:right w:val="single" w:sz="4" w:space="0" w:color="auto"/>
            </w:tcBorders>
            <w:noWrap/>
            <w:vAlign w:val="center"/>
            <w:hideMark/>
          </w:tcPr>
          <w:p w:rsidR="00906AFB" w:rsidRPr="0087733B" w:rsidRDefault="00906AFB" w:rsidP="0087733B">
            <w:pPr>
              <w:spacing w:after="0" w:line="240" w:lineRule="auto"/>
              <w:jc w:val="right"/>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204,686</w:t>
            </w:r>
          </w:p>
        </w:tc>
      </w:tr>
      <w:tr w:rsidR="00906AF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tcPr>
          <w:p w:rsidR="00906AFB" w:rsidRPr="0087733B" w:rsidRDefault="00906AFB" w:rsidP="0087733B">
            <w:pPr>
              <w:spacing w:after="0" w:line="240" w:lineRule="auto"/>
              <w:jc w:val="center"/>
              <w:rPr>
                <w:rFonts w:ascii="Arial" w:eastAsia="Times New Roman" w:hAnsi="Arial" w:cs="Arial"/>
                <w:color w:val="000000"/>
                <w:sz w:val="18"/>
                <w:szCs w:val="18"/>
                <w:lang w:val="es-ES" w:eastAsia="es-ES"/>
              </w:rPr>
            </w:pPr>
          </w:p>
        </w:tc>
        <w:tc>
          <w:tcPr>
            <w:tcW w:w="5969" w:type="dxa"/>
            <w:tcBorders>
              <w:top w:val="nil"/>
              <w:left w:val="nil"/>
              <w:bottom w:val="single" w:sz="4" w:space="0" w:color="auto"/>
              <w:right w:val="single" w:sz="4" w:space="0" w:color="auto"/>
            </w:tcBorders>
            <w:vAlign w:val="center"/>
            <w:hideMark/>
          </w:tcPr>
          <w:p w:rsidR="00906AFB" w:rsidRPr="0087733B" w:rsidRDefault="00906AF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Grupo de Apoyo Amanecer, I.A.P.</w:t>
            </w:r>
          </w:p>
        </w:tc>
        <w:tc>
          <w:tcPr>
            <w:tcW w:w="1440" w:type="dxa"/>
            <w:tcBorders>
              <w:top w:val="nil"/>
              <w:left w:val="nil"/>
              <w:bottom w:val="single" w:sz="4" w:space="0" w:color="auto"/>
              <w:right w:val="single" w:sz="4" w:space="0" w:color="auto"/>
            </w:tcBorders>
            <w:noWrap/>
            <w:vAlign w:val="center"/>
            <w:hideMark/>
          </w:tcPr>
          <w:p w:rsidR="00906AFB" w:rsidRPr="0087733B" w:rsidRDefault="00906AFB" w:rsidP="0087733B">
            <w:pPr>
              <w:spacing w:after="0" w:line="240" w:lineRule="auto"/>
              <w:jc w:val="right"/>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40,235</w:t>
            </w:r>
          </w:p>
        </w:tc>
      </w:tr>
      <w:tr w:rsidR="00906AF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tcPr>
          <w:p w:rsidR="00906AFB" w:rsidRPr="0087733B" w:rsidRDefault="00906AFB" w:rsidP="0087733B">
            <w:pPr>
              <w:spacing w:after="0" w:line="240" w:lineRule="auto"/>
              <w:jc w:val="center"/>
              <w:rPr>
                <w:rFonts w:ascii="Arial" w:eastAsia="Times New Roman" w:hAnsi="Arial" w:cs="Arial"/>
                <w:color w:val="000000"/>
                <w:sz w:val="18"/>
                <w:szCs w:val="18"/>
                <w:lang w:val="es-ES" w:eastAsia="es-ES"/>
              </w:rPr>
            </w:pPr>
          </w:p>
        </w:tc>
        <w:tc>
          <w:tcPr>
            <w:tcW w:w="5969" w:type="dxa"/>
            <w:tcBorders>
              <w:top w:val="nil"/>
              <w:left w:val="nil"/>
              <w:bottom w:val="single" w:sz="4" w:space="0" w:color="auto"/>
              <w:right w:val="single" w:sz="4" w:space="0" w:color="auto"/>
            </w:tcBorders>
            <w:vAlign w:val="center"/>
            <w:hideMark/>
          </w:tcPr>
          <w:p w:rsidR="00906AFB" w:rsidRPr="0087733B" w:rsidRDefault="00906AF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Asilo de Ancianos de Manzanillo, I.A.P</w:t>
            </w:r>
          </w:p>
        </w:tc>
        <w:tc>
          <w:tcPr>
            <w:tcW w:w="1440" w:type="dxa"/>
            <w:tcBorders>
              <w:top w:val="nil"/>
              <w:left w:val="nil"/>
              <w:bottom w:val="single" w:sz="4" w:space="0" w:color="auto"/>
              <w:right w:val="single" w:sz="4" w:space="0" w:color="auto"/>
            </w:tcBorders>
            <w:noWrap/>
            <w:vAlign w:val="center"/>
            <w:hideMark/>
          </w:tcPr>
          <w:p w:rsidR="00906AFB" w:rsidRPr="0087733B" w:rsidRDefault="00906AFB" w:rsidP="0087733B">
            <w:pPr>
              <w:spacing w:after="0" w:line="240" w:lineRule="auto"/>
              <w:jc w:val="right"/>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142,055</w:t>
            </w:r>
          </w:p>
        </w:tc>
      </w:tr>
      <w:tr w:rsidR="00906AF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tcPr>
          <w:p w:rsidR="00906AFB" w:rsidRPr="0087733B" w:rsidRDefault="00906AFB" w:rsidP="0087733B">
            <w:pPr>
              <w:spacing w:after="0" w:line="240" w:lineRule="auto"/>
              <w:jc w:val="center"/>
              <w:rPr>
                <w:rFonts w:ascii="Arial" w:eastAsia="Times New Roman" w:hAnsi="Arial" w:cs="Arial"/>
                <w:color w:val="000000"/>
                <w:sz w:val="18"/>
                <w:szCs w:val="18"/>
                <w:lang w:val="es-ES" w:eastAsia="es-ES"/>
              </w:rPr>
            </w:pPr>
          </w:p>
        </w:tc>
        <w:tc>
          <w:tcPr>
            <w:tcW w:w="5969" w:type="dxa"/>
            <w:tcBorders>
              <w:top w:val="nil"/>
              <w:left w:val="nil"/>
              <w:bottom w:val="single" w:sz="4" w:space="0" w:color="auto"/>
              <w:right w:val="single" w:sz="4" w:space="0" w:color="auto"/>
            </w:tcBorders>
            <w:vAlign w:val="center"/>
            <w:hideMark/>
          </w:tcPr>
          <w:p w:rsidR="00906AFB" w:rsidRPr="0087733B" w:rsidRDefault="00906AF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Voluntarias Vicentinas de Colima, I.A.P</w:t>
            </w:r>
          </w:p>
        </w:tc>
        <w:tc>
          <w:tcPr>
            <w:tcW w:w="1440" w:type="dxa"/>
            <w:tcBorders>
              <w:top w:val="nil"/>
              <w:left w:val="nil"/>
              <w:bottom w:val="single" w:sz="4" w:space="0" w:color="auto"/>
              <w:right w:val="single" w:sz="4" w:space="0" w:color="auto"/>
            </w:tcBorders>
            <w:noWrap/>
            <w:vAlign w:val="center"/>
            <w:hideMark/>
          </w:tcPr>
          <w:p w:rsidR="00906AFB" w:rsidRPr="0087733B" w:rsidRDefault="00906AFB" w:rsidP="0087733B">
            <w:pPr>
              <w:spacing w:after="0" w:line="240" w:lineRule="auto"/>
              <w:jc w:val="right"/>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116,193</w:t>
            </w:r>
          </w:p>
        </w:tc>
      </w:tr>
      <w:tr w:rsidR="00906AF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tcPr>
          <w:p w:rsidR="00906AFB" w:rsidRPr="0087733B" w:rsidRDefault="00906AFB" w:rsidP="0087733B">
            <w:pPr>
              <w:spacing w:after="0" w:line="240" w:lineRule="auto"/>
              <w:jc w:val="center"/>
              <w:rPr>
                <w:rFonts w:ascii="Arial" w:eastAsia="Times New Roman" w:hAnsi="Arial" w:cs="Arial"/>
                <w:color w:val="000000"/>
                <w:sz w:val="18"/>
                <w:szCs w:val="18"/>
                <w:lang w:val="es-ES" w:eastAsia="es-ES"/>
              </w:rPr>
            </w:pPr>
          </w:p>
        </w:tc>
        <w:tc>
          <w:tcPr>
            <w:tcW w:w="5969" w:type="dxa"/>
            <w:tcBorders>
              <w:top w:val="nil"/>
              <w:left w:val="nil"/>
              <w:bottom w:val="single" w:sz="4" w:space="0" w:color="auto"/>
              <w:right w:val="single" w:sz="4" w:space="0" w:color="auto"/>
            </w:tcBorders>
            <w:vAlign w:val="center"/>
            <w:hideMark/>
          </w:tcPr>
          <w:p w:rsidR="00906AFB" w:rsidRPr="0087733B" w:rsidRDefault="00906AF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El Buen Samaritano de Tecomán, I.A.P.</w:t>
            </w:r>
          </w:p>
        </w:tc>
        <w:tc>
          <w:tcPr>
            <w:tcW w:w="1440" w:type="dxa"/>
            <w:tcBorders>
              <w:top w:val="nil"/>
              <w:left w:val="nil"/>
              <w:bottom w:val="single" w:sz="4" w:space="0" w:color="auto"/>
              <w:right w:val="single" w:sz="4" w:space="0" w:color="auto"/>
            </w:tcBorders>
            <w:noWrap/>
            <w:vAlign w:val="center"/>
            <w:hideMark/>
          </w:tcPr>
          <w:p w:rsidR="00906AFB" w:rsidRPr="0087733B" w:rsidRDefault="00906AFB" w:rsidP="0087733B">
            <w:pPr>
              <w:spacing w:after="0" w:line="240" w:lineRule="auto"/>
              <w:jc w:val="right"/>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116,987</w:t>
            </w:r>
          </w:p>
        </w:tc>
      </w:tr>
      <w:tr w:rsidR="00906AF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tcPr>
          <w:p w:rsidR="00906AFB" w:rsidRPr="0087733B" w:rsidRDefault="00906AFB" w:rsidP="0087733B">
            <w:pPr>
              <w:spacing w:after="0" w:line="240" w:lineRule="auto"/>
              <w:jc w:val="center"/>
              <w:rPr>
                <w:rFonts w:ascii="Arial" w:eastAsia="Times New Roman" w:hAnsi="Arial" w:cs="Arial"/>
                <w:color w:val="000000"/>
                <w:sz w:val="18"/>
                <w:szCs w:val="18"/>
                <w:lang w:val="es-ES" w:eastAsia="es-ES"/>
              </w:rPr>
            </w:pPr>
          </w:p>
        </w:tc>
        <w:tc>
          <w:tcPr>
            <w:tcW w:w="5969" w:type="dxa"/>
            <w:tcBorders>
              <w:top w:val="nil"/>
              <w:left w:val="nil"/>
              <w:bottom w:val="single" w:sz="4" w:space="0" w:color="auto"/>
              <w:right w:val="single" w:sz="4" w:space="0" w:color="auto"/>
            </w:tcBorders>
            <w:vAlign w:val="center"/>
            <w:hideMark/>
          </w:tcPr>
          <w:p w:rsidR="00906AFB" w:rsidRPr="0087733B" w:rsidRDefault="00906AF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Casa Hogar para Menores Liborio Espinoza, I.A.P.</w:t>
            </w:r>
          </w:p>
        </w:tc>
        <w:tc>
          <w:tcPr>
            <w:tcW w:w="1440" w:type="dxa"/>
            <w:tcBorders>
              <w:top w:val="nil"/>
              <w:left w:val="nil"/>
              <w:bottom w:val="single" w:sz="4" w:space="0" w:color="auto"/>
              <w:right w:val="single" w:sz="4" w:space="0" w:color="auto"/>
            </w:tcBorders>
            <w:noWrap/>
            <w:vAlign w:val="center"/>
            <w:hideMark/>
          </w:tcPr>
          <w:p w:rsidR="00906AFB" w:rsidRPr="0087733B" w:rsidRDefault="0087733B" w:rsidP="0087733B">
            <w:pPr>
              <w:spacing w:after="0" w:line="240" w:lineRule="auto"/>
              <w:jc w:val="right"/>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123,000</w:t>
            </w:r>
          </w:p>
        </w:tc>
      </w:tr>
      <w:tr w:rsidR="00906AF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tcPr>
          <w:p w:rsidR="00906AFB" w:rsidRPr="0087733B" w:rsidRDefault="00906AFB" w:rsidP="0087733B">
            <w:pPr>
              <w:spacing w:after="0" w:line="240" w:lineRule="auto"/>
              <w:jc w:val="center"/>
              <w:rPr>
                <w:rFonts w:ascii="Arial" w:eastAsia="Times New Roman" w:hAnsi="Arial" w:cs="Arial"/>
                <w:color w:val="000000"/>
                <w:sz w:val="18"/>
                <w:szCs w:val="18"/>
                <w:lang w:val="es-ES" w:eastAsia="es-ES"/>
              </w:rPr>
            </w:pPr>
          </w:p>
        </w:tc>
        <w:tc>
          <w:tcPr>
            <w:tcW w:w="5969" w:type="dxa"/>
            <w:tcBorders>
              <w:top w:val="nil"/>
              <w:left w:val="nil"/>
              <w:bottom w:val="single" w:sz="4" w:space="0" w:color="auto"/>
              <w:right w:val="single" w:sz="4" w:space="0" w:color="auto"/>
            </w:tcBorders>
            <w:vAlign w:val="center"/>
            <w:hideMark/>
          </w:tcPr>
          <w:p w:rsidR="00906AFB" w:rsidRPr="0087733B" w:rsidRDefault="00906AF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Centro de Rehabilitación Vive Hoy, I.A.P.</w:t>
            </w:r>
          </w:p>
        </w:tc>
        <w:tc>
          <w:tcPr>
            <w:tcW w:w="1440" w:type="dxa"/>
            <w:tcBorders>
              <w:top w:val="nil"/>
              <w:left w:val="nil"/>
              <w:bottom w:val="single" w:sz="4" w:space="0" w:color="auto"/>
              <w:right w:val="single" w:sz="4" w:space="0" w:color="auto"/>
            </w:tcBorders>
            <w:noWrap/>
            <w:vAlign w:val="center"/>
            <w:hideMark/>
          </w:tcPr>
          <w:p w:rsidR="00906AFB" w:rsidRPr="0087733B" w:rsidRDefault="00906AFB" w:rsidP="0087733B">
            <w:pPr>
              <w:spacing w:after="0" w:line="240" w:lineRule="auto"/>
              <w:jc w:val="right"/>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91,918</w:t>
            </w:r>
          </w:p>
        </w:tc>
      </w:tr>
      <w:tr w:rsidR="00906AF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tcPr>
          <w:p w:rsidR="00906AFB" w:rsidRPr="0087733B" w:rsidRDefault="00906AFB" w:rsidP="0087733B">
            <w:pPr>
              <w:spacing w:after="0" w:line="240" w:lineRule="auto"/>
              <w:jc w:val="center"/>
              <w:rPr>
                <w:rFonts w:ascii="Arial" w:eastAsia="Times New Roman" w:hAnsi="Arial" w:cs="Arial"/>
                <w:color w:val="000000"/>
                <w:sz w:val="18"/>
                <w:szCs w:val="18"/>
                <w:lang w:val="es-ES" w:eastAsia="es-ES"/>
              </w:rPr>
            </w:pPr>
          </w:p>
        </w:tc>
        <w:tc>
          <w:tcPr>
            <w:tcW w:w="5969" w:type="dxa"/>
            <w:tcBorders>
              <w:top w:val="nil"/>
              <w:left w:val="nil"/>
              <w:bottom w:val="single" w:sz="4" w:space="0" w:color="auto"/>
              <w:right w:val="single" w:sz="4" w:space="0" w:color="auto"/>
            </w:tcBorders>
            <w:vAlign w:val="center"/>
            <w:hideMark/>
          </w:tcPr>
          <w:p w:rsidR="00906AFB" w:rsidRPr="0087733B" w:rsidRDefault="00906AF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Asociación Colimense de Lucha contra Cáncer, I.A.P</w:t>
            </w:r>
          </w:p>
        </w:tc>
        <w:tc>
          <w:tcPr>
            <w:tcW w:w="1440" w:type="dxa"/>
            <w:tcBorders>
              <w:top w:val="nil"/>
              <w:left w:val="nil"/>
              <w:bottom w:val="single" w:sz="4" w:space="0" w:color="auto"/>
              <w:right w:val="single" w:sz="4" w:space="0" w:color="auto"/>
            </w:tcBorders>
            <w:noWrap/>
            <w:vAlign w:val="center"/>
            <w:hideMark/>
          </w:tcPr>
          <w:p w:rsidR="00906AFB" w:rsidRPr="0087733B" w:rsidRDefault="00906AFB" w:rsidP="0087733B">
            <w:pPr>
              <w:spacing w:after="0" w:line="240" w:lineRule="auto"/>
              <w:jc w:val="right"/>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40,235</w:t>
            </w:r>
          </w:p>
        </w:tc>
      </w:tr>
      <w:tr w:rsidR="00906AF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tcPr>
          <w:p w:rsidR="00906AFB" w:rsidRPr="0087733B" w:rsidRDefault="00906AFB" w:rsidP="0087733B">
            <w:pPr>
              <w:spacing w:after="0" w:line="240" w:lineRule="auto"/>
              <w:jc w:val="center"/>
              <w:rPr>
                <w:rFonts w:ascii="Arial" w:eastAsia="Times New Roman" w:hAnsi="Arial" w:cs="Arial"/>
                <w:color w:val="000000"/>
                <w:sz w:val="18"/>
                <w:szCs w:val="18"/>
                <w:lang w:val="es-ES" w:eastAsia="es-ES"/>
              </w:rPr>
            </w:pPr>
          </w:p>
        </w:tc>
        <w:tc>
          <w:tcPr>
            <w:tcW w:w="5969" w:type="dxa"/>
            <w:tcBorders>
              <w:top w:val="nil"/>
              <w:left w:val="nil"/>
              <w:bottom w:val="single" w:sz="4" w:space="0" w:color="auto"/>
              <w:right w:val="single" w:sz="4" w:space="0" w:color="auto"/>
            </w:tcBorders>
            <w:vAlign w:val="center"/>
            <w:hideMark/>
          </w:tcPr>
          <w:p w:rsidR="00906AFB" w:rsidRPr="0087733B" w:rsidRDefault="00906AF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Casa Hogar para Mamás Solteras Rita Ruiz Velasco, I.A.P.</w:t>
            </w:r>
          </w:p>
        </w:tc>
        <w:tc>
          <w:tcPr>
            <w:tcW w:w="1440" w:type="dxa"/>
            <w:tcBorders>
              <w:top w:val="nil"/>
              <w:left w:val="nil"/>
              <w:bottom w:val="single" w:sz="4" w:space="0" w:color="auto"/>
              <w:right w:val="single" w:sz="4" w:space="0" w:color="auto"/>
            </w:tcBorders>
            <w:noWrap/>
            <w:vAlign w:val="center"/>
            <w:hideMark/>
          </w:tcPr>
          <w:p w:rsidR="00906AFB" w:rsidRPr="0087733B" w:rsidRDefault="00906AFB" w:rsidP="0087733B">
            <w:pPr>
              <w:spacing w:after="0" w:line="240" w:lineRule="auto"/>
              <w:jc w:val="right"/>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91,172</w:t>
            </w:r>
          </w:p>
        </w:tc>
      </w:tr>
      <w:tr w:rsidR="00906AF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tcPr>
          <w:p w:rsidR="00906AFB" w:rsidRPr="0087733B" w:rsidRDefault="00906AFB" w:rsidP="0087733B">
            <w:pPr>
              <w:spacing w:after="0" w:line="240" w:lineRule="auto"/>
              <w:jc w:val="center"/>
              <w:rPr>
                <w:rFonts w:ascii="Arial" w:eastAsia="Times New Roman" w:hAnsi="Arial" w:cs="Arial"/>
                <w:color w:val="000000"/>
                <w:sz w:val="18"/>
                <w:szCs w:val="18"/>
                <w:lang w:val="es-ES" w:eastAsia="es-ES"/>
              </w:rPr>
            </w:pPr>
          </w:p>
        </w:tc>
        <w:tc>
          <w:tcPr>
            <w:tcW w:w="5969" w:type="dxa"/>
            <w:tcBorders>
              <w:top w:val="nil"/>
              <w:left w:val="nil"/>
              <w:bottom w:val="single" w:sz="4" w:space="0" w:color="auto"/>
              <w:right w:val="single" w:sz="4" w:space="0" w:color="auto"/>
            </w:tcBorders>
            <w:vAlign w:val="center"/>
            <w:hideMark/>
          </w:tcPr>
          <w:p w:rsidR="00906AFB" w:rsidRPr="0087733B" w:rsidRDefault="00906AF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Grupo Prevención de Adicciones Por un Despertar a la vida, I.A.P.</w:t>
            </w:r>
          </w:p>
        </w:tc>
        <w:tc>
          <w:tcPr>
            <w:tcW w:w="1440" w:type="dxa"/>
            <w:tcBorders>
              <w:top w:val="nil"/>
              <w:left w:val="nil"/>
              <w:bottom w:val="single" w:sz="4" w:space="0" w:color="auto"/>
              <w:right w:val="single" w:sz="4" w:space="0" w:color="auto"/>
            </w:tcBorders>
            <w:noWrap/>
            <w:vAlign w:val="center"/>
            <w:hideMark/>
          </w:tcPr>
          <w:p w:rsidR="00906AFB" w:rsidRPr="0087733B" w:rsidRDefault="00906AFB" w:rsidP="0087733B">
            <w:pPr>
              <w:spacing w:after="0" w:line="240" w:lineRule="auto"/>
              <w:jc w:val="right"/>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56,329</w:t>
            </w:r>
          </w:p>
        </w:tc>
      </w:tr>
      <w:tr w:rsidR="00906AF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tcPr>
          <w:p w:rsidR="00906AFB" w:rsidRPr="0087733B" w:rsidRDefault="00906AFB" w:rsidP="0087733B">
            <w:pPr>
              <w:spacing w:after="0" w:line="240" w:lineRule="auto"/>
              <w:jc w:val="center"/>
              <w:rPr>
                <w:rFonts w:ascii="Arial" w:eastAsia="Times New Roman" w:hAnsi="Arial" w:cs="Arial"/>
                <w:color w:val="000000"/>
                <w:sz w:val="18"/>
                <w:szCs w:val="18"/>
                <w:lang w:val="es-ES" w:eastAsia="es-ES"/>
              </w:rPr>
            </w:pPr>
          </w:p>
        </w:tc>
        <w:tc>
          <w:tcPr>
            <w:tcW w:w="5969" w:type="dxa"/>
            <w:tcBorders>
              <w:top w:val="nil"/>
              <w:left w:val="nil"/>
              <w:bottom w:val="single" w:sz="4" w:space="0" w:color="auto"/>
              <w:right w:val="single" w:sz="4" w:space="0" w:color="auto"/>
            </w:tcBorders>
            <w:vAlign w:val="center"/>
            <w:hideMark/>
          </w:tcPr>
          <w:p w:rsidR="00906AFB" w:rsidRPr="0087733B" w:rsidRDefault="00906AF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Ventana de Esperanza, I.A.P.</w:t>
            </w:r>
          </w:p>
        </w:tc>
        <w:tc>
          <w:tcPr>
            <w:tcW w:w="1440" w:type="dxa"/>
            <w:tcBorders>
              <w:top w:val="nil"/>
              <w:left w:val="nil"/>
              <w:bottom w:val="single" w:sz="4" w:space="0" w:color="auto"/>
              <w:right w:val="single" w:sz="4" w:space="0" w:color="auto"/>
            </w:tcBorders>
            <w:noWrap/>
            <w:vAlign w:val="center"/>
            <w:hideMark/>
          </w:tcPr>
          <w:p w:rsidR="00906AFB" w:rsidRPr="0087733B" w:rsidRDefault="00906AFB" w:rsidP="0087733B">
            <w:pPr>
              <w:spacing w:after="0" w:line="240" w:lineRule="auto"/>
              <w:jc w:val="right"/>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37,241</w:t>
            </w:r>
          </w:p>
        </w:tc>
      </w:tr>
      <w:tr w:rsidR="00906AF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tcPr>
          <w:p w:rsidR="00906AFB" w:rsidRPr="0087733B" w:rsidRDefault="00906AFB" w:rsidP="0087733B">
            <w:pPr>
              <w:spacing w:after="0" w:line="240" w:lineRule="auto"/>
              <w:jc w:val="center"/>
              <w:rPr>
                <w:rFonts w:ascii="Arial" w:eastAsia="Times New Roman" w:hAnsi="Arial" w:cs="Arial"/>
                <w:color w:val="000000"/>
                <w:sz w:val="18"/>
                <w:szCs w:val="18"/>
                <w:lang w:val="es-ES" w:eastAsia="es-ES"/>
              </w:rPr>
            </w:pPr>
          </w:p>
        </w:tc>
        <w:tc>
          <w:tcPr>
            <w:tcW w:w="5969" w:type="dxa"/>
            <w:tcBorders>
              <w:top w:val="nil"/>
              <w:left w:val="nil"/>
              <w:bottom w:val="single" w:sz="4" w:space="0" w:color="auto"/>
              <w:right w:val="single" w:sz="4" w:space="0" w:color="auto"/>
            </w:tcBorders>
            <w:vAlign w:val="center"/>
            <w:hideMark/>
          </w:tcPr>
          <w:p w:rsidR="00906AFB" w:rsidRPr="0087733B" w:rsidRDefault="00906AF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Bruno Donamor´s, I.A.P.</w:t>
            </w:r>
          </w:p>
        </w:tc>
        <w:tc>
          <w:tcPr>
            <w:tcW w:w="1440" w:type="dxa"/>
            <w:tcBorders>
              <w:top w:val="nil"/>
              <w:left w:val="nil"/>
              <w:bottom w:val="single" w:sz="4" w:space="0" w:color="auto"/>
              <w:right w:val="single" w:sz="4" w:space="0" w:color="auto"/>
            </w:tcBorders>
            <w:noWrap/>
            <w:vAlign w:val="center"/>
            <w:hideMark/>
          </w:tcPr>
          <w:p w:rsidR="00906AFB" w:rsidRPr="0087733B" w:rsidRDefault="00906AFB" w:rsidP="0087733B">
            <w:pPr>
              <w:spacing w:after="0" w:line="240" w:lineRule="auto"/>
              <w:jc w:val="right"/>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57,241</w:t>
            </w:r>
          </w:p>
        </w:tc>
      </w:tr>
      <w:tr w:rsidR="00906AF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tcPr>
          <w:p w:rsidR="00906AFB" w:rsidRPr="0087733B" w:rsidRDefault="00906AFB" w:rsidP="0087733B">
            <w:pPr>
              <w:spacing w:after="0" w:line="240" w:lineRule="auto"/>
              <w:jc w:val="center"/>
              <w:rPr>
                <w:rFonts w:ascii="Arial" w:eastAsia="Times New Roman" w:hAnsi="Arial" w:cs="Arial"/>
                <w:color w:val="000000"/>
                <w:sz w:val="18"/>
                <w:szCs w:val="18"/>
                <w:lang w:val="es-ES" w:eastAsia="es-ES"/>
              </w:rPr>
            </w:pPr>
          </w:p>
        </w:tc>
        <w:tc>
          <w:tcPr>
            <w:tcW w:w="5969" w:type="dxa"/>
            <w:tcBorders>
              <w:top w:val="nil"/>
              <w:left w:val="nil"/>
              <w:bottom w:val="single" w:sz="4" w:space="0" w:color="auto"/>
              <w:right w:val="single" w:sz="4" w:space="0" w:color="auto"/>
            </w:tcBorders>
            <w:vAlign w:val="center"/>
            <w:hideMark/>
          </w:tcPr>
          <w:p w:rsidR="00906AFB" w:rsidRPr="0087733B" w:rsidRDefault="00906AF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Asociación Manzanillense de Apoyo a Sordos, I.A.P.</w:t>
            </w:r>
          </w:p>
        </w:tc>
        <w:tc>
          <w:tcPr>
            <w:tcW w:w="1440" w:type="dxa"/>
            <w:tcBorders>
              <w:top w:val="nil"/>
              <w:left w:val="nil"/>
              <w:bottom w:val="single" w:sz="4" w:space="0" w:color="auto"/>
              <w:right w:val="single" w:sz="4" w:space="0" w:color="auto"/>
            </w:tcBorders>
            <w:noWrap/>
            <w:vAlign w:val="center"/>
            <w:hideMark/>
          </w:tcPr>
          <w:p w:rsidR="00906AFB" w:rsidRPr="0087733B" w:rsidRDefault="00906AFB" w:rsidP="0087733B">
            <w:pPr>
              <w:spacing w:after="0" w:line="240" w:lineRule="auto"/>
              <w:jc w:val="right"/>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64,896</w:t>
            </w:r>
          </w:p>
        </w:tc>
      </w:tr>
      <w:tr w:rsidR="00906AF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tcPr>
          <w:p w:rsidR="00906AFB" w:rsidRPr="0087733B" w:rsidRDefault="00906AFB" w:rsidP="0087733B">
            <w:pPr>
              <w:spacing w:after="0" w:line="240" w:lineRule="auto"/>
              <w:jc w:val="center"/>
              <w:rPr>
                <w:rFonts w:ascii="Arial" w:eastAsia="Times New Roman" w:hAnsi="Arial" w:cs="Arial"/>
                <w:color w:val="000000"/>
                <w:sz w:val="18"/>
                <w:szCs w:val="18"/>
                <w:lang w:val="es-ES" w:eastAsia="es-ES"/>
              </w:rPr>
            </w:pPr>
          </w:p>
        </w:tc>
        <w:tc>
          <w:tcPr>
            <w:tcW w:w="5969" w:type="dxa"/>
            <w:tcBorders>
              <w:top w:val="nil"/>
              <w:left w:val="nil"/>
              <w:bottom w:val="single" w:sz="4" w:space="0" w:color="auto"/>
              <w:right w:val="single" w:sz="4" w:space="0" w:color="auto"/>
            </w:tcBorders>
            <w:vAlign w:val="center"/>
            <w:hideMark/>
          </w:tcPr>
          <w:p w:rsidR="00906AFB" w:rsidRPr="0087733B" w:rsidRDefault="00906AF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Mira por la Vida. I.A.P.</w:t>
            </w:r>
          </w:p>
        </w:tc>
        <w:tc>
          <w:tcPr>
            <w:tcW w:w="1440" w:type="dxa"/>
            <w:tcBorders>
              <w:top w:val="nil"/>
              <w:left w:val="nil"/>
              <w:bottom w:val="single" w:sz="4" w:space="0" w:color="auto"/>
              <w:right w:val="single" w:sz="4" w:space="0" w:color="auto"/>
            </w:tcBorders>
            <w:noWrap/>
            <w:vAlign w:val="center"/>
            <w:hideMark/>
          </w:tcPr>
          <w:p w:rsidR="00906AFB" w:rsidRPr="0087733B" w:rsidRDefault="00906AFB" w:rsidP="0087733B">
            <w:pPr>
              <w:spacing w:after="0" w:line="240" w:lineRule="auto"/>
              <w:jc w:val="right"/>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45,427</w:t>
            </w:r>
          </w:p>
        </w:tc>
      </w:tr>
      <w:tr w:rsidR="00906AF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tcPr>
          <w:p w:rsidR="00906AFB" w:rsidRPr="0087733B" w:rsidRDefault="00906AFB" w:rsidP="0087733B">
            <w:pPr>
              <w:spacing w:after="0" w:line="240" w:lineRule="auto"/>
              <w:jc w:val="center"/>
              <w:rPr>
                <w:rFonts w:ascii="Arial" w:eastAsia="Times New Roman" w:hAnsi="Arial" w:cs="Arial"/>
                <w:color w:val="000000"/>
                <w:sz w:val="18"/>
                <w:szCs w:val="18"/>
                <w:lang w:val="es-ES" w:eastAsia="es-ES"/>
              </w:rPr>
            </w:pPr>
          </w:p>
        </w:tc>
        <w:tc>
          <w:tcPr>
            <w:tcW w:w="5969" w:type="dxa"/>
            <w:tcBorders>
              <w:top w:val="nil"/>
              <w:left w:val="nil"/>
              <w:bottom w:val="single" w:sz="4" w:space="0" w:color="auto"/>
              <w:right w:val="single" w:sz="4" w:space="0" w:color="auto"/>
            </w:tcBorders>
            <w:vAlign w:val="center"/>
            <w:hideMark/>
          </w:tcPr>
          <w:p w:rsidR="00906AFB" w:rsidRPr="0087733B" w:rsidRDefault="00906AF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Fundación Carolita Gaitán, IAP.</w:t>
            </w:r>
          </w:p>
        </w:tc>
        <w:tc>
          <w:tcPr>
            <w:tcW w:w="1440" w:type="dxa"/>
            <w:tcBorders>
              <w:top w:val="nil"/>
              <w:left w:val="nil"/>
              <w:bottom w:val="single" w:sz="4" w:space="0" w:color="auto"/>
              <w:right w:val="single" w:sz="4" w:space="0" w:color="auto"/>
            </w:tcBorders>
            <w:noWrap/>
            <w:vAlign w:val="center"/>
            <w:hideMark/>
          </w:tcPr>
          <w:p w:rsidR="00906AFB" w:rsidRPr="0087733B" w:rsidRDefault="00906AFB" w:rsidP="0087733B">
            <w:pPr>
              <w:spacing w:after="0" w:line="240" w:lineRule="auto"/>
              <w:jc w:val="right"/>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45,427</w:t>
            </w:r>
          </w:p>
        </w:tc>
      </w:tr>
      <w:tr w:rsidR="00906AF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tcPr>
          <w:p w:rsidR="00906AFB" w:rsidRPr="0087733B" w:rsidRDefault="00906AFB" w:rsidP="0087733B">
            <w:pPr>
              <w:spacing w:after="0" w:line="240" w:lineRule="auto"/>
              <w:jc w:val="center"/>
              <w:rPr>
                <w:rFonts w:ascii="Arial" w:eastAsia="Times New Roman" w:hAnsi="Arial" w:cs="Arial"/>
                <w:color w:val="000000"/>
                <w:sz w:val="18"/>
                <w:szCs w:val="18"/>
                <w:lang w:val="es-ES" w:eastAsia="es-ES"/>
              </w:rPr>
            </w:pPr>
          </w:p>
        </w:tc>
        <w:tc>
          <w:tcPr>
            <w:tcW w:w="5969" w:type="dxa"/>
            <w:tcBorders>
              <w:top w:val="nil"/>
              <w:left w:val="nil"/>
              <w:bottom w:val="single" w:sz="4" w:space="0" w:color="auto"/>
              <w:right w:val="single" w:sz="4" w:space="0" w:color="auto"/>
            </w:tcBorders>
            <w:vAlign w:val="center"/>
            <w:hideMark/>
          </w:tcPr>
          <w:p w:rsidR="00906AFB" w:rsidRPr="0087733B" w:rsidRDefault="00906AF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Razón y Corazón, I.A.P.</w:t>
            </w:r>
          </w:p>
        </w:tc>
        <w:tc>
          <w:tcPr>
            <w:tcW w:w="1440" w:type="dxa"/>
            <w:tcBorders>
              <w:top w:val="nil"/>
              <w:left w:val="nil"/>
              <w:bottom w:val="single" w:sz="4" w:space="0" w:color="auto"/>
              <w:right w:val="single" w:sz="4" w:space="0" w:color="auto"/>
            </w:tcBorders>
            <w:noWrap/>
            <w:vAlign w:val="center"/>
            <w:hideMark/>
          </w:tcPr>
          <w:p w:rsidR="00906AFB" w:rsidRPr="0087733B" w:rsidRDefault="00906AFB" w:rsidP="0087733B">
            <w:pPr>
              <w:spacing w:after="0" w:line="240" w:lineRule="auto"/>
              <w:jc w:val="right"/>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90,000</w:t>
            </w:r>
          </w:p>
        </w:tc>
      </w:tr>
      <w:tr w:rsidR="00906AF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tcPr>
          <w:p w:rsidR="00906AFB" w:rsidRPr="0087733B" w:rsidRDefault="00906AFB" w:rsidP="0087733B">
            <w:pPr>
              <w:spacing w:after="0" w:line="240" w:lineRule="auto"/>
              <w:jc w:val="center"/>
              <w:rPr>
                <w:rFonts w:ascii="Arial" w:eastAsia="Times New Roman" w:hAnsi="Arial" w:cs="Arial"/>
                <w:color w:val="000000"/>
                <w:sz w:val="18"/>
                <w:szCs w:val="18"/>
                <w:lang w:val="es-ES" w:eastAsia="es-ES"/>
              </w:rPr>
            </w:pPr>
          </w:p>
        </w:tc>
        <w:tc>
          <w:tcPr>
            <w:tcW w:w="5969" w:type="dxa"/>
            <w:tcBorders>
              <w:top w:val="nil"/>
              <w:left w:val="nil"/>
              <w:bottom w:val="single" w:sz="4" w:space="0" w:color="auto"/>
              <w:right w:val="single" w:sz="4" w:space="0" w:color="auto"/>
            </w:tcBorders>
            <w:vAlign w:val="center"/>
            <w:hideMark/>
          </w:tcPr>
          <w:p w:rsidR="00906AFB" w:rsidRPr="0087733B" w:rsidRDefault="00906AF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Cadena de Favores, I.A.P.</w:t>
            </w:r>
          </w:p>
        </w:tc>
        <w:tc>
          <w:tcPr>
            <w:tcW w:w="1440" w:type="dxa"/>
            <w:tcBorders>
              <w:top w:val="nil"/>
              <w:left w:val="nil"/>
              <w:bottom w:val="single" w:sz="4" w:space="0" w:color="auto"/>
              <w:right w:val="single" w:sz="4" w:space="0" w:color="auto"/>
            </w:tcBorders>
            <w:noWrap/>
            <w:vAlign w:val="center"/>
            <w:hideMark/>
          </w:tcPr>
          <w:p w:rsidR="00906AFB" w:rsidRPr="0087733B" w:rsidRDefault="00906AFB" w:rsidP="0087733B">
            <w:pPr>
              <w:spacing w:after="0" w:line="240" w:lineRule="auto"/>
              <w:jc w:val="right"/>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60,000</w:t>
            </w:r>
          </w:p>
        </w:tc>
      </w:tr>
      <w:tr w:rsidR="00906AFB" w:rsidRPr="00906AFB" w:rsidTr="0087733B">
        <w:trPr>
          <w:trHeight w:val="283"/>
        </w:trPr>
        <w:tc>
          <w:tcPr>
            <w:tcW w:w="751" w:type="dxa"/>
            <w:tcBorders>
              <w:top w:val="nil"/>
              <w:left w:val="single" w:sz="4" w:space="0" w:color="auto"/>
              <w:bottom w:val="single" w:sz="4" w:space="0" w:color="auto"/>
              <w:right w:val="single" w:sz="4" w:space="0" w:color="auto"/>
            </w:tcBorders>
            <w:noWrap/>
            <w:vAlign w:val="center"/>
          </w:tcPr>
          <w:p w:rsidR="00906AFB" w:rsidRPr="0087733B" w:rsidRDefault="00906AFB" w:rsidP="0087733B">
            <w:pPr>
              <w:spacing w:after="0" w:line="240" w:lineRule="auto"/>
              <w:jc w:val="center"/>
              <w:rPr>
                <w:rFonts w:ascii="Arial" w:eastAsia="Times New Roman" w:hAnsi="Arial" w:cs="Arial"/>
                <w:color w:val="000000"/>
                <w:sz w:val="18"/>
                <w:szCs w:val="18"/>
                <w:lang w:val="es-ES" w:eastAsia="es-ES"/>
              </w:rPr>
            </w:pPr>
          </w:p>
        </w:tc>
        <w:tc>
          <w:tcPr>
            <w:tcW w:w="5969" w:type="dxa"/>
            <w:tcBorders>
              <w:top w:val="nil"/>
              <w:left w:val="nil"/>
              <w:bottom w:val="single" w:sz="4" w:space="0" w:color="auto"/>
              <w:right w:val="single" w:sz="4" w:space="0" w:color="auto"/>
            </w:tcBorders>
            <w:vAlign w:val="center"/>
            <w:hideMark/>
          </w:tcPr>
          <w:p w:rsidR="00906AFB" w:rsidRPr="0087733B" w:rsidRDefault="00906AFB" w:rsidP="0087733B">
            <w:pPr>
              <w:spacing w:after="0" w:line="240" w:lineRule="auto"/>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Patronato Madre de la Caridad de Quesería, I.A.P.</w:t>
            </w:r>
          </w:p>
        </w:tc>
        <w:tc>
          <w:tcPr>
            <w:tcW w:w="1440" w:type="dxa"/>
            <w:tcBorders>
              <w:top w:val="nil"/>
              <w:left w:val="nil"/>
              <w:bottom w:val="single" w:sz="4" w:space="0" w:color="auto"/>
              <w:right w:val="single" w:sz="4" w:space="0" w:color="auto"/>
            </w:tcBorders>
            <w:noWrap/>
            <w:vAlign w:val="center"/>
            <w:hideMark/>
          </w:tcPr>
          <w:p w:rsidR="00906AFB" w:rsidRPr="0087733B" w:rsidRDefault="00906AFB" w:rsidP="0087733B">
            <w:pPr>
              <w:spacing w:after="0" w:line="240" w:lineRule="auto"/>
              <w:jc w:val="right"/>
              <w:rPr>
                <w:rFonts w:ascii="Arial" w:eastAsia="Times New Roman" w:hAnsi="Arial" w:cs="Arial"/>
                <w:color w:val="000000"/>
                <w:sz w:val="18"/>
                <w:szCs w:val="18"/>
                <w:lang w:val="es-ES" w:eastAsia="es-ES"/>
              </w:rPr>
            </w:pPr>
            <w:r w:rsidRPr="0087733B">
              <w:rPr>
                <w:rFonts w:ascii="Arial" w:eastAsia="Times New Roman" w:hAnsi="Arial" w:cs="Arial"/>
                <w:color w:val="000000"/>
                <w:sz w:val="18"/>
                <w:szCs w:val="18"/>
                <w:lang w:val="es-ES" w:eastAsia="es-ES"/>
              </w:rPr>
              <w:t>45,428</w:t>
            </w:r>
          </w:p>
        </w:tc>
      </w:tr>
    </w:tbl>
    <w:p w:rsidR="00906AFB" w:rsidRPr="00906AFB" w:rsidRDefault="00906AFB" w:rsidP="00906AFB">
      <w:pPr>
        <w:spacing w:after="0" w:line="240" w:lineRule="auto"/>
        <w:rPr>
          <w:rFonts w:ascii="Colaborate-Regular" w:eastAsia="Calibri" w:hAnsi="Colaborate-Regular" w:cs="Times New Roman"/>
          <w:sz w:val="20"/>
          <w:lang w:eastAsia="en-US"/>
        </w:rPr>
      </w:pPr>
    </w:p>
    <w:p w:rsidR="00906AFB" w:rsidRPr="00906AFB" w:rsidRDefault="00906AFB" w:rsidP="00906AFB">
      <w:pPr>
        <w:spacing w:after="0" w:line="240" w:lineRule="auto"/>
        <w:jc w:val="both"/>
        <w:rPr>
          <w:rFonts w:ascii="Arial" w:eastAsia="Calibri" w:hAnsi="Arial" w:cs="Arial"/>
          <w:sz w:val="24"/>
          <w:szCs w:val="24"/>
          <w:lang w:eastAsia="en-US"/>
        </w:rPr>
      </w:pPr>
      <w:r w:rsidRPr="00906AFB">
        <w:rPr>
          <w:rFonts w:ascii="Arial" w:eastAsia="Calibri" w:hAnsi="Arial" w:cs="Arial"/>
          <w:b/>
          <w:sz w:val="24"/>
          <w:szCs w:val="24"/>
          <w:lang w:eastAsia="en-US"/>
        </w:rPr>
        <w:t>Artículo 23</w:t>
      </w:r>
      <w:r w:rsidRPr="00906AFB">
        <w:rPr>
          <w:rFonts w:ascii="Arial" w:eastAsia="Calibri" w:hAnsi="Arial" w:cs="Arial"/>
          <w:sz w:val="24"/>
          <w:szCs w:val="24"/>
          <w:lang w:eastAsia="en-US"/>
        </w:rPr>
        <w:t>. En cumplimiento a lo dispuesto por el artículo 9 y Quinto Transitorio de la Ley de Disciplina Financiera, las previsiones para atender desastres naturales y otros siniestros se distribuyen de la siguiente forma:</w:t>
      </w:r>
    </w:p>
    <w:p w:rsidR="00906AFB" w:rsidRPr="00906AFB" w:rsidRDefault="00906AFB" w:rsidP="00906AFB">
      <w:pPr>
        <w:spacing w:after="0" w:line="240" w:lineRule="auto"/>
        <w:jc w:val="both"/>
        <w:rPr>
          <w:rFonts w:ascii="Arial" w:eastAsia="Calibri" w:hAnsi="Arial" w:cs="Arial"/>
          <w:sz w:val="24"/>
          <w:szCs w:val="24"/>
          <w:lang w:eastAsia="en-US"/>
        </w:rPr>
      </w:pPr>
    </w:p>
    <w:p w:rsidR="00906AFB" w:rsidRPr="00906AFB" w:rsidRDefault="00906AFB" w:rsidP="00906AFB">
      <w:pPr>
        <w:keepNext/>
        <w:keepLines/>
        <w:spacing w:after="0" w:line="240" w:lineRule="auto"/>
        <w:jc w:val="center"/>
        <w:outlineLvl w:val="1"/>
        <w:rPr>
          <w:rFonts w:ascii="Arial" w:eastAsia="Times New Roman" w:hAnsi="Arial" w:cs="Times New Roman"/>
          <w:b/>
          <w:sz w:val="20"/>
          <w:szCs w:val="26"/>
          <w:lang w:val="es-ES" w:eastAsia="en-US"/>
        </w:rPr>
      </w:pPr>
      <w:r w:rsidRPr="00906AFB">
        <w:rPr>
          <w:rFonts w:ascii="Arial" w:eastAsia="Times New Roman" w:hAnsi="Arial" w:cs="Times New Roman"/>
          <w:b/>
          <w:sz w:val="20"/>
          <w:szCs w:val="26"/>
          <w:lang w:val="es-ES" w:eastAsia="en-US"/>
        </w:rPr>
        <w:t>Tabla 27. Previsiones para Atender Desastres Naturales y otros Siniestros</w:t>
      </w:r>
    </w:p>
    <w:tbl>
      <w:tblPr>
        <w:tblStyle w:val="Tablaconcuadrcula2"/>
        <w:tblW w:w="0" w:type="auto"/>
        <w:jc w:val="center"/>
        <w:tblInd w:w="0" w:type="dxa"/>
        <w:tblLook w:val="04A0" w:firstRow="1" w:lastRow="0" w:firstColumn="1" w:lastColumn="0" w:noHBand="0" w:noVBand="1"/>
      </w:tblPr>
      <w:tblGrid>
        <w:gridCol w:w="817"/>
        <w:gridCol w:w="5245"/>
        <w:gridCol w:w="1701"/>
      </w:tblGrid>
      <w:tr w:rsidR="00906AFB" w:rsidRPr="00906AFB" w:rsidTr="00906AFB">
        <w:trPr>
          <w:trHeight w:val="283"/>
          <w:jc w:val="center"/>
        </w:trPr>
        <w:tc>
          <w:tcPr>
            <w:tcW w:w="6062" w:type="dxa"/>
            <w:gridSpan w:val="2"/>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sz w:val="20"/>
              </w:rPr>
            </w:pPr>
            <w:r w:rsidRPr="00906AFB">
              <w:rPr>
                <w:rFonts w:ascii="Arial" w:hAnsi="Arial" w:cs="Arial"/>
                <w:b/>
                <w:sz w:val="20"/>
              </w:rPr>
              <w:t>Partida</w:t>
            </w:r>
          </w:p>
        </w:tc>
        <w:tc>
          <w:tcPr>
            <w:tcW w:w="1701"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sz w:val="20"/>
              </w:rPr>
            </w:pPr>
            <w:r w:rsidRPr="00906AFB">
              <w:rPr>
                <w:rFonts w:ascii="Arial" w:hAnsi="Arial" w:cs="Arial"/>
                <w:b/>
                <w:sz w:val="20"/>
              </w:rPr>
              <w:t>Asignación Presupuestal</w:t>
            </w:r>
          </w:p>
        </w:tc>
      </w:tr>
      <w:tr w:rsidR="00906AFB" w:rsidRPr="00906AFB" w:rsidTr="00CF4172">
        <w:trPr>
          <w:trHeight w:val="283"/>
          <w:jc w:val="center"/>
        </w:trPr>
        <w:tc>
          <w:tcPr>
            <w:tcW w:w="6062" w:type="dxa"/>
            <w:gridSpan w:val="2"/>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CF4172">
            <w:pPr>
              <w:rPr>
                <w:rFonts w:ascii="Arial" w:hAnsi="Arial" w:cs="Arial"/>
                <w:sz w:val="20"/>
              </w:rPr>
            </w:pPr>
            <w:r w:rsidRPr="00906AFB">
              <w:rPr>
                <w:rFonts w:ascii="Arial" w:hAnsi="Arial" w:cs="Arial"/>
                <w:sz w:val="20"/>
              </w:rPr>
              <w:t xml:space="preserve">Ayudas por Desastres Naturales y Otros Siniestros </w:t>
            </w:r>
          </w:p>
        </w:tc>
        <w:tc>
          <w:tcPr>
            <w:tcW w:w="1701" w:type="dxa"/>
            <w:tcBorders>
              <w:top w:val="single" w:sz="4" w:space="0" w:color="auto"/>
              <w:left w:val="single" w:sz="4" w:space="0" w:color="auto"/>
              <w:bottom w:val="single" w:sz="4" w:space="0" w:color="auto"/>
              <w:right w:val="single" w:sz="4" w:space="0" w:color="auto"/>
            </w:tcBorders>
            <w:vAlign w:val="center"/>
          </w:tcPr>
          <w:p w:rsidR="00906AFB" w:rsidRPr="00906AFB" w:rsidRDefault="00906AFB" w:rsidP="00906AFB">
            <w:pPr>
              <w:jc w:val="right"/>
              <w:rPr>
                <w:rFonts w:ascii="Arial" w:hAnsi="Arial" w:cs="Arial"/>
                <w:sz w:val="20"/>
              </w:rPr>
            </w:pPr>
          </w:p>
        </w:tc>
      </w:tr>
      <w:tr w:rsidR="00906AFB" w:rsidRPr="00906AFB" w:rsidTr="00CF4172">
        <w:trPr>
          <w:trHeight w:val="283"/>
          <w:jc w:val="center"/>
        </w:trPr>
        <w:tc>
          <w:tcPr>
            <w:tcW w:w="81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CF4172">
            <w:pPr>
              <w:rPr>
                <w:rFonts w:ascii="Arial" w:hAnsi="Arial" w:cs="Arial"/>
                <w:sz w:val="20"/>
              </w:rPr>
            </w:pPr>
            <w:r w:rsidRPr="00906AFB">
              <w:rPr>
                <w:rFonts w:ascii="Arial" w:hAnsi="Arial" w:cs="Arial"/>
                <w:sz w:val="20"/>
              </w:rPr>
              <w:t>44801</w:t>
            </w:r>
          </w:p>
        </w:tc>
        <w:tc>
          <w:tcPr>
            <w:tcW w:w="5245"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CF4172">
            <w:pPr>
              <w:rPr>
                <w:rFonts w:ascii="Arial" w:hAnsi="Arial" w:cs="Arial"/>
                <w:sz w:val="20"/>
              </w:rPr>
            </w:pPr>
            <w:r w:rsidRPr="00906AFB">
              <w:rPr>
                <w:rFonts w:ascii="Arial" w:hAnsi="Arial" w:cs="Arial"/>
                <w:sz w:val="20"/>
              </w:rPr>
              <w:t>Unidad Estatal de Protección Civil</w:t>
            </w:r>
          </w:p>
        </w:tc>
        <w:tc>
          <w:tcPr>
            <w:tcW w:w="1701"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20"/>
              </w:rPr>
            </w:pPr>
            <w:r w:rsidRPr="00906AFB">
              <w:rPr>
                <w:rFonts w:ascii="Arial" w:hAnsi="Arial" w:cs="Arial"/>
                <w:sz w:val="20"/>
              </w:rPr>
              <w:t>11,221,523</w:t>
            </w:r>
          </w:p>
        </w:tc>
      </w:tr>
      <w:tr w:rsidR="00906AFB" w:rsidRPr="00906AFB" w:rsidTr="00CF4172">
        <w:trPr>
          <w:trHeight w:val="283"/>
          <w:jc w:val="center"/>
        </w:trPr>
        <w:tc>
          <w:tcPr>
            <w:tcW w:w="81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CF4172">
            <w:pPr>
              <w:rPr>
                <w:rFonts w:ascii="Arial" w:hAnsi="Arial" w:cs="Arial"/>
                <w:sz w:val="20"/>
              </w:rPr>
            </w:pPr>
            <w:r w:rsidRPr="00906AFB">
              <w:rPr>
                <w:rFonts w:ascii="Arial" w:hAnsi="Arial" w:cs="Arial"/>
                <w:sz w:val="20"/>
              </w:rPr>
              <w:t>79101</w:t>
            </w:r>
          </w:p>
        </w:tc>
        <w:tc>
          <w:tcPr>
            <w:tcW w:w="5245"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CF4172">
            <w:pPr>
              <w:rPr>
                <w:rFonts w:ascii="Arial" w:hAnsi="Arial" w:cs="Arial"/>
                <w:sz w:val="20"/>
              </w:rPr>
            </w:pPr>
            <w:r w:rsidRPr="00906AFB">
              <w:rPr>
                <w:rFonts w:ascii="Arial" w:hAnsi="Arial" w:cs="Arial"/>
                <w:sz w:val="20"/>
              </w:rPr>
              <w:t>Fondo de Desastres Naturales</w:t>
            </w:r>
          </w:p>
        </w:tc>
        <w:tc>
          <w:tcPr>
            <w:tcW w:w="1701"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20"/>
              </w:rPr>
            </w:pPr>
            <w:r w:rsidRPr="00906AFB">
              <w:rPr>
                <w:rFonts w:ascii="Arial" w:hAnsi="Arial" w:cs="Arial"/>
                <w:sz w:val="20"/>
              </w:rPr>
              <w:t>26,354,000</w:t>
            </w:r>
          </w:p>
        </w:tc>
      </w:tr>
      <w:tr w:rsidR="00906AFB" w:rsidRPr="00906AFB" w:rsidTr="00906AFB">
        <w:trPr>
          <w:trHeight w:val="283"/>
          <w:jc w:val="center"/>
        </w:trPr>
        <w:tc>
          <w:tcPr>
            <w:tcW w:w="6062" w:type="dxa"/>
            <w:gridSpan w:val="2"/>
            <w:tcBorders>
              <w:top w:val="single" w:sz="4" w:space="0" w:color="auto"/>
              <w:left w:val="single" w:sz="4" w:space="0" w:color="auto"/>
              <w:bottom w:val="single" w:sz="4" w:space="0" w:color="auto"/>
              <w:right w:val="single" w:sz="4" w:space="0" w:color="auto"/>
            </w:tcBorders>
            <w:hideMark/>
          </w:tcPr>
          <w:p w:rsidR="00906AFB" w:rsidRPr="00906AFB" w:rsidRDefault="00906AFB" w:rsidP="00906AFB">
            <w:pPr>
              <w:jc w:val="center"/>
              <w:rPr>
                <w:rFonts w:ascii="Arial" w:hAnsi="Arial" w:cs="Arial"/>
                <w:b/>
                <w:sz w:val="20"/>
              </w:rPr>
            </w:pPr>
            <w:r w:rsidRPr="00906AFB">
              <w:rPr>
                <w:rFonts w:ascii="Arial" w:hAnsi="Arial" w:cs="Arial"/>
                <w:b/>
                <w:sz w:val="20"/>
              </w:rPr>
              <w:t>Total</w:t>
            </w:r>
          </w:p>
        </w:tc>
        <w:tc>
          <w:tcPr>
            <w:tcW w:w="1701"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b/>
                <w:sz w:val="20"/>
              </w:rPr>
            </w:pPr>
            <w:r w:rsidRPr="00906AFB">
              <w:rPr>
                <w:rFonts w:ascii="Arial" w:hAnsi="Arial" w:cs="Arial"/>
                <w:b/>
                <w:sz w:val="20"/>
              </w:rPr>
              <w:t>37,575,523</w:t>
            </w:r>
          </w:p>
        </w:tc>
      </w:tr>
    </w:tbl>
    <w:p w:rsidR="00906AFB" w:rsidRPr="00906AFB" w:rsidRDefault="00906AFB" w:rsidP="00906AFB">
      <w:pPr>
        <w:spacing w:after="0" w:line="240" w:lineRule="auto"/>
        <w:jc w:val="both"/>
        <w:rPr>
          <w:rFonts w:ascii="Arial" w:eastAsia="Calibri" w:hAnsi="Arial" w:cs="Arial"/>
          <w:sz w:val="24"/>
          <w:szCs w:val="24"/>
          <w:lang w:eastAsia="en-US"/>
        </w:rPr>
      </w:pPr>
    </w:p>
    <w:p w:rsidR="00906AFB" w:rsidRPr="00906AFB" w:rsidRDefault="00906AFB" w:rsidP="00906AFB">
      <w:pPr>
        <w:spacing w:after="0" w:line="240" w:lineRule="auto"/>
        <w:jc w:val="both"/>
        <w:rPr>
          <w:rFonts w:ascii="Arial" w:eastAsia="Calibri" w:hAnsi="Arial" w:cs="Arial"/>
          <w:sz w:val="24"/>
          <w:szCs w:val="24"/>
          <w:lang w:eastAsia="en-US"/>
        </w:rPr>
      </w:pPr>
      <w:r w:rsidRPr="00906AFB">
        <w:rPr>
          <w:rFonts w:ascii="Arial" w:eastAsia="Calibri" w:hAnsi="Arial" w:cs="Arial"/>
          <w:sz w:val="24"/>
          <w:szCs w:val="24"/>
          <w:lang w:eastAsia="en-US"/>
        </w:rPr>
        <w:t>La asignación presupuestal de $26,354,000 en la partida 71901 Fondo de Desastres Naturales, tiene como fin la aportación estatal al Fondo Nacional de Desastres Naturales (FONDEN) para atender a la población y a la infraestructura dañada en caso de desastres naturales. Para el ejercicio fiscal 2017, se optó por suscribir coordinadamente con los estados de Oaxaca e Hidalgo un convenio con Banobras, por medio del “Fideicomiso para la Contratación Conjunta de Seguros Catastróficos u Otros Instrumentos de Transferencias de Riesgos, para Entidades Federativas y Municipios”.</w:t>
      </w:r>
    </w:p>
    <w:p w:rsidR="00906AFB" w:rsidRPr="00906AFB" w:rsidRDefault="00906AFB" w:rsidP="00906AFB">
      <w:pPr>
        <w:spacing w:after="0" w:line="240" w:lineRule="auto"/>
        <w:jc w:val="both"/>
        <w:rPr>
          <w:rFonts w:ascii="Arial" w:eastAsia="Calibri" w:hAnsi="Arial" w:cs="Arial"/>
          <w:b/>
          <w:sz w:val="24"/>
          <w:szCs w:val="24"/>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b/>
          <w:sz w:val="24"/>
          <w:szCs w:val="24"/>
          <w:lang w:val="es-ES" w:eastAsia="en-US"/>
        </w:rPr>
        <w:t>Artículo 24</w:t>
      </w:r>
      <w:r w:rsidRPr="00906AFB">
        <w:rPr>
          <w:rFonts w:ascii="Arial" w:eastAsia="Calibri" w:hAnsi="Arial" w:cs="Arial"/>
          <w:sz w:val="24"/>
          <w:szCs w:val="24"/>
          <w:lang w:val="es-ES" w:eastAsia="en-US"/>
        </w:rPr>
        <w:t>. Para el ejercicio fiscal 2017, se prevén recursos para continuar subsidiando el Impuesto sobre Tenencia o Uso de Vehículos, estableciéndose  una asignación presupuestal de $230,024,280 para la partida 44101 Subsidio a la Tenencia.</w:t>
      </w:r>
    </w:p>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b/>
          <w:sz w:val="24"/>
          <w:szCs w:val="24"/>
          <w:lang w:val="es-ES" w:eastAsia="en-US"/>
        </w:rPr>
        <w:t>Artículo 25</w:t>
      </w:r>
      <w:r w:rsidRPr="00906AFB">
        <w:rPr>
          <w:rFonts w:ascii="Arial" w:eastAsia="Calibri" w:hAnsi="Arial" w:cs="Arial"/>
          <w:sz w:val="24"/>
          <w:szCs w:val="24"/>
          <w:lang w:val="es-ES" w:eastAsia="en-US"/>
        </w:rPr>
        <w:t>. La Secretaría podrá reducir, suspender o terminar las Transferencias y Subsidios cuando:</w:t>
      </w:r>
    </w:p>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Pr="00906AFB" w:rsidRDefault="00906AFB" w:rsidP="00F859A4">
      <w:pPr>
        <w:numPr>
          <w:ilvl w:val="0"/>
          <w:numId w:val="11"/>
        </w:numPr>
        <w:spacing w:before="120" w:after="0" w:line="240" w:lineRule="auto"/>
        <w:ind w:hanging="720"/>
        <w:contextualSpacing/>
        <w:jc w:val="both"/>
        <w:rPr>
          <w:rFonts w:ascii="Arial" w:eastAsia="Times New Roman" w:hAnsi="Arial" w:cs="Arial"/>
          <w:sz w:val="24"/>
          <w:szCs w:val="24"/>
        </w:rPr>
      </w:pPr>
      <w:r w:rsidRPr="00906AFB">
        <w:rPr>
          <w:rFonts w:ascii="Arial" w:eastAsia="Times New Roman" w:hAnsi="Arial" w:cs="Arial"/>
          <w:sz w:val="24"/>
          <w:szCs w:val="24"/>
        </w:rPr>
        <w:t>Las Dependencias del Ejecutivo y Entidades del Estado a las que se les otorguen cuenten con autosuficiencia financiera;</w:t>
      </w:r>
    </w:p>
    <w:p w:rsidR="00906AFB" w:rsidRPr="00906AFB" w:rsidRDefault="00906AFB" w:rsidP="00906AFB">
      <w:pPr>
        <w:spacing w:after="0" w:line="240" w:lineRule="auto"/>
        <w:ind w:left="720" w:hanging="720"/>
        <w:contextualSpacing/>
        <w:jc w:val="both"/>
        <w:rPr>
          <w:rFonts w:ascii="Arial" w:eastAsia="Times New Roman" w:hAnsi="Arial" w:cs="Arial"/>
          <w:sz w:val="24"/>
          <w:szCs w:val="24"/>
        </w:rPr>
      </w:pPr>
    </w:p>
    <w:p w:rsidR="00906AFB" w:rsidRPr="00906AFB" w:rsidRDefault="00906AFB" w:rsidP="00F859A4">
      <w:pPr>
        <w:numPr>
          <w:ilvl w:val="0"/>
          <w:numId w:val="11"/>
        </w:numPr>
        <w:spacing w:before="120" w:after="0" w:line="240" w:lineRule="auto"/>
        <w:ind w:hanging="720"/>
        <w:contextualSpacing/>
        <w:jc w:val="both"/>
        <w:rPr>
          <w:rFonts w:ascii="Arial" w:eastAsia="Times New Roman" w:hAnsi="Arial" w:cs="Arial"/>
          <w:sz w:val="24"/>
          <w:szCs w:val="24"/>
        </w:rPr>
      </w:pPr>
      <w:r w:rsidRPr="00906AFB">
        <w:rPr>
          <w:rFonts w:ascii="Arial" w:eastAsia="Times New Roman" w:hAnsi="Arial" w:cs="Arial"/>
          <w:sz w:val="24"/>
          <w:szCs w:val="24"/>
        </w:rPr>
        <w:t>Las transferencias y Subsidios ya no cumplan con el objetivo de su otorgamiento;</w:t>
      </w:r>
    </w:p>
    <w:p w:rsidR="00906AFB" w:rsidRPr="00906AFB" w:rsidRDefault="00906AFB" w:rsidP="00906AFB">
      <w:pPr>
        <w:spacing w:after="0" w:line="240" w:lineRule="auto"/>
        <w:ind w:left="720" w:hanging="720"/>
        <w:contextualSpacing/>
        <w:jc w:val="both"/>
        <w:rPr>
          <w:rFonts w:ascii="Arial" w:eastAsia="Times New Roman" w:hAnsi="Arial" w:cs="Arial"/>
          <w:sz w:val="24"/>
          <w:szCs w:val="24"/>
        </w:rPr>
      </w:pPr>
    </w:p>
    <w:p w:rsidR="00906AFB" w:rsidRPr="00906AFB" w:rsidRDefault="00906AFB" w:rsidP="00F859A4">
      <w:pPr>
        <w:numPr>
          <w:ilvl w:val="0"/>
          <w:numId w:val="11"/>
        </w:numPr>
        <w:spacing w:before="120" w:after="0" w:line="240" w:lineRule="auto"/>
        <w:ind w:hanging="720"/>
        <w:contextualSpacing/>
        <w:jc w:val="both"/>
        <w:rPr>
          <w:rFonts w:ascii="Arial" w:eastAsia="Times New Roman" w:hAnsi="Arial" w:cs="Arial"/>
          <w:sz w:val="24"/>
          <w:szCs w:val="24"/>
        </w:rPr>
      </w:pPr>
      <w:r w:rsidRPr="00906AFB">
        <w:rPr>
          <w:rFonts w:ascii="Arial" w:eastAsia="Times New Roman" w:hAnsi="Arial" w:cs="Arial"/>
          <w:sz w:val="24"/>
          <w:szCs w:val="24"/>
        </w:rPr>
        <w:t>Las Dependencias del Ejecutivo y Entidades del Estado no remitan la información referente a la aplicación de estas transferencias; y</w:t>
      </w:r>
    </w:p>
    <w:p w:rsidR="00906AFB" w:rsidRPr="00906AFB" w:rsidRDefault="00906AFB" w:rsidP="00906AFB">
      <w:pPr>
        <w:spacing w:after="0" w:line="240" w:lineRule="auto"/>
        <w:ind w:left="720" w:hanging="720"/>
        <w:contextualSpacing/>
        <w:jc w:val="both"/>
        <w:rPr>
          <w:rFonts w:ascii="Arial" w:eastAsia="Times New Roman" w:hAnsi="Arial" w:cs="Arial"/>
          <w:sz w:val="24"/>
          <w:szCs w:val="24"/>
        </w:rPr>
      </w:pPr>
    </w:p>
    <w:p w:rsidR="00906AFB" w:rsidRPr="00906AFB" w:rsidRDefault="00906AFB" w:rsidP="00F859A4">
      <w:pPr>
        <w:numPr>
          <w:ilvl w:val="0"/>
          <w:numId w:val="11"/>
        </w:numPr>
        <w:spacing w:before="120" w:after="0" w:line="240" w:lineRule="auto"/>
        <w:ind w:hanging="720"/>
        <w:contextualSpacing/>
        <w:jc w:val="both"/>
        <w:rPr>
          <w:rFonts w:ascii="Arial" w:eastAsia="Times New Roman" w:hAnsi="Arial" w:cs="Arial"/>
          <w:sz w:val="24"/>
          <w:szCs w:val="24"/>
        </w:rPr>
      </w:pPr>
      <w:r w:rsidRPr="00906AFB">
        <w:rPr>
          <w:rFonts w:ascii="Arial" w:eastAsia="Times New Roman" w:hAnsi="Arial" w:cs="Arial"/>
          <w:sz w:val="24"/>
          <w:szCs w:val="24"/>
        </w:rPr>
        <w:t>No existan las condiciones presupuestales para seguir otorgándolas.</w:t>
      </w:r>
    </w:p>
    <w:p w:rsidR="00906AFB" w:rsidRPr="00906AFB" w:rsidRDefault="00906AFB" w:rsidP="00906AFB">
      <w:pPr>
        <w:spacing w:after="0" w:line="240" w:lineRule="auto"/>
        <w:jc w:val="both"/>
        <w:rPr>
          <w:rFonts w:ascii="Arial" w:eastAsia="Calibri" w:hAnsi="Arial" w:cs="Arial"/>
          <w:b/>
          <w:sz w:val="24"/>
          <w:szCs w:val="24"/>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b/>
          <w:sz w:val="24"/>
          <w:szCs w:val="24"/>
          <w:lang w:val="es-ES" w:eastAsia="en-US"/>
        </w:rPr>
        <w:t>Artículo 26</w:t>
      </w:r>
      <w:r w:rsidRPr="00906AFB">
        <w:rPr>
          <w:rFonts w:ascii="Arial" w:eastAsia="Calibri" w:hAnsi="Arial" w:cs="Arial"/>
          <w:sz w:val="24"/>
          <w:szCs w:val="24"/>
          <w:lang w:val="es-ES" w:eastAsia="en-US"/>
        </w:rPr>
        <w:t>. Los proyectos de Asociación Público-Privada son aquellos que se realicen con cualquier esquema para establecer una relación contractual de largo plazo, entre instancias del sector público y del sector privado, para la prestación de servicios al sector público, mayoristas, intermediarios o al usuario final y en los que se utilice infraestructura proporcionada total o parcialmente por el sector privado con objetivos que aumenten el bienestar social y los niveles de inversión en el Estado y sus municipios.</w:t>
      </w:r>
    </w:p>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sz w:val="24"/>
          <w:szCs w:val="24"/>
          <w:lang w:val="es-ES" w:eastAsia="en-US"/>
        </w:rPr>
        <w:t>Los proyectos de Asociación Público-Privada deberán estar plenamente justificados, especificar el beneficio social que se busca obtener y demostrar su ventaja financiera frente a otras formas de financiamiento y ser congruentes con los objetivos del Plan Estatal.</w:t>
      </w:r>
    </w:p>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sz w:val="24"/>
          <w:szCs w:val="24"/>
          <w:lang w:val="es-ES" w:eastAsia="en-US"/>
        </w:rPr>
        <w:t>El gasto público contemplado para los proyectos de Asociación Público-Privada se ajustarán a las disposiciones de la Constitución Política del Estado Libre y Soberano de Colima, de la Ley de Disciplina Financiera, de la Ley de Presupuesto, Ley de Asociaciones Público Privadas del Estado de Colima y las demás que resulten aplicables.</w:t>
      </w:r>
    </w:p>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sz w:val="24"/>
          <w:szCs w:val="24"/>
          <w:lang w:val="es-ES" w:eastAsia="en-US"/>
        </w:rPr>
        <w:t xml:space="preserve">Los compromisos presupuestarios futuros que en su caso llegaren a originar los proyectos de Asociación Público-Privada que se prevea iniciar, acumulados o aquellos de los proyectos que ya hubieran iniciado algún procedimiento de contratación o que ya estuvieran operando, serán acordes con las posibilidades agregadas de gasto y de financiamiento del sector público estatal. </w:t>
      </w:r>
    </w:p>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b/>
          <w:sz w:val="24"/>
          <w:szCs w:val="24"/>
          <w:lang w:val="es-ES" w:eastAsia="en-US"/>
        </w:rPr>
        <w:t>Artículo 27</w:t>
      </w:r>
      <w:r w:rsidRPr="00906AFB">
        <w:rPr>
          <w:rFonts w:ascii="Arial" w:eastAsia="Calibri" w:hAnsi="Arial" w:cs="Arial"/>
          <w:sz w:val="24"/>
          <w:szCs w:val="24"/>
          <w:lang w:val="es-ES" w:eastAsia="en-US"/>
        </w:rPr>
        <w:t>. El</w:t>
      </w:r>
      <w:r w:rsidR="00A542BF">
        <w:rPr>
          <w:rFonts w:ascii="Arial" w:eastAsia="Calibri" w:hAnsi="Arial" w:cs="Arial"/>
          <w:sz w:val="24"/>
          <w:szCs w:val="24"/>
          <w:lang w:val="es-ES" w:eastAsia="en-US"/>
        </w:rPr>
        <w:t xml:space="preserve"> presente Decreto incorpora un C</w:t>
      </w:r>
      <w:r w:rsidRPr="00906AFB">
        <w:rPr>
          <w:rFonts w:ascii="Arial" w:eastAsia="Calibri" w:hAnsi="Arial" w:cs="Arial"/>
          <w:sz w:val="24"/>
          <w:szCs w:val="24"/>
          <w:lang w:val="es-ES" w:eastAsia="en-US"/>
        </w:rPr>
        <w:t>apítulo específico que incluye los proyectos de inversión en infraestructura autorizados para el ejercicio fiscal respectivo y aquellos proyectos de inversión que cuentan con aprobación para realizar erogaciones plurianuales sujetos a la disponibilidad presupuestaria, así como las erogaciones correspondientes a los compromisos derivados de proyectos de infraestructura productiva de largo plazo.</w:t>
      </w:r>
    </w:p>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Default="00A219A3" w:rsidP="00906AFB">
      <w:pPr>
        <w:spacing w:after="0" w:line="240" w:lineRule="auto"/>
        <w:jc w:val="both"/>
        <w:rPr>
          <w:rFonts w:ascii="Arial" w:eastAsia="Calibri" w:hAnsi="Arial" w:cs="Arial"/>
          <w:sz w:val="24"/>
          <w:szCs w:val="24"/>
          <w:lang w:val="es-ES" w:eastAsia="en-US"/>
        </w:rPr>
      </w:pPr>
      <w:r w:rsidRPr="00A219A3">
        <w:rPr>
          <w:rFonts w:ascii="Arial" w:eastAsia="Calibri" w:hAnsi="Arial" w:cs="Arial"/>
          <w:sz w:val="24"/>
          <w:szCs w:val="24"/>
          <w:lang w:val="es-ES" w:eastAsia="en-US"/>
        </w:rPr>
        <w:t xml:space="preserve">En los </w:t>
      </w:r>
      <w:r w:rsidRPr="00A542BF">
        <w:rPr>
          <w:rFonts w:ascii="Arial" w:eastAsia="Calibri" w:hAnsi="Arial" w:cs="Arial"/>
          <w:b/>
          <w:sz w:val="24"/>
          <w:szCs w:val="24"/>
          <w:lang w:val="es-ES" w:eastAsia="en-US"/>
        </w:rPr>
        <w:t>Anexo 6</w:t>
      </w:r>
      <w:r w:rsidRPr="00A219A3">
        <w:rPr>
          <w:rFonts w:ascii="Arial" w:eastAsia="Calibri" w:hAnsi="Arial" w:cs="Arial"/>
          <w:sz w:val="24"/>
          <w:szCs w:val="24"/>
          <w:lang w:val="es-ES" w:eastAsia="en-US"/>
        </w:rPr>
        <w:t xml:space="preserve"> del presente Decreto se detallan los proyectos de inversión por Dependencia.</w:t>
      </w:r>
    </w:p>
    <w:p w:rsidR="00A219A3" w:rsidRPr="00906AFB" w:rsidRDefault="00A219A3" w:rsidP="00906AFB">
      <w:pPr>
        <w:spacing w:after="0" w:line="240" w:lineRule="auto"/>
        <w:jc w:val="both"/>
        <w:rPr>
          <w:rFonts w:ascii="Arial" w:eastAsia="Calibri" w:hAnsi="Arial" w:cs="Arial"/>
          <w:b/>
          <w:sz w:val="24"/>
          <w:szCs w:val="24"/>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b/>
          <w:sz w:val="24"/>
          <w:szCs w:val="24"/>
          <w:lang w:val="es-ES" w:eastAsia="en-US"/>
        </w:rPr>
        <w:t>Artículo 28</w:t>
      </w:r>
      <w:r w:rsidRPr="00906AFB">
        <w:rPr>
          <w:rFonts w:ascii="Arial" w:eastAsia="Calibri" w:hAnsi="Arial" w:cs="Arial"/>
          <w:sz w:val="24"/>
          <w:szCs w:val="24"/>
          <w:lang w:val="es-ES" w:eastAsia="en-US"/>
        </w:rPr>
        <w:t>. La asignación presupuestaria para la Obra Pública Directa para el ejercicio fiscal 2017 es de $243,524,000 y se integra de la siguiente manera:</w:t>
      </w:r>
    </w:p>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Pr="00906AFB" w:rsidRDefault="00906AFB" w:rsidP="00906AFB">
      <w:pPr>
        <w:keepNext/>
        <w:keepLines/>
        <w:spacing w:after="0" w:line="240" w:lineRule="auto"/>
        <w:jc w:val="center"/>
        <w:outlineLvl w:val="1"/>
        <w:rPr>
          <w:rFonts w:ascii="Arial" w:eastAsia="Times New Roman" w:hAnsi="Arial" w:cs="Times New Roman"/>
          <w:b/>
          <w:sz w:val="20"/>
          <w:szCs w:val="26"/>
          <w:lang w:val="es-ES" w:eastAsia="en-US"/>
        </w:rPr>
      </w:pPr>
      <w:r w:rsidRPr="00906AFB">
        <w:rPr>
          <w:rFonts w:ascii="Arial" w:eastAsia="Times New Roman" w:hAnsi="Arial" w:cs="Times New Roman"/>
          <w:b/>
          <w:sz w:val="20"/>
          <w:szCs w:val="26"/>
          <w:lang w:val="es-ES" w:eastAsia="en-US"/>
        </w:rPr>
        <w:t>Tabla 28. Previsiones para Obra Pública Directa</w:t>
      </w:r>
    </w:p>
    <w:tbl>
      <w:tblPr>
        <w:tblW w:w="8080" w:type="dxa"/>
        <w:tblInd w:w="354" w:type="dxa"/>
        <w:tblCellMar>
          <w:left w:w="70" w:type="dxa"/>
          <w:right w:w="70" w:type="dxa"/>
        </w:tblCellMar>
        <w:tblLook w:val="04A0" w:firstRow="1" w:lastRow="0" w:firstColumn="1" w:lastColumn="0" w:noHBand="0" w:noVBand="1"/>
      </w:tblPr>
      <w:tblGrid>
        <w:gridCol w:w="6662"/>
        <w:gridCol w:w="1418"/>
      </w:tblGrid>
      <w:tr w:rsidR="00906AFB" w:rsidRPr="00906AFB" w:rsidTr="00906AFB">
        <w:trPr>
          <w:trHeight w:val="283"/>
        </w:trPr>
        <w:tc>
          <w:tcPr>
            <w:tcW w:w="6662"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jc w:val="center"/>
              <w:rPr>
                <w:rFonts w:ascii="Arial" w:eastAsia="Times New Roman" w:hAnsi="Arial" w:cs="Arial"/>
                <w:b/>
                <w:bCs/>
                <w:color w:val="000000"/>
                <w:sz w:val="18"/>
                <w:szCs w:val="20"/>
                <w:lang w:val="es-ES" w:eastAsia="es-ES"/>
              </w:rPr>
            </w:pPr>
            <w:r w:rsidRPr="00906AFB">
              <w:rPr>
                <w:rFonts w:ascii="Arial" w:eastAsia="Times New Roman" w:hAnsi="Arial" w:cs="Arial"/>
                <w:b/>
                <w:bCs/>
                <w:color w:val="000000"/>
                <w:sz w:val="18"/>
                <w:szCs w:val="20"/>
                <w:lang w:val="es-ES" w:eastAsia="es-ES"/>
              </w:rPr>
              <w:t>Partida</w:t>
            </w:r>
          </w:p>
        </w:tc>
        <w:tc>
          <w:tcPr>
            <w:tcW w:w="1418" w:type="dxa"/>
            <w:tcBorders>
              <w:top w:val="single" w:sz="4" w:space="0" w:color="auto"/>
              <w:left w:val="nil"/>
              <w:bottom w:val="single" w:sz="4" w:space="0" w:color="auto"/>
              <w:right w:val="single" w:sz="4" w:space="0" w:color="auto"/>
            </w:tcBorders>
            <w:vAlign w:val="center"/>
            <w:hideMark/>
          </w:tcPr>
          <w:p w:rsidR="00906AFB" w:rsidRPr="00906AFB" w:rsidRDefault="00906AFB" w:rsidP="00906AFB">
            <w:pPr>
              <w:spacing w:after="0" w:line="240" w:lineRule="auto"/>
              <w:jc w:val="center"/>
              <w:rPr>
                <w:rFonts w:ascii="Arial" w:eastAsia="Times New Roman" w:hAnsi="Arial" w:cs="Arial"/>
                <w:b/>
                <w:bCs/>
                <w:color w:val="000000"/>
                <w:sz w:val="18"/>
                <w:szCs w:val="20"/>
                <w:lang w:val="es-ES" w:eastAsia="es-ES"/>
              </w:rPr>
            </w:pPr>
            <w:r w:rsidRPr="00906AFB">
              <w:rPr>
                <w:rFonts w:ascii="Arial" w:eastAsia="Times New Roman" w:hAnsi="Arial" w:cs="Arial"/>
                <w:b/>
                <w:bCs/>
                <w:color w:val="000000"/>
                <w:sz w:val="18"/>
                <w:szCs w:val="20"/>
                <w:lang w:val="es-ES" w:eastAsia="es-ES"/>
              </w:rPr>
              <w:t>Asignación Presupuestal</w:t>
            </w:r>
          </w:p>
        </w:tc>
      </w:tr>
      <w:tr w:rsidR="00906AFB" w:rsidRPr="00906AFB" w:rsidTr="00906AFB">
        <w:trPr>
          <w:trHeight w:val="283"/>
        </w:trPr>
        <w:tc>
          <w:tcPr>
            <w:tcW w:w="6662" w:type="dxa"/>
            <w:tcBorders>
              <w:top w:val="nil"/>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b/>
                <w:bCs/>
                <w:color w:val="000000"/>
                <w:sz w:val="18"/>
                <w:szCs w:val="20"/>
                <w:lang w:val="es-ES" w:eastAsia="es-ES"/>
              </w:rPr>
            </w:pPr>
            <w:r w:rsidRPr="00906AFB">
              <w:rPr>
                <w:rFonts w:ascii="Arial" w:eastAsia="Times New Roman" w:hAnsi="Arial" w:cs="Arial"/>
                <w:b/>
                <w:bCs/>
                <w:color w:val="000000"/>
                <w:sz w:val="18"/>
                <w:szCs w:val="20"/>
                <w:lang w:val="es-ES" w:eastAsia="es-ES"/>
              </w:rPr>
              <w:t>Fondo de Aportaciones para la Infraestructura Social Estatal (FISE)</w:t>
            </w:r>
          </w:p>
        </w:tc>
        <w:tc>
          <w:tcPr>
            <w:tcW w:w="1418" w:type="dxa"/>
            <w:tcBorders>
              <w:top w:val="nil"/>
              <w:left w:val="nil"/>
              <w:bottom w:val="single" w:sz="4" w:space="0" w:color="auto"/>
              <w:right w:val="single" w:sz="4" w:space="0" w:color="auto"/>
            </w:tcBorders>
            <w:vAlign w:val="center"/>
            <w:hideMark/>
          </w:tcPr>
          <w:p w:rsidR="00906AFB" w:rsidRPr="00906AFB" w:rsidRDefault="00906AFB" w:rsidP="00906AFB">
            <w:pPr>
              <w:spacing w:after="0" w:line="240" w:lineRule="auto"/>
              <w:jc w:val="right"/>
              <w:rPr>
                <w:rFonts w:ascii="Arial" w:eastAsia="Times New Roman" w:hAnsi="Arial" w:cs="Arial"/>
                <w:b/>
                <w:bCs/>
                <w:color w:val="000000"/>
                <w:sz w:val="18"/>
                <w:szCs w:val="20"/>
                <w:lang w:val="es-ES" w:eastAsia="es-ES"/>
              </w:rPr>
            </w:pPr>
            <w:r w:rsidRPr="00906AFB">
              <w:rPr>
                <w:rFonts w:ascii="Arial" w:eastAsia="Times New Roman" w:hAnsi="Arial" w:cs="Arial"/>
                <w:b/>
                <w:bCs/>
                <w:color w:val="000000"/>
                <w:sz w:val="18"/>
                <w:szCs w:val="20"/>
                <w:lang w:val="es-ES" w:eastAsia="es-ES"/>
              </w:rPr>
              <w:t xml:space="preserve">23,024,000   </w:t>
            </w:r>
          </w:p>
        </w:tc>
      </w:tr>
      <w:tr w:rsidR="00906AFB" w:rsidRPr="00906AFB" w:rsidTr="00906AFB">
        <w:trPr>
          <w:trHeight w:val="283"/>
        </w:trPr>
        <w:tc>
          <w:tcPr>
            <w:tcW w:w="6662" w:type="dxa"/>
            <w:tcBorders>
              <w:top w:val="nil"/>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20"/>
                <w:lang w:val="es-ES" w:eastAsia="es-ES"/>
              </w:rPr>
            </w:pPr>
            <w:r w:rsidRPr="00906AFB">
              <w:rPr>
                <w:rFonts w:ascii="Arial" w:eastAsia="Times New Roman" w:hAnsi="Arial" w:cs="Arial"/>
                <w:color w:val="000000"/>
                <w:sz w:val="18"/>
                <w:szCs w:val="20"/>
                <w:lang w:val="es-ES" w:eastAsia="es-ES"/>
              </w:rPr>
              <w:t>Construcción de obras para el abastecimiento de agua, petróleo, gas, electricidad y telecomunicaciones</w:t>
            </w:r>
          </w:p>
        </w:tc>
        <w:tc>
          <w:tcPr>
            <w:tcW w:w="1418" w:type="dxa"/>
            <w:tcBorders>
              <w:top w:val="nil"/>
              <w:left w:val="nil"/>
              <w:bottom w:val="single" w:sz="4" w:space="0" w:color="auto"/>
              <w:right w:val="single" w:sz="4" w:space="0" w:color="auto"/>
            </w:tcBorders>
            <w:vAlign w:val="center"/>
            <w:hideMark/>
          </w:tcPr>
          <w:p w:rsidR="00906AFB" w:rsidRPr="00906AFB" w:rsidRDefault="00906AFB" w:rsidP="00906AFB">
            <w:pPr>
              <w:spacing w:after="0" w:line="240" w:lineRule="auto"/>
              <w:jc w:val="right"/>
              <w:rPr>
                <w:rFonts w:ascii="Arial" w:eastAsia="Times New Roman" w:hAnsi="Arial" w:cs="Arial"/>
                <w:color w:val="000000"/>
                <w:sz w:val="18"/>
                <w:szCs w:val="20"/>
                <w:lang w:val="es-ES" w:eastAsia="es-ES"/>
              </w:rPr>
            </w:pPr>
            <w:r w:rsidRPr="00906AFB">
              <w:rPr>
                <w:rFonts w:ascii="Arial" w:eastAsia="Times New Roman" w:hAnsi="Arial" w:cs="Arial"/>
                <w:color w:val="000000"/>
                <w:sz w:val="18"/>
                <w:szCs w:val="20"/>
                <w:lang w:val="es-ES" w:eastAsia="es-ES"/>
              </w:rPr>
              <w:t xml:space="preserve">11,020,000   </w:t>
            </w:r>
          </w:p>
        </w:tc>
      </w:tr>
      <w:tr w:rsidR="00906AFB" w:rsidRPr="00906AFB" w:rsidTr="00906AFB">
        <w:trPr>
          <w:trHeight w:val="283"/>
        </w:trPr>
        <w:tc>
          <w:tcPr>
            <w:tcW w:w="6662" w:type="dxa"/>
            <w:tcBorders>
              <w:top w:val="nil"/>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20"/>
                <w:lang w:val="es-ES" w:eastAsia="es-ES"/>
              </w:rPr>
            </w:pPr>
            <w:r w:rsidRPr="00906AFB">
              <w:rPr>
                <w:rFonts w:ascii="Arial" w:eastAsia="Times New Roman" w:hAnsi="Arial" w:cs="Arial"/>
                <w:color w:val="000000"/>
                <w:sz w:val="18"/>
                <w:szCs w:val="20"/>
                <w:lang w:val="es-ES" w:eastAsia="es-ES"/>
              </w:rPr>
              <w:t>Mejoramiento de la Vivienda (SEDESCOL)</w:t>
            </w:r>
          </w:p>
        </w:tc>
        <w:tc>
          <w:tcPr>
            <w:tcW w:w="1418" w:type="dxa"/>
            <w:tcBorders>
              <w:top w:val="nil"/>
              <w:left w:val="nil"/>
              <w:bottom w:val="single" w:sz="4" w:space="0" w:color="auto"/>
              <w:right w:val="single" w:sz="4" w:space="0" w:color="auto"/>
            </w:tcBorders>
            <w:vAlign w:val="center"/>
            <w:hideMark/>
          </w:tcPr>
          <w:p w:rsidR="00906AFB" w:rsidRPr="00906AFB" w:rsidRDefault="00906AFB" w:rsidP="00906AFB">
            <w:pPr>
              <w:spacing w:after="0" w:line="240" w:lineRule="auto"/>
              <w:jc w:val="right"/>
              <w:rPr>
                <w:rFonts w:ascii="Arial" w:eastAsia="Times New Roman" w:hAnsi="Arial" w:cs="Arial"/>
                <w:color w:val="000000"/>
                <w:sz w:val="18"/>
                <w:szCs w:val="20"/>
                <w:lang w:val="es-ES" w:eastAsia="es-ES"/>
              </w:rPr>
            </w:pPr>
            <w:r w:rsidRPr="00906AFB">
              <w:rPr>
                <w:rFonts w:ascii="Arial" w:eastAsia="Times New Roman" w:hAnsi="Arial" w:cs="Arial"/>
                <w:color w:val="000000"/>
                <w:sz w:val="18"/>
                <w:szCs w:val="20"/>
                <w:lang w:val="es-ES" w:eastAsia="es-ES"/>
              </w:rPr>
              <w:t xml:space="preserve">12,004,000   </w:t>
            </w:r>
          </w:p>
        </w:tc>
      </w:tr>
      <w:tr w:rsidR="00906AFB" w:rsidRPr="00906AFB" w:rsidTr="00906AFB">
        <w:trPr>
          <w:trHeight w:val="283"/>
        </w:trPr>
        <w:tc>
          <w:tcPr>
            <w:tcW w:w="6662" w:type="dxa"/>
            <w:tcBorders>
              <w:top w:val="nil"/>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b/>
                <w:bCs/>
                <w:color w:val="000000"/>
                <w:sz w:val="18"/>
                <w:szCs w:val="20"/>
                <w:lang w:val="es-ES" w:eastAsia="es-ES"/>
              </w:rPr>
            </w:pPr>
            <w:r w:rsidRPr="00906AFB">
              <w:rPr>
                <w:rFonts w:ascii="Arial" w:eastAsia="Times New Roman" w:hAnsi="Arial" w:cs="Arial"/>
                <w:b/>
                <w:bCs/>
                <w:color w:val="000000"/>
                <w:sz w:val="18"/>
                <w:szCs w:val="20"/>
                <w:lang w:val="es-ES" w:eastAsia="es-ES"/>
              </w:rPr>
              <w:t>Programa Normal de Obra</w:t>
            </w:r>
          </w:p>
        </w:tc>
        <w:tc>
          <w:tcPr>
            <w:tcW w:w="1418" w:type="dxa"/>
            <w:tcBorders>
              <w:top w:val="nil"/>
              <w:left w:val="nil"/>
              <w:bottom w:val="single" w:sz="4" w:space="0" w:color="auto"/>
              <w:right w:val="single" w:sz="4" w:space="0" w:color="auto"/>
            </w:tcBorders>
            <w:vAlign w:val="center"/>
            <w:hideMark/>
          </w:tcPr>
          <w:p w:rsidR="00906AFB" w:rsidRPr="00906AFB" w:rsidRDefault="00906AFB" w:rsidP="00906AFB">
            <w:pPr>
              <w:spacing w:after="0" w:line="240" w:lineRule="auto"/>
              <w:jc w:val="right"/>
              <w:rPr>
                <w:rFonts w:ascii="Arial" w:eastAsia="Times New Roman" w:hAnsi="Arial" w:cs="Arial"/>
                <w:b/>
                <w:bCs/>
                <w:color w:val="000000"/>
                <w:sz w:val="18"/>
                <w:szCs w:val="20"/>
                <w:lang w:val="es-ES" w:eastAsia="es-ES"/>
              </w:rPr>
            </w:pPr>
            <w:r w:rsidRPr="00906AFB">
              <w:rPr>
                <w:rFonts w:ascii="Arial" w:eastAsia="Times New Roman" w:hAnsi="Arial" w:cs="Arial"/>
                <w:b/>
                <w:bCs/>
                <w:color w:val="000000"/>
                <w:sz w:val="18"/>
                <w:szCs w:val="20"/>
                <w:lang w:val="es-ES" w:eastAsia="es-ES"/>
              </w:rPr>
              <w:t xml:space="preserve">20,500,000   </w:t>
            </w:r>
          </w:p>
        </w:tc>
      </w:tr>
      <w:tr w:rsidR="00906AFB" w:rsidRPr="00906AFB" w:rsidTr="00906AFB">
        <w:trPr>
          <w:trHeight w:val="283"/>
        </w:trPr>
        <w:tc>
          <w:tcPr>
            <w:tcW w:w="6662" w:type="dxa"/>
            <w:tcBorders>
              <w:top w:val="nil"/>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20"/>
                <w:lang w:val="es-ES" w:eastAsia="es-ES"/>
              </w:rPr>
            </w:pPr>
            <w:r w:rsidRPr="00906AFB">
              <w:rPr>
                <w:rFonts w:ascii="Arial" w:eastAsia="Times New Roman" w:hAnsi="Arial" w:cs="Arial"/>
                <w:color w:val="000000"/>
                <w:sz w:val="18"/>
                <w:szCs w:val="20"/>
                <w:lang w:val="es-ES" w:eastAsia="es-ES"/>
              </w:rPr>
              <w:t>Servicios de informática</w:t>
            </w:r>
          </w:p>
        </w:tc>
        <w:tc>
          <w:tcPr>
            <w:tcW w:w="1418" w:type="dxa"/>
            <w:tcBorders>
              <w:top w:val="nil"/>
              <w:left w:val="nil"/>
              <w:bottom w:val="single" w:sz="4" w:space="0" w:color="auto"/>
              <w:right w:val="single" w:sz="4" w:space="0" w:color="auto"/>
            </w:tcBorders>
            <w:vAlign w:val="center"/>
            <w:hideMark/>
          </w:tcPr>
          <w:p w:rsidR="00906AFB" w:rsidRPr="00906AFB" w:rsidRDefault="00906AFB" w:rsidP="00906AFB">
            <w:pPr>
              <w:spacing w:after="0" w:line="240" w:lineRule="auto"/>
              <w:jc w:val="right"/>
              <w:rPr>
                <w:rFonts w:ascii="Arial" w:eastAsia="Times New Roman" w:hAnsi="Arial" w:cs="Arial"/>
                <w:color w:val="000000"/>
                <w:sz w:val="18"/>
                <w:szCs w:val="20"/>
                <w:lang w:val="es-ES" w:eastAsia="es-ES"/>
              </w:rPr>
            </w:pPr>
            <w:r w:rsidRPr="00906AFB">
              <w:rPr>
                <w:rFonts w:ascii="Arial" w:eastAsia="Times New Roman" w:hAnsi="Arial" w:cs="Arial"/>
                <w:color w:val="000000"/>
                <w:sz w:val="18"/>
                <w:szCs w:val="20"/>
                <w:lang w:val="es-ES" w:eastAsia="es-ES"/>
              </w:rPr>
              <w:t xml:space="preserve">840,000   </w:t>
            </w:r>
          </w:p>
        </w:tc>
      </w:tr>
      <w:tr w:rsidR="00906AFB" w:rsidRPr="00906AFB" w:rsidTr="00906AFB">
        <w:trPr>
          <w:trHeight w:val="283"/>
        </w:trPr>
        <w:tc>
          <w:tcPr>
            <w:tcW w:w="6662" w:type="dxa"/>
            <w:tcBorders>
              <w:top w:val="nil"/>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20"/>
                <w:lang w:val="es-ES" w:eastAsia="es-ES"/>
              </w:rPr>
            </w:pPr>
            <w:r w:rsidRPr="00906AFB">
              <w:rPr>
                <w:rFonts w:ascii="Arial" w:eastAsia="Times New Roman" w:hAnsi="Arial" w:cs="Arial"/>
                <w:color w:val="000000"/>
                <w:sz w:val="18"/>
                <w:szCs w:val="20"/>
                <w:lang w:val="es-ES" w:eastAsia="es-ES"/>
              </w:rPr>
              <w:t>Servicios de diseño, arquitectura, ingeniería y actividades relacionadas</w:t>
            </w:r>
          </w:p>
        </w:tc>
        <w:tc>
          <w:tcPr>
            <w:tcW w:w="1418" w:type="dxa"/>
            <w:tcBorders>
              <w:top w:val="nil"/>
              <w:left w:val="nil"/>
              <w:bottom w:val="single" w:sz="4" w:space="0" w:color="auto"/>
              <w:right w:val="single" w:sz="4" w:space="0" w:color="auto"/>
            </w:tcBorders>
            <w:vAlign w:val="center"/>
            <w:hideMark/>
          </w:tcPr>
          <w:p w:rsidR="00906AFB" w:rsidRPr="00906AFB" w:rsidRDefault="00906AFB" w:rsidP="00906AFB">
            <w:pPr>
              <w:spacing w:after="0" w:line="240" w:lineRule="auto"/>
              <w:jc w:val="right"/>
              <w:rPr>
                <w:rFonts w:ascii="Arial" w:eastAsia="Times New Roman" w:hAnsi="Arial" w:cs="Arial"/>
                <w:color w:val="000000"/>
                <w:sz w:val="18"/>
                <w:szCs w:val="20"/>
                <w:lang w:val="es-ES" w:eastAsia="es-ES"/>
              </w:rPr>
            </w:pPr>
            <w:r w:rsidRPr="00906AFB">
              <w:rPr>
                <w:rFonts w:ascii="Arial" w:eastAsia="Times New Roman" w:hAnsi="Arial" w:cs="Arial"/>
                <w:color w:val="000000"/>
                <w:sz w:val="18"/>
                <w:szCs w:val="20"/>
                <w:lang w:val="es-ES" w:eastAsia="es-ES"/>
              </w:rPr>
              <w:t xml:space="preserve">7,800,000   </w:t>
            </w:r>
          </w:p>
        </w:tc>
      </w:tr>
      <w:tr w:rsidR="00906AFB" w:rsidRPr="00906AFB" w:rsidTr="00906AFB">
        <w:trPr>
          <w:trHeight w:val="283"/>
        </w:trPr>
        <w:tc>
          <w:tcPr>
            <w:tcW w:w="6662" w:type="dxa"/>
            <w:tcBorders>
              <w:top w:val="nil"/>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20"/>
                <w:lang w:val="es-ES" w:eastAsia="es-ES"/>
              </w:rPr>
            </w:pPr>
            <w:r w:rsidRPr="00906AFB">
              <w:rPr>
                <w:rFonts w:ascii="Arial" w:eastAsia="Times New Roman" w:hAnsi="Arial" w:cs="Arial"/>
                <w:color w:val="000000"/>
                <w:sz w:val="18"/>
                <w:szCs w:val="20"/>
                <w:lang w:val="es-ES" w:eastAsia="es-ES"/>
              </w:rPr>
              <w:t>Edificación no habitacional</w:t>
            </w:r>
          </w:p>
        </w:tc>
        <w:tc>
          <w:tcPr>
            <w:tcW w:w="1418" w:type="dxa"/>
            <w:tcBorders>
              <w:top w:val="nil"/>
              <w:left w:val="nil"/>
              <w:bottom w:val="single" w:sz="4" w:space="0" w:color="auto"/>
              <w:right w:val="single" w:sz="4" w:space="0" w:color="auto"/>
            </w:tcBorders>
            <w:vAlign w:val="center"/>
            <w:hideMark/>
          </w:tcPr>
          <w:p w:rsidR="00906AFB" w:rsidRPr="00906AFB" w:rsidRDefault="00906AFB" w:rsidP="00906AFB">
            <w:pPr>
              <w:spacing w:after="0" w:line="240" w:lineRule="auto"/>
              <w:jc w:val="right"/>
              <w:rPr>
                <w:rFonts w:ascii="Arial" w:eastAsia="Times New Roman" w:hAnsi="Arial" w:cs="Arial"/>
                <w:color w:val="000000"/>
                <w:sz w:val="18"/>
                <w:szCs w:val="20"/>
                <w:lang w:val="es-ES" w:eastAsia="es-ES"/>
              </w:rPr>
            </w:pPr>
            <w:r w:rsidRPr="00906AFB">
              <w:rPr>
                <w:rFonts w:ascii="Arial" w:eastAsia="Times New Roman" w:hAnsi="Arial" w:cs="Arial"/>
                <w:color w:val="000000"/>
                <w:sz w:val="18"/>
                <w:szCs w:val="20"/>
                <w:lang w:val="es-ES" w:eastAsia="es-ES"/>
              </w:rPr>
              <w:t xml:space="preserve">4,500,000   </w:t>
            </w:r>
          </w:p>
        </w:tc>
      </w:tr>
      <w:tr w:rsidR="00906AFB" w:rsidRPr="00906AFB" w:rsidTr="00906AFB">
        <w:trPr>
          <w:trHeight w:val="283"/>
        </w:trPr>
        <w:tc>
          <w:tcPr>
            <w:tcW w:w="6662" w:type="dxa"/>
            <w:tcBorders>
              <w:top w:val="nil"/>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20"/>
                <w:lang w:val="es-ES" w:eastAsia="es-ES"/>
              </w:rPr>
            </w:pPr>
            <w:r w:rsidRPr="00906AFB">
              <w:rPr>
                <w:rFonts w:ascii="Arial" w:eastAsia="Times New Roman" w:hAnsi="Arial" w:cs="Arial"/>
                <w:color w:val="000000"/>
                <w:sz w:val="18"/>
                <w:szCs w:val="20"/>
                <w:lang w:val="es-ES" w:eastAsia="es-ES"/>
              </w:rPr>
              <w:t>División de terrenos y construcción de obras de urbanización</w:t>
            </w:r>
          </w:p>
        </w:tc>
        <w:tc>
          <w:tcPr>
            <w:tcW w:w="1418" w:type="dxa"/>
            <w:tcBorders>
              <w:top w:val="nil"/>
              <w:left w:val="nil"/>
              <w:bottom w:val="single" w:sz="4" w:space="0" w:color="auto"/>
              <w:right w:val="single" w:sz="4" w:space="0" w:color="auto"/>
            </w:tcBorders>
            <w:vAlign w:val="center"/>
            <w:hideMark/>
          </w:tcPr>
          <w:p w:rsidR="00906AFB" w:rsidRPr="00906AFB" w:rsidRDefault="00906AFB" w:rsidP="00906AFB">
            <w:pPr>
              <w:spacing w:after="0" w:line="240" w:lineRule="auto"/>
              <w:jc w:val="right"/>
              <w:rPr>
                <w:rFonts w:ascii="Arial" w:eastAsia="Times New Roman" w:hAnsi="Arial" w:cs="Arial"/>
                <w:color w:val="000000"/>
                <w:sz w:val="18"/>
                <w:szCs w:val="20"/>
                <w:lang w:val="es-ES" w:eastAsia="es-ES"/>
              </w:rPr>
            </w:pPr>
            <w:r w:rsidRPr="00906AFB">
              <w:rPr>
                <w:rFonts w:ascii="Arial" w:eastAsia="Times New Roman" w:hAnsi="Arial" w:cs="Arial"/>
                <w:color w:val="000000"/>
                <w:sz w:val="18"/>
                <w:szCs w:val="20"/>
                <w:lang w:val="es-ES" w:eastAsia="es-ES"/>
              </w:rPr>
              <w:t xml:space="preserve">3,860,000   </w:t>
            </w:r>
          </w:p>
        </w:tc>
      </w:tr>
      <w:tr w:rsidR="00906AFB" w:rsidRPr="00906AFB" w:rsidTr="00906AFB">
        <w:trPr>
          <w:trHeight w:val="283"/>
        </w:trPr>
        <w:tc>
          <w:tcPr>
            <w:tcW w:w="6662" w:type="dxa"/>
            <w:tcBorders>
              <w:top w:val="nil"/>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20"/>
                <w:lang w:val="es-ES" w:eastAsia="es-ES"/>
              </w:rPr>
            </w:pPr>
            <w:r w:rsidRPr="00906AFB">
              <w:rPr>
                <w:rFonts w:ascii="Arial" w:eastAsia="Times New Roman" w:hAnsi="Arial" w:cs="Arial"/>
                <w:color w:val="000000"/>
                <w:sz w:val="18"/>
                <w:szCs w:val="20"/>
                <w:lang w:val="es-ES" w:eastAsia="es-ES"/>
              </w:rPr>
              <w:t>Instalaciones y equipamiento en construcciones</w:t>
            </w:r>
          </w:p>
        </w:tc>
        <w:tc>
          <w:tcPr>
            <w:tcW w:w="1418" w:type="dxa"/>
            <w:tcBorders>
              <w:top w:val="nil"/>
              <w:left w:val="nil"/>
              <w:bottom w:val="single" w:sz="4" w:space="0" w:color="auto"/>
              <w:right w:val="single" w:sz="4" w:space="0" w:color="auto"/>
            </w:tcBorders>
            <w:vAlign w:val="center"/>
            <w:hideMark/>
          </w:tcPr>
          <w:p w:rsidR="00906AFB" w:rsidRPr="00906AFB" w:rsidRDefault="00906AFB" w:rsidP="00906AFB">
            <w:pPr>
              <w:spacing w:after="0" w:line="240" w:lineRule="auto"/>
              <w:jc w:val="right"/>
              <w:rPr>
                <w:rFonts w:ascii="Arial" w:eastAsia="Times New Roman" w:hAnsi="Arial" w:cs="Arial"/>
                <w:color w:val="000000"/>
                <w:sz w:val="18"/>
                <w:szCs w:val="20"/>
                <w:lang w:val="es-ES" w:eastAsia="es-ES"/>
              </w:rPr>
            </w:pPr>
            <w:r w:rsidRPr="00906AFB">
              <w:rPr>
                <w:rFonts w:ascii="Arial" w:eastAsia="Times New Roman" w:hAnsi="Arial" w:cs="Arial"/>
                <w:color w:val="000000"/>
                <w:sz w:val="18"/>
                <w:szCs w:val="20"/>
                <w:lang w:val="es-ES" w:eastAsia="es-ES"/>
              </w:rPr>
              <w:t xml:space="preserve">3,500,000   </w:t>
            </w:r>
          </w:p>
        </w:tc>
      </w:tr>
      <w:tr w:rsidR="00906AFB" w:rsidRPr="00906AFB" w:rsidTr="00906AFB">
        <w:trPr>
          <w:trHeight w:val="283"/>
        </w:trPr>
        <w:tc>
          <w:tcPr>
            <w:tcW w:w="6662" w:type="dxa"/>
            <w:tcBorders>
              <w:top w:val="nil"/>
              <w:left w:val="single" w:sz="4" w:space="0" w:color="auto"/>
              <w:bottom w:val="single" w:sz="4" w:space="0" w:color="auto"/>
              <w:right w:val="single" w:sz="4" w:space="0" w:color="auto"/>
            </w:tcBorders>
            <w:vAlign w:val="center"/>
            <w:hideMark/>
          </w:tcPr>
          <w:p w:rsidR="00906AFB" w:rsidRPr="00906AFB" w:rsidRDefault="00906AFB" w:rsidP="002211AA">
            <w:pPr>
              <w:spacing w:after="0" w:line="240" w:lineRule="auto"/>
              <w:rPr>
                <w:rFonts w:ascii="Arial" w:eastAsia="Times New Roman" w:hAnsi="Arial" w:cs="Arial"/>
                <w:b/>
                <w:bCs/>
                <w:color w:val="000000"/>
                <w:sz w:val="18"/>
                <w:szCs w:val="20"/>
                <w:lang w:val="es-ES" w:eastAsia="es-ES"/>
              </w:rPr>
            </w:pPr>
            <w:r w:rsidRPr="00906AFB">
              <w:rPr>
                <w:rFonts w:ascii="Arial" w:eastAsia="Times New Roman" w:hAnsi="Arial" w:cs="Arial"/>
                <w:b/>
                <w:bCs/>
                <w:color w:val="000000"/>
                <w:sz w:val="18"/>
                <w:szCs w:val="20"/>
                <w:lang w:val="es-ES" w:eastAsia="es-ES"/>
              </w:rPr>
              <w:t>Fortalecimiento Financi</w:t>
            </w:r>
            <w:r w:rsidR="002211AA">
              <w:rPr>
                <w:rFonts w:ascii="Arial" w:eastAsia="Times New Roman" w:hAnsi="Arial" w:cs="Arial"/>
                <w:b/>
                <w:bCs/>
                <w:color w:val="000000"/>
                <w:sz w:val="18"/>
                <w:szCs w:val="20"/>
                <w:lang w:val="es-ES" w:eastAsia="es-ES"/>
              </w:rPr>
              <w:t>ero de Infraestructura Estatal</w:t>
            </w:r>
          </w:p>
        </w:tc>
        <w:tc>
          <w:tcPr>
            <w:tcW w:w="1418" w:type="dxa"/>
            <w:tcBorders>
              <w:top w:val="nil"/>
              <w:left w:val="nil"/>
              <w:bottom w:val="single" w:sz="4" w:space="0" w:color="auto"/>
              <w:right w:val="single" w:sz="4" w:space="0" w:color="auto"/>
            </w:tcBorders>
            <w:vAlign w:val="center"/>
            <w:hideMark/>
          </w:tcPr>
          <w:p w:rsidR="00906AFB" w:rsidRPr="00906AFB" w:rsidRDefault="00906AFB" w:rsidP="00906AFB">
            <w:pPr>
              <w:spacing w:after="0" w:line="240" w:lineRule="auto"/>
              <w:jc w:val="right"/>
              <w:rPr>
                <w:rFonts w:ascii="Arial" w:eastAsia="Times New Roman" w:hAnsi="Arial" w:cs="Arial"/>
                <w:b/>
                <w:bCs/>
                <w:color w:val="000000"/>
                <w:sz w:val="18"/>
                <w:szCs w:val="20"/>
                <w:lang w:val="es-ES" w:eastAsia="es-ES"/>
              </w:rPr>
            </w:pPr>
            <w:r w:rsidRPr="00906AFB">
              <w:rPr>
                <w:rFonts w:ascii="Arial" w:eastAsia="Times New Roman" w:hAnsi="Arial" w:cs="Arial"/>
                <w:b/>
                <w:bCs/>
                <w:color w:val="000000"/>
                <w:sz w:val="18"/>
                <w:szCs w:val="20"/>
                <w:lang w:val="es-ES" w:eastAsia="es-ES"/>
              </w:rPr>
              <w:t xml:space="preserve">200,000,000   </w:t>
            </w:r>
          </w:p>
        </w:tc>
      </w:tr>
      <w:tr w:rsidR="00906AFB" w:rsidRPr="00906AFB" w:rsidTr="00906AFB">
        <w:trPr>
          <w:trHeight w:val="283"/>
        </w:trPr>
        <w:tc>
          <w:tcPr>
            <w:tcW w:w="6662" w:type="dxa"/>
            <w:tcBorders>
              <w:top w:val="nil"/>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20"/>
                <w:lang w:val="es-ES" w:eastAsia="es-ES"/>
              </w:rPr>
            </w:pPr>
            <w:r w:rsidRPr="00906AFB">
              <w:rPr>
                <w:rFonts w:ascii="Arial" w:eastAsia="Times New Roman" w:hAnsi="Arial" w:cs="Arial"/>
                <w:color w:val="000000"/>
                <w:sz w:val="18"/>
                <w:szCs w:val="20"/>
                <w:lang w:val="es-ES" w:eastAsia="es-ES"/>
              </w:rPr>
              <w:t>Edificación no habitacional</w:t>
            </w:r>
          </w:p>
        </w:tc>
        <w:tc>
          <w:tcPr>
            <w:tcW w:w="1418" w:type="dxa"/>
            <w:tcBorders>
              <w:top w:val="nil"/>
              <w:left w:val="nil"/>
              <w:bottom w:val="single" w:sz="4" w:space="0" w:color="auto"/>
              <w:right w:val="single" w:sz="4" w:space="0" w:color="auto"/>
            </w:tcBorders>
            <w:vAlign w:val="center"/>
            <w:hideMark/>
          </w:tcPr>
          <w:p w:rsidR="00906AFB" w:rsidRPr="00906AFB" w:rsidRDefault="00906AFB" w:rsidP="00906AFB">
            <w:pPr>
              <w:spacing w:after="0" w:line="240" w:lineRule="auto"/>
              <w:jc w:val="right"/>
              <w:rPr>
                <w:rFonts w:ascii="Arial" w:eastAsia="Times New Roman" w:hAnsi="Arial" w:cs="Arial"/>
                <w:color w:val="000000"/>
                <w:sz w:val="18"/>
                <w:szCs w:val="20"/>
                <w:lang w:val="es-ES" w:eastAsia="es-ES"/>
              </w:rPr>
            </w:pPr>
            <w:r w:rsidRPr="00906AFB">
              <w:rPr>
                <w:rFonts w:ascii="Arial" w:eastAsia="Times New Roman" w:hAnsi="Arial" w:cs="Arial"/>
                <w:color w:val="000000"/>
                <w:sz w:val="18"/>
                <w:szCs w:val="20"/>
                <w:lang w:val="es-ES" w:eastAsia="es-ES"/>
              </w:rPr>
              <w:t xml:space="preserve">47,020,000   </w:t>
            </w:r>
          </w:p>
        </w:tc>
      </w:tr>
      <w:tr w:rsidR="00906AFB" w:rsidRPr="00906AFB" w:rsidTr="00906AFB">
        <w:trPr>
          <w:trHeight w:val="283"/>
        </w:trPr>
        <w:tc>
          <w:tcPr>
            <w:tcW w:w="6662" w:type="dxa"/>
            <w:tcBorders>
              <w:top w:val="nil"/>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20"/>
                <w:lang w:val="es-ES" w:eastAsia="es-ES"/>
              </w:rPr>
            </w:pPr>
            <w:r w:rsidRPr="00906AFB">
              <w:rPr>
                <w:rFonts w:ascii="Arial" w:eastAsia="Times New Roman" w:hAnsi="Arial" w:cs="Arial"/>
                <w:color w:val="000000"/>
                <w:sz w:val="18"/>
                <w:szCs w:val="20"/>
                <w:lang w:val="es-ES" w:eastAsia="es-ES"/>
              </w:rPr>
              <w:t>División de terrenos y construcción de obras de urbanización</w:t>
            </w:r>
          </w:p>
        </w:tc>
        <w:tc>
          <w:tcPr>
            <w:tcW w:w="1418" w:type="dxa"/>
            <w:tcBorders>
              <w:top w:val="nil"/>
              <w:left w:val="nil"/>
              <w:bottom w:val="single" w:sz="4" w:space="0" w:color="auto"/>
              <w:right w:val="single" w:sz="4" w:space="0" w:color="auto"/>
            </w:tcBorders>
            <w:vAlign w:val="center"/>
            <w:hideMark/>
          </w:tcPr>
          <w:p w:rsidR="00906AFB" w:rsidRPr="00906AFB" w:rsidRDefault="00906AFB" w:rsidP="00906AFB">
            <w:pPr>
              <w:spacing w:after="0" w:line="240" w:lineRule="auto"/>
              <w:jc w:val="right"/>
              <w:rPr>
                <w:rFonts w:ascii="Arial" w:eastAsia="Times New Roman" w:hAnsi="Arial" w:cs="Arial"/>
                <w:color w:val="000000"/>
                <w:sz w:val="18"/>
                <w:szCs w:val="20"/>
                <w:lang w:val="es-ES" w:eastAsia="es-ES"/>
              </w:rPr>
            </w:pPr>
            <w:r w:rsidRPr="00906AFB">
              <w:rPr>
                <w:rFonts w:ascii="Arial" w:eastAsia="Times New Roman" w:hAnsi="Arial" w:cs="Arial"/>
                <w:color w:val="000000"/>
                <w:sz w:val="18"/>
                <w:szCs w:val="20"/>
                <w:lang w:val="es-ES" w:eastAsia="es-ES"/>
              </w:rPr>
              <w:t xml:space="preserve">56,640,000   </w:t>
            </w:r>
          </w:p>
        </w:tc>
      </w:tr>
      <w:tr w:rsidR="00906AFB" w:rsidRPr="00906AFB" w:rsidTr="00906AFB">
        <w:trPr>
          <w:trHeight w:val="283"/>
        </w:trPr>
        <w:tc>
          <w:tcPr>
            <w:tcW w:w="6662" w:type="dxa"/>
            <w:tcBorders>
              <w:top w:val="nil"/>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20"/>
                <w:lang w:val="es-ES" w:eastAsia="es-ES"/>
              </w:rPr>
            </w:pPr>
            <w:r w:rsidRPr="00906AFB">
              <w:rPr>
                <w:rFonts w:ascii="Arial" w:eastAsia="Times New Roman" w:hAnsi="Arial" w:cs="Arial"/>
                <w:color w:val="000000"/>
                <w:sz w:val="18"/>
                <w:szCs w:val="20"/>
                <w:lang w:val="es-ES" w:eastAsia="es-ES"/>
              </w:rPr>
              <w:t>Construcción de vías de comunicación</w:t>
            </w:r>
          </w:p>
        </w:tc>
        <w:tc>
          <w:tcPr>
            <w:tcW w:w="1418" w:type="dxa"/>
            <w:tcBorders>
              <w:top w:val="nil"/>
              <w:left w:val="nil"/>
              <w:bottom w:val="single" w:sz="4" w:space="0" w:color="auto"/>
              <w:right w:val="single" w:sz="4" w:space="0" w:color="auto"/>
            </w:tcBorders>
            <w:vAlign w:val="center"/>
            <w:hideMark/>
          </w:tcPr>
          <w:p w:rsidR="00906AFB" w:rsidRPr="00906AFB" w:rsidRDefault="00906AFB" w:rsidP="00906AFB">
            <w:pPr>
              <w:spacing w:after="0" w:line="240" w:lineRule="auto"/>
              <w:jc w:val="right"/>
              <w:rPr>
                <w:rFonts w:ascii="Arial" w:eastAsia="Times New Roman" w:hAnsi="Arial" w:cs="Arial"/>
                <w:color w:val="000000"/>
                <w:sz w:val="18"/>
                <w:szCs w:val="20"/>
                <w:lang w:val="es-ES" w:eastAsia="es-ES"/>
              </w:rPr>
            </w:pPr>
            <w:r w:rsidRPr="00906AFB">
              <w:rPr>
                <w:rFonts w:ascii="Arial" w:eastAsia="Times New Roman" w:hAnsi="Arial" w:cs="Arial"/>
                <w:color w:val="000000"/>
                <w:sz w:val="18"/>
                <w:szCs w:val="20"/>
                <w:lang w:val="es-ES" w:eastAsia="es-ES"/>
              </w:rPr>
              <w:t xml:space="preserve">45,000,000   </w:t>
            </w:r>
          </w:p>
        </w:tc>
      </w:tr>
      <w:tr w:rsidR="00906AFB" w:rsidRPr="00906AFB" w:rsidTr="00906AFB">
        <w:trPr>
          <w:trHeight w:val="283"/>
        </w:trPr>
        <w:tc>
          <w:tcPr>
            <w:tcW w:w="6662" w:type="dxa"/>
            <w:tcBorders>
              <w:top w:val="nil"/>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20"/>
                <w:lang w:val="es-ES" w:eastAsia="es-ES"/>
              </w:rPr>
            </w:pPr>
            <w:r w:rsidRPr="00906AFB">
              <w:rPr>
                <w:rFonts w:ascii="Arial" w:eastAsia="Times New Roman" w:hAnsi="Arial" w:cs="Arial"/>
                <w:color w:val="000000"/>
                <w:sz w:val="18"/>
                <w:szCs w:val="20"/>
                <w:lang w:val="es-ES" w:eastAsia="es-ES"/>
              </w:rPr>
              <w:t>Otras construcciones de ingeniería civil u obra pesada</w:t>
            </w:r>
          </w:p>
        </w:tc>
        <w:tc>
          <w:tcPr>
            <w:tcW w:w="1418" w:type="dxa"/>
            <w:tcBorders>
              <w:top w:val="nil"/>
              <w:left w:val="nil"/>
              <w:bottom w:val="single" w:sz="4" w:space="0" w:color="auto"/>
              <w:right w:val="single" w:sz="4" w:space="0" w:color="auto"/>
            </w:tcBorders>
            <w:vAlign w:val="center"/>
            <w:hideMark/>
          </w:tcPr>
          <w:p w:rsidR="00906AFB" w:rsidRPr="00906AFB" w:rsidRDefault="00906AFB" w:rsidP="00906AFB">
            <w:pPr>
              <w:spacing w:after="0" w:line="240" w:lineRule="auto"/>
              <w:jc w:val="right"/>
              <w:rPr>
                <w:rFonts w:ascii="Arial" w:eastAsia="Times New Roman" w:hAnsi="Arial" w:cs="Arial"/>
                <w:color w:val="000000"/>
                <w:sz w:val="18"/>
                <w:szCs w:val="20"/>
                <w:lang w:val="es-ES" w:eastAsia="es-ES"/>
              </w:rPr>
            </w:pPr>
            <w:r w:rsidRPr="00906AFB">
              <w:rPr>
                <w:rFonts w:ascii="Arial" w:eastAsia="Times New Roman" w:hAnsi="Arial" w:cs="Arial"/>
                <w:color w:val="000000"/>
                <w:sz w:val="18"/>
                <w:szCs w:val="20"/>
                <w:lang w:val="es-ES" w:eastAsia="es-ES"/>
              </w:rPr>
              <w:t xml:space="preserve">45,650,000   </w:t>
            </w:r>
          </w:p>
        </w:tc>
      </w:tr>
      <w:tr w:rsidR="00906AFB" w:rsidRPr="00906AFB" w:rsidTr="00906AFB">
        <w:trPr>
          <w:trHeight w:val="283"/>
        </w:trPr>
        <w:tc>
          <w:tcPr>
            <w:tcW w:w="6662" w:type="dxa"/>
            <w:tcBorders>
              <w:top w:val="nil"/>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20"/>
                <w:lang w:val="es-ES" w:eastAsia="es-ES"/>
              </w:rPr>
            </w:pPr>
            <w:r w:rsidRPr="00906AFB">
              <w:rPr>
                <w:rFonts w:ascii="Arial" w:eastAsia="Times New Roman" w:hAnsi="Arial" w:cs="Arial"/>
                <w:color w:val="000000"/>
                <w:sz w:val="18"/>
                <w:szCs w:val="20"/>
                <w:lang w:val="es-ES" w:eastAsia="es-ES"/>
              </w:rPr>
              <w:t>Vehículos y equipo terrestre</w:t>
            </w:r>
          </w:p>
        </w:tc>
        <w:tc>
          <w:tcPr>
            <w:tcW w:w="1418" w:type="dxa"/>
            <w:tcBorders>
              <w:top w:val="nil"/>
              <w:left w:val="nil"/>
              <w:bottom w:val="single" w:sz="4" w:space="0" w:color="auto"/>
              <w:right w:val="single" w:sz="4" w:space="0" w:color="auto"/>
            </w:tcBorders>
            <w:vAlign w:val="center"/>
            <w:hideMark/>
          </w:tcPr>
          <w:p w:rsidR="00906AFB" w:rsidRPr="00906AFB" w:rsidRDefault="00906AFB" w:rsidP="00906AFB">
            <w:pPr>
              <w:spacing w:after="0" w:line="240" w:lineRule="auto"/>
              <w:jc w:val="right"/>
              <w:rPr>
                <w:rFonts w:ascii="Arial" w:eastAsia="Times New Roman" w:hAnsi="Arial" w:cs="Arial"/>
                <w:color w:val="000000"/>
                <w:sz w:val="18"/>
                <w:szCs w:val="20"/>
                <w:lang w:val="es-ES" w:eastAsia="es-ES"/>
              </w:rPr>
            </w:pPr>
            <w:r w:rsidRPr="00906AFB">
              <w:rPr>
                <w:rFonts w:ascii="Arial" w:eastAsia="Times New Roman" w:hAnsi="Arial" w:cs="Arial"/>
                <w:color w:val="000000"/>
                <w:sz w:val="18"/>
                <w:szCs w:val="20"/>
                <w:lang w:val="es-ES" w:eastAsia="es-ES"/>
              </w:rPr>
              <w:t xml:space="preserve">3,000,000   </w:t>
            </w:r>
          </w:p>
        </w:tc>
      </w:tr>
      <w:tr w:rsidR="00906AFB" w:rsidRPr="00906AFB" w:rsidTr="00906AFB">
        <w:trPr>
          <w:trHeight w:val="283"/>
        </w:trPr>
        <w:tc>
          <w:tcPr>
            <w:tcW w:w="6662" w:type="dxa"/>
            <w:tcBorders>
              <w:top w:val="nil"/>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20"/>
                <w:lang w:val="es-ES" w:eastAsia="es-ES"/>
              </w:rPr>
            </w:pPr>
            <w:r w:rsidRPr="00906AFB">
              <w:rPr>
                <w:rFonts w:ascii="Arial" w:eastAsia="Times New Roman" w:hAnsi="Arial" w:cs="Arial"/>
                <w:color w:val="000000"/>
                <w:sz w:val="18"/>
                <w:szCs w:val="20"/>
                <w:lang w:val="es-ES" w:eastAsia="es-ES"/>
              </w:rPr>
              <w:t>Construcción de obras para el abastecimiento de agua, petróleo, gas, electricidad y telecomunicaciones</w:t>
            </w:r>
          </w:p>
        </w:tc>
        <w:tc>
          <w:tcPr>
            <w:tcW w:w="1418" w:type="dxa"/>
            <w:tcBorders>
              <w:top w:val="nil"/>
              <w:left w:val="nil"/>
              <w:bottom w:val="single" w:sz="4" w:space="0" w:color="auto"/>
              <w:right w:val="single" w:sz="4" w:space="0" w:color="auto"/>
            </w:tcBorders>
            <w:vAlign w:val="center"/>
            <w:hideMark/>
          </w:tcPr>
          <w:p w:rsidR="00906AFB" w:rsidRPr="00906AFB" w:rsidRDefault="00906AFB" w:rsidP="00906AFB">
            <w:pPr>
              <w:spacing w:after="0" w:line="240" w:lineRule="auto"/>
              <w:jc w:val="right"/>
              <w:rPr>
                <w:rFonts w:ascii="Arial" w:eastAsia="Times New Roman" w:hAnsi="Arial" w:cs="Arial"/>
                <w:color w:val="000000"/>
                <w:sz w:val="18"/>
                <w:szCs w:val="20"/>
                <w:lang w:val="es-ES" w:eastAsia="es-ES"/>
              </w:rPr>
            </w:pPr>
            <w:r w:rsidRPr="00906AFB">
              <w:rPr>
                <w:rFonts w:ascii="Arial" w:eastAsia="Times New Roman" w:hAnsi="Arial" w:cs="Arial"/>
                <w:color w:val="000000"/>
                <w:sz w:val="18"/>
                <w:szCs w:val="20"/>
                <w:lang w:val="es-ES" w:eastAsia="es-ES"/>
              </w:rPr>
              <w:t xml:space="preserve">2,690,000   </w:t>
            </w:r>
          </w:p>
        </w:tc>
      </w:tr>
      <w:tr w:rsidR="00906AFB" w:rsidRPr="00906AFB" w:rsidTr="00906AFB">
        <w:trPr>
          <w:trHeight w:val="283"/>
        </w:trPr>
        <w:tc>
          <w:tcPr>
            <w:tcW w:w="6662" w:type="dxa"/>
            <w:tcBorders>
              <w:top w:val="nil"/>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center"/>
              <w:rPr>
                <w:rFonts w:ascii="Arial" w:eastAsia="Times New Roman" w:hAnsi="Arial" w:cs="Arial"/>
                <w:b/>
                <w:bCs/>
                <w:color w:val="000000"/>
                <w:sz w:val="18"/>
                <w:szCs w:val="20"/>
                <w:lang w:val="es-ES" w:eastAsia="es-ES"/>
              </w:rPr>
            </w:pPr>
            <w:r w:rsidRPr="00906AFB">
              <w:rPr>
                <w:rFonts w:ascii="Arial" w:eastAsia="Times New Roman" w:hAnsi="Arial" w:cs="Arial"/>
                <w:b/>
                <w:bCs/>
                <w:color w:val="000000"/>
                <w:sz w:val="18"/>
                <w:szCs w:val="20"/>
                <w:lang w:val="es-ES" w:eastAsia="es-ES"/>
              </w:rPr>
              <w:t>Total</w:t>
            </w:r>
          </w:p>
        </w:tc>
        <w:tc>
          <w:tcPr>
            <w:tcW w:w="1418" w:type="dxa"/>
            <w:tcBorders>
              <w:top w:val="nil"/>
              <w:left w:val="nil"/>
              <w:bottom w:val="single" w:sz="4" w:space="0" w:color="auto"/>
              <w:right w:val="single" w:sz="4" w:space="0" w:color="auto"/>
            </w:tcBorders>
            <w:vAlign w:val="center"/>
            <w:hideMark/>
          </w:tcPr>
          <w:p w:rsidR="00906AFB" w:rsidRPr="00906AFB" w:rsidRDefault="00906AFB" w:rsidP="00906AFB">
            <w:pPr>
              <w:spacing w:after="0" w:line="240" w:lineRule="auto"/>
              <w:jc w:val="right"/>
              <w:rPr>
                <w:rFonts w:ascii="Arial" w:eastAsia="Times New Roman" w:hAnsi="Arial" w:cs="Arial"/>
                <w:b/>
                <w:color w:val="000000"/>
                <w:sz w:val="18"/>
                <w:szCs w:val="20"/>
                <w:lang w:val="es-ES" w:eastAsia="es-ES"/>
              </w:rPr>
            </w:pPr>
            <w:r w:rsidRPr="00906AFB">
              <w:rPr>
                <w:rFonts w:ascii="Arial" w:eastAsia="Times New Roman" w:hAnsi="Arial" w:cs="Arial"/>
                <w:b/>
                <w:color w:val="000000"/>
                <w:sz w:val="18"/>
                <w:szCs w:val="20"/>
                <w:lang w:val="es-ES" w:eastAsia="es-ES"/>
              </w:rPr>
              <w:t xml:space="preserve">243,524,000   </w:t>
            </w:r>
          </w:p>
        </w:tc>
      </w:tr>
    </w:tbl>
    <w:p w:rsidR="00906AFB" w:rsidRPr="00906AFB" w:rsidRDefault="00906AFB" w:rsidP="00906AFB">
      <w:pPr>
        <w:spacing w:after="0" w:line="240" w:lineRule="auto"/>
        <w:rPr>
          <w:rFonts w:ascii="Colaborate-Regular" w:eastAsia="Calibri" w:hAnsi="Colaborate-Regular" w:cs="Times New Roman"/>
          <w:sz w:val="20"/>
          <w:lang w:val="es-ES" w:eastAsia="en-US"/>
        </w:rPr>
      </w:pPr>
    </w:p>
    <w:p w:rsidR="00906AFB" w:rsidRPr="00906AFB" w:rsidRDefault="00906AFB" w:rsidP="00906AFB">
      <w:pPr>
        <w:spacing w:after="0" w:line="240" w:lineRule="auto"/>
        <w:jc w:val="both"/>
        <w:rPr>
          <w:rFonts w:ascii="Arial" w:eastAsia="Calibri" w:hAnsi="Arial" w:cs="Arial"/>
          <w:b/>
          <w:sz w:val="24"/>
          <w:szCs w:val="24"/>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b/>
          <w:sz w:val="24"/>
          <w:szCs w:val="24"/>
          <w:lang w:val="es-ES" w:eastAsia="en-US"/>
        </w:rPr>
        <w:t>Artículo 29</w:t>
      </w:r>
      <w:r w:rsidRPr="00906AFB">
        <w:rPr>
          <w:rFonts w:ascii="Arial" w:eastAsia="Calibri" w:hAnsi="Arial" w:cs="Arial"/>
          <w:sz w:val="24"/>
          <w:szCs w:val="24"/>
          <w:lang w:val="es-ES" w:eastAsia="en-US"/>
        </w:rPr>
        <w:t>. Se incluye en el capítulo de Inversiones Financieras y Otras Provisiones, una asignación de recursos por un importe de $</w:t>
      </w:r>
      <w:r w:rsidR="001C7A0F">
        <w:rPr>
          <w:rFonts w:ascii="Arial" w:eastAsia="Calibri" w:hAnsi="Arial" w:cs="Arial"/>
          <w:sz w:val="24"/>
          <w:szCs w:val="24"/>
          <w:lang w:val="es-ES" w:eastAsia="en-US"/>
        </w:rPr>
        <w:t>27,114,000</w:t>
      </w:r>
      <w:r w:rsidRPr="00906AFB">
        <w:rPr>
          <w:rFonts w:ascii="Arial" w:eastAsia="Calibri" w:hAnsi="Arial" w:cs="Arial"/>
          <w:color w:val="FF0000"/>
          <w:sz w:val="24"/>
          <w:szCs w:val="24"/>
          <w:lang w:val="es-ES" w:eastAsia="en-US"/>
        </w:rPr>
        <w:t xml:space="preserve"> </w:t>
      </w:r>
      <w:r w:rsidRPr="00906AFB">
        <w:rPr>
          <w:rFonts w:ascii="Arial" w:eastAsia="Calibri" w:hAnsi="Arial" w:cs="Arial"/>
          <w:sz w:val="24"/>
          <w:szCs w:val="24"/>
          <w:lang w:val="es-ES" w:eastAsia="en-US"/>
        </w:rPr>
        <w:t>mismos que se contemplan dentro del concepto de gasto denominado Provisiones para Contingencias y Otras Erogaciones Especiales.</w:t>
      </w:r>
    </w:p>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b/>
          <w:sz w:val="24"/>
          <w:szCs w:val="24"/>
          <w:lang w:val="es-ES" w:eastAsia="en-US"/>
        </w:rPr>
        <w:t>Artículo 30</w:t>
      </w:r>
      <w:r w:rsidRPr="00906AFB">
        <w:rPr>
          <w:rFonts w:ascii="Arial" w:eastAsia="Calibri" w:hAnsi="Arial" w:cs="Arial"/>
          <w:sz w:val="24"/>
          <w:szCs w:val="24"/>
          <w:lang w:val="es-ES" w:eastAsia="en-US"/>
        </w:rPr>
        <w:t xml:space="preserve">. La relación de Cuentas Bancarias Productivas en las cuales se depositan los Recursos Federales transferidos en el Ejercicio Fiscal 2017, para los diferentes Fondos, Programas y Convenios; se especifican en el </w:t>
      </w:r>
      <w:r w:rsidRPr="00906AFB">
        <w:rPr>
          <w:rFonts w:ascii="Arial" w:eastAsia="Calibri" w:hAnsi="Arial" w:cs="Arial"/>
          <w:b/>
          <w:sz w:val="24"/>
          <w:szCs w:val="24"/>
          <w:lang w:val="es-ES" w:eastAsia="en-US"/>
        </w:rPr>
        <w:t xml:space="preserve">Anexo </w:t>
      </w:r>
      <w:r w:rsidR="00A219A3">
        <w:rPr>
          <w:rFonts w:ascii="Arial" w:eastAsia="Calibri" w:hAnsi="Arial" w:cs="Arial"/>
          <w:b/>
          <w:sz w:val="24"/>
          <w:szCs w:val="24"/>
          <w:lang w:val="es-ES" w:eastAsia="en-US"/>
        </w:rPr>
        <w:t>7</w:t>
      </w:r>
      <w:r w:rsidRPr="00906AFB">
        <w:rPr>
          <w:rFonts w:ascii="Arial" w:eastAsia="Calibri" w:hAnsi="Arial" w:cs="Arial"/>
          <w:sz w:val="24"/>
          <w:szCs w:val="24"/>
          <w:lang w:val="es-ES" w:eastAsia="en-US"/>
        </w:rPr>
        <w:t xml:space="preserve"> del presente Decreto.</w:t>
      </w:r>
    </w:p>
    <w:p w:rsidR="00906AFB" w:rsidRPr="00906AFB" w:rsidRDefault="00906AFB" w:rsidP="00906AFB">
      <w:pPr>
        <w:spacing w:after="0" w:line="240" w:lineRule="auto"/>
        <w:jc w:val="both"/>
        <w:rPr>
          <w:rFonts w:ascii="Arial" w:eastAsia="Times New Roman" w:hAnsi="Arial" w:cs="Arial"/>
          <w:sz w:val="24"/>
          <w:szCs w:val="24"/>
          <w:lang w:val="es-ES" w:eastAsia="es-ES"/>
        </w:rPr>
      </w:pPr>
    </w:p>
    <w:p w:rsidR="00906AFB" w:rsidRPr="00906AFB" w:rsidRDefault="00906AFB" w:rsidP="00906AFB">
      <w:pPr>
        <w:spacing w:after="0" w:line="240" w:lineRule="auto"/>
        <w:jc w:val="both"/>
        <w:rPr>
          <w:rFonts w:ascii="Arial" w:eastAsia="Times New Roman" w:hAnsi="Arial" w:cs="Arial"/>
          <w:sz w:val="24"/>
          <w:szCs w:val="24"/>
          <w:lang w:val="es-ES" w:eastAsia="es-ES"/>
        </w:rPr>
      </w:pPr>
      <w:r w:rsidRPr="00906AFB">
        <w:rPr>
          <w:rFonts w:ascii="Arial" w:eastAsia="Times New Roman" w:hAnsi="Arial" w:cs="Arial"/>
          <w:sz w:val="24"/>
          <w:szCs w:val="24"/>
          <w:lang w:val="es-ES" w:eastAsia="es-ES"/>
        </w:rPr>
        <w:lastRenderedPageBreak/>
        <w:t>Dichas cuentas bancarias corresponden al Ejercicio Fiscal 2016. La apertura de las cuentas correspondientes al Ejercicio Fiscal 2017, se realizarán en términos de los instrumentos legales correspondientes.</w:t>
      </w:r>
    </w:p>
    <w:p w:rsidR="00906AFB" w:rsidRPr="00906AFB" w:rsidRDefault="00906AFB" w:rsidP="00906AFB">
      <w:pPr>
        <w:spacing w:after="0" w:line="240" w:lineRule="auto"/>
        <w:rPr>
          <w:rFonts w:ascii="Arial" w:eastAsia="Calibri" w:hAnsi="Arial" w:cs="Arial"/>
          <w:sz w:val="24"/>
          <w:szCs w:val="24"/>
          <w:lang w:val="es-ES" w:eastAsia="en-US"/>
        </w:rPr>
      </w:pPr>
    </w:p>
    <w:p w:rsidR="00906AFB" w:rsidRPr="00906AFB" w:rsidRDefault="00906AFB" w:rsidP="00906AFB">
      <w:pPr>
        <w:keepNext/>
        <w:keepLines/>
        <w:spacing w:after="0" w:line="240" w:lineRule="auto"/>
        <w:jc w:val="center"/>
        <w:outlineLvl w:val="0"/>
        <w:rPr>
          <w:rFonts w:ascii="Arial" w:eastAsia="Times New Roman" w:hAnsi="Arial" w:cs="Arial"/>
          <w:b/>
          <w:sz w:val="24"/>
          <w:szCs w:val="24"/>
          <w:lang w:val="es-ES" w:eastAsia="en-US"/>
        </w:rPr>
      </w:pPr>
      <w:bookmarkStart w:id="23" w:name="_Toc465292957"/>
      <w:bookmarkStart w:id="24" w:name="_Toc465292885"/>
      <w:r w:rsidRPr="00906AFB">
        <w:rPr>
          <w:rFonts w:ascii="Arial" w:eastAsia="Times New Roman" w:hAnsi="Arial" w:cs="Arial"/>
          <w:b/>
          <w:sz w:val="24"/>
          <w:szCs w:val="24"/>
          <w:lang w:val="es-ES" w:eastAsia="en-US"/>
        </w:rPr>
        <w:t>CAPÍTULO III</w:t>
      </w:r>
    </w:p>
    <w:p w:rsidR="00906AFB" w:rsidRPr="00906AFB" w:rsidRDefault="00906AFB" w:rsidP="00906AFB">
      <w:pPr>
        <w:keepNext/>
        <w:keepLines/>
        <w:spacing w:after="0" w:line="240" w:lineRule="auto"/>
        <w:jc w:val="center"/>
        <w:outlineLvl w:val="0"/>
        <w:rPr>
          <w:rFonts w:ascii="Arial" w:eastAsia="Times New Roman" w:hAnsi="Arial" w:cs="Arial"/>
          <w:b/>
          <w:sz w:val="24"/>
          <w:szCs w:val="24"/>
          <w:lang w:val="es-ES" w:eastAsia="en-US"/>
        </w:rPr>
      </w:pPr>
      <w:r w:rsidRPr="00906AFB">
        <w:rPr>
          <w:rFonts w:ascii="Arial" w:eastAsia="Times New Roman" w:hAnsi="Arial" w:cs="Arial"/>
          <w:b/>
          <w:sz w:val="24"/>
          <w:szCs w:val="24"/>
          <w:lang w:val="es-ES" w:eastAsia="en-US"/>
        </w:rPr>
        <w:t xml:space="preserve"> DE LOS SERVICIOS PERSONALES</w:t>
      </w:r>
      <w:bookmarkEnd w:id="23"/>
      <w:bookmarkEnd w:id="24"/>
    </w:p>
    <w:p w:rsidR="00906AFB" w:rsidRPr="00906AFB" w:rsidRDefault="00906AFB" w:rsidP="00906AFB">
      <w:pPr>
        <w:spacing w:after="0" w:line="240" w:lineRule="auto"/>
        <w:jc w:val="both"/>
        <w:rPr>
          <w:rFonts w:ascii="Arial" w:eastAsia="Calibri" w:hAnsi="Arial" w:cs="Arial"/>
          <w:b/>
          <w:sz w:val="24"/>
          <w:szCs w:val="24"/>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b/>
          <w:sz w:val="24"/>
          <w:szCs w:val="24"/>
          <w:lang w:val="es-ES" w:eastAsia="en-US"/>
        </w:rPr>
        <w:t>Artículo 31</w:t>
      </w:r>
      <w:r w:rsidRPr="00906AFB">
        <w:rPr>
          <w:rFonts w:ascii="Arial" w:eastAsia="Calibri" w:hAnsi="Arial" w:cs="Arial"/>
          <w:sz w:val="24"/>
          <w:szCs w:val="24"/>
          <w:lang w:val="es-ES" w:eastAsia="en-US"/>
        </w:rPr>
        <w:t xml:space="preserve">. En el Ejercicio Fiscal 2017, las Dependencias del Ejecutivo contarán con </w:t>
      </w:r>
      <w:r w:rsidRPr="00906AFB">
        <w:rPr>
          <w:rFonts w:ascii="Arial" w:eastAsia="Calibri" w:hAnsi="Arial" w:cs="Arial"/>
          <w:b/>
          <w:sz w:val="24"/>
          <w:szCs w:val="24"/>
          <w:lang w:val="es-ES" w:eastAsia="en-US"/>
        </w:rPr>
        <w:t>6,611</w:t>
      </w:r>
      <w:r w:rsidRPr="00906AFB">
        <w:rPr>
          <w:rFonts w:ascii="Arial" w:eastAsia="Calibri" w:hAnsi="Arial" w:cs="Arial"/>
          <w:color w:val="FF0000"/>
          <w:sz w:val="24"/>
          <w:szCs w:val="24"/>
          <w:lang w:val="es-ES" w:eastAsia="en-US"/>
        </w:rPr>
        <w:t xml:space="preserve"> </w:t>
      </w:r>
      <w:r w:rsidRPr="00906AFB">
        <w:rPr>
          <w:rFonts w:ascii="Arial" w:eastAsia="Calibri" w:hAnsi="Arial" w:cs="Arial"/>
          <w:sz w:val="24"/>
          <w:szCs w:val="24"/>
          <w:lang w:val="es-ES" w:eastAsia="en-US"/>
        </w:rPr>
        <w:t xml:space="preserve">plazas las cuales se integran de la forma siguiente, y su composición se detalla en el </w:t>
      </w:r>
      <w:r w:rsidRPr="00906AFB">
        <w:rPr>
          <w:rFonts w:ascii="Arial" w:eastAsia="Calibri" w:hAnsi="Arial" w:cs="Arial"/>
          <w:b/>
          <w:sz w:val="24"/>
          <w:szCs w:val="24"/>
          <w:lang w:val="es-ES" w:eastAsia="en-US"/>
        </w:rPr>
        <w:t xml:space="preserve">Anexo </w:t>
      </w:r>
      <w:r w:rsidR="00A219A3">
        <w:rPr>
          <w:rFonts w:ascii="Arial" w:eastAsia="Calibri" w:hAnsi="Arial" w:cs="Arial"/>
          <w:b/>
          <w:sz w:val="24"/>
          <w:szCs w:val="24"/>
          <w:lang w:val="es-ES" w:eastAsia="en-US"/>
        </w:rPr>
        <w:t>8</w:t>
      </w:r>
      <w:r w:rsidRPr="00906AFB">
        <w:rPr>
          <w:rFonts w:ascii="Arial" w:eastAsia="Calibri" w:hAnsi="Arial" w:cs="Arial"/>
          <w:sz w:val="24"/>
          <w:szCs w:val="24"/>
          <w:lang w:val="es-ES" w:eastAsia="en-US"/>
        </w:rPr>
        <w:t xml:space="preserve"> de este Decreto.</w:t>
      </w:r>
    </w:p>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Pr="00906AFB" w:rsidRDefault="00906AFB" w:rsidP="00906AFB">
      <w:pPr>
        <w:keepNext/>
        <w:keepLines/>
        <w:spacing w:after="0" w:line="240" w:lineRule="auto"/>
        <w:jc w:val="center"/>
        <w:outlineLvl w:val="1"/>
        <w:rPr>
          <w:rFonts w:ascii="Arial" w:eastAsia="Times New Roman" w:hAnsi="Arial" w:cs="Times New Roman"/>
          <w:b/>
          <w:sz w:val="20"/>
          <w:szCs w:val="26"/>
          <w:lang w:val="es-ES" w:eastAsia="en-US"/>
        </w:rPr>
      </w:pPr>
      <w:r w:rsidRPr="00906AFB">
        <w:rPr>
          <w:rFonts w:ascii="Arial" w:eastAsia="Times New Roman" w:hAnsi="Arial" w:cs="Times New Roman"/>
          <w:b/>
          <w:sz w:val="20"/>
          <w:szCs w:val="26"/>
          <w:lang w:val="es-ES" w:eastAsia="en-US"/>
        </w:rPr>
        <w:t>Tabla 29. Plazas de las Dependencias del Poder Ejecutivo y Horas del Magisterio Estatal</w:t>
      </w:r>
    </w:p>
    <w:tbl>
      <w:tblPr>
        <w:tblStyle w:val="Tablaconcuadrcula2"/>
        <w:tblW w:w="0" w:type="auto"/>
        <w:tblInd w:w="0" w:type="dxa"/>
        <w:tblLayout w:type="fixed"/>
        <w:tblLook w:val="04A0" w:firstRow="1" w:lastRow="0" w:firstColumn="1" w:lastColumn="0" w:noHBand="0" w:noVBand="1"/>
      </w:tblPr>
      <w:tblGrid>
        <w:gridCol w:w="3369"/>
        <w:gridCol w:w="850"/>
        <w:gridCol w:w="851"/>
        <w:gridCol w:w="992"/>
        <w:gridCol w:w="709"/>
        <w:gridCol w:w="992"/>
        <w:gridCol w:w="957"/>
      </w:tblGrid>
      <w:tr w:rsidR="00906AFB" w:rsidRPr="00906AFB" w:rsidTr="00906AFB">
        <w:trPr>
          <w:trHeight w:val="283"/>
        </w:trPr>
        <w:tc>
          <w:tcPr>
            <w:tcW w:w="3369" w:type="dxa"/>
            <w:vMerge w:val="restart"/>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bCs/>
                <w:sz w:val="18"/>
                <w:szCs w:val="18"/>
              </w:rPr>
            </w:pPr>
            <w:r w:rsidRPr="00906AFB">
              <w:rPr>
                <w:rFonts w:ascii="Arial" w:hAnsi="Arial" w:cs="Arial"/>
                <w:b/>
                <w:bCs/>
                <w:sz w:val="18"/>
                <w:szCs w:val="18"/>
              </w:rPr>
              <w:t>Dependencia</w:t>
            </w:r>
          </w:p>
        </w:tc>
        <w:tc>
          <w:tcPr>
            <w:tcW w:w="4394" w:type="dxa"/>
            <w:gridSpan w:val="5"/>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center"/>
              <w:rPr>
                <w:rFonts w:ascii="Arial" w:hAnsi="Arial" w:cs="Arial"/>
                <w:b/>
                <w:bCs/>
                <w:sz w:val="18"/>
                <w:szCs w:val="18"/>
              </w:rPr>
            </w:pPr>
            <w:r w:rsidRPr="00906AFB">
              <w:rPr>
                <w:rFonts w:ascii="Arial" w:hAnsi="Arial" w:cs="Arial"/>
                <w:b/>
                <w:bCs/>
                <w:sz w:val="18"/>
                <w:szCs w:val="18"/>
              </w:rPr>
              <w:t>Plazas</w:t>
            </w:r>
          </w:p>
        </w:tc>
        <w:tc>
          <w:tcPr>
            <w:tcW w:w="95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center"/>
              <w:rPr>
                <w:rFonts w:ascii="Arial" w:hAnsi="Arial" w:cs="Arial"/>
                <w:b/>
                <w:bCs/>
                <w:sz w:val="18"/>
                <w:szCs w:val="18"/>
              </w:rPr>
            </w:pPr>
            <w:r w:rsidRPr="00906AFB">
              <w:rPr>
                <w:rFonts w:ascii="Arial" w:hAnsi="Arial" w:cs="Arial"/>
                <w:b/>
                <w:bCs/>
                <w:sz w:val="18"/>
                <w:szCs w:val="18"/>
              </w:rPr>
              <w:t>Horas</w:t>
            </w:r>
          </w:p>
        </w:tc>
      </w:tr>
      <w:tr w:rsidR="00906AFB" w:rsidRPr="00906AFB" w:rsidTr="00906AFB">
        <w:trPr>
          <w:trHeight w:val="283"/>
        </w:trPr>
        <w:tc>
          <w:tcPr>
            <w:tcW w:w="3369" w:type="dxa"/>
            <w:vMerge/>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b/>
                <w:bCs/>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bCs/>
                <w:sz w:val="18"/>
                <w:szCs w:val="18"/>
              </w:rPr>
            </w:pPr>
            <w:r w:rsidRPr="00906AFB">
              <w:rPr>
                <w:rFonts w:ascii="Arial" w:hAnsi="Arial" w:cs="Arial"/>
                <w:b/>
                <w:bCs/>
                <w:sz w:val="18"/>
                <w:szCs w:val="18"/>
              </w:rPr>
              <w:t>Total Plazas</w:t>
            </w:r>
          </w:p>
        </w:tc>
        <w:tc>
          <w:tcPr>
            <w:tcW w:w="851"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bCs/>
                <w:sz w:val="18"/>
                <w:szCs w:val="18"/>
              </w:rPr>
            </w:pPr>
            <w:r w:rsidRPr="00906AFB">
              <w:rPr>
                <w:rFonts w:ascii="Arial" w:hAnsi="Arial" w:cs="Arial"/>
                <w:b/>
                <w:bCs/>
                <w:sz w:val="18"/>
                <w:szCs w:val="18"/>
              </w:rPr>
              <w:t>Sindicalizado</w:t>
            </w:r>
          </w:p>
        </w:tc>
        <w:tc>
          <w:tcPr>
            <w:tcW w:w="992"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bCs/>
                <w:sz w:val="18"/>
                <w:szCs w:val="18"/>
              </w:rPr>
            </w:pPr>
            <w:r w:rsidRPr="00906AFB">
              <w:rPr>
                <w:rFonts w:ascii="Arial" w:hAnsi="Arial" w:cs="Arial"/>
                <w:b/>
                <w:bCs/>
                <w:sz w:val="16"/>
                <w:szCs w:val="18"/>
              </w:rPr>
              <w:t>Temporal Sindicalizado</w:t>
            </w:r>
          </w:p>
        </w:tc>
        <w:tc>
          <w:tcPr>
            <w:tcW w:w="709"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bCs/>
                <w:sz w:val="18"/>
                <w:szCs w:val="18"/>
              </w:rPr>
            </w:pPr>
            <w:r w:rsidRPr="00906AFB">
              <w:rPr>
                <w:rFonts w:ascii="Arial" w:hAnsi="Arial" w:cs="Arial"/>
                <w:b/>
                <w:bCs/>
                <w:sz w:val="18"/>
                <w:szCs w:val="18"/>
              </w:rPr>
              <w:t>Confianza</w:t>
            </w:r>
          </w:p>
        </w:tc>
        <w:tc>
          <w:tcPr>
            <w:tcW w:w="992"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bCs/>
                <w:sz w:val="18"/>
                <w:szCs w:val="18"/>
              </w:rPr>
            </w:pPr>
            <w:r w:rsidRPr="00906AFB">
              <w:rPr>
                <w:rFonts w:ascii="Arial" w:hAnsi="Arial" w:cs="Arial"/>
                <w:b/>
                <w:bCs/>
                <w:sz w:val="18"/>
                <w:szCs w:val="18"/>
              </w:rPr>
              <w:t>Supernumerario</w:t>
            </w:r>
          </w:p>
        </w:tc>
        <w:tc>
          <w:tcPr>
            <w:tcW w:w="95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bCs/>
                <w:sz w:val="18"/>
                <w:szCs w:val="18"/>
              </w:rPr>
            </w:pPr>
            <w:r w:rsidRPr="00906AFB">
              <w:rPr>
                <w:rFonts w:ascii="Arial" w:hAnsi="Arial" w:cs="Arial"/>
                <w:b/>
                <w:bCs/>
                <w:sz w:val="18"/>
                <w:szCs w:val="18"/>
              </w:rPr>
              <w:t>Total Horas</w:t>
            </w:r>
          </w:p>
        </w:tc>
      </w:tr>
      <w:tr w:rsidR="00906AFB" w:rsidRPr="00906AFB" w:rsidTr="00906AFB">
        <w:trPr>
          <w:trHeight w:val="283"/>
        </w:trPr>
        <w:tc>
          <w:tcPr>
            <w:tcW w:w="336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rPr>
                <w:rFonts w:ascii="Arial" w:hAnsi="Arial" w:cs="Arial"/>
                <w:sz w:val="18"/>
                <w:szCs w:val="18"/>
              </w:rPr>
            </w:pPr>
            <w:r w:rsidRPr="00906AFB">
              <w:rPr>
                <w:rFonts w:ascii="Arial" w:hAnsi="Arial" w:cs="Arial"/>
                <w:sz w:val="18"/>
                <w:szCs w:val="18"/>
              </w:rPr>
              <w:t>Despacho del Gobernador</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222</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59</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0</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94</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69</w:t>
            </w:r>
          </w:p>
        </w:tc>
        <w:tc>
          <w:tcPr>
            <w:tcW w:w="95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0</w:t>
            </w:r>
          </w:p>
        </w:tc>
      </w:tr>
      <w:tr w:rsidR="00906AFB" w:rsidRPr="00906AFB" w:rsidTr="00906AFB">
        <w:trPr>
          <w:trHeight w:val="283"/>
        </w:trPr>
        <w:tc>
          <w:tcPr>
            <w:tcW w:w="336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rPr>
                <w:rFonts w:ascii="Arial" w:hAnsi="Arial" w:cs="Arial"/>
                <w:sz w:val="18"/>
                <w:szCs w:val="18"/>
              </w:rPr>
            </w:pPr>
            <w:r w:rsidRPr="00906AFB">
              <w:rPr>
                <w:rFonts w:ascii="Arial" w:hAnsi="Arial" w:cs="Arial"/>
                <w:sz w:val="18"/>
                <w:szCs w:val="18"/>
              </w:rPr>
              <w:t>Secretaria General de Gobierno</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453</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28</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0</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33</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392</w:t>
            </w:r>
          </w:p>
        </w:tc>
        <w:tc>
          <w:tcPr>
            <w:tcW w:w="95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0</w:t>
            </w:r>
          </w:p>
        </w:tc>
      </w:tr>
      <w:tr w:rsidR="00906AFB" w:rsidRPr="00906AFB" w:rsidTr="00906AFB">
        <w:trPr>
          <w:trHeight w:val="283"/>
        </w:trPr>
        <w:tc>
          <w:tcPr>
            <w:tcW w:w="336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rPr>
                <w:rFonts w:ascii="Arial" w:hAnsi="Arial" w:cs="Arial"/>
                <w:sz w:val="18"/>
                <w:szCs w:val="18"/>
              </w:rPr>
            </w:pPr>
            <w:r w:rsidRPr="00906AFB">
              <w:rPr>
                <w:rFonts w:ascii="Arial" w:hAnsi="Arial" w:cs="Arial"/>
                <w:sz w:val="18"/>
                <w:szCs w:val="18"/>
              </w:rPr>
              <w:t>Secretaria de Planeación y Finanzas</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373</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201</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0</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114</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58</w:t>
            </w:r>
          </w:p>
        </w:tc>
        <w:tc>
          <w:tcPr>
            <w:tcW w:w="95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0</w:t>
            </w:r>
          </w:p>
        </w:tc>
      </w:tr>
      <w:tr w:rsidR="00906AFB" w:rsidRPr="00906AFB" w:rsidTr="00906AFB">
        <w:trPr>
          <w:trHeight w:val="283"/>
        </w:trPr>
        <w:tc>
          <w:tcPr>
            <w:tcW w:w="336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rPr>
                <w:rFonts w:ascii="Arial" w:hAnsi="Arial" w:cs="Arial"/>
                <w:sz w:val="18"/>
                <w:szCs w:val="18"/>
              </w:rPr>
            </w:pPr>
            <w:r w:rsidRPr="00906AFB">
              <w:rPr>
                <w:rFonts w:ascii="Arial" w:hAnsi="Arial" w:cs="Arial"/>
                <w:sz w:val="18"/>
                <w:szCs w:val="18"/>
              </w:rPr>
              <w:t>Secretaria de Desarrollo Social</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64</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4</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0</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19</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41</w:t>
            </w:r>
          </w:p>
        </w:tc>
        <w:tc>
          <w:tcPr>
            <w:tcW w:w="95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0</w:t>
            </w:r>
          </w:p>
        </w:tc>
      </w:tr>
      <w:tr w:rsidR="00906AFB" w:rsidRPr="00906AFB" w:rsidTr="00906AFB">
        <w:trPr>
          <w:trHeight w:val="283"/>
        </w:trPr>
        <w:tc>
          <w:tcPr>
            <w:tcW w:w="336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rPr>
                <w:rFonts w:ascii="Arial" w:hAnsi="Arial" w:cs="Arial"/>
                <w:sz w:val="18"/>
                <w:szCs w:val="18"/>
              </w:rPr>
            </w:pPr>
            <w:r w:rsidRPr="00906AFB">
              <w:rPr>
                <w:rFonts w:ascii="Arial" w:hAnsi="Arial" w:cs="Arial"/>
                <w:sz w:val="18"/>
                <w:szCs w:val="18"/>
              </w:rPr>
              <w:t>Secretaria de Infraestructura y Desarrollo Urbano</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187</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128</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0</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38</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21</w:t>
            </w:r>
          </w:p>
        </w:tc>
        <w:tc>
          <w:tcPr>
            <w:tcW w:w="95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0</w:t>
            </w:r>
          </w:p>
        </w:tc>
      </w:tr>
      <w:tr w:rsidR="00906AFB" w:rsidRPr="00906AFB" w:rsidTr="00906AFB">
        <w:trPr>
          <w:trHeight w:val="283"/>
        </w:trPr>
        <w:tc>
          <w:tcPr>
            <w:tcW w:w="336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rPr>
                <w:rFonts w:ascii="Arial" w:hAnsi="Arial" w:cs="Arial"/>
                <w:sz w:val="18"/>
                <w:szCs w:val="18"/>
              </w:rPr>
            </w:pPr>
            <w:r w:rsidRPr="00906AFB">
              <w:rPr>
                <w:rFonts w:ascii="Arial" w:hAnsi="Arial" w:cs="Arial"/>
                <w:sz w:val="18"/>
                <w:szCs w:val="18"/>
              </w:rPr>
              <w:t>Secretaria de Desarrollo Rural</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112</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60</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0</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50</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2</w:t>
            </w:r>
          </w:p>
        </w:tc>
        <w:tc>
          <w:tcPr>
            <w:tcW w:w="95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0</w:t>
            </w:r>
          </w:p>
        </w:tc>
      </w:tr>
      <w:tr w:rsidR="00906AFB" w:rsidRPr="00906AFB" w:rsidTr="00906AFB">
        <w:trPr>
          <w:trHeight w:val="283"/>
        </w:trPr>
        <w:tc>
          <w:tcPr>
            <w:tcW w:w="336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rPr>
                <w:rFonts w:ascii="Arial" w:hAnsi="Arial" w:cs="Arial"/>
                <w:sz w:val="18"/>
                <w:szCs w:val="18"/>
              </w:rPr>
            </w:pPr>
            <w:r w:rsidRPr="00906AFB">
              <w:rPr>
                <w:rFonts w:ascii="Arial" w:hAnsi="Arial" w:cs="Arial"/>
                <w:sz w:val="18"/>
                <w:szCs w:val="18"/>
              </w:rPr>
              <w:t>Secretaría de Educación</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1,709</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757</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760</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6</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186</w:t>
            </w:r>
          </w:p>
        </w:tc>
        <w:tc>
          <w:tcPr>
            <w:tcW w:w="95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22,982</w:t>
            </w:r>
          </w:p>
        </w:tc>
      </w:tr>
      <w:tr w:rsidR="00906AFB" w:rsidRPr="00906AFB" w:rsidTr="00906AFB">
        <w:trPr>
          <w:trHeight w:val="283"/>
        </w:trPr>
        <w:tc>
          <w:tcPr>
            <w:tcW w:w="336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rPr>
                <w:rFonts w:ascii="Arial" w:hAnsi="Arial" w:cs="Arial"/>
                <w:sz w:val="18"/>
                <w:szCs w:val="18"/>
              </w:rPr>
            </w:pPr>
            <w:r w:rsidRPr="00906AFB">
              <w:rPr>
                <w:rFonts w:ascii="Arial" w:hAnsi="Arial" w:cs="Arial"/>
                <w:sz w:val="18"/>
                <w:szCs w:val="18"/>
              </w:rPr>
              <w:t>Secretaría de Salud y Bienestar Social</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124</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124</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0</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0</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0</w:t>
            </w:r>
          </w:p>
        </w:tc>
        <w:tc>
          <w:tcPr>
            <w:tcW w:w="95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0</w:t>
            </w:r>
          </w:p>
        </w:tc>
      </w:tr>
      <w:tr w:rsidR="00906AFB" w:rsidRPr="00906AFB" w:rsidTr="00906AFB">
        <w:trPr>
          <w:trHeight w:val="283"/>
        </w:trPr>
        <w:tc>
          <w:tcPr>
            <w:tcW w:w="336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rPr>
                <w:rFonts w:ascii="Arial" w:hAnsi="Arial" w:cs="Arial"/>
                <w:sz w:val="18"/>
                <w:szCs w:val="18"/>
              </w:rPr>
            </w:pPr>
            <w:r w:rsidRPr="00906AFB">
              <w:rPr>
                <w:rFonts w:ascii="Arial" w:hAnsi="Arial" w:cs="Arial"/>
                <w:sz w:val="18"/>
                <w:szCs w:val="18"/>
              </w:rPr>
              <w:t>Secretaría de Administración y Gestión Pública</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195</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83</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0</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61</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51</w:t>
            </w:r>
          </w:p>
        </w:tc>
        <w:tc>
          <w:tcPr>
            <w:tcW w:w="95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0</w:t>
            </w:r>
          </w:p>
        </w:tc>
      </w:tr>
      <w:tr w:rsidR="00906AFB" w:rsidRPr="00906AFB" w:rsidTr="00906AFB">
        <w:trPr>
          <w:trHeight w:val="283"/>
        </w:trPr>
        <w:tc>
          <w:tcPr>
            <w:tcW w:w="336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rPr>
                <w:rFonts w:ascii="Arial" w:hAnsi="Arial" w:cs="Arial"/>
                <w:sz w:val="18"/>
                <w:szCs w:val="18"/>
              </w:rPr>
            </w:pPr>
            <w:r w:rsidRPr="00906AFB">
              <w:rPr>
                <w:rFonts w:ascii="Arial" w:hAnsi="Arial" w:cs="Arial"/>
                <w:sz w:val="18"/>
                <w:szCs w:val="18"/>
              </w:rPr>
              <w:t>Secretaría de Fomento Económico</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48</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13</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0</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27</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8</w:t>
            </w:r>
          </w:p>
        </w:tc>
        <w:tc>
          <w:tcPr>
            <w:tcW w:w="95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0</w:t>
            </w:r>
          </w:p>
        </w:tc>
      </w:tr>
      <w:tr w:rsidR="00906AFB" w:rsidRPr="00906AFB" w:rsidTr="00906AFB">
        <w:trPr>
          <w:trHeight w:val="283"/>
        </w:trPr>
        <w:tc>
          <w:tcPr>
            <w:tcW w:w="336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rPr>
                <w:rFonts w:ascii="Arial" w:hAnsi="Arial" w:cs="Arial"/>
                <w:sz w:val="18"/>
                <w:szCs w:val="18"/>
              </w:rPr>
            </w:pPr>
            <w:r w:rsidRPr="00906AFB">
              <w:rPr>
                <w:rFonts w:ascii="Arial" w:hAnsi="Arial" w:cs="Arial"/>
                <w:sz w:val="18"/>
                <w:szCs w:val="18"/>
              </w:rPr>
              <w:t>Secretaría de Cultura</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219</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134</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0</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32</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53</w:t>
            </w:r>
          </w:p>
        </w:tc>
        <w:tc>
          <w:tcPr>
            <w:tcW w:w="95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0</w:t>
            </w:r>
          </w:p>
        </w:tc>
      </w:tr>
      <w:tr w:rsidR="00906AFB" w:rsidRPr="00906AFB" w:rsidTr="00906AFB">
        <w:trPr>
          <w:trHeight w:val="283"/>
        </w:trPr>
        <w:tc>
          <w:tcPr>
            <w:tcW w:w="336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rPr>
                <w:rFonts w:ascii="Arial" w:hAnsi="Arial" w:cs="Arial"/>
                <w:sz w:val="18"/>
                <w:szCs w:val="18"/>
              </w:rPr>
            </w:pPr>
            <w:r w:rsidRPr="00906AFB">
              <w:rPr>
                <w:rFonts w:ascii="Arial" w:hAnsi="Arial" w:cs="Arial"/>
                <w:sz w:val="18"/>
                <w:szCs w:val="18"/>
              </w:rPr>
              <w:t>Secretaría de Turismo</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36</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18</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0</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13</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5</w:t>
            </w:r>
          </w:p>
        </w:tc>
        <w:tc>
          <w:tcPr>
            <w:tcW w:w="95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0</w:t>
            </w:r>
          </w:p>
        </w:tc>
      </w:tr>
      <w:tr w:rsidR="00906AFB" w:rsidRPr="00906AFB" w:rsidTr="00906AFB">
        <w:trPr>
          <w:trHeight w:val="283"/>
        </w:trPr>
        <w:tc>
          <w:tcPr>
            <w:tcW w:w="336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rPr>
                <w:rFonts w:ascii="Arial" w:hAnsi="Arial" w:cs="Arial"/>
                <w:sz w:val="18"/>
                <w:szCs w:val="18"/>
              </w:rPr>
            </w:pPr>
            <w:r w:rsidRPr="00906AFB">
              <w:rPr>
                <w:rFonts w:ascii="Arial" w:hAnsi="Arial" w:cs="Arial"/>
                <w:sz w:val="18"/>
                <w:szCs w:val="18"/>
              </w:rPr>
              <w:t>Procuraduría General de Justicia del Estado</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1,042</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111</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0</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771</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160</w:t>
            </w:r>
          </w:p>
        </w:tc>
        <w:tc>
          <w:tcPr>
            <w:tcW w:w="95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0</w:t>
            </w:r>
          </w:p>
        </w:tc>
      </w:tr>
      <w:tr w:rsidR="00906AFB" w:rsidRPr="00906AFB" w:rsidTr="00906AFB">
        <w:trPr>
          <w:trHeight w:val="283"/>
        </w:trPr>
        <w:tc>
          <w:tcPr>
            <w:tcW w:w="336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rPr>
                <w:rFonts w:ascii="Arial" w:hAnsi="Arial" w:cs="Arial"/>
                <w:sz w:val="18"/>
                <w:szCs w:val="18"/>
              </w:rPr>
            </w:pPr>
            <w:r w:rsidRPr="00906AFB">
              <w:rPr>
                <w:rFonts w:ascii="Arial" w:hAnsi="Arial" w:cs="Arial"/>
                <w:sz w:val="18"/>
                <w:szCs w:val="18"/>
              </w:rPr>
              <w:t>Secretaría de Seguridad Pública</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1,474</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110</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0</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1,169</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195</w:t>
            </w:r>
          </w:p>
        </w:tc>
        <w:tc>
          <w:tcPr>
            <w:tcW w:w="95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0</w:t>
            </w:r>
          </w:p>
        </w:tc>
      </w:tr>
      <w:tr w:rsidR="00906AFB" w:rsidRPr="00906AFB" w:rsidTr="00906AFB">
        <w:trPr>
          <w:trHeight w:val="283"/>
        </w:trPr>
        <w:tc>
          <w:tcPr>
            <w:tcW w:w="336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rPr>
                <w:rFonts w:ascii="Arial" w:hAnsi="Arial" w:cs="Arial"/>
                <w:sz w:val="18"/>
                <w:szCs w:val="18"/>
              </w:rPr>
            </w:pPr>
            <w:r w:rsidRPr="00906AFB">
              <w:rPr>
                <w:rFonts w:ascii="Arial" w:hAnsi="Arial" w:cs="Arial"/>
                <w:sz w:val="18"/>
                <w:szCs w:val="18"/>
              </w:rPr>
              <w:t>Secretaría de la Juventud</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24</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4</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0</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13</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7</w:t>
            </w:r>
          </w:p>
        </w:tc>
        <w:tc>
          <w:tcPr>
            <w:tcW w:w="95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0</w:t>
            </w:r>
          </w:p>
        </w:tc>
      </w:tr>
      <w:tr w:rsidR="00906AFB" w:rsidRPr="00906AFB" w:rsidTr="00906AFB">
        <w:trPr>
          <w:trHeight w:val="283"/>
        </w:trPr>
        <w:tc>
          <w:tcPr>
            <w:tcW w:w="336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rPr>
                <w:rFonts w:ascii="Arial" w:hAnsi="Arial" w:cs="Arial"/>
                <w:sz w:val="18"/>
                <w:szCs w:val="18"/>
              </w:rPr>
            </w:pPr>
            <w:r w:rsidRPr="00906AFB">
              <w:rPr>
                <w:rFonts w:ascii="Arial" w:hAnsi="Arial" w:cs="Arial"/>
                <w:sz w:val="18"/>
                <w:szCs w:val="18"/>
              </w:rPr>
              <w:t>Secretaría del Trabajo y Previsión Social</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76</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36</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0</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27</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13</w:t>
            </w:r>
          </w:p>
        </w:tc>
        <w:tc>
          <w:tcPr>
            <w:tcW w:w="95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0</w:t>
            </w:r>
          </w:p>
        </w:tc>
      </w:tr>
      <w:tr w:rsidR="00906AFB" w:rsidRPr="00906AFB" w:rsidTr="00906AFB">
        <w:trPr>
          <w:trHeight w:val="283"/>
        </w:trPr>
        <w:tc>
          <w:tcPr>
            <w:tcW w:w="336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rPr>
                <w:rFonts w:ascii="Arial" w:hAnsi="Arial" w:cs="Arial"/>
                <w:sz w:val="18"/>
                <w:szCs w:val="18"/>
              </w:rPr>
            </w:pPr>
            <w:r w:rsidRPr="00906AFB">
              <w:rPr>
                <w:rFonts w:ascii="Arial" w:hAnsi="Arial" w:cs="Arial"/>
                <w:sz w:val="18"/>
                <w:szCs w:val="18"/>
              </w:rPr>
              <w:t>Secretaría de Movilidad</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144</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42</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0</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44</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58</w:t>
            </w:r>
          </w:p>
        </w:tc>
        <w:tc>
          <w:tcPr>
            <w:tcW w:w="95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0</w:t>
            </w:r>
          </w:p>
        </w:tc>
      </w:tr>
      <w:tr w:rsidR="00906AFB" w:rsidRPr="00906AFB" w:rsidTr="00906AFB">
        <w:trPr>
          <w:trHeight w:val="283"/>
        </w:trPr>
        <w:tc>
          <w:tcPr>
            <w:tcW w:w="336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rPr>
                <w:rFonts w:ascii="Arial" w:hAnsi="Arial" w:cs="Arial"/>
                <w:sz w:val="18"/>
                <w:szCs w:val="18"/>
              </w:rPr>
            </w:pPr>
            <w:r w:rsidRPr="00906AFB">
              <w:rPr>
                <w:rFonts w:ascii="Arial" w:hAnsi="Arial" w:cs="Arial"/>
                <w:sz w:val="18"/>
                <w:szCs w:val="18"/>
              </w:rPr>
              <w:t>Consejería Jurídica</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109</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9</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0</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36</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64</w:t>
            </w:r>
          </w:p>
        </w:tc>
        <w:tc>
          <w:tcPr>
            <w:tcW w:w="95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0</w:t>
            </w:r>
          </w:p>
        </w:tc>
      </w:tr>
      <w:tr w:rsidR="00906AFB" w:rsidRPr="00906AFB" w:rsidTr="00906AFB">
        <w:trPr>
          <w:trHeight w:val="283"/>
        </w:trPr>
        <w:tc>
          <w:tcPr>
            <w:tcW w:w="336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center"/>
              <w:rPr>
                <w:rFonts w:ascii="Arial" w:hAnsi="Arial" w:cs="Arial"/>
                <w:b/>
                <w:bCs/>
                <w:sz w:val="18"/>
                <w:szCs w:val="18"/>
              </w:rPr>
            </w:pPr>
            <w:r w:rsidRPr="00906AFB">
              <w:rPr>
                <w:rFonts w:ascii="Arial" w:hAnsi="Arial" w:cs="Arial"/>
                <w:b/>
                <w:bCs/>
                <w:sz w:val="18"/>
                <w:szCs w:val="18"/>
              </w:rPr>
              <w:t>Total</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b/>
                <w:sz w:val="18"/>
                <w:szCs w:val="18"/>
              </w:rPr>
            </w:pPr>
            <w:r w:rsidRPr="00906AFB">
              <w:rPr>
                <w:rFonts w:ascii="Arial" w:hAnsi="Arial" w:cs="Arial"/>
                <w:b/>
                <w:sz w:val="18"/>
                <w:szCs w:val="18"/>
              </w:rPr>
              <w:t>6,611</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b/>
                <w:sz w:val="18"/>
                <w:szCs w:val="18"/>
              </w:rPr>
            </w:pPr>
            <w:r w:rsidRPr="00906AFB">
              <w:rPr>
                <w:rFonts w:ascii="Arial" w:hAnsi="Arial" w:cs="Arial"/>
                <w:b/>
                <w:sz w:val="18"/>
                <w:szCs w:val="18"/>
              </w:rPr>
              <w:t>1,921</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b/>
                <w:sz w:val="18"/>
                <w:szCs w:val="18"/>
              </w:rPr>
            </w:pPr>
            <w:r w:rsidRPr="00906AFB">
              <w:rPr>
                <w:rFonts w:ascii="Arial" w:hAnsi="Arial" w:cs="Arial"/>
                <w:b/>
                <w:sz w:val="18"/>
                <w:szCs w:val="18"/>
              </w:rPr>
              <w:t>760</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b/>
                <w:sz w:val="18"/>
                <w:szCs w:val="18"/>
              </w:rPr>
            </w:pPr>
            <w:r w:rsidRPr="00906AFB">
              <w:rPr>
                <w:rFonts w:ascii="Arial" w:hAnsi="Arial" w:cs="Arial"/>
                <w:b/>
                <w:sz w:val="18"/>
                <w:szCs w:val="18"/>
              </w:rPr>
              <w:t>2,547</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b/>
                <w:sz w:val="18"/>
                <w:szCs w:val="18"/>
              </w:rPr>
            </w:pPr>
            <w:r w:rsidRPr="00906AFB">
              <w:rPr>
                <w:rFonts w:ascii="Arial" w:hAnsi="Arial" w:cs="Arial"/>
                <w:b/>
                <w:sz w:val="18"/>
                <w:szCs w:val="18"/>
              </w:rPr>
              <w:t>1,383</w:t>
            </w:r>
          </w:p>
        </w:tc>
        <w:tc>
          <w:tcPr>
            <w:tcW w:w="95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b/>
                <w:sz w:val="18"/>
                <w:szCs w:val="18"/>
              </w:rPr>
            </w:pPr>
            <w:r w:rsidRPr="00906AFB">
              <w:rPr>
                <w:rFonts w:ascii="Arial" w:hAnsi="Arial" w:cs="Arial"/>
                <w:b/>
                <w:sz w:val="18"/>
                <w:szCs w:val="18"/>
              </w:rPr>
              <w:t>22,982</w:t>
            </w:r>
          </w:p>
        </w:tc>
      </w:tr>
    </w:tbl>
    <w:p w:rsidR="00906AFB" w:rsidRPr="00906AFB" w:rsidRDefault="00906AFB" w:rsidP="00906AFB">
      <w:pPr>
        <w:spacing w:after="0" w:line="240" w:lineRule="auto"/>
        <w:rPr>
          <w:rFonts w:ascii="Colaborate-Regular" w:eastAsia="Calibri" w:hAnsi="Colaborate-Regular" w:cs="Times New Roman"/>
          <w:sz w:val="20"/>
          <w:lang w:val="es-ES" w:eastAsia="en-US"/>
        </w:rPr>
      </w:pPr>
    </w:p>
    <w:p w:rsidR="00906AFB" w:rsidRDefault="00906AFB" w:rsidP="00906AFB">
      <w:pPr>
        <w:spacing w:after="0" w:line="240" w:lineRule="auto"/>
        <w:jc w:val="both"/>
        <w:rPr>
          <w:rFonts w:ascii="Arial" w:eastAsia="Calibri" w:hAnsi="Arial" w:cs="Times New Roman"/>
          <w:lang w:val="es-ES" w:eastAsia="en-US"/>
        </w:rPr>
      </w:pPr>
    </w:p>
    <w:p w:rsidR="00CA2A50" w:rsidRDefault="00CA2A50" w:rsidP="00906AFB">
      <w:pPr>
        <w:spacing w:after="0" w:line="240" w:lineRule="auto"/>
        <w:jc w:val="both"/>
        <w:rPr>
          <w:rFonts w:ascii="Arial" w:eastAsia="Calibri" w:hAnsi="Arial" w:cs="Times New Roman"/>
          <w:lang w:val="es-ES" w:eastAsia="en-US"/>
        </w:rPr>
      </w:pPr>
    </w:p>
    <w:p w:rsidR="00CA2A50" w:rsidRDefault="00CA2A50" w:rsidP="00906AFB">
      <w:pPr>
        <w:spacing w:after="0" w:line="240" w:lineRule="auto"/>
        <w:jc w:val="both"/>
        <w:rPr>
          <w:rFonts w:ascii="Arial" w:eastAsia="Calibri" w:hAnsi="Arial" w:cs="Times New Roman"/>
          <w:lang w:val="es-ES" w:eastAsia="en-US"/>
        </w:rPr>
      </w:pPr>
    </w:p>
    <w:p w:rsidR="00CA2A50" w:rsidRPr="00906AFB" w:rsidRDefault="00CA2A50" w:rsidP="00906AFB">
      <w:pPr>
        <w:spacing w:after="0" w:line="240" w:lineRule="auto"/>
        <w:jc w:val="both"/>
        <w:rPr>
          <w:rFonts w:ascii="Arial" w:eastAsia="Calibri" w:hAnsi="Arial" w:cs="Times New Roman"/>
          <w:lang w:val="es-ES" w:eastAsia="en-US"/>
        </w:rPr>
      </w:pPr>
    </w:p>
    <w:p w:rsidR="00906AFB" w:rsidRPr="00906AFB" w:rsidRDefault="00906AFB" w:rsidP="00906AFB">
      <w:pPr>
        <w:keepNext/>
        <w:keepLines/>
        <w:spacing w:after="0" w:line="240" w:lineRule="auto"/>
        <w:jc w:val="center"/>
        <w:outlineLvl w:val="1"/>
        <w:rPr>
          <w:rFonts w:ascii="Arial" w:eastAsia="Times New Roman" w:hAnsi="Arial" w:cs="Times New Roman"/>
          <w:b/>
          <w:sz w:val="20"/>
          <w:szCs w:val="26"/>
          <w:lang w:val="es-ES" w:eastAsia="en-US"/>
        </w:rPr>
      </w:pPr>
      <w:r w:rsidRPr="00906AFB">
        <w:rPr>
          <w:rFonts w:ascii="Arial" w:eastAsia="Times New Roman" w:hAnsi="Arial" w:cs="Times New Roman"/>
          <w:b/>
          <w:sz w:val="20"/>
          <w:szCs w:val="26"/>
          <w:lang w:val="es-ES" w:eastAsia="en-US"/>
        </w:rPr>
        <w:lastRenderedPageBreak/>
        <w:t>Tabla 30. Plazas y Horas del Magisterio Federalizado</w:t>
      </w:r>
    </w:p>
    <w:tbl>
      <w:tblPr>
        <w:tblStyle w:val="Tablaconcuadrcula2"/>
        <w:tblW w:w="0" w:type="auto"/>
        <w:tblInd w:w="675" w:type="dxa"/>
        <w:tblLook w:val="04A0" w:firstRow="1" w:lastRow="0" w:firstColumn="1" w:lastColumn="0" w:noHBand="0" w:noVBand="1"/>
      </w:tblPr>
      <w:tblGrid>
        <w:gridCol w:w="6237"/>
        <w:gridCol w:w="1560"/>
      </w:tblGrid>
      <w:tr w:rsidR="00906AFB" w:rsidRPr="00906AFB" w:rsidTr="00906AFB">
        <w:trPr>
          <w:trHeight w:val="283"/>
        </w:trPr>
        <w:tc>
          <w:tcPr>
            <w:tcW w:w="623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sz w:val="20"/>
              </w:rPr>
            </w:pPr>
            <w:r w:rsidRPr="00906AFB">
              <w:rPr>
                <w:rFonts w:ascii="Arial" w:hAnsi="Arial" w:cs="Arial"/>
                <w:b/>
                <w:sz w:val="20"/>
              </w:rPr>
              <w:t>Partida</w:t>
            </w:r>
          </w:p>
        </w:tc>
        <w:tc>
          <w:tcPr>
            <w:tcW w:w="156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sz w:val="20"/>
              </w:rPr>
            </w:pPr>
            <w:r w:rsidRPr="00906AFB">
              <w:rPr>
                <w:rFonts w:ascii="Arial" w:hAnsi="Arial" w:cs="Arial"/>
                <w:b/>
                <w:sz w:val="20"/>
              </w:rPr>
              <w:t>Asignación Presupuestal</w:t>
            </w:r>
          </w:p>
        </w:tc>
      </w:tr>
      <w:tr w:rsidR="00906AFB" w:rsidRPr="00906AFB" w:rsidTr="00906AFB">
        <w:trPr>
          <w:trHeight w:val="283"/>
        </w:trPr>
        <w:tc>
          <w:tcPr>
            <w:tcW w:w="623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20"/>
              </w:rPr>
            </w:pPr>
            <w:r w:rsidRPr="00906AFB">
              <w:rPr>
                <w:rFonts w:ascii="Arial" w:hAnsi="Arial" w:cs="Arial"/>
                <w:sz w:val="20"/>
              </w:rPr>
              <w:t>Total de Plazas Magisterio Federal Estimadas</w:t>
            </w:r>
          </w:p>
        </w:tc>
        <w:tc>
          <w:tcPr>
            <w:tcW w:w="156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20"/>
              </w:rPr>
            </w:pPr>
            <w:r w:rsidRPr="00906AFB">
              <w:rPr>
                <w:rFonts w:ascii="Arial" w:hAnsi="Arial" w:cs="Arial"/>
                <w:sz w:val="20"/>
              </w:rPr>
              <w:t>6,702</w:t>
            </w:r>
          </w:p>
        </w:tc>
      </w:tr>
      <w:tr w:rsidR="00906AFB" w:rsidRPr="00906AFB" w:rsidTr="00906AFB">
        <w:trPr>
          <w:trHeight w:val="283"/>
        </w:trPr>
        <w:tc>
          <w:tcPr>
            <w:tcW w:w="623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20"/>
              </w:rPr>
            </w:pPr>
            <w:r w:rsidRPr="00906AFB">
              <w:rPr>
                <w:rFonts w:ascii="Arial" w:hAnsi="Arial" w:cs="Arial"/>
                <w:sz w:val="20"/>
              </w:rPr>
              <w:t>Total de Horas Magisterio Federal Estimadas</w:t>
            </w:r>
          </w:p>
        </w:tc>
        <w:tc>
          <w:tcPr>
            <w:tcW w:w="156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20"/>
              </w:rPr>
            </w:pPr>
            <w:r w:rsidRPr="00906AFB">
              <w:rPr>
                <w:rFonts w:ascii="Arial" w:hAnsi="Arial" w:cs="Arial"/>
                <w:sz w:val="20"/>
              </w:rPr>
              <w:t>47,007</w:t>
            </w:r>
          </w:p>
        </w:tc>
      </w:tr>
    </w:tbl>
    <w:p w:rsidR="00906AFB" w:rsidRPr="00906AFB" w:rsidRDefault="00906AFB" w:rsidP="00906AFB">
      <w:pPr>
        <w:spacing w:after="0" w:line="240" w:lineRule="auto"/>
        <w:jc w:val="both"/>
        <w:rPr>
          <w:rFonts w:ascii="Arial" w:eastAsia="Calibri" w:hAnsi="Arial" w:cs="Arial"/>
          <w:sz w:val="24"/>
          <w:szCs w:val="24"/>
          <w:lang w:val="es-ES" w:eastAsia="en-US"/>
        </w:rPr>
      </w:pPr>
    </w:p>
    <w:p w:rsidR="00CA2A50" w:rsidRDefault="00CA2A50" w:rsidP="00906AFB">
      <w:pPr>
        <w:spacing w:after="0" w:line="240" w:lineRule="auto"/>
        <w:jc w:val="both"/>
        <w:rPr>
          <w:rFonts w:ascii="Arial" w:eastAsia="Calibri" w:hAnsi="Arial" w:cs="Arial"/>
          <w:b/>
          <w:sz w:val="24"/>
          <w:szCs w:val="24"/>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b/>
          <w:sz w:val="24"/>
          <w:szCs w:val="24"/>
          <w:lang w:val="es-ES" w:eastAsia="en-US"/>
        </w:rPr>
        <w:t>Artículo 32</w:t>
      </w:r>
      <w:r w:rsidRPr="00906AFB">
        <w:rPr>
          <w:rFonts w:ascii="Arial" w:eastAsia="Calibri" w:hAnsi="Arial" w:cs="Arial"/>
          <w:sz w:val="24"/>
          <w:szCs w:val="24"/>
          <w:lang w:val="es-ES" w:eastAsia="en-US"/>
        </w:rPr>
        <w:t xml:space="preserve">. Los servidores públicos ocupantes de las plazas a que se refiere el artículo anterior, percibirán las remuneraciones que se determinen en el Tabulador de Sueldos que apruebe el Gobernador, mismo que se publicará, como </w:t>
      </w:r>
      <w:r w:rsidRPr="00906AFB">
        <w:rPr>
          <w:rFonts w:ascii="Arial" w:eastAsia="Calibri" w:hAnsi="Arial" w:cs="Arial"/>
          <w:b/>
          <w:sz w:val="24"/>
          <w:szCs w:val="24"/>
          <w:lang w:val="es-ES" w:eastAsia="en-US"/>
        </w:rPr>
        <w:t xml:space="preserve">Anexos </w:t>
      </w:r>
      <w:r w:rsidR="00A219A3">
        <w:rPr>
          <w:rFonts w:ascii="Arial" w:eastAsia="Calibri" w:hAnsi="Arial" w:cs="Arial"/>
          <w:b/>
          <w:sz w:val="24"/>
          <w:szCs w:val="24"/>
          <w:lang w:val="es-ES" w:eastAsia="en-US"/>
        </w:rPr>
        <w:t>9</w:t>
      </w:r>
      <w:r w:rsidRPr="00906AFB">
        <w:rPr>
          <w:rFonts w:ascii="Arial" w:eastAsia="Calibri" w:hAnsi="Arial" w:cs="Arial"/>
          <w:sz w:val="24"/>
          <w:szCs w:val="24"/>
          <w:lang w:val="es-ES" w:eastAsia="en-US"/>
        </w:rPr>
        <w:t xml:space="preserve"> de acuerdo a lo previsto en el artículo 30 de la Ley que Fija las Bases para las Remuneraciones de los Servidores Públicos del Estado y los Municipios. </w:t>
      </w:r>
    </w:p>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sz w:val="24"/>
          <w:szCs w:val="24"/>
          <w:lang w:val="es-ES" w:eastAsia="en-US"/>
        </w:rPr>
        <w:t>La asignación global de servicios personales aprobada originalmente en el Presupuesto de Egresos no podrá incrementarse durante el ejercicio fiscal. Lo anterior, exceptuando el pago de sentencias laborales definitivas emitidas por la autoridad competente y lo señalado por la Ley de Disciplina Financiera.</w:t>
      </w:r>
    </w:p>
    <w:p w:rsidR="00906AFB" w:rsidRPr="00906AFB" w:rsidRDefault="00906AFB" w:rsidP="00906AFB">
      <w:pPr>
        <w:spacing w:after="0" w:line="240" w:lineRule="auto"/>
        <w:jc w:val="both"/>
        <w:rPr>
          <w:rFonts w:ascii="Arial" w:eastAsia="Calibri" w:hAnsi="Arial" w:cs="Arial"/>
          <w:b/>
          <w:sz w:val="24"/>
          <w:szCs w:val="24"/>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b/>
          <w:sz w:val="24"/>
          <w:szCs w:val="24"/>
          <w:lang w:val="es-ES" w:eastAsia="en-US"/>
        </w:rPr>
        <w:t>Artículo 33</w:t>
      </w:r>
      <w:r w:rsidRPr="00906AFB">
        <w:rPr>
          <w:rFonts w:ascii="Arial" w:eastAsia="Calibri" w:hAnsi="Arial" w:cs="Arial"/>
          <w:sz w:val="24"/>
          <w:szCs w:val="24"/>
          <w:lang w:val="es-ES" w:eastAsia="en-US"/>
        </w:rPr>
        <w:t>. Para el establecimiento y determinación de criterios que regulen los incrementos salariales, la Secretaría de Administración se sujetará a lo previsto en las normas y lineamientos en materia de administración, remuneraciones y desarrollo del personal, y cualquier otra incidencia que modifique la relación jurídico-laboral entre el Estado y sus servidores públicos, incluyendo el control y elaboración de la nómina del personal del Gobierno del Estado, lo anterior con fundamento en el artículo 24 de la Ley Orgánica de la Administración Pública del Estado de Colima; y artículos 36, 56, 57, 58, 59 y 112, de la Ley de los Trabajadores al Servicio del Gobierno, Ayuntamientos y Organismos Descentralizados del Estado de Colima.</w:t>
      </w:r>
    </w:p>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sz w:val="24"/>
          <w:szCs w:val="24"/>
          <w:lang w:val="es-ES" w:eastAsia="en-US"/>
        </w:rPr>
        <w:t>Para la partida Previsiones Salariales y Económicas, que es destinada a cubrir incrementos en percepciones de los servidores públicos, de conformidad por lo dispuesto en el artículo 10 fracción II de la Ley de Disciplina Financiera; se presupuesta una cantidad de $</w:t>
      </w:r>
      <w:r w:rsidR="00AD7F05">
        <w:rPr>
          <w:rFonts w:ascii="Arial" w:eastAsia="Calibri" w:hAnsi="Arial" w:cs="Arial"/>
          <w:sz w:val="24"/>
          <w:szCs w:val="24"/>
          <w:lang w:val="es-ES" w:eastAsia="en-US"/>
        </w:rPr>
        <w:t>51,287,000</w:t>
      </w:r>
      <w:r w:rsidRPr="00906AFB">
        <w:rPr>
          <w:rFonts w:ascii="Arial" w:eastAsia="Calibri" w:hAnsi="Arial" w:cs="Arial"/>
          <w:sz w:val="24"/>
          <w:szCs w:val="24"/>
          <w:lang w:val="es-ES" w:eastAsia="en-US"/>
        </w:rPr>
        <w:t>.</w:t>
      </w:r>
    </w:p>
    <w:p w:rsidR="00906AFB" w:rsidRPr="00906AFB" w:rsidRDefault="00906AFB" w:rsidP="00906AFB">
      <w:pPr>
        <w:spacing w:after="0" w:line="240" w:lineRule="auto"/>
        <w:jc w:val="both"/>
        <w:rPr>
          <w:rFonts w:ascii="Arial" w:eastAsia="Calibri" w:hAnsi="Arial" w:cs="Arial"/>
          <w:b/>
          <w:sz w:val="24"/>
          <w:szCs w:val="24"/>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b/>
          <w:sz w:val="24"/>
          <w:szCs w:val="24"/>
          <w:lang w:val="es-ES" w:eastAsia="en-US"/>
        </w:rPr>
        <w:t>Artículo 34</w:t>
      </w:r>
      <w:r w:rsidRPr="00906AFB">
        <w:rPr>
          <w:rFonts w:ascii="Arial" w:eastAsia="Calibri" w:hAnsi="Arial" w:cs="Arial"/>
          <w:sz w:val="24"/>
          <w:szCs w:val="24"/>
          <w:lang w:val="es-ES" w:eastAsia="en-US"/>
        </w:rPr>
        <w:t>. El Subsistema de Educación Estatal comp</w:t>
      </w:r>
      <w:r w:rsidR="00E22E97">
        <w:rPr>
          <w:rFonts w:ascii="Arial" w:eastAsia="Calibri" w:hAnsi="Arial" w:cs="Arial"/>
          <w:sz w:val="24"/>
          <w:szCs w:val="24"/>
          <w:lang w:val="es-ES" w:eastAsia="en-US"/>
        </w:rPr>
        <w:t xml:space="preserve">rende un total de 1,705 plazas </w:t>
      </w:r>
      <w:r w:rsidRPr="00906AFB">
        <w:rPr>
          <w:rFonts w:ascii="Arial" w:eastAsia="Calibri" w:hAnsi="Arial" w:cs="Arial"/>
          <w:sz w:val="24"/>
          <w:szCs w:val="24"/>
          <w:lang w:val="es-ES" w:eastAsia="en-US"/>
        </w:rPr>
        <w:t xml:space="preserve">del magisterio, mismas que están desglosadas en el </w:t>
      </w:r>
      <w:r w:rsidRPr="00906AFB">
        <w:rPr>
          <w:rFonts w:ascii="Arial" w:eastAsia="Calibri" w:hAnsi="Arial" w:cs="Arial"/>
          <w:b/>
          <w:sz w:val="24"/>
          <w:szCs w:val="24"/>
          <w:lang w:val="es-ES" w:eastAsia="en-US"/>
        </w:rPr>
        <w:t xml:space="preserve">Anexo </w:t>
      </w:r>
      <w:r w:rsidR="001F7F55">
        <w:rPr>
          <w:rFonts w:ascii="Arial" w:eastAsia="Calibri" w:hAnsi="Arial" w:cs="Arial"/>
          <w:b/>
          <w:sz w:val="24"/>
          <w:szCs w:val="24"/>
          <w:lang w:val="es-ES" w:eastAsia="en-US"/>
        </w:rPr>
        <w:t>10</w:t>
      </w:r>
      <w:r w:rsidRPr="00906AFB">
        <w:rPr>
          <w:rFonts w:ascii="Arial" w:eastAsia="Calibri" w:hAnsi="Arial" w:cs="Arial"/>
          <w:sz w:val="24"/>
          <w:szCs w:val="24"/>
          <w:lang w:val="es-ES" w:eastAsia="en-US"/>
        </w:rPr>
        <w:t xml:space="preserve"> del presente Decreto.</w:t>
      </w:r>
    </w:p>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sz w:val="24"/>
          <w:szCs w:val="24"/>
          <w:lang w:val="es-ES" w:eastAsia="en-US"/>
        </w:rPr>
        <w:t>La integración del Gasto Educativo con recurso estatal y federal es la siguiente:</w:t>
      </w:r>
    </w:p>
    <w:p w:rsidR="00CA2A50" w:rsidRPr="00906AFB" w:rsidRDefault="00CA2A50" w:rsidP="00906AFB">
      <w:pPr>
        <w:spacing w:after="0" w:line="240" w:lineRule="auto"/>
        <w:jc w:val="both"/>
        <w:rPr>
          <w:rFonts w:ascii="Arial" w:eastAsia="Calibri" w:hAnsi="Arial" w:cs="Arial"/>
          <w:sz w:val="24"/>
          <w:szCs w:val="24"/>
          <w:lang w:val="es-ES" w:eastAsia="en-US"/>
        </w:rPr>
      </w:pPr>
    </w:p>
    <w:p w:rsidR="00906AFB" w:rsidRDefault="00906AFB" w:rsidP="00906AFB">
      <w:pPr>
        <w:spacing w:after="0" w:line="240" w:lineRule="auto"/>
        <w:jc w:val="both"/>
        <w:rPr>
          <w:rFonts w:ascii="Arial" w:eastAsia="Calibri" w:hAnsi="Arial" w:cs="Arial"/>
          <w:sz w:val="24"/>
          <w:szCs w:val="24"/>
          <w:lang w:val="es-ES" w:eastAsia="en-US"/>
        </w:rPr>
      </w:pPr>
    </w:p>
    <w:p w:rsidR="00A542BF" w:rsidRPr="00906AFB" w:rsidRDefault="00A542BF" w:rsidP="00906AFB">
      <w:pPr>
        <w:spacing w:after="0" w:line="240" w:lineRule="auto"/>
        <w:jc w:val="both"/>
        <w:rPr>
          <w:rFonts w:ascii="Arial" w:eastAsia="Calibri" w:hAnsi="Arial" w:cs="Arial"/>
          <w:sz w:val="24"/>
          <w:szCs w:val="24"/>
          <w:lang w:val="es-ES" w:eastAsia="en-US"/>
        </w:rPr>
      </w:pPr>
    </w:p>
    <w:p w:rsidR="00906AFB" w:rsidRPr="00906AFB" w:rsidRDefault="00906AFB" w:rsidP="00906AFB">
      <w:pPr>
        <w:keepNext/>
        <w:keepLines/>
        <w:spacing w:after="0" w:line="240" w:lineRule="auto"/>
        <w:jc w:val="center"/>
        <w:outlineLvl w:val="1"/>
        <w:rPr>
          <w:rFonts w:ascii="Arial" w:eastAsia="Times New Roman" w:hAnsi="Arial" w:cs="Times New Roman"/>
          <w:b/>
          <w:sz w:val="20"/>
          <w:szCs w:val="26"/>
          <w:lang w:val="es-ES" w:eastAsia="en-US"/>
        </w:rPr>
      </w:pPr>
      <w:r w:rsidRPr="00906AFB">
        <w:rPr>
          <w:rFonts w:ascii="Arial" w:eastAsia="Times New Roman" w:hAnsi="Arial" w:cs="Times New Roman"/>
          <w:b/>
          <w:sz w:val="20"/>
          <w:szCs w:val="26"/>
          <w:lang w:val="es-ES" w:eastAsia="en-US"/>
        </w:rPr>
        <w:lastRenderedPageBreak/>
        <w:t>Tabla 31. Gasto Educativo Estatal po</w:t>
      </w:r>
      <w:r w:rsidRPr="00906AFB">
        <w:rPr>
          <w:rFonts w:ascii="Arial" w:eastAsia="Times New Roman" w:hAnsi="Arial" w:cs="Times New Roman"/>
          <w:sz w:val="20"/>
          <w:szCs w:val="26"/>
          <w:lang w:val="es-ES" w:eastAsia="en-US"/>
        </w:rPr>
        <w:t>r</w:t>
      </w:r>
      <w:r w:rsidRPr="00906AFB">
        <w:rPr>
          <w:rFonts w:ascii="Arial" w:eastAsia="Times New Roman" w:hAnsi="Arial" w:cs="Times New Roman"/>
          <w:b/>
          <w:sz w:val="20"/>
          <w:szCs w:val="26"/>
          <w:lang w:val="es-ES" w:eastAsia="en-US"/>
        </w:rPr>
        <w:t xml:space="preserve"> Dependencia y Fuente de Financiamiento</w:t>
      </w:r>
    </w:p>
    <w:p w:rsidR="00906AFB" w:rsidRPr="00906AFB" w:rsidRDefault="00906AFB" w:rsidP="00906AFB">
      <w:pPr>
        <w:spacing w:after="0" w:line="240" w:lineRule="auto"/>
        <w:jc w:val="both"/>
        <w:rPr>
          <w:rFonts w:ascii="Arial" w:eastAsia="Calibri" w:hAnsi="Arial" w:cs="Arial"/>
          <w:b/>
          <w:sz w:val="16"/>
          <w:szCs w:val="16"/>
          <w:lang w:val="es-ES" w:eastAsia="en-US"/>
        </w:rPr>
      </w:pPr>
    </w:p>
    <w:tbl>
      <w:tblPr>
        <w:tblStyle w:val="Tablaconcuadrcula2"/>
        <w:tblW w:w="0" w:type="auto"/>
        <w:tblInd w:w="0" w:type="dxa"/>
        <w:tblLook w:val="04A0" w:firstRow="1" w:lastRow="0" w:firstColumn="1" w:lastColumn="0" w:noHBand="0" w:noVBand="1"/>
      </w:tblPr>
      <w:tblGrid>
        <w:gridCol w:w="759"/>
        <w:gridCol w:w="4182"/>
        <w:gridCol w:w="1121"/>
        <w:gridCol w:w="1276"/>
        <w:gridCol w:w="1240"/>
      </w:tblGrid>
      <w:tr w:rsidR="00906AFB" w:rsidRPr="00906AFB" w:rsidTr="00906AFB">
        <w:trPr>
          <w:trHeight w:val="283"/>
        </w:trPr>
        <w:tc>
          <w:tcPr>
            <w:tcW w:w="75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center"/>
              <w:rPr>
                <w:rFonts w:ascii="Arial" w:hAnsi="Arial" w:cs="Arial"/>
                <w:b/>
                <w:sz w:val="16"/>
                <w:szCs w:val="16"/>
              </w:rPr>
            </w:pPr>
            <w:r w:rsidRPr="00906AFB">
              <w:rPr>
                <w:rFonts w:ascii="Arial" w:hAnsi="Arial" w:cs="Arial"/>
                <w:b/>
                <w:sz w:val="16"/>
                <w:szCs w:val="16"/>
              </w:rPr>
              <w:t>Partida</w:t>
            </w:r>
          </w:p>
        </w:tc>
        <w:tc>
          <w:tcPr>
            <w:tcW w:w="4182"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center"/>
              <w:rPr>
                <w:rFonts w:ascii="Arial" w:hAnsi="Arial" w:cs="Arial"/>
                <w:b/>
                <w:sz w:val="16"/>
                <w:szCs w:val="16"/>
              </w:rPr>
            </w:pPr>
            <w:r w:rsidRPr="00906AFB">
              <w:rPr>
                <w:rFonts w:ascii="Arial" w:hAnsi="Arial" w:cs="Arial"/>
                <w:b/>
                <w:sz w:val="16"/>
                <w:szCs w:val="16"/>
              </w:rPr>
              <w:t>Concepto</w:t>
            </w:r>
          </w:p>
        </w:tc>
        <w:tc>
          <w:tcPr>
            <w:tcW w:w="1121"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sz w:val="16"/>
                <w:szCs w:val="16"/>
              </w:rPr>
            </w:pPr>
            <w:r w:rsidRPr="00906AFB">
              <w:rPr>
                <w:rFonts w:ascii="Arial" w:hAnsi="Arial" w:cs="Arial"/>
                <w:b/>
                <w:sz w:val="16"/>
                <w:szCs w:val="16"/>
              </w:rPr>
              <w:t>Recursos Fiscales</w:t>
            </w:r>
          </w:p>
        </w:tc>
        <w:tc>
          <w:tcPr>
            <w:tcW w:w="1276"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sz w:val="16"/>
                <w:szCs w:val="16"/>
              </w:rPr>
            </w:pPr>
            <w:r w:rsidRPr="00906AFB">
              <w:rPr>
                <w:rFonts w:ascii="Arial" w:hAnsi="Arial" w:cs="Arial"/>
                <w:b/>
                <w:sz w:val="16"/>
                <w:szCs w:val="16"/>
              </w:rPr>
              <w:t>Recursos Federales</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center"/>
              <w:rPr>
                <w:rFonts w:ascii="Arial" w:hAnsi="Arial" w:cs="Arial"/>
                <w:b/>
                <w:sz w:val="16"/>
                <w:szCs w:val="16"/>
              </w:rPr>
            </w:pPr>
            <w:r w:rsidRPr="00906AFB">
              <w:rPr>
                <w:rFonts w:ascii="Arial" w:hAnsi="Arial" w:cs="Arial"/>
                <w:b/>
                <w:sz w:val="16"/>
                <w:szCs w:val="16"/>
              </w:rPr>
              <w:t>Total</w:t>
            </w:r>
          </w:p>
        </w:tc>
      </w:tr>
      <w:tr w:rsidR="00906AFB" w:rsidRPr="00906AFB" w:rsidTr="00906AFB">
        <w:trPr>
          <w:trHeight w:val="283"/>
        </w:trPr>
        <w:tc>
          <w:tcPr>
            <w:tcW w:w="75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center"/>
              <w:rPr>
                <w:rFonts w:ascii="Arial" w:hAnsi="Arial" w:cs="Arial"/>
                <w:b/>
                <w:bCs/>
                <w:sz w:val="16"/>
                <w:szCs w:val="16"/>
              </w:rPr>
            </w:pPr>
            <w:r w:rsidRPr="00906AFB">
              <w:rPr>
                <w:rFonts w:ascii="Arial" w:hAnsi="Arial" w:cs="Arial"/>
                <w:b/>
                <w:bCs/>
                <w:sz w:val="16"/>
                <w:szCs w:val="16"/>
              </w:rPr>
              <w:t>07</w:t>
            </w:r>
          </w:p>
        </w:tc>
        <w:tc>
          <w:tcPr>
            <w:tcW w:w="4182"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rPr>
                <w:rFonts w:ascii="Arial" w:hAnsi="Arial" w:cs="Arial"/>
                <w:b/>
                <w:bCs/>
                <w:sz w:val="16"/>
                <w:szCs w:val="16"/>
              </w:rPr>
            </w:pPr>
            <w:r w:rsidRPr="00906AFB">
              <w:rPr>
                <w:rFonts w:ascii="Arial" w:hAnsi="Arial" w:cs="Arial"/>
                <w:b/>
                <w:bCs/>
                <w:sz w:val="16"/>
                <w:szCs w:val="16"/>
              </w:rPr>
              <w:t>SECRETARIA DE EDUCACIÓN</w:t>
            </w:r>
          </w:p>
        </w:tc>
        <w:tc>
          <w:tcPr>
            <w:tcW w:w="112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b/>
                <w:bCs/>
                <w:sz w:val="16"/>
                <w:szCs w:val="16"/>
              </w:rPr>
            </w:pPr>
            <w:r w:rsidRPr="00906AFB">
              <w:rPr>
                <w:rFonts w:ascii="Arial" w:hAnsi="Arial" w:cs="Arial"/>
                <w:b/>
                <w:bCs/>
                <w:sz w:val="16"/>
                <w:szCs w:val="16"/>
              </w:rPr>
              <w:t>892,699,862</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b/>
                <w:bCs/>
                <w:sz w:val="16"/>
                <w:szCs w:val="16"/>
              </w:rPr>
            </w:pPr>
            <w:r w:rsidRPr="00906AFB">
              <w:rPr>
                <w:rFonts w:ascii="Arial" w:hAnsi="Arial" w:cs="Arial"/>
                <w:b/>
                <w:bCs/>
                <w:sz w:val="16"/>
                <w:szCs w:val="16"/>
              </w:rPr>
              <w:t>5,190,695,521</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b/>
                <w:bCs/>
                <w:sz w:val="16"/>
                <w:szCs w:val="16"/>
              </w:rPr>
            </w:pPr>
            <w:r w:rsidRPr="00906AFB">
              <w:rPr>
                <w:rFonts w:ascii="Arial" w:hAnsi="Arial" w:cs="Arial"/>
                <w:b/>
                <w:bCs/>
                <w:sz w:val="16"/>
                <w:szCs w:val="16"/>
              </w:rPr>
              <w:t>6,083,395,383</w:t>
            </w:r>
          </w:p>
        </w:tc>
      </w:tr>
      <w:tr w:rsidR="00906AFB" w:rsidRPr="00906AFB" w:rsidTr="00906AFB">
        <w:trPr>
          <w:trHeight w:val="283"/>
        </w:trPr>
        <w:tc>
          <w:tcPr>
            <w:tcW w:w="75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center"/>
              <w:rPr>
                <w:rFonts w:ascii="Arial" w:hAnsi="Arial" w:cs="Arial"/>
                <w:b/>
                <w:bCs/>
                <w:sz w:val="16"/>
                <w:szCs w:val="16"/>
              </w:rPr>
            </w:pPr>
            <w:r w:rsidRPr="00906AFB">
              <w:rPr>
                <w:rFonts w:ascii="Arial" w:hAnsi="Arial" w:cs="Arial"/>
                <w:b/>
                <w:bCs/>
                <w:sz w:val="16"/>
                <w:szCs w:val="16"/>
              </w:rPr>
              <w:t>10000</w:t>
            </w:r>
          </w:p>
        </w:tc>
        <w:tc>
          <w:tcPr>
            <w:tcW w:w="4182"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rPr>
                <w:rFonts w:ascii="Arial" w:hAnsi="Arial" w:cs="Arial"/>
                <w:b/>
                <w:bCs/>
                <w:sz w:val="16"/>
                <w:szCs w:val="16"/>
              </w:rPr>
            </w:pPr>
            <w:r w:rsidRPr="00906AFB">
              <w:rPr>
                <w:rFonts w:ascii="Arial" w:hAnsi="Arial" w:cs="Arial"/>
                <w:b/>
                <w:bCs/>
                <w:sz w:val="16"/>
                <w:szCs w:val="16"/>
              </w:rPr>
              <w:t>SERVICIOS PERSONALES</w:t>
            </w:r>
          </w:p>
        </w:tc>
        <w:tc>
          <w:tcPr>
            <w:tcW w:w="112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b/>
                <w:bCs/>
                <w:sz w:val="16"/>
                <w:szCs w:val="16"/>
              </w:rPr>
            </w:pPr>
            <w:r w:rsidRPr="00906AFB">
              <w:rPr>
                <w:rFonts w:ascii="Arial" w:hAnsi="Arial" w:cs="Arial"/>
                <w:b/>
                <w:bCs/>
                <w:sz w:val="16"/>
                <w:szCs w:val="16"/>
              </w:rPr>
              <w:t>510,420,118</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b/>
                <w:bCs/>
                <w:sz w:val="16"/>
                <w:szCs w:val="16"/>
              </w:rPr>
            </w:pPr>
            <w:r w:rsidRPr="00906AFB">
              <w:rPr>
                <w:rFonts w:ascii="Arial" w:hAnsi="Arial" w:cs="Arial"/>
                <w:b/>
                <w:bCs/>
                <w:sz w:val="16"/>
                <w:szCs w:val="16"/>
              </w:rPr>
              <w:t>168,604,521</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b/>
                <w:bCs/>
                <w:sz w:val="16"/>
                <w:szCs w:val="16"/>
              </w:rPr>
            </w:pPr>
            <w:r w:rsidRPr="00906AFB">
              <w:rPr>
                <w:rFonts w:ascii="Arial" w:hAnsi="Arial" w:cs="Arial"/>
                <w:b/>
                <w:bCs/>
                <w:sz w:val="16"/>
                <w:szCs w:val="16"/>
              </w:rPr>
              <w:t>679,024,639</w:t>
            </w:r>
          </w:p>
        </w:tc>
      </w:tr>
      <w:tr w:rsidR="00906AFB" w:rsidRPr="00906AFB" w:rsidTr="00906AFB">
        <w:trPr>
          <w:trHeight w:val="283"/>
        </w:trPr>
        <w:tc>
          <w:tcPr>
            <w:tcW w:w="75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center"/>
              <w:rPr>
                <w:rFonts w:ascii="Arial" w:hAnsi="Arial" w:cs="Arial"/>
                <w:b/>
                <w:bCs/>
                <w:sz w:val="16"/>
                <w:szCs w:val="16"/>
              </w:rPr>
            </w:pPr>
            <w:r w:rsidRPr="00906AFB">
              <w:rPr>
                <w:rFonts w:ascii="Arial" w:hAnsi="Arial" w:cs="Arial"/>
                <w:b/>
                <w:bCs/>
                <w:sz w:val="16"/>
                <w:szCs w:val="16"/>
              </w:rPr>
              <w:t>20000</w:t>
            </w:r>
          </w:p>
        </w:tc>
        <w:tc>
          <w:tcPr>
            <w:tcW w:w="4182"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rPr>
                <w:rFonts w:ascii="Arial" w:hAnsi="Arial" w:cs="Arial"/>
                <w:b/>
                <w:bCs/>
                <w:sz w:val="16"/>
                <w:szCs w:val="16"/>
              </w:rPr>
            </w:pPr>
            <w:r w:rsidRPr="00906AFB">
              <w:rPr>
                <w:rFonts w:ascii="Arial" w:hAnsi="Arial" w:cs="Arial"/>
                <w:b/>
                <w:bCs/>
                <w:sz w:val="16"/>
                <w:szCs w:val="16"/>
              </w:rPr>
              <w:t>MATERIALES Y SUMINISTROS</w:t>
            </w:r>
          </w:p>
        </w:tc>
        <w:tc>
          <w:tcPr>
            <w:tcW w:w="112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b/>
                <w:bCs/>
                <w:sz w:val="16"/>
                <w:szCs w:val="16"/>
              </w:rPr>
            </w:pPr>
            <w:r w:rsidRPr="00906AFB">
              <w:rPr>
                <w:rFonts w:ascii="Arial" w:hAnsi="Arial" w:cs="Arial"/>
                <w:b/>
                <w:bCs/>
                <w:sz w:val="16"/>
                <w:szCs w:val="16"/>
              </w:rPr>
              <w:t>5,085,656</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b/>
                <w:bCs/>
                <w:sz w:val="16"/>
                <w:szCs w:val="16"/>
              </w:rPr>
            </w:pPr>
            <w:r w:rsidRPr="00906AFB">
              <w:rPr>
                <w:rFonts w:ascii="Arial" w:hAnsi="Arial" w:cs="Arial"/>
                <w:b/>
                <w:bCs/>
                <w:sz w:val="16"/>
                <w:szCs w:val="16"/>
              </w:rPr>
              <w:t>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b/>
                <w:bCs/>
                <w:sz w:val="16"/>
                <w:szCs w:val="16"/>
              </w:rPr>
            </w:pPr>
            <w:r w:rsidRPr="00906AFB">
              <w:rPr>
                <w:rFonts w:ascii="Arial" w:hAnsi="Arial" w:cs="Arial"/>
                <w:b/>
                <w:bCs/>
                <w:sz w:val="16"/>
                <w:szCs w:val="16"/>
              </w:rPr>
              <w:t>5,085,656</w:t>
            </w:r>
          </w:p>
        </w:tc>
      </w:tr>
      <w:tr w:rsidR="00906AFB" w:rsidRPr="00906AFB" w:rsidTr="00906AFB">
        <w:trPr>
          <w:trHeight w:val="283"/>
        </w:trPr>
        <w:tc>
          <w:tcPr>
            <w:tcW w:w="75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center"/>
              <w:rPr>
                <w:rFonts w:ascii="Arial" w:hAnsi="Arial" w:cs="Arial"/>
                <w:b/>
                <w:bCs/>
                <w:sz w:val="16"/>
                <w:szCs w:val="16"/>
              </w:rPr>
            </w:pPr>
            <w:r w:rsidRPr="00906AFB">
              <w:rPr>
                <w:rFonts w:ascii="Arial" w:hAnsi="Arial" w:cs="Arial"/>
                <w:b/>
                <w:bCs/>
                <w:sz w:val="16"/>
                <w:szCs w:val="16"/>
              </w:rPr>
              <w:t>30000</w:t>
            </w:r>
          </w:p>
        </w:tc>
        <w:tc>
          <w:tcPr>
            <w:tcW w:w="4182"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rPr>
                <w:rFonts w:ascii="Arial" w:hAnsi="Arial" w:cs="Arial"/>
                <w:b/>
                <w:bCs/>
                <w:sz w:val="16"/>
                <w:szCs w:val="16"/>
              </w:rPr>
            </w:pPr>
            <w:r w:rsidRPr="00906AFB">
              <w:rPr>
                <w:rFonts w:ascii="Arial" w:hAnsi="Arial" w:cs="Arial"/>
                <w:b/>
                <w:bCs/>
                <w:sz w:val="16"/>
                <w:szCs w:val="16"/>
              </w:rPr>
              <w:t>SERVICIOS GENERALES</w:t>
            </w:r>
          </w:p>
        </w:tc>
        <w:tc>
          <w:tcPr>
            <w:tcW w:w="112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b/>
                <w:bCs/>
                <w:sz w:val="16"/>
                <w:szCs w:val="16"/>
              </w:rPr>
            </w:pPr>
            <w:r w:rsidRPr="00906AFB">
              <w:rPr>
                <w:rFonts w:ascii="Arial" w:hAnsi="Arial" w:cs="Arial"/>
                <w:b/>
                <w:bCs/>
                <w:sz w:val="16"/>
                <w:szCs w:val="16"/>
              </w:rPr>
              <w:t>3,910,148</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b/>
                <w:bCs/>
                <w:sz w:val="16"/>
                <w:szCs w:val="16"/>
              </w:rPr>
            </w:pPr>
            <w:r w:rsidRPr="00906AFB">
              <w:rPr>
                <w:rFonts w:ascii="Arial" w:hAnsi="Arial" w:cs="Arial"/>
                <w:b/>
                <w:bCs/>
                <w:sz w:val="16"/>
                <w:szCs w:val="16"/>
              </w:rPr>
              <w:t>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b/>
                <w:bCs/>
                <w:sz w:val="16"/>
                <w:szCs w:val="16"/>
              </w:rPr>
            </w:pPr>
            <w:r w:rsidRPr="00906AFB">
              <w:rPr>
                <w:rFonts w:ascii="Arial" w:hAnsi="Arial" w:cs="Arial"/>
                <w:b/>
                <w:bCs/>
                <w:sz w:val="16"/>
                <w:szCs w:val="16"/>
              </w:rPr>
              <w:t>3,910,148</w:t>
            </w:r>
          </w:p>
        </w:tc>
      </w:tr>
      <w:tr w:rsidR="00906AFB" w:rsidRPr="00906AFB" w:rsidTr="00906AFB">
        <w:trPr>
          <w:trHeight w:val="283"/>
        </w:trPr>
        <w:tc>
          <w:tcPr>
            <w:tcW w:w="75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center"/>
              <w:rPr>
                <w:rFonts w:ascii="Arial" w:hAnsi="Arial" w:cs="Arial"/>
                <w:b/>
                <w:bCs/>
                <w:sz w:val="16"/>
                <w:szCs w:val="16"/>
              </w:rPr>
            </w:pPr>
            <w:r w:rsidRPr="00906AFB">
              <w:rPr>
                <w:rFonts w:ascii="Arial" w:hAnsi="Arial" w:cs="Arial"/>
                <w:b/>
                <w:bCs/>
                <w:sz w:val="16"/>
                <w:szCs w:val="16"/>
              </w:rPr>
              <w:t>40000</w:t>
            </w:r>
          </w:p>
        </w:tc>
        <w:tc>
          <w:tcPr>
            <w:tcW w:w="4182"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b/>
                <w:bCs/>
                <w:sz w:val="16"/>
                <w:szCs w:val="16"/>
              </w:rPr>
            </w:pPr>
            <w:r w:rsidRPr="00906AFB">
              <w:rPr>
                <w:rFonts w:ascii="Arial" w:hAnsi="Arial" w:cs="Arial"/>
                <w:b/>
                <w:bCs/>
                <w:sz w:val="16"/>
                <w:szCs w:val="16"/>
              </w:rPr>
              <w:t>TRANSFERENCIAS, ASIGNACIONES, SUBSIDIOS Y OTRAS</w:t>
            </w:r>
          </w:p>
        </w:tc>
        <w:tc>
          <w:tcPr>
            <w:tcW w:w="112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b/>
                <w:bCs/>
                <w:sz w:val="16"/>
                <w:szCs w:val="16"/>
              </w:rPr>
            </w:pPr>
            <w:r w:rsidRPr="00906AFB">
              <w:rPr>
                <w:rFonts w:ascii="Arial" w:hAnsi="Arial" w:cs="Arial"/>
                <w:b/>
                <w:bCs/>
                <w:sz w:val="16"/>
                <w:szCs w:val="16"/>
              </w:rPr>
              <w:t>373,283,940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b/>
                <w:bCs/>
                <w:sz w:val="16"/>
                <w:szCs w:val="16"/>
              </w:rPr>
            </w:pPr>
            <w:r w:rsidRPr="00906AFB">
              <w:rPr>
                <w:rFonts w:ascii="Arial" w:hAnsi="Arial" w:cs="Arial"/>
                <w:b/>
                <w:bCs/>
                <w:sz w:val="16"/>
                <w:szCs w:val="16"/>
              </w:rPr>
              <w:t>5,022,091,000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b/>
                <w:bCs/>
                <w:sz w:val="16"/>
                <w:szCs w:val="16"/>
              </w:rPr>
            </w:pPr>
            <w:r w:rsidRPr="00906AFB">
              <w:rPr>
                <w:rFonts w:ascii="Arial" w:hAnsi="Arial" w:cs="Arial"/>
                <w:b/>
                <w:bCs/>
                <w:sz w:val="16"/>
                <w:szCs w:val="16"/>
              </w:rPr>
              <w:t>5,395,374,940</w:t>
            </w:r>
          </w:p>
        </w:tc>
      </w:tr>
      <w:tr w:rsidR="00906AFB" w:rsidRPr="00906AFB" w:rsidTr="00906AFB">
        <w:trPr>
          <w:trHeight w:val="283"/>
        </w:trPr>
        <w:tc>
          <w:tcPr>
            <w:tcW w:w="75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center"/>
              <w:rPr>
                <w:rFonts w:ascii="Arial" w:hAnsi="Arial" w:cs="Arial"/>
                <w:sz w:val="16"/>
                <w:szCs w:val="16"/>
              </w:rPr>
            </w:pPr>
            <w:r w:rsidRPr="00906AFB">
              <w:rPr>
                <w:rFonts w:ascii="Arial" w:hAnsi="Arial" w:cs="Arial"/>
                <w:sz w:val="16"/>
                <w:szCs w:val="16"/>
              </w:rPr>
              <w:t>41136</w:t>
            </w:r>
          </w:p>
        </w:tc>
        <w:tc>
          <w:tcPr>
            <w:tcW w:w="4182"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rPr>
                <w:rFonts w:ascii="Arial" w:hAnsi="Arial" w:cs="Arial"/>
                <w:sz w:val="16"/>
                <w:szCs w:val="16"/>
              </w:rPr>
            </w:pPr>
            <w:r w:rsidRPr="00906AFB">
              <w:rPr>
                <w:rFonts w:ascii="Arial" w:hAnsi="Arial" w:cs="Arial"/>
                <w:sz w:val="16"/>
                <w:szCs w:val="16"/>
              </w:rPr>
              <w:t>Convenio Federal Educación</w:t>
            </w:r>
          </w:p>
        </w:tc>
        <w:tc>
          <w:tcPr>
            <w:tcW w:w="112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4,936,000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4,936,000</w:t>
            </w:r>
          </w:p>
        </w:tc>
      </w:tr>
      <w:tr w:rsidR="00906AFB" w:rsidRPr="00906AFB" w:rsidTr="00906AFB">
        <w:trPr>
          <w:trHeight w:val="283"/>
        </w:trPr>
        <w:tc>
          <w:tcPr>
            <w:tcW w:w="75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center"/>
              <w:rPr>
                <w:rFonts w:ascii="Arial" w:hAnsi="Arial" w:cs="Arial"/>
                <w:sz w:val="16"/>
                <w:szCs w:val="16"/>
              </w:rPr>
            </w:pPr>
            <w:r w:rsidRPr="00906AFB">
              <w:rPr>
                <w:rFonts w:ascii="Arial" w:hAnsi="Arial" w:cs="Arial"/>
                <w:sz w:val="16"/>
                <w:szCs w:val="16"/>
              </w:rPr>
              <w:t>41137</w:t>
            </w:r>
          </w:p>
        </w:tc>
        <w:tc>
          <w:tcPr>
            <w:tcW w:w="4182"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rPr>
                <w:rFonts w:ascii="Arial" w:hAnsi="Arial" w:cs="Arial"/>
                <w:sz w:val="16"/>
                <w:szCs w:val="16"/>
              </w:rPr>
            </w:pPr>
            <w:r w:rsidRPr="00906AFB">
              <w:rPr>
                <w:rFonts w:ascii="Arial" w:hAnsi="Arial" w:cs="Arial"/>
                <w:sz w:val="16"/>
                <w:szCs w:val="16"/>
              </w:rPr>
              <w:t>Coordinación de Servicios Educativos Estatal</w:t>
            </w:r>
          </w:p>
        </w:tc>
        <w:tc>
          <w:tcPr>
            <w:tcW w:w="112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25,960,000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25,960,000</w:t>
            </w:r>
          </w:p>
        </w:tc>
      </w:tr>
      <w:tr w:rsidR="00906AFB" w:rsidRPr="00906AFB" w:rsidTr="00906AFB">
        <w:trPr>
          <w:trHeight w:val="283"/>
        </w:trPr>
        <w:tc>
          <w:tcPr>
            <w:tcW w:w="75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center"/>
              <w:rPr>
                <w:rFonts w:ascii="Arial" w:hAnsi="Arial" w:cs="Arial"/>
                <w:sz w:val="16"/>
                <w:szCs w:val="16"/>
              </w:rPr>
            </w:pPr>
            <w:r w:rsidRPr="00906AFB">
              <w:rPr>
                <w:rFonts w:ascii="Arial" w:hAnsi="Arial" w:cs="Arial"/>
                <w:sz w:val="16"/>
                <w:szCs w:val="16"/>
              </w:rPr>
              <w:t>41401</w:t>
            </w:r>
          </w:p>
        </w:tc>
        <w:tc>
          <w:tcPr>
            <w:tcW w:w="4182"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rPr>
                <w:rFonts w:ascii="Arial" w:hAnsi="Arial" w:cs="Arial"/>
                <w:sz w:val="16"/>
                <w:szCs w:val="16"/>
              </w:rPr>
            </w:pPr>
            <w:r w:rsidRPr="00906AFB">
              <w:rPr>
                <w:rFonts w:ascii="Arial" w:hAnsi="Arial" w:cs="Arial"/>
                <w:sz w:val="16"/>
                <w:szCs w:val="16"/>
              </w:rPr>
              <w:t>Universidad de Colima</w:t>
            </w:r>
          </w:p>
        </w:tc>
        <w:tc>
          <w:tcPr>
            <w:tcW w:w="112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251,605,272</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251,605,272</w:t>
            </w:r>
          </w:p>
        </w:tc>
      </w:tr>
      <w:tr w:rsidR="00906AFB" w:rsidRPr="00906AFB" w:rsidTr="00906AFB">
        <w:trPr>
          <w:trHeight w:val="283"/>
        </w:trPr>
        <w:tc>
          <w:tcPr>
            <w:tcW w:w="75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center"/>
              <w:rPr>
                <w:rFonts w:ascii="Arial" w:hAnsi="Arial" w:cs="Arial"/>
                <w:sz w:val="16"/>
                <w:szCs w:val="16"/>
              </w:rPr>
            </w:pPr>
            <w:r w:rsidRPr="00906AFB">
              <w:rPr>
                <w:rFonts w:ascii="Arial" w:hAnsi="Arial" w:cs="Arial"/>
                <w:sz w:val="16"/>
                <w:szCs w:val="16"/>
              </w:rPr>
              <w:t>41503</w:t>
            </w:r>
          </w:p>
        </w:tc>
        <w:tc>
          <w:tcPr>
            <w:tcW w:w="4182"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rPr>
                <w:rFonts w:ascii="Arial" w:hAnsi="Arial" w:cs="Arial"/>
                <w:sz w:val="16"/>
                <w:szCs w:val="16"/>
              </w:rPr>
            </w:pPr>
            <w:r w:rsidRPr="00906AFB">
              <w:rPr>
                <w:rFonts w:ascii="Arial" w:hAnsi="Arial" w:cs="Arial"/>
                <w:sz w:val="16"/>
                <w:szCs w:val="16"/>
              </w:rPr>
              <w:t>Instituto Colimense del Deporte</w:t>
            </w:r>
          </w:p>
        </w:tc>
        <w:tc>
          <w:tcPr>
            <w:tcW w:w="112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43,702,978</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43,702,978</w:t>
            </w:r>
          </w:p>
        </w:tc>
      </w:tr>
      <w:tr w:rsidR="00906AFB" w:rsidRPr="00906AFB" w:rsidTr="00906AFB">
        <w:trPr>
          <w:trHeight w:val="283"/>
        </w:trPr>
        <w:tc>
          <w:tcPr>
            <w:tcW w:w="75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center"/>
              <w:rPr>
                <w:rFonts w:ascii="Arial" w:hAnsi="Arial" w:cs="Arial"/>
                <w:sz w:val="16"/>
                <w:szCs w:val="16"/>
              </w:rPr>
            </w:pPr>
            <w:r w:rsidRPr="00906AFB">
              <w:rPr>
                <w:rFonts w:ascii="Arial" w:hAnsi="Arial" w:cs="Arial"/>
                <w:sz w:val="16"/>
                <w:szCs w:val="16"/>
              </w:rPr>
              <w:t>41507</w:t>
            </w:r>
          </w:p>
        </w:tc>
        <w:tc>
          <w:tcPr>
            <w:tcW w:w="4182"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rPr>
                <w:rFonts w:ascii="Arial" w:hAnsi="Arial" w:cs="Arial"/>
                <w:sz w:val="16"/>
                <w:szCs w:val="16"/>
              </w:rPr>
            </w:pPr>
            <w:r w:rsidRPr="00906AFB">
              <w:rPr>
                <w:rFonts w:ascii="Arial" w:hAnsi="Arial" w:cs="Arial"/>
                <w:sz w:val="16"/>
                <w:szCs w:val="16"/>
              </w:rPr>
              <w:t>Instituto Colimense de Infraestructura Física</w:t>
            </w:r>
            <w:r w:rsidR="001C7A0F">
              <w:rPr>
                <w:rFonts w:ascii="Arial" w:hAnsi="Arial" w:cs="Arial"/>
                <w:sz w:val="16"/>
                <w:szCs w:val="16"/>
              </w:rPr>
              <w:t xml:space="preserve"> Educativa</w:t>
            </w:r>
          </w:p>
        </w:tc>
        <w:tc>
          <w:tcPr>
            <w:tcW w:w="112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7,032,564</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7,032,564</w:t>
            </w:r>
          </w:p>
        </w:tc>
      </w:tr>
      <w:tr w:rsidR="00906AFB" w:rsidRPr="00906AFB" w:rsidTr="00906AFB">
        <w:trPr>
          <w:trHeight w:val="283"/>
        </w:trPr>
        <w:tc>
          <w:tcPr>
            <w:tcW w:w="75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center"/>
              <w:rPr>
                <w:rFonts w:ascii="Arial" w:hAnsi="Arial" w:cs="Arial"/>
                <w:sz w:val="16"/>
                <w:szCs w:val="16"/>
              </w:rPr>
            </w:pPr>
            <w:r w:rsidRPr="00906AFB">
              <w:rPr>
                <w:rFonts w:ascii="Arial" w:hAnsi="Arial" w:cs="Arial"/>
                <w:sz w:val="16"/>
                <w:szCs w:val="16"/>
              </w:rPr>
              <w:t>41509</w:t>
            </w:r>
          </w:p>
        </w:tc>
        <w:tc>
          <w:tcPr>
            <w:tcW w:w="4182"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rPr>
                <w:rFonts w:ascii="Arial" w:hAnsi="Arial" w:cs="Arial"/>
                <w:sz w:val="16"/>
                <w:szCs w:val="16"/>
              </w:rPr>
            </w:pPr>
            <w:r w:rsidRPr="00906AFB">
              <w:rPr>
                <w:rFonts w:ascii="Arial" w:hAnsi="Arial" w:cs="Arial"/>
                <w:sz w:val="16"/>
                <w:szCs w:val="16"/>
              </w:rPr>
              <w:t>Universidad Tecnológica de Manzanillo</w:t>
            </w:r>
          </w:p>
        </w:tc>
        <w:tc>
          <w:tcPr>
            <w:tcW w:w="112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9,877,463</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9,877,463</w:t>
            </w:r>
          </w:p>
        </w:tc>
      </w:tr>
      <w:tr w:rsidR="00906AFB" w:rsidRPr="00906AFB" w:rsidTr="00906AFB">
        <w:trPr>
          <w:trHeight w:val="283"/>
        </w:trPr>
        <w:tc>
          <w:tcPr>
            <w:tcW w:w="75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center"/>
              <w:rPr>
                <w:rFonts w:ascii="Arial" w:hAnsi="Arial" w:cs="Arial"/>
                <w:sz w:val="16"/>
                <w:szCs w:val="16"/>
              </w:rPr>
            </w:pPr>
            <w:r w:rsidRPr="00906AFB">
              <w:rPr>
                <w:rFonts w:ascii="Arial" w:hAnsi="Arial" w:cs="Arial"/>
                <w:sz w:val="16"/>
                <w:szCs w:val="16"/>
              </w:rPr>
              <w:t>41517</w:t>
            </w:r>
          </w:p>
        </w:tc>
        <w:tc>
          <w:tcPr>
            <w:tcW w:w="4182"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rPr>
                <w:rFonts w:ascii="Arial" w:hAnsi="Arial" w:cs="Arial"/>
                <w:sz w:val="16"/>
                <w:szCs w:val="16"/>
              </w:rPr>
            </w:pPr>
            <w:r w:rsidRPr="00906AFB">
              <w:rPr>
                <w:rFonts w:ascii="Arial" w:hAnsi="Arial" w:cs="Arial"/>
                <w:sz w:val="16"/>
                <w:szCs w:val="16"/>
              </w:rPr>
              <w:t>Colegio de Educación Profesional Técnica del Estado (CONALEP Estatal)</w:t>
            </w:r>
          </w:p>
        </w:tc>
        <w:tc>
          <w:tcPr>
            <w:tcW w:w="112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3,005,600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3,005,600</w:t>
            </w:r>
          </w:p>
        </w:tc>
      </w:tr>
      <w:tr w:rsidR="00906AFB" w:rsidRPr="00906AFB" w:rsidTr="00906AFB">
        <w:trPr>
          <w:trHeight w:val="283"/>
        </w:trPr>
        <w:tc>
          <w:tcPr>
            <w:tcW w:w="75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center"/>
              <w:rPr>
                <w:rFonts w:ascii="Arial" w:hAnsi="Arial" w:cs="Arial"/>
                <w:sz w:val="16"/>
                <w:szCs w:val="16"/>
              </w:rPr>
            </w:pPr>
            <w:r w:rsidRPr="00906AFB">
              <w:rPr>
                <w:rFonts w:ascii="Arial" w:hAnsi="Arial" w:cs="Arial"/>
                <w:sz w:val="16"/>
                <w:szCs w:val="16"/>
              </w:rPr>
              <w:t>41527</w:t>
            </w:r>
          </w:p>
        </w:tc>
        <w:tc>
          <w:tcPr>
            <w:tcW w:w="4182"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rPr>
                <w:rFonts w:ascii="Arial" w:hAnsi="Arial" w:cs="Arial"/>
                <w:sz w:val="16"/>
                <w:szCs w:val="16"/>
              </w:rPr>
            </w:pPr>
            <w:r w:rsidRPr="00906AFB">
              <w:rPr>
                <w:rFonts w:ascii="Arial" w:hAnsi="Arial" w:cs="Arial"/>
                <w:sz w:val="16"/>
                <w:szCs w:val="16"/>
              </w:rPr>
              <w:t>Colegio de Educación Profesional Técnica (Tecomán)</w:t>
            </w:r>
          </w:p>
        </w:tc>
        <w:tc>
          <w:tcPr>
            <w:tcW w:w="112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3,542,800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3,542,800</w:t>
            </w:r>
          </w:p>
        </w:tc>
      </w:tr>
      <w:tr w:rsidR="00906AFB" w:rsidRPr="00906AFB" w:rsidTr="00906AFB">
        <w:trPr>
          <w:trHeight w:val="283"/>
        </w:trPr>
        <w:tc>
          <w:tcPr>
            <w:tcW w:w="75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center"/>
              <w:rPr>
                <w:rFonts w:ascii="Arial" w:hAnsi="Arial" w:cs="Arial"/>
                <w:sz w:val="16"/>
                <w:szCs w:val="16"/>
              </w:rPr>
            </w:pPr>
            <w:r w:rsidRPr="00906AFB">
              <w:rPr>
                <w:rFonts w:ascii="Arial" w:hAnsi="Arial" w:cs="Arial"/>
                <w:sz w:val="16"/>
                <w:szCs w:val="16"/>
              </w:rPr>
              <w:t>41529</w:t>
            </w:r>
          </w:p>
        </w:tc>
        <w:tc>
          <w:tcPr>
            <w:tcW w:w="4182"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rPr>
                <w:rFonts w:ascii="Arial" w:hAnsi="Arial" w:cs="Arial"/>
                <w:sz w:val="16"/>
                <w:szCs w:val="16"/>
              </w:rPr>
            </w:pPr>
            <w:r w:rsidRPr="00906AFB">
              <w:rPr>
                <w:rFonts w:ascii="Arial" w:hAnsi="Arial" w:cs="Arial"/>
                <w:sz w:val="16"/>
                <w:szCs w:val="16"/>
              </w:rPr>
              <w:t>Fondo para la Educación Tecnológica y Adultos (IEEA)</w:t>
            </w:r>
          </w:p>
        </w:tc>
        <w:tc>
          <w:tcPr>
            <w:tcW w:w="112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32,591,000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32,591,000</w:t>
            </w:r>
          </w:p>
        </w:tc>
      </w:tr>
      <w:tr w:rsidR="00906AFB" w:rsidRPr="00906AFB" w:rsidTr="00906AFB">
        <w:trPr>
          <w:trHeight w:val="283"/>
        </w:trPr>
        <w:tc>
          <w:tcPr>
            <w:tcW w:w="75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center"/>
              <w:rPr>
                <w:rFonts w:ascii="Arial" w:hAnsi="Arial" w:cs="Arial"/>
                <w:sz w:val="16"/>
                <w:szCs w:val="16"/>
              </w:rPr>
            </w:pPr>
            <w:r w:rsidRPr="00906AFB">
              <w:rPr>
                <w:rFonts w:ascii="Arial" w:hAnsi="Arial" w:cs="Arial"/>
                <w:sz w:val="16"/>
                <w:szCs w:val="16"/>
              </w:rPr>
              <w:t>41530</w:t>
            </w:r>
          </w:p>
        </w:tc>
        <w:tc>
          <w:tcPr>
            <w:tcW w:w="4182"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rPr>
                <w:rFonts w:ascii="Arial" w:hAnsi="Arial" w:cs="Arial"/>
                <w:sz w:val="16"/>
                <w:szCs w:val="16"/>
              </w:rPr>
            </w:pPr>
            <w:r w:rsidRPr="00906AFB">
              <w:rPr>
                <w:rFonts w:ascii="Arial" w:hAnsi="Arial" w:cs="Arial"/>
                <w:sz w:val="16"/>
                <w:szCs w:val="16"/>
              </w:rPr>
              <w:t>Fondo para la Educación Tecnológica y Adultos (CONALEP)</w:t>
            </w:r>
          </w:p>
        </w:tc>
        <w:tc>
          <w:tcPr>
            <w:tcW w:w="112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39,932,000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39,932,000</w:t>
            </w:r>
          </w:p>
        </w:tc>
      </w:tr>
      <w:tr w:rsidR="00906AFB" w:rsidRPr="00906AFB" w:rsidTr="00906AFB">
        <w:trPr>
          <w:trHeight w:val="283"/>
        </w:trPr>
        <w:tc>
          <w:tcPr>
            <w:tcW w:w="75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center"/>
              <w:rPr>
                <w:rFonts w:ascii="Arial" w:hAnsi="Arial" w:cs="Arial"/>
                <w:sz w:val="16"/>
                <w:szCs w:val="16"/>
              </w:rPr>
            </w:pPr>
            <w:r w:rsidRPr="00906AFB">
              <w:rPr>
                <w:rFonts w:ascii="Arial" w:hAnsi="Arial" w:cs="Arial"/>
                <w:sz w:val="16"/>
                <w:szCs w:val="16"/>
              </w:rPr>
              <w:t>41532</w:t>
            </w:r>
          </w:p>
        </w:tc>
        <w:tc>
          <w:tcPr>
            <w:tcW w:w="4182"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rPr>
                <w:rFonts w:ascii="Arial" w:hAnsi="Arial" w:cs="Arial"/>
                <w:sz w:val="16"/>
                <w:szCs w:val="16"/>
              </w:rPr>
            </w:pPr>
            <w:r w:rsidRPr="00906AFB">
              <w:rPr>
                <w:rFonts w:ascii="Arial" w:hAnsi="Arial" w:cs="Arial"/>
                <w:sz w:val="16"/>
                <w:szCs w:val="16"/>
              </w:rPr>
              <w:t>Fondo de Aportaciones de Nómina Educativa y Gasto Educativo</w:t>
            </w:r>
          </w:p>
        </w:tc>
        <w:tc>
          <w:tcPr>
            <w:tcW w:w="112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3,027,365,000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3,027,365,000</w:t>
            </w:r>
          </w:p>
        </w:tc>
      </w:tr>
      <w:tr w:rsidR="00906AFB" w:rsidRPr="00906AFB" w:rsidTr="00906AFB">
        <w:trPr>
          <w:trHeight w:val="283"/>
        </w:trPr>
        <w:tc>
          <w:tcPr>
            <w:tcW w:w="75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center"/>
              <w:rPr>
                <w:rFonts w:ascii="Arial" w:hAnsi="Arial" w:cs="Arial"/>
                <w:sz w:val="16"/>
                <w:szCs w:val="16"/>
              </w:rPr>
            </w:pPr>
            <w:r w:rsidRPr="00906AFB">
              <w:rPr>
                <w:rFonts w:ascii="Arial" w:hAnsi="Arial" w:cs="Arial"/>
                <w:sz w:val="16"/>
                <w:szCs w:val="16"/>
              </w:rPr>
              <w:t>41534</w:t>
            </w:r>
          </w:p>
        </w:tc>
        <w:tc>
          <w:tcPr>
            <w:tcW w:w="4182"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rPr>
                <w:rFonts w:ascii="Arial" w:hAnsi="Arial" w:cs="Arial"/>
                <w:sz w:val="16"/>
                <w:szCs w:val="16"/>
              </w:rPr>
            </w:pPr>
            <w:r w:rsidRPr="00906AFB">
              <w:rPr>
                <w:rFonts w:ascii="Arial" w:hAnsi="Arial" w:cs="Arial"/>
                <w:sz w:val="16"/>
                <w:szCs w:val="16"/>
              </w:rPr>
              <w:t>Infraestructura Educación Media Superior (IEMS)</w:t>
            </w:r>
          </w:p>
        </w:tc>
        <w:tc>
          <w:tcPr>
            <w:tcW w:w="112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47,197,000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47,197,000</w:t>
            </w:r>
          </w:p>
        </w:tc>
      </w:tr>
      <w:tr w:rsidR="00906AFB" w:rsidRPr="00906AFB" w:rsidTr="00906AFB">
        <w:trPr>
          <w:trHeight w:val="283"/>
        </w:trPr>
        <w:tc>
          <w:tcPr>
            <w:tcW w:w="75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center"/>
              <w:rPr>
                <w:rFonts w:ascii="Arial" w:hAnsi="Arial" w:cs="Arial"/>
                <w:sz w:val="16"/>
                <w:szCs w:val="16"/>
              </w:rPr>
            </w:pPr>
            <w:r w:rsidRPr="00906AFB">
              <w:rPr>
                <w:rFonts w:ascii="Arial" w:hAnsi="Arial" w:cs="Arial"/>
                <w:sz w:val="16"/>
                <w:szCs w:val="16"/>
              </w:rPr>
              <w:t>41535</w:t>
            </w:r>
          </w:p>
        </w:tc>
        <w:tc>
          <w:tcPr>
            <w:tcW w:w="4182"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rPr>
                <w:rFonts w:ascii="Arial" w:hAnsi="Arial" w:cs="Arial"/>
                <w:sz w:val="16"/>
                <w:szCs w:val="16"/>
              </w:rPr>
            </w:pPr>
            <w:r w:rsidRPr="00906AFB">
              <w:rPr>
                <w:rFonts w:ascii="Arial" w:hAnsi="Arial" w:cs="Arial"/>
                <w:sz w:val="16"/>
                <w:szCs w:val="16"/>
              </w:rPr>
              <w:t>Infraestructura Educación Básica (RAMO 33)</w:t>
            </w:r>
          </w:p>
        </w:tc>
        <w:tc>
          <w:tcPr>
            <w:tcW w:w="112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82,567,000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82,567,000</w:t>
            </w:r>
          </w:p>
        </w:tc>
      </w:tr>
      <w:tr w:rsidR="00906AFB" w:rsidRPr="00906AFB" w:rsidTr="00906AFB">
        <w:trPr>
          <w:trHeight w:val="283"/>
        </w:trPr>
        <w:tc>
          <w:tcPr>
            <w:tcW w:w="75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center"/>
              <w:rPr>
                <w:rFonts w:ascii="Arial" w:hAnsi="Arial" w:cs="Arial"/>
                <w:sz w:val="16"/>
                <w:szCs w:val="16"/>
              </w:rPr>
            </w:pPr>
            <w:r w:rsidRPr="00906AFB">
              <w:rPr>
                <w:rFonts w:ascii="Arial" w:hAnsi="Arial" w:cs="Arial"/>
                <w:sz w:val="16"/>
                <w:szCs w:val="16"/>
              </w:rPr>
              <w:t>41554</w:t>
            </w:r>
          </w:p>
        </w:tc>
        <w:tc>
          <w:tcPr>
            <w:tcW w:w="4182"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rPr>
                <w:rFonts w:ascii="Arial" w:hAnsi="Arial" w:cs="Arial"/>
                <w:sz w:val="16"/>
                <w:szCs w:val="16"/>
              </w:rPr>
            </w:pPr>
            <w:r w:rsidRPr="00906AFB">
              <w:rPr>
                <w:rFonts w:ascii="Arial" w:hAnsi="Arial" w:cs="Arial"/>
                <w:sz w:val="16"/>
                <w:szCs w:val="16"/>
              </w:rPr>
              <w:t>Programa "Fondo para Fortalecer la Autonomía de</w:t>
            </w:r>
          </w:p>
        </w:tc>
        <w:tc>
          <w:tcPr>
            <w:tcW w:w="112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1,398,000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1,398,000</w:t>
            </w:r>
          </w:p>
        </w:tc>
      </w:tr>
      <w:tr w:rsidR="00906AFB" w:rsidRPr="00906AFB" w:rsidTr="00906AFB">
        <w:trPr>
          <w:trHeight w:val="283"/>
        </w:trPr>
        <w:tc>
          <w:tcPr>
            <w:tcW w:w="75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center"/>
              <w:rPr>
                <w:rFonts w:ascii="Arial" w:hAnsi="Arial" w:cs="Arial"/>
                <w:sz w:val="16"/>
                <w:szCs w:val="16"/>
              </w:rPr>
            </w:pPr>
            <w:r w:rsidRPr="00906AFB">
              <w:rPr>
                <w:rFonts w:ascii="Arial" w:hAnsi="Arial" w:cs="Arial"/>
                <w:sz w:val="16"/>
                <w:szCs w:val="16"/>
              </w:rPr>
              <w:t>41555</w:t>
            </w:r>
          </w:p>
        </w:tc>
        <w:tc>
          <w:tcPr>
            <w:tcW w:w="4182"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rPr>
                <w:rFonts w:ascii="Arial" w:hAnsi="Arial" w:cs="Arial"/>
                <w:sz w:val="16"/>
                <w:szCs w:val="16"/>
              </w:rPr>
            </w:pPr>
            <w:r w:rsidRPr="00906AFB">
              <w:rPr>
                <w:rFonts w:ascii="Arial" w:hAnsi="Arial" w:cs="Arial"/>
                <w:sz w:val="16"/>
                <w:szCs w:val="16"/>
              </w:rPr>
              <w:t>Programa Plan de Apoyo a la Calidad Educativa y Transformación de las Escuelas Normales (PACTEN)</w:t>
            </w:r>
          </w:p>
        </w:tc>
        <w:tc>
          <w:tcPr>
            <w:tcW w:w="112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17,004,000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17,004,000</w:t>
            </w:r>
          </w:p>
        </w:tc>
      </w:tr>
      <w:tr w:rsidR="00906AFB" w:rsidRPr="00906AFB" w:rsidTr="00906AFB">
        <w:trPr>
          <w:trHeight w:val="283"/>
        </w:trPr>
        <w:tc>
          <w:tcPr>
            <w:tcW w:w="75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center"/>
              <w:rPr>
                <w:rFonts w:ascii="Arial" w:hAnsi="Arial" w:cs="Arial"/>
                <w:sz w:val="16"/>
                <w:szCs w:val="16"/>
              </w:rPr>
            </w:pPr>
            <w:r w:rsidRPr="00906AFB">
              <w:rPr>
                <w:rFonts w:ascii="Arial" w:hAnsi="Arial" w:cs="Arial"/>
                <w:sz w:val="16"/>
                <w:szCs w:val="16"/>
              </w:rPr>
              <w:t>42419</w:t>
            </w:r>
          </w:p>
        </w:tc>
        <w:tc>
          <w:tcPr>
            <w:tcW w:w="4182"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rPr>
                <w:rFonts w:ascii="Arial" w:hAnsi="Arial" w:cs="Arial"/>
                <w:sz w:val="16"/>
                <w:szCs w:val="16"/>
              </w:rPr>
            </w:pPr>
            <w:r w:rsidRPr="00906AFB">
              <w:rPr>
                <w:rFonts w:ascii="Arial" w:hAnsi="Arial" w:cs="Arial"/>
                <w:sz w:val="16"/>
                <w:szCs w:val="16"/>
              </w:rPr>
              <w:t>Etapa Regional de Olimpiada</w:t>
            </w:r>
          </w:p>
        </w:tc>
        <w:tc>
          <w:tcPr>
            <w:tcW w:w="112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500,000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500,000</w:t>
            </w:r>
          </w:p>
        </w:tc>
      </w:tr>
      <w:tr w:rsidR="00906AFB" w:rsidRPr="00906AFB" w:rsidTr="00906AFB">
        <w:trPr>
          <w:trHeight w:val="283"/>
        </w:trPr>
        <w:tc>
          <w:tcPr>
            <w:tcW w:w="75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center"/>
              <w:rPr>
                <w:rFonts w:ascii="Arial" w:hAnsi="Arial" w:cs="Arial"/>
                <w:sz w:val="16"/>
                <w:szCs w:val="16"/>
              </w:rPr>
            </w:pPr>
            <w:r w:rsidRPr="00906AFB">
              <w:rPr>
                <w:rFonts w:ascii="Arial" w:hAnsi="Arial" w:cs="Arial"/>
                <w:sz w:val="16"/>
                <w:szCs w:val="16"/>
              </w:rPr>
              <w:t>42442</w:t>
            </w:r>
          </w:p>
        </w:tc>
        <w:tc>
          <w:tcPr>
            <w:tcW w:w="4182"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rPr>
                <w:rFonts w:ascii="Arial" w:hAnsi="Arial" w:cs="Arial"/>
                <w:sz w:val="16"/>
                <w:szCs w:val="16"/>
              </w:rPr>
            </w:pPr>
            <w:r w:rsidRPr="00906AFB">
              <w:rPr>
                <w:rFonts w:ascii="Arial" w:hAnsi="Arial" w:cs="Arial"/>
                <w:sz w:val="16"/>
                <w:szCs w:val="16"/>
              </w:rPr>
              <w:t>Programa nacional de Becas</w:t>
            </w:r>
          </w:p>
        </w:tc>
        <w:tc>
          <w:tcPr>
            <w:tcW w:w="112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2,259,000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2,259,000</w:t>
            </w:r>
          </w:p>
        </w:tc>
      </w:tr>
      <w:tr w:rsidR="00906AFB" w:rsidRPr="00906AFB" w:rsidTr="00906AFB">
        <w:trPr>
          <w:trHeight w:val="283"/>
        </w:trPr>
        <w:tc>
          <w:tcPr>
            <w:tcW w:w="75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center"/>
              <w:rPr>
                <w:rFonts w:ascii="Arial" w:hAnsi="Arial" w:cs="Arial"/>
                <w:sz w:val="16"/>
                <w:szCs w:val="16"/>
              </w:rPr>
            </w:pPr>
            <w:r w:rsidRPr="00906AFB">
              <w:rPr>
                <w:rFonts w:ascii="Arial" w:hAnsi="Arial" w:cs="Arial"/>
                <w:sz w:val="16"/>
                <w:szCs w:val="16"/>
              </w:rPr>
              <w:t>42443</w:t>
            </w:r>
          </w:p>
        </w:tc>
        <w:tc>
          <w:tcPr>
            <w:tcW w:w="4182"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rPr>
                <w:rFonts w:ascii="Arial" w:hAnsi="Arial" w:cs="Arial"/>
                <w:sz w:val="16"/>
                <w:szCs w:val="16"/>
              </w:rPr>
            </w:pPr>
            <w:r w:rsidRPr="00906AFB">
              <w:rPr>
                <w:rFonts w:ascii="Arial" w:hAnsi="Arial" w:cs="Arial"/>
                <w:sz w:val="16"/>
                <w:szCs w:val="16"/>
              </w:rPr>
              <w:t>Programa Escuela de tiempo completo</w:t>
            </w:r>
          </w:p>
        </w:tc>
        <w:tc>
          <w:tcPr>
            <w:tcW w:w="112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140,532,000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140,532,000</w:t>
            </w:r>
          </w:p>
        </w:tc>
      </w:tr>
      <w:tr w:rsidR="00906AFB" w:rsidRPr="00906AFB" w:rsidTr="00906AFB">
        <w:trPr>
          <w:trHeight w:val="283"/>
        </w:trPr>
        <w:tc>
          <w:tcPr>
            <w:tcW w:w="75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center"/>
              <w:rPr>
                <w:rFonts w:ascii="Arial" w:hAnsi="Arial" w:cs="Arial"/>
                <w:sz w:val="16"/>
                <w:szCs w:val="16"/>
              </w:rPr>
            </w:pPr>
            <w:r w:rsidRPr="00906AFB">
              <w:rPr>
                <w:rFonts w:ascii="Arial" w:hAnsi="Arial" w:cs="Arial"/>
                <w:sz w:val="16"/>
                <w:szCs w:val="16"/>
              </w:rPr>
              <w:t>42445</w:t>
            </w:r>
          </w:p>
        </w:tc>
        <w:tc>
          <w:tcPr>
            <w:tcW w:w="4182"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rPr>
                <w:rFonts w:ascii="Arial" w:hAnsi="Arial" w:cs="Arial"/>
                <w:sz w:val="16"/>
                <w:szCs w:val="16"/>
              </w:rPr>
            </w:pPr>
            <w:r w:rsidRPr="00906AFB">
              <w:rPr>
                <w:rFonts w:ascii="Arial" w:hAnsi="Arial" w:cs="Arial"/>
                <w:sz w:val="16"/>
                <w:szCs w:val="16"/>
              </w:rPr>
              <w:t>Programa de Fortalecimiento de la Calidad en Educación Básica</w:t>
            </w:r>
          </w:p>
        </w:tc>
        <w:tc>
          <w:tcPr>
            <w:tcW w:w="112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14,981,000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14,981,000</w:t>
            </w:r>
          </w:p>
        </w:tc>
      </w:tr>
      <w:tr w:rsidR="00906AFB" w:rsidRPr="00906AFB" w:rsidTr="00906AFB">
        <w:trPr>
          <w:trHeight w:val="283"/>
        </w:trPr>
        <w:tc>
          <w:tcPr>
            <w:tcW w:w="75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center"/>
              <w:rPr>
                <w:rFonts w:ascii="Arial" w:hAnsi="Arial" w:cs="Arial"/>
                <w:sz w:val="16"/>
                <w:szCs w:val="16"/>
              </w:rPr>
            </w:pPr>
            <w:r w:rsidRPr="00906AFB">
              <w:rPr>
                <w:rFonts w:ascii="Arial" w:hAnsi="Arial" w:cs="Arial"/>
                <w:sz w:val="16"/>
                <w:szCs w:val="16"/>
              </w:rPr>
              <w:t>42446</w:t>
            </w:r>
          </w:p>
        </w:tc>
        <w:tc>
          <w:tcPr>
            <w:tcW w:w="4182"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rPr>
                <w:rFonts w:ascii="Arial" w:hAnsi="Arial" w:cs="Arial"/>
                <w:sz w:val="16"/>
                <w:szCs w:val="16"/>
              </w:rPr>
            </w:pPr>
            <w:r w:rsidRPr="00906AFB">
              <w:rPr>
                <w:rFonts w:ascii="Arial" w:hAnsi="Arial" w:cs="Arial"/>
                <w:sz w:val="16"/>
                <w:szCs w:val="16"/>
              </w:rPr>
              <w:t>Programa para la inclusión y la equidad educativa</w:t>
            </w:r>
          </w:p>
        </w:tc>
        <w:tc>
          <w:tcPr>
            <w:tcW w:w="112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2,889,000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2,889,000</w:t>
            </w:r>
          </w:p>
        </w:tc>
      </w:tr>
      <w:tr w:rsidR="00906AFB" w:rsidRPr="00906AFB" w:rsidTr="00906AFB">
        <w:trPr>
          <w:trHeight w:val="283"/>
        </w:trPr>
        <w:tc>
          <w:tcPr>
            <w:tcW w:w="75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center"/>
              <w:rPr>
                <w:rFonts w:ascii="Arial" w:hAnsi="Arial" w:cs="Arial"/>
                <w:sz w:val="16"/>
                <w:szCs w:val="16"/>
              </w:rPr>
            </w:pPr>
            <w:r w:rsidRPr="00906AFB">
              <w:rPr>
                <w:rFonts w:ascii="Arial" w:hAnsi="Arial" w:cs="Arial"/>
                <w:sz w:val="16"/>
                <w:szCs w:val="16"/>
              </w:rPr>
              <w:t>42452</w:t>
            </w:r>
          </w:p>
        </w:tc>
        <w:tc>
          <w:tcPr>
            <w:tcW w:w="4182"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rPr>
                <w:rFonts w:ascii="Arial" w:hAnsi="Arial" w:cs="Arial"/>
                <w:sz w:val="16"/>
                <w:szCs w:val="16"/>
              </w:rPr>
            </w:pPr>
            <w:r w:rsidRPr="00906AFB">
              <w:rPr>
                <w:rFonts w:ascii="Arial" w:hAnsi="Arial" w:cs="Arial"/>
                <w:sz w:val="16"/>
                <w:szCs w:val="16"/>
              </w:rPr>
              <w:t>Educación para los Adultos (Ramo 11)</w:t>
            </w:r>
          </w:p>
        </w:tc>
        <w:tc>
          <w:tcPr>
            <w:tcW w:w="112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19,091,000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19,091,000</w:t>
            </w:r>
          </w:p>
        </w:tc>
      </w:tr>
      <w:tr w:rsidR="00906AFB" w:rsidRPr="00906AFB" w:rsidTr="00906AFB">
        <w:trPr>
          <w:trHeight w:val="283"/>
        </w:trPr>
        <w:tc>
          <w:tcPr>
            <w:tcW w:w="75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center"/>
              <w:rPr>
                <w:rFonts w:ascii="Arial" w:hAnsi="Arial" w:cs="Arial"/>
                <w:sz w:val="16"/>
                <w:szCs w:val="16"/>
              </w:rPr>
            </w:pPr>
            <w:r w:rsidRPr="00906AFB">
              <w:rPr>
                <w:rFonts w:ascii="Arial" w:hAnsi="Arial" w:cs="Arial"/>
                <w:sz w:val="16"/>
                <w:szCs w:val="16"/>
              </w:rPr>
              <w:t>42479</w:t>
            </w:r>
          </w:p>
        </w:tc>
        <w:tc>
          <w:tcPr>
            <w:tcW w:w="4182"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rPr>
                <w:rFonts w:ascii="Arial" w:hAnsi="Arial" w:cs="Arial"/>
                <w:sz w:val="16"/>
                <w:szCs w:val="16"/>
              </w:rPr>
            </w:pPr>
            <w:r w:rsidRPr="00906AFB">
              <w:rPr>
                <w:rFonts w:ascii="Arial" w:hAnsi="Arial" w:cs="Arial"/>
                <w:sz w:val="16"/>
                <w:szCs w:val="16"/>
              </w:rPr>
              <w:t>Centros de Educación Media Superior a Distancia</w:t>
            </w:r>
          </w:p>
        </w:tc>
        <w:tc>
          <w:tcPr>
            <w:tcW w:w="112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19,000,000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19,262,000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38,262,000</w:t>
            </w:r>
          </w:p>
        </w:tc>
      </w:tr>
      <w:tr w:rsidR="00906AFB" w:rsidRPr="00906AFB" w:rsidTr="00906AFB">
        <w:trPr>
          <w:trHeight w:val="283"/>
        </w:trPr>
        <w:tc>
          <w:tcPr>
            <w:tcW w:w="75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center"/>
              <w:rPr>
                <w:rFonts w:ascii="Arial" w:hAnsi="Arial" w:cs="Arial"/>
                <w:sz w:val="16"/>
                <w:szCs w:val="16"/>
              </w:rPr>
            </w:pPr>
            <w:r w:rsidRPr="00906AFB">
              <w:rPr>
                <w:rFonts w:ascii="Arial" w:hAnsi="Arial" w:cs="Arial"/>
                <w:sz w:val="16"/>
                <w:szCs w:val="16"/>
              </w:rPr>
              <w:t>42481</w:t>
            </w:r>
          </w:p>
        </w:tc>
        <w:tc>
          <w:tcPr>
            <w:tcW w:w="4182"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rPr>
                <w:rFonts w:ascii="Arial" w:hAnsi="Arial" w:cs="Arial"/>
                <w:sz w:val="16"/>
                <w:szCs w:val="16"/>
              </w:rPr>
            </w:pPr>
            <w:r w:rsidRPr="00906AFB">
              <w:rPr>
                <w:rFonts w:ascii="Arial" w:hAnsi="Arial" w:cs="Arial"/>
                <w:sz w:val="16"/>
                <w:szCs w:val="16"/>
              </w:rPr>
              <w:t>Programa Becas de Apoyo a la Práctica Intensiva</w:t>
            </w:r>
          </w:p>
        </w:tc>
        <w:tc>
          <w:tcPr>
            <w:tcW w:w="112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6,000,000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6,000,000</w:t>
            </w:r>
          </w:p>
        </w:tc>
      </w:tr>
      <w:tr w:rsidR="00906AFB" w:rsidRPr="00906AFB" w:rsidTr="00906AFB">
        <w:trPr>
          <w:trHeight w:val="283"/>
        </w:trPr>
        <w:tc>
          <w:tcPr>
            <w:tcW w:w="75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center"/>
              <w:rPr>
                <w:rFonts w:ascii="Arial" w:hAnsi="Arial" w:cs="Arial"/>
                <w:sz w:val="16"/>
                <w:szCs w:val="16"/>
              </w:rPr>
            </w:pPr>
            <w:r w:rsidRPr="00906AFB">
              <w:rPr>
                <w:rFonts w:ascii="Arial" w:hAnsi="Arial" w:cs="Arial"/>
                <w:sz w:val="16"/>
                <w:szCs w:val="16"/>
              </w:rPr>
              <w:t>42482</w:t>
            </w:r>
          </w:p>
        </w:tc>
        <w:tc>
          <w:tcPr>
            <w:tcW w:w="4182"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rPr>
                <w:rFonts w:ascii="Arial" w:hAnsi="Arial" w:cs="Arial"/>
                <w:sz w:val="16"/>
                <w:szCs w:val="16"/>
              </w:rPr>
            </w:pPr>
            <w:r w:rsidRPr="00906AFB">
              <w:rPr>
                <w:rFonts w:ascii="Arial" w:hAnsi="Arial" w:cs="Arial"/>
                <w:sz w:val="16"/>
                <w:szCs w:val="16"/>
              </w:rPr>
              <w:t>Proyecto Política de Igualdad de Genero</w:t>
            </w:r>
          </w:p>
        </w:tc>
        <w:tc>
          <w:tcPr>
            <w:tcW w:w="112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999,000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999,000</w:t>
            </w:r>
          </w:p>
        </w:tc>
      </w:tr>
      <w:tr w:rsidR="00906AFB" w:rsidRPr="00906AFB" w:rsidTr="00906AFB">
        <w:trPr>
          <w:trHeight w:val="283"/>
        </w:trPr>
        <w:tc>
          <w:tcPr>
            <w:tcW w:w="75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center"/>
              <w:rPr>
                <w:rFonts w:ascii="Arial" w:hAnsi="Arial" w:cs="Arial"/>
                <w:sz w:val="16"/>
                <w:szCs w:val="16"/>
              </w:rPr>
            </w:pPr>
            <w:r w:rsidRPr="00906AFB">
              <w:rPr>
                <w:rFonts w:ascii="Arial" w:hAnsi="Arial" w:cs="Arial"/>
                <w:sz w:val="16"/>
                <w:szCs w:val="16"/>
              </w:rPr>
              <w:t>42483</w:t>
            </w:r>
          </w:p>
        </w:tc>
        <w:tc>
          <w:tcPr>
            <w:tcW w:w="4182"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rPr>
                <w:rFonts w:ascii="Arial" w:hAnsi="Arial" w:cs="Arial"/>
                <w:sz w:val="16"/>
                <w:szCs w:val="16"/>
              </w:rPr>
            </w:pPr>
            <w:r w:rsidRPr="00906AFB">
              <w:rPr>
                <w:rFonts w:ascii="Arial" w:hAnsi="Arial" w:cs="Arial"/>
                <w:sz w:val="16"/>
                <w:szCs w:val="16"/>
              </w:rPr>
              <w:t>Telebachillerato Comunitario (Aportación Federal)</w:t>
            </w:r>
          </w:p>
        </w:tc>
        <w:tc>
          <w:tcPr>
            <w:tcW w:w="112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5,100,000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8,928,000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14,028,000</w:t>
            </w:r>
          </w:p>
        </w:tc>
      </w:tr>
      <w:tr w:rsidR="00906AFB" w:rsidRPr="00906AFB" w:rsidTr="00906AFB">
        <w:trPr>
          <w:trHeight w:val="283"/>
        </w:trPr>
        <w:tc>
          <w:tcPr>
            <w:tcW w:w="75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center"/>
              <w:rPr>
                <w:rFonts w:ascii="Arial" w:hAnsi="Arial" w:cs="Arial"/>
                <w:sz w:val="16"/>
                <w:szCs w:val="16"/>
              </w:rPr>
            </w:pPr>
            <w:r w:rsidRPr="00906AFB">
              <w:rPr>
                <w:rFonts w:ascii="Arial" w:hAnsi="Arial" w:cs="Arial"/>
                <w:sz w:val="16"/>
                <w:szCs w:val="16"/>
              </w:rPr>
              <w:t>42488</w:t>
            </w:r>
          </w:p>
        </w:tc>
        <w:tc>
          <w:tcPr>
            <w:tcW w:w="4182"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rPr>
                <w:rFonts w:ascii="Arial" w:hAnsi="Arial" w:cs="Arial"/>
                <w:sz w:val="16"/>
                <w:szCs w:val="16"/>
              </w:rPr>
            </w:pPr>
            <w:r w:rsidRPr="00906AFB">
              <w:rPr>
                <w:rFonts w:ascii="Arial" w:hAnsi="Arial" w:cs="Arial"/>
                <w:sz w:val="16"/>
                <w:szCs w:val="16"/>
              </w:rPr>
              <w:t>Activación Física</w:t>
            </w:r>
          </w:p>
        </w:tc>
        <w:tc>
          <w:tcPr>
            <w:tcW w:w="112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3,180,000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3,180,000</w:t>
            </w:r>
          </w:p>
        </w:tc>
      </w:tr>
      <w:tr w:rsidR="00906AFB" w:rsidRPr="00906AFB" w:rsidTr="00906AFB">
        <w:trPr>
          <w:trHeight w:val="283"/>
        </w:trPr>
        <w:tc>
          <w:tcPr>
            <w:tcW w:w="75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center"/>
              <w:rPr>
                <w:rFonts w:ascii="Arial" w:hAnsi="Arial" w:cs="Arial"/>
                <w:sz w:val="16"/>
                <w:szCs w:val="16"/>
              </w:rPr>
            </w:pPr>
            <w:r w:rsidRPr="00906AFB">
              <w:rPr>
                <w:rFonts w:ascii="Arial" w:hAnsi="Arial" w:cs="Arial"/>
                <w:sz w:val="16"/>
                <w:szCs w:val="16"/>
              </w:rPr>
              <w:t>42489</w:t>
            </w:r>
          </w:p>
        </w:tc>
        <w:tc>
          <w:tcPr>
            <w:tcW w:w="4182"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rPr>
                <w:rFonts w:ascii="Arial" w:hAnsi="Arial" w:cs="Arial"/>
                <w:sz w:val="16"/>
                <w:szCs w:val="16"/>
              </w:rPr>
            </w:pPr>
            <w:r w:rsidRPr="00906AFB">
              <w:rPr>
                <w:rFonts w:ascii="Arial" w:hAnsi="Arial" w:cs="Arial"/>
                <w:sz w:val="16"/>
                <w:szCs w:val="16"/>
              </w:rPr>
              <w:t>Entrenadores de Talentos Deportivos de Reserva</w:t>
            </w:r>
          </w:p>
        </w:tc>
        <w:tc>
          <w:tcPr>
            <w:tcW w:w="112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592,000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592,000</w:t>
            </w:r>
          </w:p>
        </w:tc>
      </w:tr>
      <w:tr w:rsidR="00906AFB" w:rsidRPr="00906AFB" w:rsidTr="00906AFB">
        <w:trPr>
          <w:trHeight w:val="283"/>
        </w:trPr>
        <w:tc>
          <w:tcPr>
            <w:tcW w:w="75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center"/>
              <w:rPr>
                <w:rFonts w:ascii="Arial" w:hAnsi="Arial" w:cs="Arial"/>
                <w:sz w:val="16"/>
                <w:szCs w:val="16"/>
              </w:rPr>
            </w:pPr>
            <w:r w:rsidRPr="00906AFB">
              <w:rPr>
                <w:rFonts w:ascii="Arial" w:hAnsi="Arial" w:cs="Arial"/>
                <w:sz w:val="16"/>
                <w:szCs w:val="16"/>
              </w:rPr>
              <w:t>42498</w:t>
            </w:r>
          </w:p>
        </w:tc>
        <w:tc>
          <w:tcPr>
            <w:tcW w:w="4182"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rPr>
                <w:rFonts w:ascii="Arial" w:hAnsi="Arial" w:cs="Arial"/>
                <w:sz w:val="16"/>
                <w:szCs w:val="16"/>
              </w:rPr>
            </w:pPr>
            <w:r w:rsidRPr="00906AFB">
              <w:rPr>
                <w:rFonts w:ascii="Arial" w:hAnsi="Arial" w:cs="Arial"/>
                <w:sz w:val="16"/>
                <w:szCs w:val="16"/>
              </w:rPr>
              <w:t>Entrenadores de Talentos Deportivos del Deporte</w:t>
            </w:r>
          </w:p>
        </w:tc>
        <w:tc>
          <w:tcPr>
            <w:tcW w:w="112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1,109,000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1,109,000</w:t>
            </w:r>
          </w:p>
        </w:tc>
      </w:tr>
      <w:tr w:rsidR="00906AFB" w:rsidRPr="00906AFB" w:rsidTr="00906AFB">
        <w:trPr>
          <w:trHeight w:val="283"/>
        </w:trPr>
        <w:tc>
          <w:tcPr>
            <w:tcW w:w="75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center"/>
              <w:rPr>
                <w:rFonts w:ascii="Arial" w:hAnsi="Arial" w:cs="Arial"/>
                <w:sz w:val="16"/>
                <w:szCs w:val="16"/>
              </w:rPr>
            </w:pPr>
            <w:r w:rsidRPr="00906AFB">
              <w:rPr>
                <w:rFonts w:ascii="Arial" w:hAnsi="Arial" w:cs="Arial"/>
                <w:sz w:val="16"/>
                <w:szCs w:val="16"/>
              </w:rPr>
              <w:t>42499</w:t>
            </w:r>
          </w:p>
        </w:tc>
        <w:tc>
          <w:tcPr>
            <w:tcW w:w="4182"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rPr>
                <w:rFonts w:ascii="Arial" w:hAnsi="Arial" w:cs="Arial"/>
                <w:sz w:val="16"/>
                <w:szCs w:val="16"/>
              </w:rPr>
            </w:pPr>
            <w:r w:rsidRPr="00906AFB">
              <w:rPr>
                <w:rFonts w:ascii="Arial" w:hAnsi="Arial" w:cs="Arial"/>
                <w:sz w:val="16"/>
                <w:szCs w:val="16"/>
              </w:rPr>
              <w:t>Inclusión al Movimiento Deportivo (Operación de Ligas y Clubes Escolares y Municipales)</w:t>
            </w:r>
          </w:p>
        </w:tc>
        <w:tc>
          <w:tcPr>
            <w:tcW w:w="112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320,000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320,000</w:t>
            </w:r>
          </w:p>
        </w:tc>
      </w:tr>
      <w:tr w:rsidR="00906AFB" w:rsidRPr="00906AFB" w:rsidTr="00906AFB">
        <w:trPr>
          <w:trHeight w:val="283"/>
        </w:trPr>
        <w:tc>
          <w:tcPr>
            <w:tcW w:w="75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center"/>
              <w:rPr>
                <w:rFonts w:ascii="Arial" w:hAnsi="Arial" w:cs="Arial"/>
                <w:sz w:val="16"/>
                <w:szCs w:val="16"/>
              </w:rPr>
            </w:pPr>
            <w:r w:rsidRPr="00906AFB">
              <w:rPr>
                <w:rFonts w:ascii="Arial" w:hAnsi="Arial" w:cs="Arial"/>
                <w:sz w:val="16"/>
                <w:szCs w:val="16"/>
              </w:rPr>
              <w:lastRenderedPageBreak/>
              <w:t>42607</w:t>
            </w:r>
          </w:p>
        </w:tc>
        <w:tc>
          <w:tcPr>
            <w:tcW w:w="4182"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rPr>
                <w:rFonts w:ascii="Arial" w:hAnsi="Arial" w:cs="Arial"/>
                <w:sz w:val="16"/>
                <w:szCs w:val="16"/>
              </w:rPr>
            </w:pPr>
            <w:r w:rsidRPr="00906AFB">
              <w:rPr>
                <w:rFonts w:ascii="Arial" w:hAnsi="Arial" w:cs="Arial"/>
                <w:sz w:val="16"/>
                <w:szCs w:val="16"/>
              </w:rPr>
              <w:t xml:space="preserve">Centros de Convivencia Deportiva en Movimiento </w:t>
            </w:r>
          </w:p>
        </w:tc>
        <w:tc>
          <w:tcPr>
            <w:tcW w:w="112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655,000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655,000</w:t>
            </w:r>
          </w:p>
        </w:tc>
      </w:tr>
      <w:tr w:rsidR="00906AFB" w:rsidRPr="00906AFB" w:rsidTr="00906AFB">
        <w:trPr>
          <w:trHeight w:val="283"/>
        </w:trPr>
        <w:tc>
          <w:tcPr>
            <w:tcW w:w="75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center"/>
              <w:rPr>
                <w:rFonts w:ascii="Arial" w:hAnsi="Arial" w:cs="Arial"/>
                <w:sz w:val="16"/>
                <w:szCs w:val="16"/>
              </w:rPr>
            </w:pPr>
            <w:r w:rsidRPr="00906AFB">
              <w:rPr>
                <w:rFonts w:ascii="Arial" w:hAnsi="Arial" w:cs="Arial"/>
                <w:sz w:val="16"/>
                <w:szCs w:val="16"/>
              </w:rPr>
              <w:t>42627</w:t>
            </w:r>
          </w:p>
        </w:tc>
        <w:tc>
          <w:tcPr>
            <w:tcW w:w="4182"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rPr>
                <w:rFonts w:ascii="Arial" w:hAnsi="Arial" w:cs="Arial"/>
                <w:sz w:val="16"/>
                <w:szCs w:val="16"/>
              </w:rPr>
            </w:pPr>
            <w:r w:rsidRPr="00906AFB">
              <w:rPr>
                <w:rFonts w:ascii="Arial" w:hAnsi="Arial" w:cs="Arial"/>
                <w:sz w:val="16"/>
                <w:szCs w:val="16"/>
              </w:rPr>
              <w:t>Programa nacional de inglés</w:t>
            </w:r>
          </w:p>
        </w:tc>
        <w:tc>
          <w:tcPr>
            <w:tcW w:w="112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10,825,000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10,825,000</w:t>
            </w:r>
          </w:p>
        </w:tc>
      </w:tr>
      <w:tr w:rsidR="00906AFB" w:rsidRPr="00906AFB" w:rsidTr="00906AFB">
        <w:trPr>
          <w:trHeight w:val="283"/>
        </w:trPr>
        <w:tc>
          <w:tcPr>
            <w:tcW w:w="75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center"/>
              <w:rPr>
                <w:rFonts w:ascii="Arial" w:hAnsi="Arial" w:cs="Arial"/>
                <w:sz w:val="16"/>
                <w:szCs w:val="16"/>
              </w:rPr>
            </w:pPr>
            <w:r w:rsidRPr="00906AFB">
              <w:rPr>
                <w:rFonts w:ascii="Arial" w:hAnsi="Arial" w:cs="Arial"/>
                <w:sz w:val="16"/>
                <w:szCs w:val="16"/>
              </w:rPr>
              <w:t>42628</w:t>
            </w:r>
          </w:p>
        </w:tc>
        <w:tc>
          <w:tcPr>
            <w:tcW w:w="4182"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rPr>
                <w:rFonts w:ascii="Arial" w:hAnsi="Arial" w:cs="Arial"/>
                <w:sz w:val="16"/>
                <w:szCs w:val="16"/>
              </w:rPr>
            </w:pPr>
            <w:r w:rsidRPr="00906AFB">
              <w:rPr>
                <w:rFonts w:ascii="Arial" w:hAnsi="Arial" w:cs="Arial"/>
                <w:sz w:val="16"/>
                <w:szCs w:val="16"/>
              </w:rPr>
              <w:t>Convivencia escolar</w:t>
            </w:r>
          </w:p>
        </w:tc>
        <w:tc>
          <w:tcPr>
            <w:tcW w:w="112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408,000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408,000</w:t>
            </w:r>
          </w:p>
        </w:tc>
      </w:tr>
      <w:tr w:rsidR="00906AFB" w:rsidRPr="00906AFB" w:rsidTr="00906AFB">
        <w:trPr>
          <w:trHeight w:val="283"/>
        </w:trPr>
        <w:tc>
          <w:tcPr>
            <w:tcW w:w="75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center"/>
              <w:rPr>
                <w:rFonts w:ascii="Arial" w:hAnsi="Arial" w:cs="Arial"/>
                <w:sz w:val="16"/>
                <w:szCs w:val="16"/>
              </w:rPr>
            </w:pPr>
            <w:r w:rsidRPr="00906AFB">
              <w:rPr>
                <w:rFonts w:ascii="Arial" w:hAnsi="Arial" w:cs="Arial"/>
                <w:sz w:val="16"/>
                <w:szCs w:val="16"/>
              </w:rPr>
              <w:t>42630</w:t>
            </w:r>
          </w:p>
        </w:tc>
        <w:tc>
          <w:tcPr>
            <w:tcW w:w="4182"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rPr>
                <w:rFonts w:ascii="Arial" w:hAnsi="Arial" w:cs="Arial"/>
                <w:sz w:val="16"/>
                <w:szCs w:val="16"/>
              </w:rPr>
            </w:pPr>
            <w:r w:rsidRPr="00906AFB">
              <w:rPr>
                <w:rFonts w:ascii="Arial" w:hAnsi="Arial" w:cs="Arial"/>
                <w:sz w:val="16"/>
                <w:szCs w:val="16"/>
              </w:rPr>
              <w:t>Fondo concursable de inversión en infraestructura</w:t>
            </w:r>
          </w:p>
        </w:tc>
        <w:tc>
          <w:tcPr>
            <w:tcW w:w="112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8,214,000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8,214,000</w:t>
            </w:r>
          </w:p>
        </w:tc>
      </w:tr>
      <w:tr w:rsidR="00906AFB" w:rsidRPr="00906AFB" w:rsidTr="00906AFB">
        <w:trPr>
          <w:trHeight w:val="283"/>
        </w:trPr>
        <w:tc>
          <w:tcPr>
            <w:tcW w:w="75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center"/>
              <w:rPr>
                <w:rFonts w:ascii="Arial" w:hAnsi="Arial" w:cs="Arial"/>
                <w:sz w:val="16"/>
                <w:szCs w:val="16"/>
              </w:rPr>
            </w:pPr>
            <w:r w:rsidRPr="00906AFB">
              <w:rPr>
                <w:rFonts w:ascii="Arial" w:hAnsi="Arial" w:cs="Arial"/>
                <w:sz w:val="16"/>
                <w:szCs w:val="16"/>
              </w:rPr>
              <w:t>42632</w:t>
            </w:r>
          </w:p>
        </w:tc>
        <w:tc>
          <w:tcPr>
            <w:tcW w:w="4182"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rPr>
                <w:rFonts w:ascii="Arial" w:hAnsi="Arial" w:cs="Arial"/>
                <w:sz w:val="16"/>
                <w:szCs w:val="16"/>
              </w:rPr>
            </w:pPr>
            <w:r w:rsidRPr="00906AFB">
              <w:rPr>
                <w:rFonts w:ascii="Arial" w:hAnsi="Arial" w:cs="Arial"/>
                <w:sz w:val="16"/>
                <w:szCs w:val="16"/>
              </w:rPr>
              <w:t>Programa de la reforma educativa</w:t>
            </w:r>
          </w:p>
        </w:tc>
        <w:tc>
          <w:tcPr>
            <w:tcW w:w="112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452,000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452,000</w:t>
            </w:r>
          </w:p>
        </w:tc>
      </w:tr>
      <w:tr w:rsidR="00906AFB" w:rsidRPr="00906AFB" w:rsidTr="00906AFB">
        <w:trPr>
          <w:trHeight w:val="283"/>
        </w:trPr>
        <w:tc>
          <w:tcPr>
            <w:tcW w:w="75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center"/>
              <w:rPr>
                <w:rFonts w:ascii="Arial" w:hAnsi="Arial" w:cs="Arial"/>
                <w:sz w:val="16"/>
                <w:szCs w:val="16"/>
              </w:rPr>
            </w:pPr>
            <w:r w:rsidRPr="00906AFB">
              <w:rPr>
                <w:rFonts w:ascii="Arial" w:hAnsi="Arial" w:cs="Arial"/>
                <w:sz w:val="16"/>
                <w:szCs w:val="16"/>
              </w:rPr>
              <w:t>42633</w:t>
            </w:r>
          </w:p>
        </w:tc>
        <w:tc>
          <w:tcPr>
            <w:tcW w:w="4182"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rPr>
                <w:rFonts w:ascii="Arial" w:hAnsi="Arial" w:cs="Arial"/>
                <w:sz w:val="16"/>
                <w:szCs w:val="16"/>
              </w:rPr>
            </w:pPr>
            <w:r w:rsidRPr="00906AFB">
              <w:rPr>
                <w:rFonts w:ascii="Arial" w:hAnsi="Arial" w:cs="Arial"/>
                <w:sz w:val="16"/>
                <w:szCs w:val="16"/>
              </w:rPr>
              <w:t>Programa de atención a jornaleros agrícolas</w:t>
            </w:r>
          </w:p>
        </w:tc>
        <w:tc>
          <w:tcPr>
            <w:tcW w:w="112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3,953,000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3,953,000</w:t>
            </w:r>
          </w:p>
        </w:tc>
      </w:tr>
      <w:tr w:rsidR="00906AFB" w:rsidRPr="00906AFB" w:rsidTr="00906AFB">
        <w:trPr>
          <w:trHeight w:val="283"/>
        </w:trPr>
        <w:tc>
          <w:tcPr>
            <w:tcW w:w="75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center"/>
              <w:rPr>
                <w:rFonts w:ascii="Arial" w:hAnsi="Arial" w:cs="Arial"/>
                <w:sz w:val="16"/>
                <w:szCs w:val="16"/>
              </w:rPr>
            </w:pPr>
            <w:r w:rsidRPr="00906AFB">
              <w:rPr>
                <w:rFonts w:ascii="Arial" w:hAnsi="Arial" w:cs="Arial"/>
                <w:sz w:val="16"/>
                <w:szCs w:val="16"/>
              </w:rPr>
              <w:t>42687</w:t>
            </w:r>
          </w:p>
        </w:tc>
        <w:tc>
          <w:tcPr>
            <w:tcW w:w="4182"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rPr>
                <w:rFonts w:ascii="Arial" w:hAnsi="Arial" w:cs="Arial"/>
                <w:sz w:val="16"/>
                <w:szCs w:val="16"/>
              </w:rPr>
            </w:pPr>
            <w:r w:rsidRPr="00906AFB">
              <w:rPr>
                <w:rFonts w:ascii="Arial" w:hAnsi="Arial" w:cs="Arial"/>
                <w:sz w:val="16"/>
                <w:szCs w:val="16"/>
              </w:rPr>
              <w:t>Programa para el desarrollo profesional docente</w:t>
            </w:r>
          </w:p>
        </w:tc>
        <w:tc>
          <w:tcPr>
            <w:tcW w:w="112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1,351,000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1,351,000</w:t>
            </w:r>
          </w:p>
        </w:tc>
      </w:tr>
      <w:tr w:rsidR="00906AFB" w:rsidRPr="00906AFB" w:rsidTr="00906AFB">
        <w:trPr>
          <w:trHeight w:val="283"/>
        </w:trPr>
        <w:tc>
          <w:tcPr>
            <w:tcW w:w="75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center"/>
              <w:rPr>
                <w:rFonts w:ascii="Arial" w:hAnsi="Arial" w:cs="Arial"/>
                <w:sz w:val="16"/>
                <w:szCs w:val="16"/>
              </w:rPr>
            </w:pPr>
            <w:r w:rsidRPr="00906AFB">
              <w:rPr>
                <w:rFonts w:ascii="Arial" w:hAnsi="Arial" w:cs="Arial"/>
                <w:sz w:val="16"/>
                <w:szCs w:val="16"/>
              </w:rPr>
              <w:t>42688</w:t>
            </w:r>
          </w:p>
        </w:tc>
        <w:tc>
          <w:tcPr>
            <w:tcW w:w="4182"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rPr>
                <w:rFonts w:ascii="Arial" w:hAnsi="Arial" w:cs="Arial"/>
                <w:sz w:val="16"/>
                <w:szCs w:val="16"/>
              </w:rPr>
            </w:pPr>
            <w:r w:rsidRPr="00906AFB">
              <w:rPr>
                <w:rFonts w:ascii="Arial" w:hAnsi="Arial" w:cs="Arial"/>
                <w:sz w:val="16"/>
                <w:szCs w:val="16"/>
              </w:rPr>
              <w:t>Premio Estatal del Deporte</w:t>
            </w:r>
          </w:p>
        </w:tc>
        <w:tc>
          <w:tcPr>
            <w:tcW w:w="112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110,000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110,000</w:t>
            </w:r>
          </w:p>
        </w:tc>
      </w:tr>
      <w:tr w:rsidR="00906AFB" w:rsidRPr="00906AFB" w:rsidTr="00906AFB">
        <w:trPr>
          <w:trHeight w:val="283"/>
        </w:trPr>
        <w:tc>
          <w:tcPr>
            <w:tcW w:w="75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center"/>
              <w:rPr>
                <w:rFonts w:ascii="Arial" w:hAnsi="Arial" w:cs="Arial"/>
                <w:sz w:val="16"/>
                <w:szCs w:val="16"/>
              </w:rPr>
            </w:pPr>
            <w:r w:rsidRPr="00906AFB">
              <w:rPr>
                <w:rFonts w:ascii="Arial" w:hAnsi="Arial" w:cs="Arial"/>
                <w:sz w:val="16"/>
                <w:szCs w:val="16"/>
              </w:rPr>
              <w:t>42698</w:t>
            </w:r>
          </w:p>
        </w:tc>
        <w:tc>
          <w:tcPr>
            <w:tcW w:w="4182"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rPr>
                <w:rFonts w:ascii="Arial" w:hAnsi="Arial" w:cs="Arial"/>
                <w:sz w:val="16"/>
                <w:szCs w:val="16"/>
              </w:rPr>
            </w:pPr>
            <w:r w:rsidRPr="00906AFB">
              <w:rPr>
                <w:rFonts w:ascii="Arial" w:hAnsi="Arial" w:cs="Arial"/>
                <w:sz w:val="16"/>
                <w:szCs w:val="16"/>
              </w:rPr>
              <w:t>Subsidio federal Universidad Tecnológica de Manzanillo</w:t>
            </w:r>
          </w:p>
        </w:tc>
        <w:tc>
          <w:tcPr>
            <w:tcW w:w="112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0</w:t>
            </w:r>
          </w:p>
        </w:tc>
      </w:tr>
      <w:tr w:rsidR="00906AFB" w:rsidRPr="00906AFB" w:rsidTr="00906AFB">
        <w:trPr>
          <w:trHeight w:val="283"/>
        </w:trPr>
        <w:tc>
          <w:tcPr>
            <w:tcW w:w="75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center"/>
              <w:rPr>
                <w:rFonts w:ascii="Arial" w:hAnsi="Arial" w:cs="Arial"/>
                <w:sz w:val="16"/>
                <w:szCs w:val="16"/>
              </w:rPr>
            </w:pPr>
            <w:r w:rsidRPr="00906AFB">
              <w:rPr>
                <w:rFonts w:ascii="Arial" w:hAnsi="Arial" w:cs="Arial"/>
                <w:sz w:val="16"/>
                <w:szCs w:val="16"/>
              </w:rPr>
              <w:t>43905</w:t>
            </w:r>
          </w:p>
        </w:tc>
        <w:tc>
          <w:tcPr>
            <w:tcW w:w="4182"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16"/>
                <w:szCs w:val="16"/>
              </w:rPr>
            </w:pPr>
            <w:r w:rsidRPr="00906AFB">
              <w:rPr>
                <w:rFonts w:ascii="Arial" w:hAnsi="Arial" w:cs="Arial"/>
                <w:sz w:val="16"/>
                <w:szCs w:val="16"/>
              </w:rPr>
              <w:t>Subsidio Federal Ordinario y Extraordinario de la Universidad de Colima</w:t>
            </w:r>
          </w:p>
        </w:tc>
        <w:tc>
          <w:tcPr>
            <w:tcW w:w="112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1,501,554,000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1,501,554,000</w:t>
            </w:r>
          </w:p>
        </w:tc>
      </w:tr>
      <w:tr w:rsidR="00906AFB" w:rsidRPr="00906AFB" w:rsidTr="00906AFB">
        <w:trPr>
          <w:trHeight w:val="283"/>
        </w:trPr>
        <w:tc>
          <w:tcPr>
            <w:tcW w:w="75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center"/>
              <w:rPr>
                <w:rFonts w:ascii="Arial" w:hAnsi="Arial" w:cs="Arial"/>
                <w:sz w:val="16"/>
                <w:szCs w:val="16"/>
              </w:rPr>
            </w:pPr>
            <w:r w:rsidRPr="00906AFB">
              <w:rPr>
                <w:rFonts w:ascii="Arial" w:hAnsi="Arial" w:cs="Arial"/>
                <w:sz w:val="16"/>
                <w:szCs w:val="16"/>
              </w:rPr>
              <w:t>43912</w:t>
            </w:r>
          </w:p>
        </w:tc>
        <w:tc>
          <w:tcPr>
            <w:tcW w:w="4182"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rPr>
                <w:rFonts w:ascii="Arial" w:hAnsi="Arial" w:cs="Arial"/>
                <w:sz w:val="16"/>
                <w:szCs w:val="16"/>
              </w:rPr>
            </w:pPr>
            <w:r w:rsidRPr="00906AFB">
              <w:rPr>
                <w:rFonts w:ascii="Arial" w:hAnsi="Arial" w:cs="Arial"/>
                <w:sz w:val="16"/>
                <w:szCs w:val="16"/>
              </w:rPr>
              <w:t>Subsidio Federal Universidad Tecnológica Manzanillo</w:t>
            </w:r>
          </w:p>
        </w:tc>
        <w:tc>
          <w:tcPr>
            <w:tcW w:w="112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20,937,000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 </w:t>
            </w:r>
          </w:p>
        </w:tc>
      </w:tr>
      <w:tr w:rsidR="00906AFB" w:rsidRPr="00906AFB" w:rsidTr="00906AFB">
        <w:trPr>
          <w:trHeight w:val="283"/>
        </w:trPr>
        <w:tc>
          <w:tcPr>
            <w:tcW w:w="75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center"/>
              <w:rPr>
                <w:rFonts w:ascii="Arial" w:hAnsi="Arial" w:cs="Arial"/>
                <w:sz w:val="16"/>
                <w:szCs w:val="16"/>
              </w:rPr>
            </w:pPr>
            <w:r w:rsidRPr="00906AFB">
              <w:rPr>
                <w:rFonts w:ascii="Arial" w:hAnsi="Arial" w:cs="Arial"/>
                <w:sz w:val="16"/>
                <w:szCs w:val="16"/>
              </w:rPr>
              <w:t>44301</w:t>
            </w:r>
          </w:p>
        </w:tc>
        <w:tc>
          <w:tcPr>
            <w:tcW w:w="4182"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rPr>
                <w:rFonts w:ascii="Arial" w:hAnsi="Arial" w:cs="Arial"/>
                <w:sz w:val="16"/>
                <w:szCs w:val="16"/>
              </w:rPr>
            </w:pPr>
            <w:r w:rsidRPr="00906AFB">
              <w:rPr>
                <w:rFonts w:ascii="Arial" w:hAnsi="Arial" w:cs="Arial"/>
                <w:sz w:val="16"/>
                <w:szCs w:val="16"/>
              </w:rPr>
              <w:t>Instituto Tecnológico de Colima</w:t>
            </w:r>
          </w:p>
        </w:tc>
        <w:tc>
          <w:tcPr>
            <w:tcW w:w="112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1,957,263</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1,957,263</w:t>
            </w:r>
          </w:p>
        </w:tc>
      </w:tr>
      <w:tr w:rsidR="00906AFB" w:rsidRPr="00906AFB" w:rsidTr="00906AFB">
        <w:trPr>
          <w:trHeight w:val="283"/>
        </w:trPr>
        <w:tc>
          <w:tcPr>
            <w:tcW w:w="75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center"/>
              <w:rPr>
                <w:rFonts w:ascii="Arial" w:hAnsi="Arial" w:cs="Arial"/>
                <w:sz w:val="16"/>
                <w:szCs w:val="16"/>
              </w:rPr>
            </w:pPr>
            <w:r w:rsidRPr="00906AFB">
              <w:rPr>
                <w:rFonts w:ascii="Arial" w:hAnsi="Arial" w:cs="Arial"/>
                <w:sz w:val="16"/>
                <w:szCs w:val="16"/>
              </w:rPr>
              <w:t>44305</w:t>
            </w:r>
          </w:p>
        </w:tc>
        <w:tc>
          <w:tcPr>
            <w:tcW w:w="4182"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rPr>
                <w:rFonts w:ascii="Arial" w:hAnsi="Arial" w:cs="Arial"/>
                <w:sz w:val="16"/>
                <w:szCs w:val="16"/>
              </w:rPr>
            </w:pPr>
            <w:r w:rsidRPr="00906AFB">
              <w:rPr>
                <w:rFonts w:ascii="Arial" w:hAnsi="Arial" w:cs="Arial"/>
                <w:sz w:val="16"/>
                <w:szCs w:val="16"/>
              </w:rPr>
              <w:t>Aportación Estatal INEA</w:t>
            </w:r>
          </w:p>
        </w:tc>
        <w:tc>
          <w:tcPr>
            <w:tcW w:w="112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2,500,000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6"/>
                <w:szCs w:val="16"/>
              </w:rPr>
            </w:pPr>
            <w:r w:rsidRPr="00906AFB">
              <w:rPr>
                <w:rFonts w:ascii="Arial" w:hAnsi="Arial" w:cs="Arial"/>
                <w:sz w:val="16"/>
                <w:szCs w:val="16"/>
              </w:rPr>
              <w:t>2,500,000</w:t>
            </w:r>
          </w:p>
        </w:tc>
      </w:tr>
      <w:tr w:rsidR="00906AFB" w:rsidRPr="00906AFB" w:rsidTr="00906AFB">
        <w:trPr>
          <w:trHeight w:val="283"/>
        </w:trPr>
        <w:tc>
          <w:tcPr>
            <w:tcW w:w="75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center"/>
              <w:rPr>
                <w:rFonts w:ascii="Arial" w:hAnsi="Arial" w:cs="Arial"/>
                <w:b/>
                <w:bCs/>
                <w:sz w:val="16"/>
                <w:szCs w:val="16"/>
              </w:rPr>
            </w:pPr>
            <w:r w:rsidRPr="00906AFB">
              <w:rPr>
                <w:rFonts w:ascii="Arial" w:hAnsi="Arial" w:cs="Arial"/>
                <w:b/>
                <w:bCs/>
                <w:sz w:val="16"/>
                <w:szCs w:val="16"/>
              </w:rPr>
              <w:t>50000</w:t>
            </w:r>
          </w:p>
        </w:tc>
        <w:tc>
          <w:tcPr>
            <w:tcW w:w="4182"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rPr>
                <w:rFonts w:ascii="Arial" w:hAnsi="Arial" w:cs="Arial"/>
                <w:b/>
                <w:bCs/>
                <w:sz w:val="16"/>
                <w:szCs w:val="16"/>
              </w:rPr>
            </w:pPr>
            <w:r w:rsidRPr="00906AFB">
              <w:rPr>
                <w:rFonts w:ascii="Arial" w:hAnsi="Arial" w:cs="Arial"/>
                <w:b/>
                <w:bCs/>
                <w:sz w:val="16"/>
                <w:szCs w:val="16"/>
              </w:rPr>
              <w:t>BIENES MUEBLES, INMUEBLES E INTANGIBLES</w:t>
            </w:r>
          </w:p>
        </w:tc>
        <w:tc>
          <w:tcPr>
            <w:tcW w:w="112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b/>
                <w:bCs/>
                <w:sz w:val="16"/>
                <w:szCs w:val="16"/>
              </w:rPr>
            </w:pPr>
            <w:r w:rsidRPr="00906AFB">
              <w:rPr>
                <w:rFonts w:ascii="Arial" w:hAnsi="Arial" w:cs="Arial"/>
                <w:b/>
                <w:bCs/>
                <w:sz w:val="16"/>
                <w:szCs w:val="16"/>
              </w:rPr>
              <w:t>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b/>
                <w:bCs/>
                <w:sz w:val="16"/>
                <w:szCs w:val="16"/>
              </w:rPr>
            </w:pPr>
            <w:r w:rsidRPr="00906AFB">
              <w:rPr>
                <w:rFonts w:ascii="Arial" w:hAnsi="Arial" w:cs="Arial"/>
                <w:b/>
                <w:bCs/>
                <w:sz w:val="16"/>
                <w:szCs w:val="16"/>
              </w:rPr>
              <w:t>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b/>
                <w:bCs/>
                <w:sz w:val="16"/>
                <w:szCs w:val="16"/>
              </w:rPr>
            </w:pPr>
            <w:r w:rsidRPr="00906AFB">
              <w:rPr>
                <w:rFonts w:ascii="Arial" w:hAnsi="Arial" w:cs="Arial"/>
                <w:b/>
                <w:bCs/>
                <w:sz w:val="16"/>
                <w:szCs w:val="16"/>
              </w:rPr>
              <w:t>0</w:t>
            </w:r>
          </w:p>
        </w:tc>
      </w:tr>
    </w:tbl>
    <w:p w:rsidR="00906AFB" w:rsidRPr="00906AFB" w:rsidRDefault="00906AFB" w:rsidP="00906AFB">
      <w:pPr>
        <w:spacing w:after="0" w:line="240" w:lineRule="auto"/>
        <w:rPr>
          <w:rFonts w:ascii="Arial" w:eastAsia="Calibri" w:hAnsi="Arial" w:cs="Arial"/>
          <w:sz w:val="20"/>
          <w:lang w:val="es-ES" w:eastAsia="en-US"/>
        </w:rPr>
      </w:pPr>
    </w:p>
    <w:p w:rsidR="00906AFB" w:rsidRPr="00906AFB" w:rsidRDefault="00906AFB" w:rsidP="00906AFB">
      <w:pPr>
        <w:spacing w:after="0" w:line="240" w:lineRule="auto"/>
        <w:rPr>
          <w:rFonts w:ascii="Arial" w:eastAsia="Calibri" w:hAnsi="Arial" w:cs="Arial"/>
          <w:sz w:val="20"/>
          <w:lang w:val="es-ES" w:eastAsia="en-US"/>
        </w:rPr>
      </w:pPr>
    </w:p>
    <w:p w:rsidR="00906AFB" w:rsidRPr="00906AFB" w:rsidRDefault="00906AFB" w:rsidP="00906AFB">
      <w:pPr>
        <w:keepNext/>
        <w:keepLines/>
        <w:spacing w:after="0" w:line="240" w:lineRule="auto"/>
        <w:jc w:val="center"/>
        <w:outlineLvl w:val="1"/>
        <w:rPr>
          <w:rFonts w:ascii="Arial" w:eastAsia="Times New Roman" w:hAnsi="Arial" w:cs="Times New Roman"/>
          <w:b/>
          <w:sz w:val="20"/>
          <w:szCs w:val="26"/>
          <w:lang w:val="es-ES" w:eastAsia="en-US"/>
        </w:rPr>
      </w:pPr>
      <w:r w:rsidRPr="00906AFB">
        <w:rPr>
          <w:rFonts w:ascii="Arial" w:eastAsia="Times New Roman" w:hAnsi="Arial" w:cs="Times New Roman"/>
          <w:b/>
          <w:sz w:val="20"/>
          <w:szCs w:val="26"/>
          <w:lang w:val="es-ES" w:eastAsia="en-US"/>
        </w:rPr>
        <w:t>Tabla 32. Gasto Educativo por Nivel</w:t>
      </w:r>
    </w:p>
    <w:tbl>
      <w:tblPr>
        <w:tblW w:w="7138" w:type="dxa"/>
        <w:jc w:val="center"/>
        <w:tblCellMar>
          <w:left w:w="70" w:type="dxa"/>
          <w:right w:w="70" w:type="dxa"/>
        </w:tblCellMar>
        <w:tblLook w:val="04A0" w:firstRow="1" w:lastRow="0" w:firstColumn="1" w:lastColumn="0" w:noHBand="0" w:noVBand="1"/>
      </w:tblPr>
      <w:tblGrid>
        <w:gridCol w:w="5271"/>
        <w:gridCol w:w="1867"/>
      </w:tblGrid>
      <w:tr w:rsidR="00906AFB" w:rsidRPr="00906AFB" w:rsidTr="00906AFB">
        <w:trPr>
          <w:trHeight w:val="283"/>
          <w:jc w:val="center"/>
        </w:trPr>
        <w:tc>
          <w:tcPr>
            <w:tcW w:w="5271"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jc w:val="center"/>
              <w:rPr>
                <w:rFonts w:ascii="Arial" w:eastAsia="Times New Roman" w:hAnsi="Arial" w:cs="Arial"/>
                <w:b/>
                <w:bCs/>
                <w:color w:val="000000"/>
                <w:sz w:val="20"/>
                <w:szCs w:val="18"/>
                <w:lang w:val="es-ES" w:eastAsia="es-ES"/>
              </w:rPr>
            </w:pPr>
            <w:r w:rsidRPr="00906AFB">
              <w:rPr>
                <w:rFonts w:ascii="Arial" w:eastAsia="Times New Roman" w:hAnsi="Arial" w:cs="Arial"/>
                <w:b/>
                <w:bCs/>
                <w:color w:val="000000"/>
                <w:sz w:val="20"/>
                <w:szCs w:val="18"/>
                <w:lang w:val="es-ES" w:eastAsia="es-ES"/>
              </w:rPr>
              <w:t>Concepto</w:t>
            </w:r>
          </w:p>
        </w:tc>
        <w:tc>
          <w:tcPr>
            <w:tcW w:w="1867" w:type="dxa"/>
            <w:tcBorders>
              <w:top w:val="single" w:sz="4" w:space="0" w:color="auto"/>
              <w:left w:val="nil"/>
              <w:bottom w:val="single" w:sz="4" w:space="0" w:color="auto"/>
              <w:right w:val="single" w:sz="4" w:space="0" w:color="auto"/>
            </w:tcBorders>
            <w:vAlign w:val="center"/>
            <w:hideMark/>
          </w:tcPr>
          <w:p w:rsidR="00906AFB" w:rsidRPr="00906AFB" w:rsidRDefault="00906AFB" w:rsidP="00906AFB">
            <w:pPr>
              <w:spacing w:after="0" w:line="240" w:lineRule="auto"/>
              <w:jc w:val="center"/>
              <w:rPr>
                <w:rFonts w:ascii="Arial" w:eastAsia="Times New Roman" w:hAnsi="Arial" w:cs="Arial"/>
                <w:b/>
                <w:bCs/>
                <w:color w:val="000000"/>
                <w:sz w:val="20"/>
                <w:szCs w:val="18"/>
                <w:lang w:val="es-ES" w:eastAsia="es-ES"/>
              </w:rPr>
            </w:pPr>
            <w:r w:rsidRPr="00906AFB">
              <w:rPr>
                <w:rFonts w:ascii="Arial" w:eastAsia="Times New Roman" w:hAnsi="Arial" w:cs="Arial"/>
                <w:b/>
                <w:bCs/>
                <w:color w:val="000000"/>
                <w:sz w:val="20"/>
                <w:szCs w:val="18"/>
                <w:lang w:val="es-ES" w:eastAsia="es-ES"/>
              </w:rPr>
              <w:t>Asignación Presupuestal</w:t>
            </w:r>
          </w:p>
        </w:tc>
      </w:tr>
      <w:tr w:rsidR="00906AFB" w:rsidRPr="00906AFB" w:rsidTr="00906AFB">
        <w:trPr>
          <w:trHeight w:val="283"/>
          <w:jc w:val="center"/>
        </w:trPr>
        <w:tc>
          <w:tcPr>
            <w:tcW w:w="5271" w:type="dxa"/>
            <w:tcBorders>
              <w:top w:val="nil"/>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rPr>
                <w:rFonts w:ascii="Arial" w:eastAsia="Times New Roman" w:hAnsi="Arial" w:cs="Arial"/>
                <w:b/>
                <w:bCs/>
                <w:color w:val="000000"/>
                <w:sz w:val="20"/>
                <w:szCs w:val="18"/>
                <w:lang w:val="es-ES" w:eastAsia="es-ES"/>
              </w:rPr>
            </w:pPr>
            <w:r w:rsidRPr="00906AFB">
              <w:rPr>
                <w:rFonts w:ascii="Arial" w:eastAsia="Times New Roman" w:hAnsi="Arial" w:cs="Arial"/>
                <w:b/>
                <w:bCs/>
                <w:color w:val="000000"/>
                <w:sz w:val="20"/>
                <w:szCs w:val="18"/>
                <w:lang w:val="es-ES" w:eastAsia="es-ES"/>
              </w:rPr>
              <w:t>EDUCACIÓN INICIAL</w:t>
            </w:r>
          </w:p>
        </w:tc>
        <w:tc>
          <w:tcPr>
            <w:tcW w:w="1867" w:type="dxa"/>
            <w:tcBorders>
              <w:top w:val="nil"/>
              <w:left w:val="nil"/>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b/>
                <w:bCs/>
                <w:color w:val="000000"/>
                <w:sz w:val="20"/>
                <w:szCs w:val="18"/>
                <w:lang w:val="es-ES" w:eastAsia="es-ES"/>
              </w:rPr>
            </w:pPr>
            <w:r w:rsidRPr="00906AFB">
              <w:rPr>
                <w:rFonts w:ascii="Arial" w:eastAsia="Times New Roman" w:hAnsi="Arial" w:cs="Arial"/>
                <w:b/>
                <w:bCs/>
                <w:color w:val="000000"/>
                <w:sz w:val="20"/>
                <w:szCs w:val="18"/>
                <w:lang w:val="es-ES" w:eastAsia="es-ES"/>
              </w:rPr>
              <w:t>56,450,000</w:t>
            </w:r>
          </w:p>
        </w:tc>
      </w:tr>
      <w:tr w:rsidR="00906AFB" w:rsidRPr="00906AFB" w:rsidTr="00906AFB">
        <w:trPr>
          <w:trHeight w:val="283"/>
          <w:jc w:val="center"/>
        </w:trPr>
        <w:tc>
          <w:tcPr>
            <w:tcW w:w="5271" w:type="dxa"/>
            <w:tcBorders>
              <w:top w:val="nil"/>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rPr>
                <w:rFonts w:ascii="Arial" w:eastAsia="Times New Roman" w:hAnsi="Arial" w:cs="Arial"/>
                <w:b/>
                <w:bCs/>
                <w:color w:val="000000"/>
                <w:sz w:val="20"/>
                <w:szCs w:val="18"/>
                <w:lang w:val="es-ES" w:eastAsia="es-ES"/>
              </w:rPr>
            </w:pPr>
            <w:r w:rsidRPr="00906AFB">
              <w:rPr>
                <w:rFonts w:ascii="Arial" w:eastAsia="Times New Roman" w:hAnsi="Arial" w:cs="Arial"/>
                <w:b/>
                <w:bCs/>
                <w:color w:val="000000"/>
                <w:sz w:val="20"/>
                <w:szCs w:val="18"/>
                <w:lang w:val="es-ES" w:eastAsia="es-ES"/>
              </w:rPr>
              <w:t>EDUCACIÓN BÁSICA:</w:t>
            </w:r>
          </w:p>
        </w:tc>
        <w:tc>
          <w:tcPr>
            <w:tcW w:w="1867" w:type="dxa"/>
            <w:tcBorders>
              <w:top w:val="nil"/>
              <w:left w:val="nil"/>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b/>
                <w:bCs/>
                <w:color w:val="000000"/>
                <w:sz w:val="20"/>
                <w:szCs w:val="18"/>
                <w:lang w:val="es-ES" w:eastAsia="es-ES"/>
              </w:rPr>
            </w:pPr>
            <w:r w:rsidRPr="00906AFB">
              <w:rPr>
                <w:rFonts w:ascii="Arial" w:eastAsia="Times New Roman" w:hAnsi="Arial" w:cs="Arial"/>
                <w:b/>
                <w:bCs/>
                <w:color w:val="000000"/>
                <w:sz w:val="20"/>
                <w:szCs w:val="18"/>
                <w:lang w:val="es-ES" w:eastAsia="es-ES"/>
              </w:rPr>
              <w:t>1,371,970,000</w:t>
            </w:r>
          </w:p>
        </w:tc>
      </w:tr>
      <w:tr w:rsidR="00906AFB" w:rsidRPr="00906AFB" w:rsidTr="00906AFB">
        <w:trPr>
          <w:trHeight w:val="283"/>
          <w:jc w:val="center"/>
        </w:trPr>
        <w:tc>
          <w:tcPr>
            <w:tcW w:w="5271" w:type="dxa"/>
            <w:tcBorders>
              <w:top w:val="nil"/>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ind w:firstLineChars="200" w:firstLine="400"/>
              <w:rPr>
                <w:rFonts w:ascii="Arial" w:eastAsia="Times New Roman" w:hAnsi="Arial" w:cs="Arial"/>
                <w:color w:val="000000"/>
                <w:sz w:val="20"/>
                <w:szCs w:val="18"/>
                <w:lang w:val="es-ES" w:eastAsia="es-ES"/>
              </w:rPr>
            </w:pPr>
            <w:r w:rsidRPr="00906AFB">
              <w:rPr>
                <w:rFonts w:ascii="Arial" w:eastAsia="Times New Roman" w:hAnsi="Arial" w:cs="Arial"/>
                <w:color w:val="000000"/>
                <w:sz w:val="20"/>
                <w:szCs w:val="18"/>
                <w:lang w:val="es-ES" w:eastAsia="es-ES"/>
              </w:rPr>
              <w:t>Gasto Corriente</w:t>
            </w:r>
          </w:p>
        </w:tc>
        <w:tc>
          <w:tcPr>
            <w:tcW w:w="1867" w:type="dxa"/>
            <w:tcBorders>
              <w:top w:val="nil"/>
              <w:left w:val="nil"/>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20"/>
                <w:szCs w:val="18"/>
                <w:lang w:val="es-ES" w:eastAsia="es-ES"/>
              </w:rPr>
            </w:pPr>
            <w:r w:rsidRPr="00906AFB">
              <w:rPr>
                <w:rFonts w:ascii="Arial" w:eastAsia="Times New Roman" w:hAnsi="Arial" w:cs="Arial"/>
                <w:color w:val="000000"/>
                <w:sz w:val="20"/>
                <w:szCs w:val="18"/>
                <w:lang w:val="es-ES" w:eastAsia="es-ES"/>
              </w:rPr>
              <w:t>7,200,000</w:t>
            </w:r>
          </w:p>
        </w:tc>
      </w:tr>
      <w:tr w:rsidR="00906AFB" w:rsidRPr="00906AFB" w:rsidTr="00906AFB">
        <w:trPr>
          <w:trHeight w:val="283"/>
          <w:jc w:val="center"/>
        </w:trPr>
        <w:tc>
          <w:tcPr>
            <w:tcW w:w="5271" w:type="dxa"/>
            <w:tcBorders>
              <w:top w:val="nil"/>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ind w:firstLineChars="200" w:firstLine="400"/>
              <w:rPr>
                <w:rFonts w:ascii="Arial" w:eastAsia="Times New Roman" w:hAnsi="Arial" w:cs="Arial"/>
                <w:color w:val="000000"/>
                <w:sz w:val="20"/>
                <w:szCs w:val="18"/>
                <w:lang w:val="es-ES" w:eastAsia="es-ES"/>
              </w:rPr>
            </w:pPr>
            <w:r w:rsidRPr="00906AFB">
              <w:rPr>
                <w:rFonts w:ascii="Arial" w:eastAsia="Times New Roman" w:hAnsi="Arial" w:cs="Arial"/>
                <w:color w:val="000000"/>
                <w:sz w:val="20"/>
                <w:szCs w:val="18"/>
                <w:lang w:val="es-ES" w:eastAsia="es-ES"/>
              </w:rPr>
              <w:t>Educación Especial</w:t>
            </w:r>
          </w:p>
        </w:tc>
        <w:tc>
          <w:tcPr>
            <w:tcW w:w="1867" w:type="dxa"/>
            <w:tcBorders>
              <w:top w:val="nil"/>
              <w:left w:val="nil"/>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20"/>
                <w:szCs w:val="18"/>
                <w:lang w:val="es-ES" w:eastAsia="es-ES"/>
              </w:rPr>
            </w:pPr>
            <w:r w:rsidRPr="00906AFB">
              <w:rPr>
                <w:rFonts w:ascii="Arial" w:eastAsia="Times New Roman" w:hAnsi="Arial" w:cs="Arial"/>
                <w:color w:val="000000"/>
                <w:sz w:val="20"/>
                <w:szCs w:val="18"/>
                <w:lang w:val="es-ES" w:eastAsia="es-ES"/>
              </w:rPr>
              <w:t>179,400,000</w:t>
            </w:r>
          </w:p>
        </w:tc>
      </w:tr>
      <w:tr w:rsidR="00906AFB" w:rsidRPr="00906AFB" w:rsidTr="00906AFB">
        <w:trPr>
          <w:trHeight w:val="283"/>
          <w:jc w:val="center"/>
        </w:trPr>
        <w:tc>
          <w:tcPr>
            <w:tcW w:w="5271" w:type="dxa"/>
            <w:tcBorders>
              <w:top w:val="nil"/>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ind w:firstLineChars="200" w:firstLine="400"/>
              <w:rPr>
                <w:rFonts w:ascii="Arial" w:eastAsia="Times New Roman" w:hAnsi="Arial" w:cs="Arial"/>
                <w:color w:val="000000"/>
                <w:sz w:val="20"/>
                <w:szCs w:val="18"/>
                <w:lang w:val="es-ES" w:eastAsia="es-ES"/>
              </w:rPr>
            </w:pPr>
            <w:r w:rsidRPr="00906AFB">
              <w:rPr>
                <w:rFonts w:ascii="Arial" w:eastAsia="Times New Roman" w:hAnsi="Arial" w:cs="Arial"/>
                <w:color w:val="000000"/>
                <w:sz w:val="20"/>
                <w:szCs w:val="18"/>
                <w:lang w:val="es-ES" w:eastAsia="es-ES"/>
              </w:rPr>
              <w:t>Educación Física</w:t>
            </w:r>
          </w:p>
        </w:tc>
        <w:tc>
          <w:tcPr>
            <w:tcW w:w="1867" w:type="dxa"/>
            <w:tcBorders>
              <w:top w:val="nil"/>
              <w:left w:val="nil"/>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20"/>
                <w:szCs w:val="18"/>
                <w:lang w:val="es-ES" w:eastAsia="es-ES"/>
              </w:rPr>
            </w:pPr>
            <w:r w:rsidRPr="00906AFB">
              <w:rPr>
                <w:rFonts w:ascii="Arial" w:eastAsia="Times New Roman" w:hAnsi="Arial" w:cs="Arial"/>
                <w:color w:val="000000"/>
                <w:sz w:val="20"/>
                <w:szCs w:val="18"/>
                <w:lang w:val="es-ES" w:eastAsia="es-ES"/>
              </w:rPr>
              <w:t>114,500,000</w:t>
            </w:r>
          </w:p>
        </w:tc>
      </w:tr>
      <w:tr w:rsidR="00906AFB" w:rsidRPr="00906AFB" w:rsidTr="00906AFB">
        <w:trPr>
          <w:trHeight w:val="283"/>
          <w:jc w:val="center"/>
        </w:trPr>
        <w:tc>
          <w:tcPr>
            <w:tcW w:w="5271" w:type="dxa"/>
            <w:tcBorders>
              <w:top w:val="nil"/>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ind w:firstLineChars="200" w:firstLine="400"/>
              <w:rPr>
                <w:rFonts w:ascii="Arial" w:eastAsia="Times New Roman" w:hAnsi="Arial" w:cs="Arial"/>
                <w:color w:val="000000"/>
                <w:sz w:val="20"/>
                <w:szCs w:val="18"/>
                <w:lang w:val="es-ES" w:eastAsia="es-ES"/>
              </w:rPr>
            </w:pPr>
            <w:r w:rsidRPr="00906AFB">
              <w:rPr>
                <w:rFonts w:ascii="Arial" w:eastAsia="Times New Roman" w:hAnsi="Arial" w:cs="Arial"/>
                <w:color w:val="000000"/>
                <w:sz w:val="20"/>
                <w:szCs w:val="18"/>
                <w:lang w:val="es-ES" w:eastAsia="es-ES"/>
              </w:rPr>
              <w:t>Educación Prescolar</w:t>
            </w:r>
          </w:p>
        </w:tc>
        <w:tc>
          <w:tcPr>
            <w:tcW w:w="1867" w:type="dxa"/>
            <w:tcBorders>
              <w:top w:val="nil"/>
              <w:left w:val="nil"/>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20"/>
                <w:szCs w:val="18"/>
                <w:lang w:val="es-ES" w:eastAsia="es-ES"/>
              </w:rPr>
            </w:pPr>
            <w:r w:rsidRPr="00906AFB">
              <w:rPr>
                <w:rFonts w:ascii="Arial" w:eastAsia="Times New Roman" w:hAnsi="Arial" w:cs="Arial"/>
                <w:color w:val="000000"/>
                <w:sz w:val="20"/>
                <w:szCs w:val="18"/>
                <w:lang w:val="es-ES" w:eastAsia="es-ES"/>
              </w:rPr>
              <w:t>323,400,000</w:t>
            </w:r>
          </w:p>
        </w:tc>
      </w:tr>
      <w:tr w:rsidR="00906AFB" w:rsidRPr="00906AFB" w:rsidTr="00906AFB">
        <w:trPr>
          <w:trHeight w:val="283"/>
          <w:jc w:val="center"/>
        </w:trPr>
        <w:tc>
          <w:tcPr>
            <w:tcW w:w="5271" w:type="dxa"/>
            <w:tcBorders>
              <w:top w:val="nil"/>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ind w:firstLineChars="200" w:firstLine="400"/>
              <w:rPr>
                <w:rFonts w:ascii="Arial" w:eastAsia="Times New Roman" w:hAnsi="Arial" w:cs="Arial"/>
                <w:color w:val="000000"/>
                <w:sz w:val="20"/>
                <w:szCs w:val="18"/>
                <w:lang w:val="es-ES" w:eastAsia="es-ES"/>
              </w:rPr>
            </w:pPr>
            <w:r w:rsidRPr="00906AFB">
              <w:rPr>
                <w:rFonts w:ascii="Arial" w:eastAsia="Times New Roman" w:hAnsi="Arial" w:cs="Arial"/>
                <w:color w:val="000000"/>
                <w:sz w:val="20"/>
                <w:szCs w:val="18"/>
                <w:lang w:val="es-ES" w:eastAsia="es-ES"/>
              </w:rPr>
              <w:t>Educación Primaria</w:t>
            </w:r>
          </w:p>
        </w:tc>
        <w:tc>
          <w:tcPr>
            <w:tcW w:w="1867" w:type="dxa"/>
            <w:tcBorders>
              <w:top w:val="nil"/>
              <w:left w:val="nil"/>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20"/>
                <w:szCs w:val="18"/>
                <w:lang w:val="es-ES" w:eastAsia="es-ES"/>
              </w:rPr>
            </w:pPr>
            <w:r w:rsidRPr="00906AFB">
              <w:rPr>
                <w:rFonts w:ascii="Arial" w:eastAsia="Times New Roman" w:hAnsi="Arial" w:cs="Arial"/>
                <w:color w:val="000000"/>
                <w:sz w:val="20"/>
                <w:szCs w:val="18"/>
                <w:lang w:val="es-ES" w:eastAsia="es-ES"/>
              </w:rPr>
              <w:t>13,920,000</w:t>
            </w:r>
          </w:p>
        </w:tc>
      </w:tr>
      <w:tr w:rsidR="00906AFB" w:rsidRPr="00906AFB" w:rsidTr="00906AFB">
        <w:trPr>
          <w:trHeight w:val="283"/>
          <w:jc w:val="center"/>
        </w:trPr>
        <w:tc>
          <w:tcPr>
            <w:tcW w:w="5271" w:type="dxa"/>
            <w:tcBorders>
              <w:top w:val="nil"/>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ind w:firstLineChars="200" w:firstLine="400"/>
              <w:rPr>
                <w:rFonts w:ascii="Arial" w:eastAsia="Times New Roman" w:hAnsi="Arial" w:cs="Arial"/>
                <w:color w:val="000000"/>
                <w:sz w:val="20"/>
                <w:szCs w:val="18"/>
                <w:lang w:val="es-ES" w:eastAsia="es-ES"/>
              </w:rPr>
            </w:pPr>
            <w:r w:rsidRPr="00906AFB">
              <w:rPr>
                <w:rFonts w:ascii="Arial" w:eastAsia="Times New Roman" w:hAnsi="Arial" w:cs="Arial"/>
                <w:color w:val="000000"/>
                <w:sz w:val="20"/>
                <w:szCs w:val="18"/>
                <w:lang w:val="es-ES" w:eastAsia="es-ES"/>
              </w:rPr>
              <w:t>Educación Secundaria</w:t>
            </w:r>
          </w:p>
        </w:tc>
        <w:tc>
          <w:tcPr>
            <w:tcW w:w="1867" w:type="dxa"/>
            <w:tcBorders>
              <w:top w:val="nil"/>
              <w:left w:val="nil"/>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20"/>
                <w:szCs w:val="18"/>
                <w:lang w:val="es-ES" w:eastAsia="es-ES"/>
              </w:rPr>
            </w:pPr>
            <w:r w:rsidRPr="00906AFB">
              <w:rPr>
                <w:rFonts w:ascii="Arial" w:eastAsia="Times New Roman" w:hAnsi="Arial" w:cs="Arial"/>
                <w:color w:val="000000"/>
                <w:sz w:val="20"/>
                <w:szCs w:val="18"/>
                <w:lang w:val="es-ES" w:eastAsia="es-ES"/>
              </w:rPr>
              <w:t>733,550,000</w:t>
            </w:r>
          </w:p>
        </w:tc>
      </w:tr>
      <w:tr w:rsidR="00906AFB" w:rsidRPr="00906AFB" w:rsidTr="00906AFB">
        <w:trPr>
          <w:trHeight w:val="283"/>
          <w:jc w:val="center"/>
        </w:trPr>
        <w:tc>
          <w:tcPr>
            <w:tcW w:w="5271" w:type="dxa"/>
            <w:tcBorders>
              <w:top w:val="nil"/>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rPr>
                <w:rFonts w:ascii="Arial" w:eastAsia="Times New Roman" w:hAnsi="Arial" w:cs="Arial"/>
                <w:b/>
                <w:bCs/>
                <w:color w:val="000000"/>
                <w:sz w:val="20"/>
                <w:szCs w:val="18"/>
                <w:lang w:val="es-ES" w:eastAsia="es-ES"/>
              </w:rPr>
            </w:pPr>
            <w:r w:rsidRPr="00906AFB">
              <w:rPr>
                <w:rFonts w:ascii="Arial" w:eastAsia="Times New Roman" w:hAnsi="Arial" w:cs="Arial"/>
                <w:b/>
                <w:bCs/>
                <w:color w:val="000000"/>
                <w:sz w:val="20"/>
                <w:szCs w:val="18"/>
                <w:lang w:val="es-ES" w:eastAsia="es-ES"/>
              </w:rPr>
              <w:t>EDUCACIÓN MEDIA SUPERIOR</w:t>
            </w:r>
          </w:p>
        </w:tc>
        <w:tc>
          <w:tcPr>
            <w:tcW w:w="1867" w:type="dxa"/>
            <w:tcBorders>
              <w:top w:val="nil"/>
              <w:left w:val="nil"/>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b/>
                <w:bCs/>
                <w:color w:val="000000"/>
                <w:sz w:val="20"/>
                <w:szCs w:val="18"/>
                <w:lang w:val="es-ES" w:eastAsia="es-ES"/>
              </w:rPr>
            </w:pPr>
            <w:r w:rsidRPr="00906AFB">
              <w:rPr>
                <w:rFonts w:ascii="Arial" w:eastAsia="Times New Roman" w:hAnsi="Arial" w:cs="Arial"/>
                <w:b/>
                <w:bCs/>
                <w:color w:val="000000"/>
                <w:sz w:val="20"/>
                <w:szCs w:val="18"/>
                <w:lang w:val="es-ES" w:eastAsia="es-ES"/>
              </w:rPr>
              <w:t>747,470,000</w:t>
            </w:r>
          </w:p>
        </w:tc>
      </w:tr>
      <w:tr w:rsidR="00906AFB" w:rsidRPr="00906AFB" w:rsidTr="00906AFB">
        <w:trPr>
          <w:trHeight w:val="283"/>
          <w:jc w:val="center"/>
        </w:trPr>
        <w:tc>
          <w:tcPr>
            <w:tcW w:w="5271" w:type="dxa"/>
            <w:tcBorders>
              <w:top w:val="nil"/>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rPr>
                <w:rFonts w:ascii="Arial" w:eastAsia="Times New Roman" w:hAnsi="Arial" w:cs="Arial"/>
                <w:b/>
                <w:bCs/>
                <w:color w:val="000000"/>
                <w:sz w:val="20"/>
                <w:szCs w:val="18"/>
                <w:lang w:val="es-ES" w:eastAsia="es-ES"/>
              </w:rPr>
            </w:pPr>
            <w:r w:rsidRPr="00906AFB">
              <w:rPr>
                <w:rFonts w:ascii="Arial" w:eastAsia="Times New Roman" w:hAnsi="Arial" w:cs="Arial"/>
                <w:b/>
                <w:bCs/>
                <w:color w:val="000000"/>
                <w:sz w:val="20"/>
                <w:szCs w:val="18"/>
                <w:lang w:val="es-ES" w:eastAsia="es-ES"/>
              </w:rPr>
              <w:t>EDUCACIÓN SUPERIOR</w:t>
            </w:r>
          </w:p>
        </w:tc>
        <w:tc>
          <w:tcPr>
            <w:tcW w:w="1867" w:type="dxa"/>
            <w:tcBorders>
              <w:top w:val="nil"/>
              <w:left w:val="nil"/>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b/>
                <w:bCs/>
                <w:color w:val="000000"/>
                <w:sz w:val="20"/>
                <w:szCs w:val="18"/>
                <w:lang w:val="es-ES" w:eastAsia="es-ES"/>
              </w:rPr>
            </w:pPr>
            <w:r w:rsidRPr="00906AFB">
              <w:rPr>
                <w:rFonts w:ascii="Arial" w:eastAsia="Times New Roman" w:hAnsi="Arial" w:cs="Arial"/>
                <w:b/>
                <w:bCs/>
                <w:color w:val="000000"/>
                <w:sz w:val="20"/>
                <w:szCs w:val="18"/>
                <w:lang w:val="es-ES" w:eastAsia="es-ES"/>
              </w:rPr>
              <w:t>10,987,000</w:t>
            </w:r>
          </w:p>
        </w:tc>
      </w:tr>
      <w:tr w:rsidR="00906AFB" w:rsidRPr="00906AFB" w:rsidTr="00906AFB">
        <w:trPr>
          <w:trHeight w:val="283"/>
          <w:jc w:val="center"/>
        </w:trPr>
        <w:tc>
          <w:tcPr>
            <w:tcW w:w="5271" w:type="dxa"/>
            <w:tcBorders>
              <w:top w:val="nil"/>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jc w:val="center"/>
              <w:rPr>
                <w:rFonts w:ascii="Arial" w:eastAsia="Times New Roman" w:hAnsi="Arial" w:cs="Arial"/>
                <w:b/>
                <w:bCs/>
                <w:color w:val="000000"/>
                <w:sz w:val="20"/>
                <w:szCs w:val="18"/>
                <w:lang w:val="es-ES" w:eastAsia="es-ES"/>
              </w:rPr>
            </w:pPr>
            <w:r w:rsidRPr="00906AFB">
              <w:rPr>
                <w:rFonts w:ascii="Arial" w:eastAsia="Times New Roman" w:hAnsi="Arial" w:cs="Arial"/>
                <w:b/>
                <w:bCs/>
                <w:color w:val="000000"/>
                <w:sz w:val="20"/>
                <w:szCs w:val="18"/>
                <w:lang w:val="es-ES" w:eastAsia="es-ES"/>
              </w:rPr>
              <w:t>Total</w:t>
            </w:r>
          </w:p>
        </w:tc>
        <w:tc>
          <w:tcPr>
            <w:tcW w:w="1867" w:type="dxa"/>
            <w:tcBorders>
              <w:top w:val="nil"/>
              <w:left w:val="nil"/>
              <w:bottom w:val="single" w:sz="4" w:space="0" w:color="auto"/>
              <w:right w:val="single" w:sz="4" w:space="0" w:color="auto"/>
            </w:tcBorders>
            <w:vAlign w:val="center"/>
            <w:hideMark/>
          </w:tcPr>
          <w:p w:rsidR="00906AFB" w:rsidRPr="00906AFB" w:rsidRDefault="00906AFB" w:rsidP="00906AFB">
            <w:pPr>
              <w:spacing w:after="0" w:line="240" w:lineRule="auto"/>
              <w:jc w:val="right"/>
              <w:rPr>
                <w:rFonts w:ascii="Arial" w:eastAsia="Times New Roman" w:hAnsi="Arial" w:cs="Arial"/>
                <w:b/>
                <w:bCs/>
                <w:color w:val="000000"/>
                <w:sz w:val="20"/>
                <w:szCs w:val="18"/>
                <w:lang w:val="es-ES" w:eastAsia="es-ES"/>
              </w:rPr>
            </w:pPr>
            <w:r w:rsidRPr="00906AFB">
              <w:rPr>
                <w:rFonts w:ascii="Arial" w:eastAsia="Times New Roman" w:hAnsi="Arial" w:cs="Arial"/>
                <w:b/>
                <w:bCs/>
                <w:color w:val="000000"/>
                <w:sz w:val="20"/>
                <w:szCs w:val="18"/>
                <w:lang w:val="es-ES" w:eastAsia="es-ES"/>
              </w:rPr>
              <w:t>2,186,877,000</w:t>
            </w:r>
          </w:p>
        </w:tc>
      </w:tr>
    </w:tbl>
    <w:p w:rsidR="00906AFB" w:rsidRPr="00906AFB" w:rsidRDefault="00906AFB" w:rsidP="00906AFB">
      <w:pPr>
        <w:spacing w:after="0" w:line="240" w:lineRule="auto"/>
        <w:jc w:val="both"/>
        <w:rPr>
          <w:rFonts w:ascii="Arial" w:eastAsia="Calibri" w:hAnsi="Arial" w:cs="Arial"/>
          <w:b/>
          <w:bCs/>
          <w:sz w:val="18"/>
          <w:szCs w:val="20"/>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b/>
          <w:sz w:val="24"/>
          <w:szCs w:val="24"/>
          <w:lang w:val="es-ES" w:eastAsia="en-US"/>
        </w:rPr>
        <w:t>Artículo 35</w:t>
      </w:r>
      <w:r w:rsidRPr="00906AFB">
        <w:rPr>
          <w:rFonts w:ascii="Arial" w:eastAsia="Calibri" w:hAnsi="Arial" w:cs="Arial"/>
          <w:sz w:val="24"/>
          <w:szCs w:val="24"/>
          <w:lang w:val="es-ES" w:eastAsia="en-US"/>
        </w:rPr>
        <w:t>. Las erogaciones previstas para Pensiones son las siguientes:</w:t>
      </w:r>
    </w:p>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Pr="00906AFB" w:rsidRDefault="00CF4172" w:rsidP="00906AFB">
      <w:pPr>
        <w:keepNext/>
        <w:keepLines/>
        <w:spacing w:after="0" w:line="240" w:lineRule="auto"/>
        <w:jc w:val="center"/>
        <w:outlineLvl w:val="1"/>
        <w:rPr>
          <w:rFonts w:ascii="Arial" w:eastAsia="Times New Roman" w:hAnsi="Arial" w:cs="Times New Roman"/>
          <w:b/>
          <w:sz w:val="20"/>
          <w:szCs w:val="26"/>
          <w:lang w:val="es-ES" w:eastAsia="en-US"/>
        </w:rPr>
      </w:pPr>
      <w:r>
        <w:rPr>
          <w:rFonts w:ascii="Arial" w:eastAsia="Times New Roman" w:hAnsi="Arial" w:cs="Times New Roman"/>
          <w:b/>
          <w:sz w:val="20"/>
          <w:szCs w:val="26"/>
          <w:lang w:val="es-ES" w:eastAsia="en-US"/>
        </w:rPr>
        <w:t>Tabla 33</w:t>
      </w:r>
      <w:r w:rsidR="00906AFB" w:rsidRPr="00906AFB">
        <w:rPr>
          <w:rFonts w:ascii="Arial" w:eastAsia="Times New Roman" w:hAnsi="Arial" w:cs="Times New Roman"/>
          <w:b/>
          <w:sz w:val="20"/>
          <w:szCs w:val="26"/>
          <w:lang w:val="es-ES" w:eastAsia="en-US"/>
        </w:rPr>
        <w:t>. Erogaciones previstas para Pensiones</w:t>
      </w:r>
    </w:p>
    <w:tbl>
      <w:tblPr>
        <w:tblStyle w:val="Tablaconcuadrcula2"/>
        <w:tblW w:w="0" w:type="auto"/>
        <w:jc w:val="center"/>
        <w:tblInd w:w="0" w:type="dxa"/>
        <w:tblLook w:val="04A0" w:firstRow="1" w:lastRow="0" w:firstColumn="1" w:lastColumn="0" w:noHBand="0" w:noVBand="1"/>
      </w:tblPr>
      <w:tblGrid>
        <w:gridCol w:w="895"/>
        <w:gridCol w:w="4361"/>
        <w:gridCol w:w="1559"/>
      </w:tblGrid>
      <w:tr w:rsidR="00906AFB" w:rsidRPr="00906AFB" w:rsidTr="00906AFB">
        <w:trPr>
          <w:trHeight w:val="283"/>
          <w:jc w:val="center"/>
        </w:trPr>
        <w:tc>
          <w:tcPr>
            <w:tcW w:w="895"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sz w:val="20"/>
              </w:rPr>
            </w:pPr>
            <w:r w:rsidRPr="00906AFB">
              <w:rPr>
                <w:rFonts w:ascii="Arial" w:hAnsi="Arial" w:cs="Arial"/>
                <w:b/>
                <w:sz w:val="20"/>
              </w:rPr>
              <w:t>Partida</w:t>
            </w:r>
          </w:p>
        </w:tc>
        <w:tc>
          <w:tcPr>
            <w:tcW w:w="4361"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sz w:val="20"/>
              </w:rPr>
            </w:pPr>
            <w:r w:rsidRPr="00906AFB">
              <w:rPr>
                <w:rFonts w:ascii="Arial" w:hAnsi="Arial" w:cs="Arial"/>
                <w:b/>
                <w:sz w:val="20"/>
              </w:rPr>
              <w:t>Concepto</w:t>
            </w:r>
          </w:p>
        </w:tc>
        <w:tc>
          <w:tcPr>
            <w:tcW w:w="1559"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sz w:val="20"/>
              </w:rPr>
            </w:pPr>
            <w:r w:rsidRPr="00906AFB">
              <w:rPr>
                <w:rFonts w:ascii="Arial" w:hAnsi="Arial" w:cs="Arial"/>
                <w:b/>
                <w:sz w:val="20"/>
              </w:rPr>
              <w:t>Asignación Presupuestal</w:t>
            </w:r>
          </w:p>
        </w:tc>
      </w:tr>
      <w:tr w:rsidR="004C1B6B" w:rsidRPr="00906AFB" w:rsidTr="004C1B6B">
        <w:trPr>
          <w:trHeight w:val="283"/>
          <w:jc w:val="center"/>
        </w:trPr>
        <w:tc>
          <w:tcPr>
            <w:tcW w:w="895" w:type="dxa"/>
            <w:tcBorders>
              <w:top w:val="single" w:sz="4" w:space="0" w:color="auto"/>
              <w:left w:val="single" w:sz="4" w:space="0" w:color="auto"/>
              <w:bottom w:val="single" w:sz="4" w:space="0" w:color="auto"/>
              <w:right w:val="single" w:sz="4" w:space="0" w:color="auto"/>
            </w:tcBorders>
            <w:vAlign w:val="center"/>
            <w:hideMark/>
          </w:tcPr>
          <w:p w:rsidR="004C1B6B" w:rsidRPr="00906AFB" w:rsidRDefault="004C1B6B" w:rsidP="004C1B6B">
            <w:pPr>
              <w:rPr>
                <w:rFonts w:ascii="Arial" w:hAnsi="Arial" w:cs="Arial"/>
                <w:sz w:val="20"/>
              </w:rPr>
            </w:pPr>
            <w:r w:rsidRPr="00906AFB">
              <w:rPr>
                <w:rFonts w:ascii="Arial" w:hAnsi="Arial" w:cs="Arial"/>
                <w:sz w:val="20"/>
              </w:rPr>
              <w:t>45101</w:t>
            </w:r>
          </w:p>
        </w:tc>
        <w:tc>
          <w:tcPr>
            <w:tcW w:w="4361" w:type="dxa"/>
            <w:tcBorders>
              <w:top w:val="single" w:sz="4" w:space="0" w:color="auto"/>
              <w:left w:val="single" w:sz="4" w:space="0" w:color="auto"/>
              <w:bottom w:val="single" w:sz="4" w:space="0" w:color="auto"/>
              <w:right w:val="single" w:sz="4" w:space="0" w:color="auto"/>
            </w:tcBorders>
            <w:vAlign w:val="center"/>
            <w:hideMark/>
          </w:tcPr>
          <w:p w:rsidR="004C1B6B" w:rsidRPr="00906AFB" w:rsidRDefault="004C1B6B" w:rsidP="004C1B6B">
            <w:pPr>
              <w:rPr>
                <w:rFonts w:ascii="Arial" w:hAnsi="Arial" w:cs="Arial"/>
                <w:sz w:val="20"/>
              </w:rPr>
            </w:pPr>
            <w:r w:rsidRPr="00906AFB">
              <w:rPr>
                <w:rFonts w:ascii="Arial" w:hAnsi="Arial" w:cs="Arial"/>
                <w:sz w:val="20"/>
              </w:rPr>
              <w:t>Pensiones Magisterio</w:t>
            </w:r>
          </w:p>
        </w:tc>
        <w:tc>
          <w:tcPr>
            <w:tcW w:w="1559" w:type="dxa"/>
            <w:tcBorders>
              <w:top w:val="single" w:sz="4" w:space="0" w:color="auto"/>
              <w:left w:val="single" w:sz="4" w:space="0" w:color="auto"/>
              <w:bottom w:val="single" w:sz="4" w:space="0" w:color="auto"/>
              <w:right w:val="single" w:sz="4" w:space="0" w:color="auto"/>
            </w:tcBorders>
            <w:vAlign w:val="center"/>
            <w:hideMark/>
          </w:tcPr>
          <w:p w:rsidR="004C1B6B" w:rsidRPr="004C1B6B" w:rsidRDefault="004C1B6B" w:rsidP="004C1B6B">
            <w:pPr>
              <w:jc w:val="right"/>
              <w:rPr>
                <w:rFonts w:ascii="Arial" w:hAnsi="Arial" w:cs="Arial"/>
                <w:sz w:val="20"/>
              </w:rPr>
            </w:pPr>
            <w:r w:rsidRPr="004C1B6B">
              <w:rPr>
                <w:rFonts w:ascii="Arial" w:hAnsi="Arial" w:cs="Arial"/>
                <w:sz w:val="20"/>
              </w:rPr>
              <w:t>81,655,345</w:t>
            </w:r>
          </w:p>
        </w:tc>
      </w:tr>
      <w:tr w:rsidR="004C1B6B" w:rsidRPr="00906AFB" w:rsidTr="004C1B6B">
        <w:trPr>
          <w:trHeight w:val="283"/>
          <w:jc w:val="center"/>
        </w:trPr>
        <w:tc>
          <w:tcPr>
            <w:tcW w:w="895" w:type="dxa"/>
            <w:tcBorders>
              <w:top w:val="single" w:sz="4" w:space="0" w:color="auto"/>
              <w:left w:val="single" w:sz="4" w:space="0" w:color="auto"/>
              <w:bottom w:val="single" w:sz="4" w:space="0" w:color="auto"/>
              <w:right w:val="single" w:sz="4" w:space="0" w:color="auto"/>
            </w:tcBorders>
            <w:vAlign w:val="center"/>
            <w:hideMark/>
          </w:tcPr>
          <w:p w:rsidR="004C1B6B" w:rsidRPr="00906AFB" w:rsidRDefault="004C1B6B" w:rsidP="004C1B6B">
            <w:pPr>
              <w:rPr>
                <w:rFonts w:ascii="Arial" w:hAnsi="Arial" w:cs="Arial"/>
                <w:sz w:val="20"/>
              </w:rPr>
            </w:pPr>
            <w:r w:rsidRPr="00906AFB">
              <w:rPr>
                <w:rFonts w:ascii="Arial" w:hAnsi="Arial" w:cs="Arial"/>
                <w:sz w:val="20"/>
              </w:rPr>
              <w:t>45102</w:t>
            </w:r>
          </w:p>
        </w:tc>
        <w:tc>
          <w:tcPr>
            <w:tcW w:w="4361" w:type="dxa"/>
            <w:tcBorders>
              <w:top w:val="single" w:sz="4" w:space="0" w:color="auto"/>
              <w:left w:val="single" w:sz="4" w:space="0" w:color="auto"/>
              <w:bottom w:val="single" w:sz="4" w:space="0" w:color="auto"/>
              <w:right w:val="single" w:sz="4" w:space="0" w:color="auto"/>
            </w:tcBorders>
            <w:vAlign w:val="center"/>
            <w:hideMark/>
          </w:tcPr>
          <w:p w:rsidR="004C1B6B" w:rsidRPr="00906AFB" w:rsidRDefault="004C1B6B" w:rsidP="004C1B6B">
            <w:pPr>
              <w:rPr>
                <w:rFonts w:ascii="Arial" w:hAnsi="Arial" w:cs="Arial"/>
                <w:sz w:val="20"/>
              </w:rPr>
            </w:pPr>
            <w:r w:rsidRPr="00906AFB">
              <w:rPr>
                <w:rFonts w:ascii="Arial" w:hAnsi="Arial" w:cs="Arial"/>
                <w:sz w:val="20"/>
              </w:rPr>
              <w:t>Pensiones Burocracia</w:t>
            </w:r>
          </w:p>
        </w:tc>
        <w:tc>
          <w:tcPr>
            <w:tcW w:w="1559" w:type="dxa"/>
            <w:tcBorders>
              <w:top w:val="single" w:sz="4" w:space="0" w:color="auto"/>
              <w:left w:val="single" w:sz="4" w:space="0" w:color="auto"/>
              <w:bottom w:val="single" w:sz="4" w:space="0" w:color="auto"/>
              <w:right w:val="single" w:sz="4" w:space="0" w:color="auto"/>
            </w:tcBorders>
            <w:vAlign w:val="center"/>
            <w:hideMark/>
          </w:tcPr>
          <w:p w:rsidR="004C1B6B" w:rsidRPr="004C1B6B" w:rsidRDefault="004C1B6B" w:rsidP="004C1B6B">
            <w:pPr>
              <w:jc w:val="right"/>
              <w:rPr>
                <w:rFonts w:ascii="Arial" w:hAnsi="Arial" w:cs="Arial"/>
                <w:sz w:val="20"/>
              </w:rPr>
            </w:pPr>
            <w:r w:rsidRPr="004C1B6B">
              <w:rPr>
                <w:rFonts w:ascii="Arial" w:hAnsi="Arial" w:cs="Arial"/>
                <w:sz w:val="20"/>
              </w:rPr>
              <w:t>92,167,584</w:t>
            </w:r>
          </w:p>
        </w:tc>
      </w:tr>
      <w:tr w:rsidR="004C1B6B" w:rsidRPr="00906AFB" w:rsidTr="004C1B6B">
        <w:trPr>
          <w:trHeight w:val="283"/>
          <w:jc w:val="center"/>
        </w:trPr>
        <w:tc>
          <w:tcPr>
            <w:tcW w:w="895" w:type="dxa"/>
            <w:tcBorders>
              <w:top w:val="single" w:sz="4" w:space="0" w:color="auto"/>
              <w:left w:val="single" w:sz="4" w:space="0" w:color="auto"/>
              <w:bottom w:val="single" w:sz="4" w:space="0" w:color="auto"/>
              <w:right w:val="single" w:sz="4" w:space="0" w:color="auto"/>
            </w:tcBorders>
          </w:tcPr>
          <w:p w:rsidR="004C1B6B" w:rsidRPr="00906AFB" w:rsidRDefault="004C1B6B" w:rsidP="004C1B6B">
            <w:pPr>
              <w:jc w:val="center"/>
              <w:rPr>
                <w:rFonts w:ascii="Arial" w:hAnsi="Arial" w:cs="Arial"/>
                <w:b/>
                <w:sz w:val="20"/>
              </w:rPr>
            </w:pPr>
          </w:p>
        </w:tc>
        <w:tc>
          <w:tcPr>
            <w:tcW w:w="4361" w:type="dxa"/>
            <w:tcBorders>
              <w:top w:val="single" w:sz="4" w:space="0" w:color="auto"/>
              <w:left w:val="single" w:sz="4" w:space="0" w:color="auto"/>
              <w:bottom w:val="single" w:sz="4" w:space="0" w:color="auto"/>
              <w:right w:val="single" w:sz="4" w:space="0" w:color="auto"/>
            </w:tcBorders>
            <w:vAlign w:val="center"/>
            <w:hideMark/>
          </w:tcPr>
          <w:p w:rsidR="004C1B6B" w:rsidRPr="00906AFB" w:rsidRDefault="004C1B6B" w:rsidP="004C1B6B">
            <w:pPr>
              <w:jc w:val="center"/>
              <w:rPr>
                <w:rFonts w:ascii="Arial" w:hAnsi="Arial" w:cs="Arial"/>
                <w:b/>
                <w:sz w:val="20"/>
              </w:rPr>
            </w:pPr>
            <w:r w:rsidRPr="00906AFB">
              <w:rPr>
                <w:rFonts w:ascii="Arial" w:hAnsi="Arial" w:cs="Arial"/>
                <w:b/>
                <w:sz w:val="20"/>
              </w:rPr>
              <w:t>Total</w:t>
            </w:r>
          </w:p>
        </w:tc>
        <w:tc>
          <w:tcPr>
            <w:tcW w:w="1559" w:type="dxa"/>
            <w:tcBorders>
              <w:top w:val="single" w:sz="4" w:space="0" w:color="auto"/>
              <w:left w:val="single" w:sz="4" w:space="0" w:color="auto"/>
              <w:bottom w:val="single" w:sz="4" w:space="0" w:color="auto"/>
              <w:right w:val="single" w:sz="4" w:space="0" w:color="auto"/>
            </w:tcBorders>
            <w:vAlign w:val="center"/>
            <w:hideMark/>
          </w:tcPr>
          <w:p w:rsidR="004C1B6B" w:rsidRPr="004C1B6B" w:rsidRDefault="004C1B6B" w:rsidP="004C1B6B">
            <w:pPr>
              <w:jc w:val="right"/>
              <w:rPr>
                <w:rFonts w:ascii="Arial" w:hAnsi="Arial" w:cs="Arial"/>
                <w:b/>
                <w:sz w:val="20"/>
              </w:rPr>
            </w:pPr>
            <w:r w:rsidRPr="004C1B6B">
              <w:rPr>
                <w:rFonts w:ascii="Arial" w:hAnsi="Arial" w:cs="Arial"/>
                <w:b/>
                <w:sz w:val="20"/>
              </w:rPr>
              <w:t>173,822,929</w:t>
            </w:r>
          </w:p>
        </w:tc>
      </w:tr>
    </w:tbl>
    <w:p w:rsidR="00906AFB" w:rsidRDefault="00906AFB" w:rsidP="00906AFB">
      <w:pPr>
        <w:spacing w:after="0" w:line="240" w:lineRule="auto"/>
        <w:jc w:val="both"/>
        <w:rPr>
          <w:rFonts w:ascii="Arial" w:eastAsia="Calibri" w:hAnsi="Arial" w:cs="Arial"/>
          <w:sz w:val="24"/>
          <w:szCs w:val="24"/>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b/>
          <w:sz w:val="24"/>
          <w:szCs w:val="24"/>
          <w:lang w:val="es-ES" w:eastAsia="en-US"/>
        </w:rPr>
        <w:lastRenderedPageBreak/>
        <w:t>Artículo 36</w:t>
      </w:r>
      <w:r w:rsidRPr="00906AFB">
        <w:rPr>
          <w:rFonts w:ascii="Arial" w:eastAsia="Calibri" w:hAnsi="Arial" w:cs="Arial"/>
          <w:sz w:val="24"/>
          <w:szCs w:val="24"/>
          <w:lang w:val="es-ES" w:eastAsia="en-US"/>
        </w:rPr>
        <w:t>. Las erogaciones previstas para Jubilaciones son las siguientes:</w:t>
      </w:r>
    </w:p>
    <w:p w:rsidR="00906AFB" w:rsidRPr="00CA2A50" w:rsidRDefault="00906AFB" w:rsidP="00906AFB">
      <w:pPr>
        <w:spacing w:after="0" w:line="240" w:lineRule="auto"/>
        <w:jc w:val="both"/>
        <w:rPr>
          <w:rFonts w:ascii="Arial" w:eastAsia="Calibri" w:hAnsi="Arial" w:cs="Arial"/>
          <w:sz w:val="8"/>
          <w:szCs w:val="24"/>
          <w:lang w:val="es-ES" w:eastAsia="en-US"/>
        </w:rPr>
      </w:pPr>
    </w:p>
    <w:p w:rsidR="00906AFB" w:rsidRPr="00906AFB" w:rsidRDefault="00CF4172" w:rsidP="00906AFB">
      <w:pPr>
        <w:keepNext/>
        <w:keepLines/>
        <w:spacing w:after="0" w:line="240" w:lineRule="auto"/>
        <w:jc w:val="center"/>
        <w:outlineLvl w:val="1"/>
        <w:rPr>
          <w:rFonts w:ascii="Arial" w:eastAsia="Times New Roman" w:hAnsi="Arial" w:cs="Times New Roman"/>
          <w:b/>
          <w:sz w:val="20"/>
          <w:szCs w:val="26"/>
          <w:lang w:val="es-ES" w:eastAsia="en-US"/>
        </w:rPr>
      </w:pPr>
      <w:r>
        <w:rPr>
          <w:rFonts w:ascii="Arial" w:eastAsia="Times New Roman" w:hAnsi="Arial" w:cs="Times New Roman"/>
          <w:b/>
          <w:sz w:val="20"/>
          <w:szCs w:val="26"/>
          <w:lang w:val="es-ES" w:eastAsia="en-US"/>
        </w:rPr>
        <w:t>Tabla 34</w:t>
      </w:r>
      <w:r w:rsidR="00906AFB" w:rsidRPr="00906AFB">
        <w:rPr>
          <w:rFonts w:ascii="Arial" w:eastAsia="Times New Roman" w:hAnsi="Arial" w:cs="Times New Roman"/>
          <w:b/>
          <w:sz w:val="20"/>
          <w:szCs w:val="26"/>
          <w:lang w:val="es-ES" w:eastAsia="en-US"/>
        </w:rPr>
        <w:t>. Erogaciones previstas para Jubilaciones</w:t>
      </w:r>
    </w:p>
    <w:tbl>
      <w:tblPr>
        <w:tblStyle w:val="Tablaconcuadrcula2"/>
        <w:tblW w:w="0" w:type="auto"/>
        <w:jc w:val="center"/>
        <w:tblInd w:w="0" w:type="dxa"/>
        <w:tblLook w:val="04A0" w:firstRow="1" w:lastRow="0" w:firstColumn="1" w:lastColumn="0" w:noHBand="0" w:noVBand="1"/>
      </w:tblPr>
      <w:tblGrid>
        <w:gridCol w:w="895"/>
        <w:gridCol w:w="4755"/>
        <w:gridCol w:w="1473"/>
      </w:tblGrid>
      <w:tr w:rsidR="00906AFB" w:rsidRPr="00906AFB" w:rsidTr="00253164">
        <w:trPr>
          <w:trHeight w:val="283"/>
          <w:jc w:val="center"/>
        </w:trPr>
        <w:tc>
          <w:tcPr>
            <w:tcW w:w="895"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253164">
            <w:pPr>
              <w:jc w:val="center"/>
              <w:rPr>
                <w:rFonts w:ascii="Arial" w:hAnsi="Arial" w:cs="Arial"/>
                <w:b/>
                <w:sz w:val="20"/>
                <w:szCs w:val="20"/>
              </w:rPr>
            </w:pPr>
            <w:r w:rsidRPr="00906AFB">
              <w:rPr>
                <w:rFonts w:ascii="Arial" w:hAnsi="Arial" w:cs="Arial"/>
                <w:b/>
                <w:sz w:val="20"/>
                <w:szCs w:val="20"/>
              </w:rPr>
              <w:t>Partida</w:t>
            </w:r>
          </w:p>
        </w:tc>
        <w:tc>
          <w:tcPr>
            <w:tcW w:w="4755"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sz w:val="20"/>
                <w:szCs w:val="20"/>
              </w:rPr>
            </w:pPr>
            <w:r w:rsidRPr="00906AFB">
              <w:rPr>
                <w:rFonts w:ascii="Arial" w:hAnsi="Arial" w:cs="Arial"/>
                <w:b/>
                <w:sz w:val="20"/>
                <w:szCs w:val="20"/>
              </w:rPr>
              <w:t>Concepto</w:t>
            </w:r>
          </w:p>
        </w:tc>
        <w:tc>
          <w:tcPr>
            <w:tcW w:w="1473"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sz w:val="20"/>
                <w:szCs w:val="20"/>
              </w:rPr>
            </w:pPr>
            <w:r w:rsidRPr="00906AFB">
              <w:rPr>
                <w:rFonts w:ascii="Arial" w:hAnsi="Arial" w:cs="Arial"/>
                <w:b/>
                <w:sz w:val="20"/>
                <w:szCs w:val="20"/>
              </w:rPr>
              <w:t>Asignación Presupuestal</w:t>
            </w:r>
          </w:p>
        </w:tc>
      </w:tr>
      <w:tr w:rsidR="00253164" w:rsidRPr="00906AFB" w:rsidTr="00253164">
        <w:trPr>
          <w:trHeight w:val="283"/>
          <w:jc w:val="center"/>
        </w:trPr>
        <w:tc>
          <w:tcPr>
            <w:tcW w:w="895" w:type="dxa"/>
            <w:tcBorders>
              <w:top w:val="single" w:sz="4" w:space="0" w:color="auto"/>
              <w:left w:val="single" w:sz="4" w:space="0" w:color="auto"/>
              <w:bottom w:val="single" w:sz="4" w:space="0" w:color="auto"/>
              <w:right w:val="single" w:sz="4" w:space="0" w:color="auto"/>
            </w:tcBorders>
            <w:vAlign w:val="center"/>
            <w:hideMark/>
          </w:tcPr>
          <w:p w:rsidR="00253164" w:rsidRPr="00906AFB" w:rsidRDefault="00253164" w:rsidP="00253164">
            <w:pPr>
              <w:jc w:val="center"/>
              <w:rPr>
                <w:rFonts w:ascii="Arial" w:hAnsi="Arial" w:cs="Arial"/>
                <w:sz w:val="20"/>
                <w:szCs w:val="20"/>
              </w:rPr>
            </w:pPr>
            <w:r w:rsidRPr="00906AFB">
              <w:rPr>
                <w:rFonts w:ascii="Arial" w:hAnsi="Arial" w:cs="Arial"/>
                <w:sz w:val="20"/>
                <w:szCs w:val="20"/>
              </w:rPr>
              <w:t>45201</w:t>
            </w:r>
          </w:p>
        </w:tc>
        <w:tc>
          <w:tcPr>
            <w:tcW w:w="4755" w:type="dxa"/>
            <w:tcBorders>
              <w:top w:val="single" w:sz="4" w:space="0" w:color="auto"/>
              <w:left w:val="single" w:sz="4" w:space="0" w:color="auto"/>
              <w:bottom w:val="single" w:sz="4" w:space="0" w:color="auto"/>
              <w:right w:val="single" w:sz="4" w:space="0" w:color="auto"/>
            </w:tcBorders>
            <w:vAlign w:val="center"/>
            <w:hideMark/>
          </w:tcPr>
          <w:p w:rsidR="00253164" w:rsidRPr="00906AFB" w:rsidRDefault="00253164" w:rsidP="00253164">
            <w:pPr>
              <w:rPr>
                <w:rFonts w:ascii="Arial" w:hAnsi="Arial" w:cs="Arial"/>
                <w:sz w:val="20"/>
                <w:szCs w:val="20"/>
              </w:rPr>
            </w:pPr>
            <w:r w:rsidRPr="00906AFB">
              <w:rPr>
                <w:rFonts w:ascii="Arial" w:hAnsi="Arial" w:cs="Arial"/>
                <w:sz w:val="20"/>
                <w:szCs w:val="20"/>
              </w:rPr>
              <w:t>Jubilaciones Magisterio</w:t>
            </w:r>
          </w:p>
        </w:tc>
        <w:tc>
          <w:tcPr>
            <w:tcW w:w="1473" w:type="dxa"/>
            <w:tcBorders>
              <w:top w:val="single" w:sz="4" w:space="0" w:color="auto"/>
              <w:left w:val="single" w:sz="4" w:space="0" w:color="auto"/>
              <w:bottom w:val="single" w:sz="4" w:space="0" w:color="auto"/>
              <w:right w:val="single" w:sz="4" w:space="0" w:color="auto"/>
            </w:tcBorders>
            <w:vAlign w:val="center"/>
            <w:hideMark/>
          </w:tcPr>
          <w:p w:rsidR="00253164" w:rsidRPr="00253164" w:rsidRDefault="00253164" w:rsidP="00253164">
            <w:pPr>
              <w:jc w:val="right"/>
              <w:rPr>
                <w:rFonts w:ascii="Arial" w:hAnsi="Arial" w:cs="Arial"/>
                <w:sz w:val="20"/>
              </w:rPr>
            </w:pPr>
            <w:r w:rsidRPr="00253164">
              <w:rPr>
                <w:rFonts w:ascii="Arial" w:hAnsi="Arial" w:cs="Arial"/>
                <w:sz w:val="20"/>
              </w:rPr>
              <w:t>225,688,772</w:t>
            </w:r>
          </w:p>
        </w:tc>
      </w:tr>
      <w:tr w:rsidR="00253164" w:rsidRPr="00906AFB" w:rsidTr="00253164">
        <w:trPr>
          <w:trHeight w:val="283"/>
          <w:jc w:val="center"/>
        </w:trPr>
        <w:tc>
          <w:tcPr>
            <w:tcW w:w="895" w:type="dxa"/>
            <w:tcBorders>
              <w:top w:val="single" w:sz="4" w:space="0" w:color="auto"/>
              <w:left w:val="single" w:sz="4" w:space="0" w:color="auto"/>
              <w:bottom w:val="single" w:sz="4" w:space="0" w:color="auto"/>
              <w:right w:val="single" w:sz="4" w:space="0" w:color="auto"/>
            </w:tcBorders>
            <w:vAlign w:val="center"/>
            <w:hideMark/>
          </w:tcPr>
          <w:p w:rsidR="00253164" w:rsidRPr="00906AFB" w:rsidRDefault="00253164" w:rsidP="00253164">
            <w:pPr>
              <w:jc w:val="center"/>
              <w:rPr>
                <w:rFonts w:ascii="Arial" w:hAnsi="Arial" w:cs="Arial"/>
                <w:sz w:val="20"/>
                <w:szCs w:val="20"/>
              </w:rPr>
            </w:pPr>
            <w:r w:rsidRPr="00906AFB">
              <w:rPr>
                <w:rFonts w:ascii="Arial" w:hAnsi="Arial" w:cs="Arial"/>
                <w:sz w:val="20"/>
                <w:szCs w:val="20"/>
              </w:rPr>
              <w:t>45202</w:t>
            </w:r>
          </w:p>
        </w:tc>
        <w:tc>
          <w:tcPr>
            <w:tcW w:w="4755" w:type="dxa"/>
            <w:tcBorders>
              <w:top w:val="single" w:sz="4" w:space="0" w:color="auto"/>
              <w:left w:val="single" w:sz="4" w:space="0" w:color="auto"/>
              <w:bottom w:val="single" w:sz="4" w:space="0" w:color="auto"/>
              <w:right w:val="single" w:sz="4" w:space="0" w:color="auto"/>
            </w:tcBorders>
            <w:vAlign w:val="center"/>
            <w:hideMark/>
          </w:tcPr>
          <w:p w:rsidR="00253164" w:rsidRPr="00906AFB" w:rsidRDefault="00253164" w:rsidP="00253164">
            <w:pPr>
              <w:rPr>
                <w:rFonts w:ascii="Arial" w:hAnsi="Arial" w:cs="Arial"/>
                <w:sz w:val="20"/>
                <w:szCs w:val="20"/>
              </w:rPr>
            </w:pPr>
            <w:r w:rsidRPr="00906AFB">
              <w:rPr>
                <w:rFonts w:ascii="Arial" w:hAnsi="Arial" w:cs="Arial"/>
                <w:sz w:val="20"/>
                <w:szCs w:val="20"/>
              </w:rPr>
              <w:t>Jubilaciones Burocracia</w:t>
            </w:r>
          </w:p>
        </w:tc>
        <w:tc>
          <w:tcPr>
            <w:tcW w:w="1473" w:type="dxa"/>
            <w:tcBorders>
              <w:top w:val="single" w:sz="4" w:space="0" w:color="auto"/>
              <w:left w:val="single" w:sz="4" w:space="0" w:color="auto"/>
              <w:bottom w:val="single" w:sz="4" w:space="0" w:color="auto"/>
              <w:right w:val="single" w:sz="4" w:space="0" w:color="auto"/>
            </w:tcBorders>
            <w:vAlign w:val="center"/>
            <w:hideMark/>
          </w:tcPr>
          <w:p w:rsidR="00253164" w:rsidRPr="00253164" w:rsidRDefault="00253164" w:rsidP="00253164">
            <w:pPr>
              <w:jc w:val="right"/>
              <w:rPr>
                <w:rFonts w:ascii="Arial" w:hAnsi="Arial" w:cs="Arial"/>
                <w:sz w:val="20"/>
              </w:rPr>
            </w:pPr>
            <w:r w:rsidRPr="00253164">
              <w:rPr>
                <w:rFonts w:ascii="Arial" w:hAnsi="Arial" w:cs="Arial"/>
                <w:sz w:val="20"/>
              </w:rPr>
              <w:t>302,293,760</w:t>
            </w:r>
          </w:p>
        </w:tc>
      </w:tr>
      <w:tr w:rsidR="00253164" w:rsidRPr="00906AFB" w:rsidTr="00253164">
        <w:trPr>
          <w:trHeight w:val="283"/>
          <w:jc w:val="center"/>
        </w:trPr>
        <w:tc>
          <w:tcPr>
            <w:tcW w:w="895" w:type="dxa"/>
            <w:tcBorders>
              <w:top w:val="single" w:sz="4" w:space="0" w:color="auto"/>
              <w:left w:val="single" w:sz="4" w:space="0" w:color="auto"/>
              <w:bottom w:val="single" w:sz="4" w:space="0" w:color="auto"/>
              <w:right w:val="single" w:sz="4" w:space="0" w:color="auto"/>
            </w:tcBorders>
            <w:vAlign w:val="center"/>
          </w:tcPr>
          <w:p w:rsidR="00253164" w:rsidRPr="00906AFB" w:rsidRDefault="00253164" w:rsidP="00253164">
            <w:pPr>
              <w:jc w:val="center"/>
              <w:rPr>
                <w:rFonts w:ascii="Arial" w:hAnsi="Arial" w:cs="Arial"/>
                <w:b/>
                <w:sz w:val="20"/>
                <w:szCs w:val="20"/>
              </w:rPr>
            </w:pPr>
          </w:p>
        </w:tc>
        <w:tc>
          <w:tcPr>
            <w:tcW w:w="4755" w:type="dxa"/>
            <w:tcBorders>
              <w:top w:val="single" w:sz="4" w:space="0" w:color="auto"/>
              <w:left w:val="single" w:sz="4" w:space="0" w:color="auto"/>
              <w:bottom w:val="single" w:sz="4" w:space="0" w:color="auto"/>
              <w:right w:val="single" w:sz="4" w:space="0" w:color="auto"/>
            </w:tcBorders>
            <w:vAlign w:val="center"/>
            <w:hideMark/>
          </w:tcPr>
          <w:p w:rsidR="00253164" w:rsidRPr="00906AFB" w:rsidRDefault="00253164" w:rsidP="00253164">
            <w:pPr>
              <w:jc w:val="center"/>
              <w:rPr>
                <w:rFonts w:ascii="Arial" w:hAnsi="Arial" w:cs="Arial"/>
                <w:b/>
                <w:sz w:val="20"/>
                <w:szCs w:val="20"/>
              </w:rPr>
            </w:pPr>
            <w:r w:rsidRPr="00906AFB">
              <w:rPr>
                <w:rFonts w:ascii="Arial" w:hAnsi="Arial" w:cs="Arial"/>
                <w:b/>
                <w:sz w:val="20"/>
                <w:szCs w:val="20"/>
              </w:rPr>
              <w:t>Total</w:t>
            </w:r>
          </w:p>
        </w:tc>
        <w:tc>
          <w:tcPr>
            <w:tcW w:w="1473" w:type="dxa"/>
            <w:tcBorders>
              <w:top w:val="single" w:sz="4" w:space="0" w:color="auto"/>
              <w:left w:val="single" w:sz="4" w:space="0" w:color="auto"/>
              <w:bottom w:val="single" w:sz="4" w:space="0" w:color="auto"/>
              <w:right w:val="single" w:sz="4" w:space="0" w:color="auto"/>
            </w:tcBorders>
            <w:vAlign w:val="center"/>
            <w:hideMark/>
          </w:tcPr>
          <w:p w:rsidR="00253164" w:rsidRPr="00253164" w:rsidRDefault="00253164" w:rsidP="00253164">
            <w:pPr>
              <w:jc w:val="right"/>
              <w:rPr>
                <w:rFonts w:ascii="Arial" w:hAnsi="Arial" w:cs="Arial"/>
                <w:b/>
                <w:sz w:val="20"/>
              </w:rPr>
            </w:pPr>
            <w:r w:rsidRPr="00253164">
              <w:rPr>
                <w:rFonts w:ascii="Arial" w:hAnsi="Arial" w:cs="Arial"/>
                <w:b/>
                <w:sz w:val="20"/>
              </w:rPr>
              <w:t>527,982,532</w:t>
            </w:r>
          </w:p>
        </w:tc>
      </w:tr>
    </w:tbl>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Pr="00906AFB" w:rsidRDefault="00906AFB" w:rsidP="00906AFB">
      <w:pPr>
        <w:keepNext/>
        <w:keepLines/>
        <w:spacing w:after="0" w:line="240" w:lineRule="auto"/>
        <w:jc w:val="center"/>
        <w:outlineLvl w:val="0"/>
        <w:rPr>
          <w:rFonts w:ascii="Arial" w:eastAsia="Times New Roman" w:hAnsi="Arial" w:cs="Arial"/>
          <w:b/>
          <w:sz w:val="24"/>
          <w:szCs w:val="32"/>
          <w:lang w:val="es-ES" w:eastAsia="en-US"/>
        </w:rPr>
      </w:pPr>
      <w:bookmarkStart w:id="25" w:name="_Toc465292958"/>
      <w:bookmarkStart w:id="26" w:name="_Toc465292886"/>
      <w:r w:rsidRPr="00906AFB">
        <w:rPr>
          <w:rFonts w:ascii="Arial" w:eastAsia="Times New Roman" w:hAnsi="Arial" w:cs="Arial"/>
          <w:b/>
          <w:sz w:val="24"/>
          <w:szCs w:val="32"/>
          <w:lang w:val="es-ES" w:eastAsia="en-US"/>
        </w:rPr>
        <w:t xml:space="preserve">CAPÍTULO IV </w:t>
      </w:r>
    </w:p>
    <w:p w:rsidR="00906AFB" w:rsidRPr="00906AFB" w:rsidRDefault="00906AFB" w:rsidP="00906AFB">
      <w:pPr>
        <w:keepNext/>
        <w:keepLines/>
        <w:spacing w:after="0" w:line="240" w:lineRule="auto"/>
        <w:jc w:val="center"/>
        <w:outlineLvl w:val="0"/>
        <w:rPr>
          <w:rFonts w:ascii="Arial" w:eastAsia="Times New Roman" w:hAnsi="Arial" w:cs="Arial"/>
          <w:b/>
          <w:sz w:val="24"/>
          <w:szCs w:val="32"/>
          <w:lang w:val="es-ES" w:eastAsia="en-US"/>
        </w:rPr>
      </w:pPr>
      <w:r w:rsidRPr="00906AFB">
        <w:rPr>
          <w:rFonts w:ascii="Arial" w:eastAsia="Times New Roman" w:hAnsi="Arial" w:cs="Arial"/>
          <w:b/>
          <w:sz w:val="24"/>
          <w:szCs w:val="32"/>
          <w:lang w:val="es-ES" w:eastAsia="en-US"/>
        </w:rPr>
        <w:t>DE LA DEUDA PÚBLICA</w:t>
      </w:r>
      <w:bookmarkEnd w:id="25"/>
      <w:bookmarkEnd w:id="26"/>
    </w:p>
    <w:p w:rsidR="00906AFB" w:rsidRPr="00906AFB" w:rsidRDefault="00906AFB" w:rsidP="00906AFB">
      <w:pPr>
        <w:spacing w:after="0" w:line="240" w:lineRule="auto"/>
        <w:jc w:val="both"/>
        <w:rPr>
          <w:rFonts w:ascii="Arial" w:eastAsia="Calibri" w:hAnsi="Arial" w:cs="Arial"/>
          <w:b/>
          <w:sz w:val="24"/>
          <w:szCs w:val="24"/>
          <w:lang w:val="es-ES" w:eastAsia="en-US"/>
        </w:rPr>
      </w:pPr>
    </w:p>
    <w:p w:rsid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b/>
          <w:sz w:val="24"/>
          <w:szCs w:val="24"/>
          <w:lang w:val="es-ES" w:eastAsia="en-US"/>
        </w:rPr>
        <w:t>Artículo 37</w:t>
      </w:r>
      <w:r w:rsidRPr="00906AFB">
        <w:rPr>
          <w:rFonts w:ascii="Arial" w:eastAsia="Calibri" w:hAnsi="Arial" w:cs="Arial"/>
          <w:sz w:val="24"/>
          <w:szCs w:val="24"/>
          <w:lang w:val="es-ES" w:eastAsia="en-US"/>
        </w:rPr>
        <w:t>. El saldo neto de la Deuda Pública Directa del Gobierno del Estado de Colima al 31 de octubre de 2016, es de un total de $2,733,486,638.</w:t>
      </w:r>
    </w:p>
    <w:p w:rsidR="005A4DD3" w:rsidRDefault="005A4DD3" w:rsidP="00906AFB">
      <w:pPr>
        <w:spacing w:after="0" w:line="240" w:lineRule="auto"/>
        <w:jc w:val="both"/>
        <w:rPr>
          <w:rFonts w:ascii="Arial" w:eastAsia="Calibri" w:hAnsi="Arial" w:cs="Arial"/>
          <w:sz w:val="24"/>
          <w:szCs w:val="24"/>
          <w:lang w:val="es-ES" w:eastAsia="en-US"/>
        </w:rPr>
      </w:pPr>
    </w:p>
    <w:p w:rsidR="005A4DD3" w:rsidRPr="00906AFB" w:rsidRDefault="005A4DD3" w:rsidP="00906AFB">
      <w:pPr>
        <w:spacing w:after="0" w:line="240" w:lineRule="auto"/>
        <w:jc w:val="both"/>
        <w:rPr>
          <w:rFonts w:ascii="Arial" w:eastAsia="Calibri" w:hAnsi="Arial" w:cs="Arial"/>
          <w:sz w:val="24"/>
          <w:szCs w:val="24"/>
          <w:lang w:val="es-ES" w:eastAsia="en-US"/>
        </w:rPr>
      </w:pPr>
      <w:r w:rsidRPr="005A4DD3">
        <w:rPr>
          <w:rFonts w:ascii="Arial" w:eastAsia="Calibri" w:hAnsi="Arial" w:cs="Arial"/>
          <w:sz w:val="24"/>
          <w:szCs w:val="24"/>
          <w:lang w:val="es-ES" w:eastAsia="en-US"/>
        </w:rPr>
        <w:t>No incluye el saldo de los créditos contratados bajo el esquema de bono cupón cero, ya que el Estado no tiene la obligación contractual de amortizar el capital, únicamente los intereses durante la vida del crédito.</w:t>
      </w:r>
    </w:p>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sz w:val="24"/>
          <w:szCs w:val="24"/>
          <w:lang w:val="es-ES" w:eastAsia="en-US"/>
        </w:rPr>
        <w:t xml:space="preserve">Para el Ejercicio Fiscal 2017, se establece una asignación presupuestaria de $352,805,671 que serán destinados a cubrir la amortización de capital e intereses de la Deuda Pública Directa, contratada con la Banca de Desarrollo y con la Banca </w:t>
      </w:r>
      <w:r w:rsidR="00542D1A">
        <w:rPr>
          <w:rFonts w:ascii="Arial" w:eastAsia="Calibri" w:hAnsi="Arial" w:cs="Arial"/>
          <w:sz w:val="24"/>
          <w:szCs w:val="24"/>
          <w:lang w:val="es-ES" w:eastAsia="en-US"/>
        </w:rPr>
        <w:t>Comercial</w:t>
      </w:r>
      <w:r w:rsidRPr="00906AFB">
        <w:rPr>
          <w:rFonts w:ascii="Arial" w:eastAsia="Calibri" w:hAnsi="Arial" w:cs="Arial"/>
          <w:sz w:val="24"/>
          <w:szCs w:val="24"/>
          <w:lang w:val="es-ES" w:eastAsia="en-US"/>
        </w:rPr>
        <w:t>.</w:t>
      </w:r>
    </w:p>
    <w:p w:rsidR="00906AFB" w:rsidRPr="00906AFB" w:rsidRDefault="00906AFB" w:rsidP="00906AFB">
      <w:pPr>
        <w:tabs>
          <w:tab w:val="left" w:pos="142"/>
        </w:tabs>
        <w:spacing w:after="0" w:line="240" w:lineRule="auto"/>
        <w:jc w:val="both"/>
        <w:rPr>
          <w:rFonts w:ascii="Arial" w:eastAsia="Calibri" w:hAnsi="Arial" w:cs="Arial"/>
          <w:color w:val="000000"/>
          <w:sz w:val="24"/>
          <w:szCs w:val="24"/>
          <w:lang w:val="es-ES" w:eastAsia="en-US"/>
        </w:rPr>
      </w:pPr>
    </w:p>
    <w:p w:rsidR="00906AFB" w:rsidRPr="00906AFB" w:rsidRDefault="00906AFB" w:rsidP="00906AFB">
      <w:pPr>
        <w:tabs>
          <w:tab w:val="left" w:pos="142"/>
        </w:tabs>
        <w:spacing w:after="0" w:line="240" w:lineRule="auto"/>
        <w:jc w:val="both"/>
        <w:rPr>
          <w:rFonts w:ascii="Arial" w:eastAsia="Calibri" w:hAnsi="Arial" w:cs="Arial"/>
          <w:color w:val="000000"/>
          <w:sz w:val="24"/>
          <w:szCs w:val="24"/>
          <w:lang w:val="es-ES" w:eastAsia="en-US"/>
        </w:rPr>
      </w:pPr>
      <w:r w:rsidRPr="00906AFB">
        <w:rPr>
          <w:rFonts w:ascii="Arial" w:eastAsia="Calibri" w:hAnsi="Arial" w:cs="Arial"/>
          <w:color w:val="000000"/>
          <w:sz w:val="24"/>
          <w:szCs w:val="24"/>
          <w:lang w:val="es-ES" w:eastAsia="en-US"/>
        </w:rPr>
        <w:t>La composición de dicha asignación  será ejercida de la siguiente forma:</w:t>
      </w:r>
    </w:p>
    <w:p w:rsidR="00906AFB" w:rsidRPr="00906AFB" w:rsidRDefault="00906AFB" w:rsidP="00906AFB">
      <w:pPr>
        <w:tabs>
          <w:tab w:val="left" w:pos="142"/>
        </w:tabs>
        <w:spacing w:after="0" w:line="240" w:lineRule="auto"/>
        <w:jc w:val="both"/>
        <w:rPr>
          <w:rFonts w:ascii="Arial" w:eastAsia="Calibri" w:hAnsi="Arial" w:cs="Arial"/>
          <w:color w:val="000000"/>
          <w:sz w:val="24"/>
          <w:szCs w:val="24"/>
          <w:lang w:val="es-ES" w:eastAsia="en-US"/>
        </w:rPr>
      </w:pPr>
    </w:p>
    <w:p w:rsidR="00906AFB" w:rsidRPr="00906AFB" w:rsidRDefault="00CF4172" w:rsidP="00906AFB">
      <w:pPr>
        <w:keepNext/>
        <w:keepLines/>
        <w:spacing w:after="0" w:line="240" w:lineRule="auto"/>
        <w:jc w:val="center"/>
        <w:outlineLvl w:val="1"/>
        <w:rPr>
          <w:rFonts w:ascii="Arial" w:eastAsia="Times New Roman" w:hAnsi="Arial" w:cs="Times New Roman"/>
          <w:b/>
          <w:sz w:val="20"/>
          <w:szCs w:val="26"/>
          <w:lang w:val="es-ES" w:eastAsia="en-US"/>
        </w:rPr>
      </w:pPr>
      <w:r>
        <w:rPr>
          <w:rFonts w:ascii="Arial" w:eastAsia="Times New Roman" w:hAnsi="Arial" w:cs="Times New Roman"/>
          <w:b/>
          <w:sz w:val="20"/>
          <w:szCs w:val="26"/>
          <w:lang w:val="es-ES" w:eastAsia="en-US"/>
        </w:rPr>
        <w:t>Tabla 35</w:t>
      </w:r>
      <w:r w:rsidR="00906AFB" w:rsidRPr="00906AFB">
        <w:rPr>
          <w:rFonts w:ascii="Arial" w:eastAsia="Times New Roman" w:hAnsi="Arial" w:cs="Times New Roman"/>
          <w:b/>
          <w:sz w:val="20"/>
          <w:szCs w:val="26"/>
          <w:lang w:val="es-ES" w:eastAsia="en-US"/>
        </w:rPr>
        <w:t>. Erogaciones Previstas para Deuda Pública</w:t>
      </w:r>
      <w:r w:rsidR="00CA2A50">
        <w:rPr>
          <w:rFonts w:ascii="Arial" w:eastAsia="Times New Roman" w:hAnsi="Arial" w:cs="Times New Roman"/>
          <w:b/>
          <w:sz w:val="20"/>
          <w:szCs w:val="26"/>
          <w:lang w:val="es-ES" w:eastAsia="en-US"/>
        </w:rPr>
        <w:t xml:space="preserve"> </w:t>
      </w:r>
      <w:r w:rsidR="00906AFB" w:rsidRPr="00906AFB">
        <w:rPr>
          <w:rFonts w:ascii="Arial" w:eastAsia="Times New Roman" w:hAnsi="Arial" w:cs="Times New Roman"/>
          <w:b/>
          <w:sz w:val="20"/>
          <w:szCs w:val="26"/>
          <w:lang w:val="es-ES" w:eastAsia="en-US"/>
        </w:rPr>
        <w:t>(Crédito)</w:t>
      </w:r>
    </w:p>
    <w:tbl>
      <w:tblPr>
        <w:tblW w:w="7226" w:type="dxa"/>
        <w:jc w:val="center"/>
        <w:tblCellMar>
          <w:left w:w="70" w:type="dxa"/>
          <w:right w:w="70" w:type="dxa"/>
        </w:tblCellMar>
        <w:tblLook w:val="04A0" w:firstRow="1" w:lastRow="0" w:firstColumn="1" w:lastColumn="0" w:noHBand="0" w:noVBand="1"/>
      </w:tblPr>
      <w:tblGrid>
        <w:gridCol w:w="3189"/>
        <w:gridCol w:w="1343"/>
        <w:gridCol w:w="1350"/>
        <w:gridCol w:w="1344"/>
      </w:tblGrid>
      <w:tr w:rsidR="00906AFB" w:rsidRPr="00906AFB" w:rsidTr="00A542BF">
        <w:trPr>
          <w:trHeight w:val="283"/>
          <w:jc w:val="center"/>
        </w:trPr>
        <w:tc>
          <w:tcPr>
            <w:tcW w:w="318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rPr>
                <w:rFonts w:ascii="Arial" w:eastAsia="Times New Roman" w:hAnsi="Arial" w:cs="Arial"/>
                <w:b/>
                <w:bCs/>
                <w:sz w:val="18"/>
                <w:szCs w:val="18"/>
                <w:lang w:val="es-ES" w:eastAsia="es-ES"/>
              </w:rPr>
            </w:pPr>
            <w:r w:rsidRPr="00906AFB">
              <w:rPr>
                <w:rFonts w:ascii="Arial" w:eastAsia="Times New Roman" w:hAnsi="Arial" w:cs="Arial"/>
                <w:b/>
                <w:bCs/>
                <w:sz w:val="18"/>
                <w:szCs w:val="18"/>
                <w:lang w:val="es-ES" w:eastAsia="es-ES"/>
              </w:rPr>
              <w:t>Crédito</w:t>
            </w:r>
          </w:p>
        </w:tc>
        <w:tc>
          <w:tcPr>
            <w:tcW w:w="1343" w:type="dxa"/>
            <w:tcBorders>
              <w:top w:val="single" w:sz="4" w:space="0" w:color="auto"/>
              <w:left w:val="nil"/>
              <w:bottom w:val="single" w:sz="4" w:space="0" w:color="auto"/>
              <w:right w:val="single" w:sz="4" w:space="0" w:color="auto"/>
            </w:tcBorders>
            <w:noWrap/>
            <w:vAlign w:val="center"/>
            <w:hideMark/>
          </w:tcPr>
          <w:p w:rsidR="00906AFB" w:rsidRPr="00906AFB" w:rsidRDefault="00906AFB" w:rsidP="00906AFB">
            <w:pPr>
              <w:spacing w:after="0" w:line="240" w:lineRule="auto"/>
              <w:jc w:val="center"/>
              <w:rPr>
                <w:rFonts w:ascii="Arial" w:eastAsia="Times New Roman" w:hAnsi="Arial" w:cs="Arial"/>
                <w:b/>
                <w:bCs/>
                <w:sz w:val="18"/>
                <w:szCs w:val="18"/>
                <w:lang w:val="es-ES" w:eastAsia="es-ES"/>
              </w:rPr>
            </w:pPr>
            <w:r w:rsidRPr="00906AFB">
              <w:rPr>
                <w:rFonts w:ascii="Arial" w:eastAsia="Times New Roman" w:hAnsi="Arial" w:cs="Arial"/>
                <w:b/>
                <w:bCs/>
                <w:sz w:val="18"/>
                <w:szCs w:val="18"/>
                <w:lang w:val="es-ES" w:eastAsia="es-ES"/>
              </w:rPr>
              <w:t>Capital</w:t>
            </w:r>
          </w:p>
        </w:tc>
        <w:tc>
          <w:tcPr>
            <w:tcW w:w="1350" w:type="dxa"/>
            <w:tcBorders>
              <w:top w:val="single" w:sz="4" w:space="0" w:color="auto"/>
              <w:left w:val="nil"/>
              <w:bottom w:val="single" w:sz="4" w:space="0" w:color="auto"/>
              <w:right w:val="single" w:sz="4" w:space="0" w:color="auto"/>
            </w:tcBorders>
            <w:noWrap/>
            <w:vAlign w:val="center"/>
            <w:hideMark/>
          </w:tcPr>
          <w:p w:rsidR="00906AFB" w:rsidRPr="00BE28D0" w:rsidRDefault="00906AFB" w:rsidP="00BE28D0">
            <w:pPr>
              <w:spacing w:after="0" w:line="240" w:lineRule="auto"/>
              <w:jc w:val="center"/>
              <w:rPr>
                <w:rFonts w:ascii="Arial" w:eastAsia="Times New Roman" w:hAnsi="Arial" w:cs="Arial"/>
                <w:b/>
                <w:bCs/>
                <w:sz w:val="18"/>
                <w:szCs w:val="20"/>
                <w:lang w:val="es-ES" w:eastAsia="es-ES"/>
              </w:rPr>
            </w:pPr>
            <w:r w:rsidRPr="00BE28D0">
              <w:rPr>
                <w:rFonts w:ascii="Arial" w:eastAsia="Times New Roman" w:hAnsi="Arial" w:cs="Arial"/>
                <w:b/>
                <w:bCs/>
                <w:sz w:val="18"/>
                <w:szCs w:val="20"/>
                <w:lang w:val="es-ES" w:eastAsia="es-ES"/>
              </w:rPr>
              <w:t>Intereses</w:t>
            </w:r>
          </w:p>
        </w:tc>
        <w:tc>
          <w:tcPr>
            <w:tcW w:w="1344" w:type="dxa"/>
            <w:tcBorders>
              <w:top w:val="single" w:sz="4" w:space="0" w:color="auto"/>
              <w:left w:val="nil"/>
              <w:bottom w:val="single" w:sz="4" w:space="0" w:color="auto"/>
              <w:right w:val="single" w:sz="4" w:space="0" w:color="auto"/>
            </w:tcBorders>
            <w:noWrap/>
            <w:vAlign w:val="center"/>
            <w:hideMark/>
          </w:tcPr>
          <w:p w:rsidR="00906AFB" w:rsidRPr="00906AFB" w:rsidRDefault="00906AFB" w:rsidP="00906AFB">
            <w:pPr>
              <w:spacing w:after="0" w:line="240" w:lineRule="auto"/>
              <w:jc w:val="center"/>
              <w:rPr>
                <w:rFonts w:ascii="Arial" w:eastAsia="Times New Roman" w:hAnsi="Arial" w:cs="Arial"/>
                <w:b/>
                <w:bCs/>
                <w:sz w:val="18"/>
                <w:szCs w:val="18"/>
                <w:lang w:val="es-ES" w:eastAsia="es-ES"/>
              </w:rPr>
            </w:pPr>
            <w:r w:rsidRPr="00906AFB">
              <w:rPr>
                <w:rFonts w:ascii="Arial" w:eastAsia="Times New Roman" w:hAnsi="Arial" w:cs="Arial"/>
                <w:b/>
                <w:bCs/>
                <w:sz w:val="18"/>
                <w:szCs w:val="18"/>
                <w:lang w:val="es-ES" w:eastAsia="es-ES"/>
              </w:rPr>
              <w:t>Anualidad Total</w:t>
            </w:r>
          </w:p>
        </w:tc>
      </w:tr>
      <w:tr w:rsidR="00A542BF" w:rsidRPr="00906AFB" w:rsidTr="00A542BF">
        <w:trPr>
          <w:trHeight w:val="283"/>
          <w:jc w:val="center"/>
        </w:trPr>
        <w:tc>
          <w:tcPr>
            <w:tcW w:w="3189" w:type="dxa"/>
            <w:tcBorders>
              <w:top w:val="nil"/>
              <w:left w:val="single" w:sz="4" w:space="0" w:color="auto"/>
              <w:bottom w:val="single" w:sz="4" w:space="0" w:color="auto"/>
              <w:right w:val="single" w:sz="4" w:space="0" w:color="auto"/>
            </w:tcBorders>
            <w:noWrap/>
            <w:vAlign w:val="bottom"/>
            <w:hideMark/>
          </w:tcPr>
          <w:p w:rsidR="00A542BF" w:rsidRPr="00906AFB" w:rsidRDefault="00A542BF" w:rsidP="00A542BF">
            <w:pPr>
              <w:spacing w:after="0" w:line="240" w:lineRule="auto"/>
              <w:rPr>
                <w:rFonts w:ascii="Arial" w:eastAsia="Times New Roman" w:hAnsi="Arial" w:cs="Arial"/>
                <w:sz w:val="18"/>
                <w:szCs w:val="18"/>
                <w:lang w:val="es-ES" w:eastAsia="es-ES"/>
              </w:rPr>
            </w:pPr>
            <w:r>
              <w:rPr>
                <w:rFonts w:ascii="Arial" w:eastAsia="Times New Roman" w:hAnsi="Arial" w:cs="Arial"/>
                <w:sz w:val="18"/>
                <w:szCs w:val="18"/>
                <w:lang w:val="es-ES" w:eastAsia="es-ES"/>
              </w:rPr>
              <w:t>C</w:t>
            </w:r>
            <w:r>
              <w:rPr>
                <w:rFonts w:ascii="Arial" w:eastAsia="Times New Roman" w:hAnsi="Arial" w:cs="Arial"/>
                <w:sz w:val="18"/>
                <w:szCs w:val="18"/>
                <w:lang w:eastAsia="es-ES"/>
              </w:rPr>
              <w:t xml:space="preserve">rédito </w:t>
            </w:r>
            <w:r>
              <w:rPr>
                <w:rFonts w:ascii="Arial" w:eastAsia="Times New Roman" w:hAnsi="Arial" w:cs="Arial"/>
                <w:sz w:val="18"/>
                <w:szCs w:val="18"/>
                <w:lang w:val="es-ES" w:eastAsia="es-ES"/>
              </w:rPr>
              <w:t xml:space="preserve">Banobras </w:t>
            </w:r>
            <w:r w:rsidRPr="00906AFB">
              <w:rPr>
                <w:rFonts w:ascii="Arial" w:eastAsia="Times New Roman" w:hAnsi="Arial" w:cs="Arial"/>
                <w:sz w:val="18"/>
                <w:szCs w:val="18"/>
                <w:lang w:val="es-ES" w:eastAsia="es-ES"/>
              </w:rPr>
              <w:t>7225 y 7226</w:t>
            </w:r>
          </w:p>
        </w:tc>
        <w:tc>
          <w:tcPr>
            <w:tcW w:w="1343" w:type="dxa"/>
            <w:tcBorders>
              <w:top w:val="nil"/>
              <w:left w:val="nil"/>
              <w:bottom w:val="single" w:sz="4" w:space="0" w:color="auto"/>
              <w:right w:val="single" w:sz="4" w:space="0" w:color="auto"/>
            </w:tcBorders>
            <w:noWrap/>
            <w:vAlign w:val="bottom"/>
            <w:hideMark/>
          </w:tcPr>
          <w:p w:rsidR="00A542BF" w:rsidRPr="00906AFB" w:rsidRDefault="00A542BF" w:rsidP="00A542BF">
            <w:pPr>
              <w:spacing w:after="0" w:line="240" w:lineRule="auto"/>
              <w:jc w:val="right"/>
              <w:rPr>
                <w:rFonts w:ascii="Arial" w:eastAsia="Times New Roman" w:hAnsi="Arial" w:cs="Arial"/>
                <w:sz w:val="18"/>
                <w:szCs w:val="18"/>
                <w:lang w:val="es-ES" w:eastAsia="es-ES"/>
              </w:rPr>
            </w:pPr>
            <w:r w:rsidRPr="00906AFB">
              <w:rPr>
                <w:rFonts w:ascii="Arial" w:eastAsia="Times New Roman" w:hAnsi="Arial" w:cs="Arial"/>
                <w:sz w:val="18"/>
                <w:szCs w:val="18"/>
                <w:lang w:val="es-ES" w:eastAsia="es-ES"/>
              </w:rPr>
              <w:t xml:space="preserve">13,040,236 </w:t>
            </w:r>
          </w:p>
        </w:tc>
        <w:tc>
          <w:tcPr>
            <w:tcW w:w="1350" w:type="dxa"/>
            <w:tcBorders>
              <w:top w:val="nil"/>
              <w:left w:val="nil"/>
              <w:bottom w:val="single" w:sz="4" w:space="0" w:color="auto"/>
              <w:right w:val="single" w:sz="4" w:space="0" w:color="auto"/>
            </w:tcBorders>
            <w:noWrap/>
            <w:vAlign w:val="center"/>
            <w:hideMark/>
          </w:tcPr>
          <w:p w:rsidR="00A542BF" w:rsidRPr="00BE28D0" w:rsidRDefault="00A542BF" w:rsidP="00A542BF">
            <w:pPr>
              <w:spacing w:after="0" w:line="240" w:lineRule="auto"/>
              <w:jc w:val="right"/>
              <w:rPr>
                <w:rFonts w:ascii="Arial" w:hAnsi="Arial" w:cs="Arial"/>
                <w:sz w:val="18"/>
                <w:szCs w:val="20"/>
              </w:rPr>
            </w:pPr>
            <w:r w:rsidRPr="00BE28D0">
              <w:rPr>
                <w:rFonts w:ascii="Arial" w:hAnsi="Arial" w:cs="Arial"/>
                <w:sz w:val="18"/>
                <w:szCs w:val="20"/>
              </w:rPr>
              <w:t xml:space="preserve"> 25,656,141 </w:t>
            </w:r>
          </w:p>
        </w:tc>
        <w:tc>
          <w:tcPr>
            <w:tcW w:w="1344" w:type="dxa"/>
            <w:tcBorders>
              <w:top w:val="nil"/>
              <w:left w:val="nil"/>
              <w:bottom w:val="single" w:sz="4" w:space="0" w:color="auto"/>
              <w:right w:val="single" w:sz="4" w:space="0" w:color="auto"/>
            </w:tcBorders>
            <w:noWrap/>
            <w:vAlign w:val="bottom"/>
            <w:hideMark/>
          </w:tcPr>
          <w:p w:rsidR="00A542BF" w:rsidRPr="00906AFB" w:rsidRDefault="00A542BF" w:rsidP="00A542BF">
            <w:pPr>
              <w:spacing w:after="0" w:line="240" w:lineRule="auto"/>
              <w:jc w:val="right"/>
              <w:rPr>
                <w:rFonts w:ascii="Arial" w:eastAsia="Times New Roman" w:hAnsi="Arial" w:cs="Arial"/>
                <w:sz w:val="18"/>
                <w:szCs w:val="18"/>
                <w:lang w:val="es-ES" w:eastAsia="es-ES"/>
              </w:rPr>
            </w:pPr>
            <w:r w:rsidRPr="00906AFB">
              <w:rPr>
                <w:rFonts w:ascii="Arial" w:eastAsia="Times New Roman" w:hAnsi="Arial" w:cs="Arial"/>
                <w:sz w:val="18"/>
                <w:szCs w:val="18"/>
                <w:lang w:val="es-ES" w:eastAsia="es-ES"/>
              </w:rPr>
              <w:t xml:space="preserve">37,575,268 </w:t>
            </w:r>
          </w:p>
        </w:tc>
      </w:tr>
      <w:tr w:rsidR="00A542BF" w:rsidRPr="00906AFB" w:rsidTr="00A542BF">
        <w:trPr>
          <w:trHeight w:val="283"/>
          <w:jc w:val="center"/>
        </w:trPr>
        <w:tc>
          <w:tcPr>
            <w:tcW w:w="3189" w:type="dxa"/>
            <w:tcBorders>
              <w:top w:val="nil"/>
              <w:left w:val="single" w:sz="4" w:space="0" w:color="auto"/>
              <w:bottom w:val="single" w:sz="4" w:space="0" w:color="auto"/>
              <w:right w:val="single" w:sz="4" w:space="0" w:color="auto"/>
            </w:tcBorders>
            <w:noWrap/>
            <w:vAlign w:val="bottom"/>
            <w:hideMark/>
          </w:tcPr>
          <w:p w:rsidR="00A542BF" w:rsidRPr="00906AFB" w:rsidRDefault="00A542BF" w:rsidP="00A542BF">
            <w:pPr>
              <w:spacing w:after="0" w:line="240" w:lineRule="auto"/>
              <w:rPr>
                <w:rFonts w:ascii="Arial" w:eastAsia="Times New Roman" w:hAnsi="Arial" w:cs="Arial"/>
                <w:sz w:val="18"/>
                <w:szCs w:val="18"/>
                <w:lang w:val="es-ES" w:eastAsia="es-ES"/>
              </w:rPr>
            </w:pPr>
            <w:r>
              <w:rPr>
                <w:rFonts w:ascii="Arial" w:eastAsia="Times New Roman" w:hAnsi="Arial" w:cs="Arial"/>
                <w:sz w:val="18"/>
                <w:szCs w:val="18"/>
                <w:lang w:val="es-ES" w:eastAsia="es-ES"/>
              </w:rPr>
              <w:t>C</w:t>
            </w:r>
            <w:r>
              <w:rPr>
                <w:rFonts w:ascii="Arial" w:eastAsia="Times New Roman" w:hAnsi="Arial" w:cs="Arial"/>
                <w:sz w:val="18"/>
                <w:szCs w:val="18"/>
                <w:lang w:eastAsia="es-ES"/>
              </w:rPr>
              <w:t xml:space="preserve">rédito </w:t>
            </w:r>
            <w:r>
              <w:rPr>
                <w:rFonts w:ascii="Arial" w:eastAsia="Times New Roman" w:hAnsi="Arial" w:cs="Arial"/>
                <w:sz w:val="18"/>
                <w:szCs w:val="18"/>
                <w:lang w:val="es-ES" w:eastAsia="es-ES"/>
              </w:rPr>
              <w:t>Banobras 7271 y 7272</w:t>
            </w:r>
          </w:p>
        </w:tc>
        <w:tc>
          <w:tcPr>
            <w:tcW w:w="1343" w:type="dxa"/>
            <w:tcBorders>
              <w:top w:val="nil"/>
              <w:left w:val="nil"/>
              <w:bottom w:val="single" w:sz="4" w:space="0" w:color="auto"/>
              <w:right w:val="single" w:sz="4" w:space="0" w:color="auto"/>
            </w:tcBorders>
            <w:noWrap/>
            <w:vAlign w:val="bottom"/>
            <w:hideMark/>
          </w:tcPr>
          <w:p w:rsidR="00A542BF" w:rsidRPr="00906AFB" w:rsidRDefault="00A542BF" w:rsidP="00A542BF">
            <w:pPr>
              <w:spacing w:after="0" w:line="240" w:lineRule="auto"/>
              <w:jc w:val="right"/>
              <w:rPr>
                <w:rFonts w:ascii="Arial" w:eastAsia="Times New Roman" w:hAnsi="Arial" w:cs="Arial"/>
                <w:sz w:val="18"/>
                <w:szCs w:val="18"/>
                <w:lang w:val="es-ES" w:eastAsia="es-ES"/>
              </w:rPr>
            </w:pPr>
            <w:r w:rsidRPr="00906AFB">
              <w:rPr>
                <w:rFonts w:ascii="Arial" w:eastAsia="Times New Roman" w:hAnsi="Arial" w:cs="Arial"/>
                <w:sz w:val="18"/>
                <w:szCs w:val="18"/>
                <w:lang w:val="es-ES" w:eastAsia="es-ES"/>
              </w:rPr>
              <w:t xml:space="preserve">5,294,186 </w:t>
            </w:r>
          </w:p>
        </w:tc>
        <w:tc>
          <w:tcPr>
            <w:tcW w:w="1350" w:type="dxa"/>
            <w:tcBorders>
              <w:top w:val="nil"/>
              <w:left w:val="nil"/>
              <w:bottom w:val="single" w:sz="4" w:space="0" w:color="auto"/>
              <w:right w:val="single" w:sz="4" w:space="0" w:color="auto"/>
            </w:tcBorders>
            <w:noWrap/>
            <w:vAlign w:val="center"/>
            <w:hideMark/>
          </w:tcPr>
          <w:p w:rsidR="00A542BF" w:rsidRPr="00BE28D0" w:rsidRDefault="00A542BF" w:rsidP="00A542BF">
            <w:pPr>
              <w:spacing w:after="0" w:line="240" w:lineRule="auto"/>
              <w:jc w:val="right"/>
              <w:rPr>
                <w:rFonts w:ascii="Arial" w:hAnsi="Arial" w:cs="Arial"/>
                <w:sz w:val="18"/>
                <w:szCs w:val="20"/>
              </w:rPr>
            </w:pPr>
            <w:r w:rsidRPr="00BE28D0">
              <w:rPr>
                <w:rFonts w:ascii="Arial" w:hAnsi="Arial" w:cs="Arial"/>
                <w:sz w:val="18"/>
                <w:szCs w:val="20"/>
              </w:rPr>
              <w:t xml:space="preserve"> 24,466,321 </w:t>
            </w:r>
          </w:p>
        </w:tc>
        <w:tc>
          <w:tcPr>
            <w:tcW w:w="1344" w:type="dxa"/>
            <w:tcBorders>
              <w:top w:val="nil"/>
              <w:left w:val="nil"/>
              <w:bottom w:val="single" w:sz="4" w:space="0" w:color="auto"/>
              <w:right w:val="single" w:sz="4" w:space="0" w:color="auto"/>
            </w:tcBorders>
            <w:noWrap/>
            <w:vAlign w:val="bottom"/>
            <w:hideMark/>
          </w:tcPr>
          <w:p w:rsidR="00A542BF" w:rsidRPr="00906AFB" w:rsidRDefault="00A542BF" w:rsidP="00A542BF">
            <w:pPr>
              <w:spacing w:after="0" w:line="240" w:lineRule="auto"/>
              <w:jc w:val="right"/>
              <w:rPr>
                <w:rFonts w:ascii="Arial" w:eastAsia="Times New Roman" w:hAnsi="Arial" w:cs="Arial"/>
                <w:sz w:val="18"/>
                <w:szCs w:val="18"/>
                <w:lang w:val="es-ES" w:eastAsia="es-ES"/>
              </w:rPr>
            </w:pPr>
            <w:r w:rsidRPr="00906AFB">
              <w:rPr>
                <w:rFonts w:ascii="Arial" w:eastAsia="Times New Roman" w:hAnsi="Arial" w:cs="Arial"/>
                <w:sz w:val="18"/>
                <w:szCs w:val="18"/>
                <w:lang w:val="es-ES" w:eastAsia="es-ES"/>
              </w:rPr>
              <w:t xml:space="preserve">28,691,387 </w:t>
            </w:r>
          </w:p>
        </w:tc>
      </w:tr>
      <w:tr w:rsidR="00A542BF" w:rsidRPr="00906AFB" w:rsidTr="00A542BF">
        <w:trPr>
          <w:trHeight w:val="283"/>
          <w:jc w:val="center"/>
        </w:trPr>
        <w:tc>
          <w:tcPr>
            <w:tcW w:w="3189" w:type="dxa"/>
            <w:tcBorders>
              <w:top w:val="nil"/>
              <w:left w:val="single" w:sz="4" w:space="0" w:color="auto"/>
              <w:bottom w:val="single" w:sz="4" w:space="0" w:color="auto"/>
              <w:right w:val="single" w:sz="4" w:space="0" w:color="auto"/>
            </w:tcBorders>
            <w:noWrap/>
            <w:vAlign w:val="bottom"/>
            <w:hideMark/>
          </w:tcPr>
          <w:p w:rsidR="00A542BF" w:rsidRPr="00906AFB" w:rsidRDefault="00A542BF" w:rsidP="00A542BF">
            <w:pPr>
              <w:spacing w:after="0" w:line="240" w:lineRule="auto"/>
              <w:rPr>
                <w:rFonts w:ascii="Arial" w:eastAsia="Times New Roman" w:hAnsi="Arial" w:cs="Arial"/>
                <w:sz w:val="18"/>
                <w:szCs w:val="18"/>
                <w:lang w:val="es-ES" w:eastAsia="es-ES"/>
              </w:rPr>
            </w:pPr>
            <w:r>
              <w:rPr>
                <w:rFonts w:ascii="Arial" w:eastAsia="Times New Roman" w:hAnsi="Arial" w:cs="Arial"/>
                <w:sz w:val="18"/>
                <w:szCs w:val="18"/>
                <w:lang w:val="es-ES" w:eastAsia="es-ES"/>
              </w:rPr>
              <w:t>Intereses Banobras 10487</w:t>
            </w:r>
          </w:p>
        </w:tc>
        <w:tc>
          <w:tcPr>
            <w:tcW w:w="1343" w:type="dxa"/>
            <w:tcBorders>
              <w:top w:val="nil"/>
              <w:left w:val="nil"/>
              <w:bottom w:val="single" w:sz="4" w:space="0" w:color="auto"/>
              <w:right w:val="single" w:sz="4" w:space="0" w:color="auto"/>
            </w:tcBorders>
            <w:noWrap/>
            <w:vAlign w:val="bottom"/>
            <w:hideMark/>
          </w:tcPr>
          <w:p w:rsidR="00A542BF" w:rsidRPr="00906AFB" w:rsidRDefault="00A542BF" w:rsidP="00A542BF">
            <w:pPr>
              <w:spacing w:after="0" w:line="240" w:lineRule="auto"/>
              <w:jc w:val="right"/>
              <w:rPr>
                <w:rFonts w:ascii="Arial" w:eastAsia="Times New Roman" w:hAnsi="Arial" w:cs="Arial"/>
                <w:sz w:val="18"/>
                <w:szCs w:val="18"/>
                <w:lang w:val="es-ES" w:eastAsia="es-ES"/>
              </w:rPr>
            </w:pPr>
            <w:r w:rsidRPr="00906AFB">
              <w:rPr>
                <w:rFonts w:ascii="Arial" w:eastAsia="Times New Roman" w:hAnsi="Arial" w:cs="Arial"/>
                <w:sz w:val="18"/>
                <w:szCs w:val="18"/>
                <w:lang w:val="es-ES" w:eastAsia="es-ES"/>
              </w:rPr>
              <w:t xml:space="preserve">0 </w:t>
            </w:r>
          </w:p>
        </w:tc>
        <w:tc>
          <w:tcPr>
            <w:tcW w:w="1350" w:type="dxa"/>
            <w:tcBorders>
              <w:top w:val="nil"/>
              <w:left w:val="nil"/>
              <w:bottom w:val="single" w:sz="4" w:space="0" w:color="auto"/>
              <w:right w:val="single" w:sz="4" w:space="0" w:color="auto"/>
            </w:tcBorders>
            <w:noWrap/>
            <w:vAlign w:val="center"/>
            <w:hideMark/>
          </w:tcPr>
          <w:p w:rsidR="00A542BF" w:rsidRPr="00BE28D0" w:rsidRDefault="00A542BF" w:rsidP="00A542BF">
            <w:pPr>
              <w:spacing w:after="0" w:line="240" w:lineRule="auto"/>
              <w:jc w:val="right"/>
              <w:rPr>
                <w:rFonts w:ascii="Arial" w:hAnsi="Arial" w:cs="Arial"/>
                <w:sz w:val="18"/>
                <w:szCs w:val="20"/>
              </w:rPr>
            </w:pPr>
            <w:r w:rsidRPr="00BE28D0">
              <w:rPr>
                <w:rFonts w:ascii="Arial" w:hAnsi="Arial" w:cs="Arial"/>
                <w:sz w:val="18"/>
                <w:szCs w:val="20"/>
              </w:rPr>
              <w:t xml:space="preserve"> 30,266,491 </w:t>
            </w:r>
          </w:p>
        </w:tc>
        <w:tc>
          <w:tcPr>
            <w:tcW w:w="1344" w:type="dxa"/>
            <w:tcBorders>
              <w:top w:val="nil"/>
              <w:left w:val="nil"/>
              <w:bottom w:val="single" w:sz="4" w:space="0" w:color="auto"/>
              <w:right w:val="single" w:sz="4" w:space="0" w:color="auto"/>
            </w:tcBorders>
            <w:noWrap/>
            <w:vAlign w:val="bottom"/>
            <w:hideMark/>
          </w:tcPr>
          <w:p w:rsidR="00A542BF" w:rsidRPr="00906AFB" w:rsidRDefault="00A542BF" w:rsidP="00A542BF">
            <w:pPr>
              <w:spacing w:after="0" w:line="240" w:lineRule="auto"/>
              <w:jc w:val="right"/>
              <w:rPr>
                <w:rFonts w:ascii="Arial" w:eastAsia="Times New Roman" w:hAnsi="Arial" w:cs="Arial"/>
                <w:sz w:val="18"/>
                <w:szCs w:val="18"/>
                <w:lang w:val="es-ES" w:eastAsia="es-ES"/>
              </w:rPr>
            </w:pPr>
            <w:r w:rsidRPr="00906AFB">
              <w:rPr>
                <w:rFonts w:ascii="Arial" w:eastAsia="Times New Roman" w:hAnsi="Arial" w:cs="Arial"/>
                <w:sz w:val="18"/>
                <w:szCs w:val="18"/>
                <w:lang w:val="es-ES" w:eastAsia="es-ES"/>
              </w:rPr>
              <w:t xml:space="preserve">28,943,937 </w:t>
            </w:r>
          </w:p>
        </w:tc>
      </w:tr>
      <w:tr w:rsidR="00A542BF" w:rsidRPr="00906AFB" w:rsidTr="00A542BF">
        <w:trPr>
          <w:trHeight w:val="283"/>
          <w:jc w:val="center"/>
        </w:trPr>
        <w:tc>
          <w:tcPr>
            <w:tcW w:w="3189" w:type="dxa"/>
            <w:tcBorders>
              <w:top w:val="nil"/>
              <w:left w:val="single" w:sz="4" w:space="0" w:color="auto"/>
              <w:bottom w:val="single" w:sz="4" w:space="0" w:color="auto"/>
              <w:right w:val="single" w:sz="4" w:space="0" w:color="auto"/>
            </w:tcBorders>
            <w:noWrap/>
            <w:vAlign w:val="bottom"/>
            <w:hideMark/>
          </w:tcPr>
          <w:p w:rsidR="00A542BF" w:rsidRPr="00906AFB" w:rsidRDefault="00A542BF" w:rsidP="00A542BF">
            <w:pPr>
              <w:spacing w:after="0" w:line="240" w:lineRule="auto"/>
              <w:rPr>
                <w:rFonts w:ascii="Arial" w:eastAsia="Times New Roman" w:hAnsi="Arial" w:cs="Arial"/>
                <w:sz w:val="18"/>
                <w:szCs w:val="18"/>
                <w:lang w:val="es-ES" w:eastAsia="es-ES"/>
              </w:rPr>
            </w:pPr>
            <w:r>
              <w:rPr>
                <w:rFonts w:ascii="Arial" w:eastAsia="Times New Roman" w:hAnsi="Arial" w:cs="Arial"/>
                <w:sz w:val="18"/>
                <w:szCs w:val="18"/>
                <w:lang w:val="es-ES" w:eastAsia="es-ES"/>
              </w:rPr>
              <w:t xml:space="preserve">Intereses </w:t>
            </w:r>
            <w:r w:rsidRPr="00906AFB">
              <w:rPr>
                <w:rFonts w:ascii="Arial" w:eastAsia="Times New Roman" w:hAnsi="Arial" w:cs="Arial"/>
                <w:sz w:val="18"/>
                <w:szCs w:val="18"/>
                <w:lang w:val="es-ES" w:eastAsia="es-ES"/>
              </w:rPr>
              <w:t xml:space="preserve">Banobras </w:t>
            </w:r>
            <w:r>
              <w:rPr>
                <w:rFonts w:ascii="Arial" w:eastAsia="Times New Roman" w:hAnsi="Arial" w:cs="Arial"/>
                <w:sz w:val="18"/>
                <w:szCs w:val="18"/>
                <w:lang w:val="es-ES" w:eastAsia="es-ES"/>
              </w:rPr>
              <w:t>11126 y 111282</w:t>
            </w:r>
          </w:p>
        </w:tc>
        <w:tc>
          <w:tcPr>
            <w:tcW w:w="1343" w:type="dxa"/>
            <w:tcBorders>
              <w:top w:val="nil"/>
              <w:left w:val="nil"/>
              <w:bottom w:val="single" w:sz="4" w:space="0" w:color="auto"/>
              <w:right w:val="single" w:sz="4" w:space="0" w:color="auto"/>
            </w:tcBorders>
            <w:noWrap/>
            <w:vAlign w:val="bottom"/>
            <w:hideMark/>
          </w:tcPr>
          <w:p w:rsidR="00A542BF" w:rsidRPr="00906AFB" w:rsidRDefault="00A542BF" w:rsidP="00A542BF">
            <w:pPr>
              <w:spacing w:after="0" w:line="240" w:lineRule="auto"/>
              <w:jc w:val="right"/>
              <w:rPr>
                <w:rFonts w:ascii="Arial" w:eastAsia="Times New Roman" w:hAnsi="Arial" w:cs="Arial"/>
                <w:sz w:val="18"/>
                <w:szCs w:val="18"/>
                <w:lang w:val="es-ES" w:eastAsia="es-ES"/>
              </w:rPr>
            </w:pPr>
            <w:r w:rsidRPr="00906AFB">
              <w:rPr>
                <w:rFonts w:ascii="Arial" w:eastAsia="Times New Roman" w:hAnsi="Arial" w:cs="Arial"/>
                <w:sz w:val="18"/>
                <w:szCs w:val="18"/>
                <w:lang w:val="es-ES" w:eastAsia="es-ES"/>
              </w:rPr>
              <w:t xml:space="preserve">0 </w:t>
            </w:r>
          </w:p>
        </w:tc>
        <w:tc>
          <w:tcPr>
            <w:tcW w:w="1350" w:type="dxa"/>
            <w:tcBorders>
              <w:top w:val="nil"/>
              <w:left w:val="nil"/>
              <w:bottom w:val="single" w:sz="4" w:space="0" w:color="auto"/>
              <w:right w:val="single" w:sz="4" w:space="0" w:color="auto"/>
            </w:tcBorders>
            <w:noWrap/>
            <w:vAlign w:val="center"/>
            <w:hideMark/>
          </w:tcPr>
          <w:p w:rsidR="00A542BF" w:rsidRPr="00BE28D0" w:rsidRDefault="00A542BF" w:rsidP="00A542BF">
            <w:pPr>
              <w:spacing w:after="0" w:line="240" w:lineRule="auto"/>
              <w:jc w:val="right"/>
              <w:rPr>
                <w:rFonts w:ascii="Arial" w:hAnsi="Arial" w:cs="Arial"/>
                <w:sz w:val="18"/>
                <w:szCs w:val="20"/>
              </w:rPr>
            </w:pPr>
            <w:r w:rsidRPr="00BE28D0">
              <w:rPr>
                <w:rFonts w:ascii="Arial" w:hAnsi="Arial" w:cs="Arial"/>
                <w:sz w:val="18"/>
                <w:szCs w:val="20"/>
              </w:rPr>
              <w:t xml:space="preserve"> 18,192,763 </w:t>
            </w:r>
          </w:p>
        </w:tc>
        <w:tc>
          <w:tcPr>
            <w:tcW w:w="1344" w:type="dxa"/>
            <w:tcBorders>
              <w:top w:val="nil"/>
              <w:left w:val="nil"/>
              <w:bottom w:val="single" w:sz="4" w:space="0" w:color="auto"/>
              <w:right w:val="single" w:sz="4" w:space="0" w:color="auto"/>
            </w:tcBorders>
            <w:noWrap/>
            <w:vAlign w:val="bottom"/>
            <w:hideMark/>
          </w:tcPr>
          <w:p w:rsidR="00A542BF" w:rsidRPr="00906AFB" w:rsidRDefault="00A542BF" w:rsidP="00A542BF">
            <w:pPr>
              <w:spacing w:after="0" w:line="240" w:lineRule="auto"/>
              <w:jc w:val="right"/>
              <w:rPr>
                <w:rFonts w:ascii="Arial" w:eastAsia="Times New Roman" w:hAnsi="Arial" w:cs="Arial"/>
                <w:sz w:val="18"/>
                <w:szCs w:val="18"/>
                <w:lang w:val="es-ES" w:eastAsia="es-ES"/>
              </w:rPr>
            </w:pPr>
            <w:r w:rsidRPr="00906AFB">
              <w:rPr>
                <w:rFonts w:ascii="Arial" w:eastAsia="Times New Roman" w:hAnsi="Arial" w:cs="Arial"/>
                <w:sz w:val="18"/>
                <w:szCs w:val="18"/>
                <w:lang w:val="es-ES" w:eastAsia="es-ES"/>
              </w:rPr>
              <w:t xml:space="preserve">17,397,766 </w:t>
            </w:r>
          </w:p>
        </w:tc>
      </w:tr>
      <w:tr w:rsidR="00A542BF" w:rsidRPr="00906AFB" w:rsidTr="00A542BF">
        <w:trPr>
          <w:trHeight w:val="283"/>
          <w:jc w:val="center"/>
        </w:trPr>
        <w:tc>
          <w:tcPr>
            <w:tcW w:w="3189" w:type="dxa"/>
            <w:tcBorders>
              <w:top w:val="nil"/>
              <w:left w:val="single" w:sz="4" w:space="0" w:color="auto"/>
              <w:bottom w:val="single" w:sz="4" w:space="0" w:color="auto"/>
              <w:right w:val="single" w:sz="4" w:space="0" w:color="auto"/>
            </w:tcBorders>
            <w:noWrap/>
            <w:vAlign w:val="bottom"/>
            <w:hideMark/>
          </w:tcPr>
          <w:p w:rsidR="00A542BF" w:rsidRPr="00906AFB" w:rsidRDefault="00A542BF" w:rsidP="00A542BF">
            <w:pPr>
              <w:spacing w:after="0" w:line="240" w:lineRule="auto"/>
              <w:rPr>
                <w:rFonts w:ascii="Arial" w:eastAsia="Times New Roman" w:hAnsi="Arial" w:cs="Arial"/>
                <w:sz w:val="18"/>
                <w:szCs w:val="18"/>
                <w:lang w:val="es-ES" w:eastAsia="es-ES"/>
              </w:rPr>
            </w:pPr>
            <w:r>
              <w:rPr>
                <w:rFonts w:ascii="Arial" w:eastAsia="Times New Roman" w:hAnsi="Arial" w:cs="Arial"/>
                <w:sz w:val="18"/>
                <w:szCs w:val="18"/>
                <w:lang w:val="es-ES" w:eastAsia="es-ES"/>
              </w:rPr>
              <w:t>Crédito Banobras 11149</w:t>
            </w:r>
          </w:p>
        </w:tc>
        <w:tc>
          <w:tcPr>
            <w:tcW w:w="1343" w:type="dxa"/>
            <w:tcBorders>
              <w:top w:val="nil"/>
              <w:left w:val="nil"/>
              <w:bottom w:val="single" w:sz="4" w:space="0" w:color="auto"/>
              <w:right w:val="single" w:sz="4" w:space="0" w:color="auto"/>
            </w:tcBorders>
            <w:noWrap/>
            <w:vAlign w:val="bottom"/>
            <w:hideMark/>
          </w:tcPr>
          <w:p w:rsidR="00A542BF" w:rsidRPr="00906AFB" w:rsidRDefault="00A542BF" w:rsidP="00A542BF">
            <w:pPr>
              <w:spacing w:after="0" w:line="240" w:lineRule="auto"/>
              <w:jc w:val="right"/>
              <w:rPr>
                <w:rFonts w:ascii="Arial" w:eastAsia="Times New Roman" w:hAnsi="Arial" w:cs="Arial"/>
                <w:sz w:val="18"/>
                <w:szCs w:val="18"/>
                <w:lang w:val="es-ES" w:eastAsia="es-ES"/>
              </w:rPr>
            </w:pPr>
            <w:r w:rsidRPr="00906AFB">
              <w:rPr>
                <w:rFonts w:ascii="Arial" w:eastAsia="Times New Roman" w:hAnsi="Arial" w:cs="Arial"/>
                <w:sz w:val="18"/>
                <w:szCs w:val="18"/>
                <w:lang w:val="es-ES" w:eastAsia="es-ES"/>
              </w:rPr>
              <w:t xml:space="preserve">27,529,167 </w:t>
            </w:r>
          </w:p>
        </w:tc>
        <w:tc>
          <w:tcPr>
            <w:tcW w:w="1350" w:type="dxa"/>
            <w:tcBorders>
              <w:top w:val="nil"/>
              <w:left w:val="nil"/>
              <w:bottom w:val="single" w:sz="4" w:space="0" w:color="auto"/>
              <w:right w:val="single" w:sz="4" w:space="0" w:color="auto"/>
            </w:tcBorders>
            <w:noWrap/>
            <w:vAlign w:val="center"/>
            <w:hideMark/>
          </w:tcPr>
          <w:p w:rsidR="00A542BF" w:rsidRPr="00BE28D0" w:rsidRDefault="00A542BF" w:rsidP="00A542BF">
            <w:pPr>
              <w:spacing w:after="0" w:line="240" w:lineRule="auto"/>
              <w:jc w:val="right"/>
              <w:rPr>
                <w:rFonts w:ascii="Arial" w:hAnsi="Arial" w:cs="Arial"/>
                <w:sz w:val="18"/>
                <w:szCs w:val="20"/>
              </w:rPr>
            </w:pPr>
            <w:r w:rsidRPr="00BE28D0">
              <w:rPr>
                <w:rFonts w:ascii="Arial" w:hAnsi="Arial" w:cs="Arial"/>
                <w:sz w:val="18"/>
                <w:szCs w:val="20"/>
              </w:rPr>
              <w:t xml:space="preserve"> 41,098,720 </w:t>
            </w:r>
          </w:p>
        </w:tc>
        <w:tc>
          <w:tcPr>
            <w:tcW w:w="1344" w:type="dxa"/>
            <w:tcBorders>
              <w:top w:val="nil"/>
              <w:left w:val="nil"/>
              <w:bottom w:val="single" w:sz="4" w:space="0" w:color="auto"/>
              <w:right w:val="single" w:sz="4" w:space="0" w:color="auto"/>
            </w:tcBorders>
            <w:noWrap/>
            <w:vAlign w:val="bottom"/>
            <w:hideMark/>
          </w:tcPr>
          <w:p w:rsidR="00A542BF" w:rsidRPr="00906AFB" w:rsidRDefault="00A542BF" w:rsidP="00A542BF">
            <w:pPr>
              <w:spacing w:after="0" w:line="240" w:lineRule="auto"/>
              <w:jc w:val="right"/>
              <w:rPr>
                <w:rFonts w:ascii="Arial" w:eastAsia="Times New Roman" w:hAnsi="Arial" w:cs="Arial"/>
                <w:sz w:val="18"/>
                <w:szCs w:val="18"/>
                <w:lang w:val="es-ES" w:eastAsia="es-ES"/>
              </w:rPr>
            </w:pPr>
            <w:r w:rsidRPr="00906AFB">
              <w:rPr>
                <w:rFonts w:ascii="Arial" w:eastAsia="Times New Roman" w:hAnsi="Arial" w:cs="Arial"/>
                <w:sz w:val="18"/>
                <w:szCs w:val="18"/>
                <w:lang w:val="es-ES" w:eastAsia="es-ES"/>
              </w:rPr>
              <w:t xml:space="preserve">66,831,995 </w:t>
            </w:r>
          </w:p>
        </w:tc>
      </w:tr>
      <w:tr w:rsidR="00A542BF" w:rsidRPr="00906AFB" w:rsidTr="00A542BF">
        <w:trPr>
          <w:trHeight w:val="283"/>
          <w:jc w:val="center"/>
        </w:trPr>
        <w:tc>
          <w:tcPr>
            <w:tcW w:w="3189" w:type="dxa"/>
            <w:tcBorders>
              <w:top w:val="nil"/>
              <w:left w:val="single" w:sz="4" w:space="0" w:color="auto"/>
              <w:bottom w:val="single" w:sz="4" w:space="0" w:color="auto"/>
              <w:right w:val="single" w:sz="4" w:space="0" w:color="auto"/>
            </w:tcBorders>
            <w:noWrap/>
            <w:vAlign w:val="bottom"/>
            <w:hideMark/>
          </w:tcPr>
          <w:p w:rsidR="00A542BF" w:rsidRPr="00906AFB" w:rsidRDefault="00A542BF" w:rsidP="00A542BF">
            <w:pPr>
              <w:spacing w:after="0" w:line="240" w:lineRule="auto"/>
              <w:rPr>
                <w:rFonts w:ascii="Arial" w:eastAsia="Times New Roman" w:hAnsi="Arial" w:cs="Arial"/>
                <w:b/>
                <w:bCs/>
                <w:sz w:val="18"/>
                <w:szCs w:val="18"/>
                <w:lang w:val="es-ES" w:eastAsia="es-ES"/>
              </w:rPr>
            </w:pPr>
            <w:r w:rsidRPr="00906AFB">
              <w:rPr>
                <w:rFonts w:ascii="Arial" w:eastAsia="Times New Roman" w:hAnsi="Arial" w:cs="Arial"/>
                <w:b/>
                <w:bCs/>
                <w:sz w:val="18"/>
                <w:szCs w:val="18"/>
                <w:lang w:val="es-ES" w:eastAsia="es-ES"/>
              </w:rPr>
              <w:t>Subtotal Banca de Desarrollo</w:t>
            </w:r>
          </w:p>
        </w:tc>
        <w:tc>
          <w:tcPr>
            <w:tcW w:w="1343" w:type="dxa"/>
            <w:tcBorders>
              <w:top w:val="nil"/>
              <w:left w:val="nil"/>
              <w:bottom w:val="single" w:sz="4" w:space="0" w:color="auto"/>
              <w:right w:val="single" w:sz="4" w:space="0" w:color="auto"/>
            </w:tcBorders>
            <w:noWrap/>
            <w:vAlign w:val="bottom"/>
            <w:hideMark/>
          </w:tcPr>
          <w:p w:rsidR="00A542BF" w:rsidRPr="00906AFB" w:rsidRDefault="00A542BF" w:rsidP="00A542BF">
            <w:pPr>
              <w:spacing w:after="0" w:line="240" w:lineRule="auto"/>
              <w:jc w:val="right"/>
              <w:rPr>
                <w:rFonts w:ascii="Arial" w:eastAsia="Times New Roman" w:hAnsi="Arial" w:cs="Arial"/>
                <w:b/>
                <w:bCs/>
                <w:sz w:val="18"/>
                <w:szCs w:val="18"/>
                <w:lang w:val="es-ES" w:eastAsia="es-ES"/>
              </w:rPr>
            </w:pPr>
            <w:r w:rsidRPr="00906AFB">
              <w:rPr>
                <w:rFonts w:ascii="Arial" w:eastAsia="Times New Roman" w:hAnsi="Arial" w:cs="Arial"/>
                <w:b/>
                <w:bCs/>
                <w:sz w:val="18"/>
                <w:szCs w:val="18"/>
                <w:lang w:val="es-ES" w:eastAsia="es-ES"/>
              </w:rPr>
              <w:t xml:space="preserve">45,863,589 </w:t>
            </w:r>
          </w:p>
        </w:tc>
        <w:tc>
          <w:tcPr>
            <w:tcW w:w="1350" w:type="dxa"/>
            <w:tcBorders>
              <w:top w:val="nil"/>
              <w:left w:val="nil"/>
              <w:bottom w:val="single" w:sz="4" w:space="0" w:color="auto"/>
              <w:right w:val="single" w:sz="4" w:space="0" w:color="auto"/>
            </w:tcBorders>
            <w:noWrap/>
            <w:vAlign w:val="center"/>
            <w:hideMark/>
          </w:tcPr>
          <w:p w:rsidR="00A542BF" w:rsidRPr="00BE28D0" w:rsidRDefault="00A542BF" w:rsidP="00A542BF">
            <w:pPr>
              <w:spacing w:after="0" w:line="240" w:lineRule="auto"/>
              <w:jc w:val="right"/>
              <w:rPr>
                <w:rFonts w:ascii="Arial" w:hAnsi="Arial" w:cs="Arial"/>
                <w:b/>
                <w:sz w:val="18"/>
                <w:szCs w:val="20"/>
              </w:rPr>
            </w:pPr>
            <w:r w:rsidRPr="00BE28D0">
              <w:rPr>
                <w:rFonts w:ascii="Arial" w:hAnsi="Arial" w:cs="Arial"/>
                <w:b/>
                <w:sz w:val="18"/>
                <w:szCs w:val="20"/>
              </w:rPr>
              <w:t xml:space="preserve"> 139,680,436 </w:t>
            </w:r>
          </w:p>
        </w:tc>
        <w:tc>
          <w:tcPr>
            <w:tcW w:w="1344" w:type="dxa"/>
            <w:tcBorders>
              <w:top w:val="nil"/>
              <w:left w:val="nil"/>
              <w:bottom w:val="single" w:sz="4" w:space="0" w:color="auto"/>
              <w:right w:val="single" w:sz="4" w:space="0" w:color="auto"/>
            </w:tcBorders>
            <w:noWrap/>
            <w:vAlign w:val="bottom"/>
            <w:hideMark/>
          </w:tcPr>
          <w:p w:rsidR="00A542BF" w:rsidRPr="00906AFB" w:rsidRDefault="00A542BF" w:rsidP="00A542BF">
            <w:pPr>
              <w:spacing w:after="0" w:line="240" w:lineRule="auto"/>
              <w:jc w:val="right"/>
              <w:rPr>
                <w:rFonts w:ascii="Arial" w:eastAsia="Times New Roman" w:hAnsi="Arial" w:cs="Arial"/>
                <w:b/>
                <w:bCs/>
                <w:sz w:val="18"/>
                <w:szCs w:val="18"/>
                <w:lang w:val="es-ES" w:eastAsia="es-ES"/>
              </w:rPr>
            </w:pPr>
            <w:r w:rsidRPr="00906AFB">
              <w:rPr>
                <w:rFonts w:ascii="Arial" w:eastAsia="Times New Roman" w:hAnsi="Arial" w:cs="Arial"/>
                <w:b/>
                <w:bCs/>
                <w:sz w:val="18"/>
                <w:szCs w:val="18"/>
                <w:lang w:val="es-ES" w:eastAsia="es-ES"/>
              </w:rPr>
              <w:t xml:space="preserve">179,440,353 </w:t>
            </w:r>
          </w:p>
        </w:tc>
      </w:tr>
      <w:tr w:rsidR="00A542BF" w:rsidRPr="00906AFB" w:rsidTr="00A542BF">
        <w:trPr>
          <w:trHeight w:val="283"/>
          <w:jc w:val="center"/>
        </w:trPr>
        <w:tc>
          <w:tcPr>
            <w:tcW w:w="3189" w:type="dxa"/>
            <w:tcBorders>
              <w:top w:val="nil"/>
              <w:left w:val="single" w:sz="4" w:space="0" w:color="auto"/>
              <w:bottom w:val="single" w:sz="4" w:space="0" w:color="auto"/>
              <w:right w:val="single" w:sz="4" w:space="0" w:color="auto"/>
            </w:tcBorders>
            <w:noWrap/>
            <w:vAlign w:val="bottom"/>
            <w:hideMark/>
          </w:tcPr>
          <w:p w:rsidR="00A542BF" w:rsidRPr="00906AFB" w:rsidRDefault="00A542BF" w:rsidP="00A542BF">
            <w:pPr>
              <w:spacing w:after="0" w:line="240" w:lineRule="auto"/>
              <w:rPr>
                <w:rFonts w:ascii="Arial" w:eastAsia="Times New Roman" w:hAnsi="Arial" w:cs="Arial"/>
                <w:sz w:val="18"/>
                <w:szCs w:val="18"/>
                <w:lang w:val="es-ES" w:eastAsia="es-ES"/>
              </w:rPr>
            </w:pPr>
            <w:r>
              <w:rPr>
                <w:rFonts w:ascii="Arial" w:eastAsia="Times New Roman" w:hAnsi="Arial" w:cs="Arial"/>
                <w:sz w:val="18"/>
                <w:szCs w:val="18"/>
                <w:lang w:val="es-ES" w:eastAsia="es-ES"/>
              </w:rPr>
              <w:t>Crédito Banorte 34228560</w:t>
            </w:r>
          </w:p>
        </w:tc>
        <w:tc>
          <w:tcPr>
            <w:tcW w:w="1343" w:type="dxa"/>
            <w:tcBorders>
              <w:top w:val="nil"/>
              <w:left w:val="nil"/>
              <w:bottom w:val="single" w:sz="4" w:space="0" w:color="auto"/>
              <w:right w:val="single" w:sz="4" w:space="0" w:color="auto"/>
            </w:tcBorders>
            <w:noWrap/>
            <w:vAlign w:val="bottom"/>
            <w:hideMark/>
          </w:tcPr>
          <w:p w:rsidR="00A542BF" w:rsidRPr="00906AFB" w:rsidRDefault="00A542BF" w:rsidP="00A542BF">
            <w:pPr>
              <w:spacing w:after="0" w:line="240" w:lineRule="auto"/>
              <w:jc w:val="right"/>
              <w:rPr>
                <w:rFonts w:ascii="Arial" w:eastAsia="Times New Roman" w:hAnsi="Arial" w:cs="Arial"/>
                <w:sz w:val="18"/>
                <w:szCs w:val="18"/>
                <w:lang w:val="es-ES" w:eastAsia="es-ES"/>
              </w:rPr>
            </w:pPr>
            <w:r w:rsidRPr="00906AFB">
              <w:rPr>
                <w:rFonts w:ascii="Arial" w:eastAsia="Times New Roman" w:hAnsi="Arial" w:cs="Arial"/>
                <w:sz w:val="18"/>
                <w:szCs w:val="18"/>
                <w:lang w:val="es-ES" w:eastAsia="es-ES"/>
              </w:rPr>
              <w:t xml:space="preserve">10,620,000 </w:t>
            </w:r>
          </w:p>
        </w:tc>
        <w:tc>
          <w:tcPr>
            <w:tcW w:w="1350" w:type="dxa"/>
            <w:tcBorders>
              <w:top w:val="nil"/>
              <w:left w:val="nil"/>
              <w:bottom w:val="single" w:sz="4" w:space="0" w:color="auto"/>
              <w:right w:val="single" w:sz="4" w:space="0" w:color="auto"/>
            </w:tcBorders>
            <w:noWrap/>
            <w:vAlign w:val="center"/>
            <w:hideMark/>
          </w:tcPr>
          <w:p w:rsidR="00A542BF" w:rsidRPr="00BE28D0" w:rsidRDefault="00A542BF" w:rsidP="00A542BF">
            <w:pPr>
              <w:spacing w:after="0" w:line="240" w:lineRule="auto"/>
              <w:jc w:val="right"/>
              <w:rPr>
                <w:rFonts w:ascii="Arial" w:hAnsi="Arial" w:cs="Arial"/>
                <w:sz w:val="18"/>
                <w:szCs w:val="20"/>
              </w:rPr>
            </w:pPr>
            <w:r w:rsidRPr="00BE28D0">
              <w:rPr>
                <w:rFonts w:ascii="Arial" w:hAnsi="Arial" w:cs="Arial"/>
                <w:sz w:val="18"/>
                <w:szCs w:val="20"/>
              </w:rPr>
              <w:t xml:space="preserve"> 2,194,231 </w:t>
            </w:r>
          </w:p>
        </w:tc>
        <w:tc>
          <w:tcPr>
            <w:tcW w:w="1344" w:type="dxa"/>
            <w:tcBorders>
              <w:top w:val="nil"/>
              <w:left w:val="nil"/>
              <w:bottom w:val="single" w:sz="4" w:space="0" w:color="auto"/>
              <w:right w:val="single" w:sz="4" w:space="0" w:color="auto"/>
            </w:tcBorders>
            <w:noWrap/>
            <w:vAlign w:val="bottom"/>
            <w:hideMark/>
          </w:tcPr>
          <w:p w:rsidR="00A542BF" w:rsidRPr="00906AFB" w:rsidRDefault="00A542BF" w:rsidP="00A542BF">
            <w:pPr>
              <w:spacing w:after="0" w:line="240" w:lineRule="auto"/>
              <w:jc w:val="right"/>
              <w:rPr>
                <w:rFonts w:ascii="Arial" w:eastAsia="Times New Roman" w:hAnsi="Arial" w:cs="Arial"/>
                <w:sz w:val="18"/>
                <w:szCs w:val="18"/>
                <w:lang w:val="es-ES" w:eastAsia="es-ES"/>
              </w:rPr>
            </w:pPr>
            <w:r w:rsidRPr="00906AFB">
              <w:rPr>
                <w:rFonts w:ascii="Arial" w:eastAsia="Times New Roman" w:hAnsi="Arial" w:cs="Arial"/>
                <w:sz w:val="18"/>
                <w:szCs w:val="18"/>
                <w:lang w:val="es-ES" w:eastAsia="es-ES"/>
              </w:rPr>
              <w:t xml:space="preserve">12,718,375 </w:t>
            </w:r>
          </w:p>
        </w:tc>
      </w:tr>
      <w:tr w:rsidR="00A542BF" w:rsidRPr="00906AFB" w:rsidTr="00A542BF">
        <w:trPr>
          <w:trHeight w:val="283"/>
          <w:jc w:val="center"/>
        </w:trPr>
        <w:tc>
          <w:tcPr>
            <w:tcW w:w="3189" w:type="dxa"/>
            <w:tcBorders>
              <w:top w:val="nil"/>
              <w:left w:val="single" w:sz="4" w:space="0" w:color="auto"/>
              <w:bottom w:val="single" w:sz="4" w:space="0" w:color="auto"/>
              <w:right w:val="single" w:sz="4" w:space="0" w:color="auto"/>
            </w:tcBorders>
            <w:noWrap/>
            <w:vAlign w:val="bottom"/>
            <w:hideMark/>
          </w:tcPr>
          <w:p w:rsidR="00A542BF" w:rsidRPr="00906AFB" w:rsidRDefault="00A542BF" w:rsidP="00A542BF">
            <w:pPr>
              <w:spacing w:after="0" w:line="240" w:lineRule="auto"/>
              <w:rPr>
                <w:rFonts w:ascii="Arial" w:eastAsia="Times New Roman" w:hAnsi="Arial" w:cs="Arial"/>
                <w:sz w:val="18"/>
                <w:szCs w:val="18"/>
                <w:lang w:val="es-ES" w:eastAsia="es-ES"/>
              </w:rPr>
            </w:pPr>
            <w:r>
              <w:rPr>
                <w:rFonts w:ascii="Arial" w:eastAsia="Times New Roman" w:hAnsi="Arial" w:cs="Arial"/>
                <w:sz w:val="18"/>
                <w:szCs w:val="18"/>
                <w:lang w:val="es-ES" w:eastAsia="es-ES"/>
              </w:rPr>
              <w:t>Crédito Banorte 45523370</w:t>
            </w:r>
          </w:p>
        </w:tc>
        <w:tc>
          <w:tcPr>
            <w:tcW w:w="1343" w:type="dxa"/>
            <w:tcBorders>
              <w:top w:val="nil"/>
              <w:left w:val="nil"/>
              <w:bottom w:val="single" w:sz="4" w:space="0" w:color="auto"/>
              <w:right w:val="single" w:sz="4" w:space="0" w:color="auto"/>
            </w:tcBorders>
            <w:noWrap/>
            <w:vAlign w:val="bottom"/>
            <w:hideMark/>
          </w:tcPr>
          <w:p w:rsidR="00A542BF" w:rsidRPr="00906AFB" w:rsidRDefault="00A542BF" w:rsidP="00A542BF">
            <w:pPr>
              <w:spacing w:after="0" w:line="240" w:lineRule="auto"/>
              <w:jc w:val="right"/>
              <w:rPr>
                <w:rFonts w:ascii="Arial" w:eastAsia="Times New Roman" w:hAnsi="Arial" w:cs="Arial"/>
                <w:sz w:val="18"/>
                <w:szCs w:val="18"/>
                <w:lang w:val="es-ES" w:eastAsia="es-ES"/>
              </w:rPr>
            </w:pPr>
            <w:r w:rsidRPr="00906AFB">
              <w:rPr>
                <w:rFonts w:ascii="Arial" w:eastAsia="Times New Roman" w:hAnsi="Arial" w:cs="Arial"/>
                <w:sz w:val="18"/>
                <w:szCs w:val="18"/>
                <w:lang w:val="es-ES" w:eastAsia="es-ES"/>
              </w:rPr>
              <w:t xml:space="preserve">25,614,935 </w:t>
            </w:r>
          </w:p>
        </w:tc>
        <w:tc>
          <w:tcPr>
            <w:tcW w:w="1350" w:type="dxa"/>
            <w:tcBorders>
              <w:top w:val="nil"/>
              <w:left w:val="nil"/>
              <w:bottom w:val="single" w:sz="4" w:space="0" w:color="auto"/>
              <w:right w:val="single" w:sz="4" w:space="0" w:color="auto"/>
            </w:tcBorders>
            <w:noWrap/>
            <w:vAlign w:val="center"/>
            <w:hideMark/>
          </w:tcPr>
          <w:p w:rsidR="00A542BF" w:rsidRPr="00BE28D0" w:rsidRDefault="00A542BF" w:rsidP="00A542BF">
            <w:pPr>
              <w:spacing w:after="0" w:line="240" w:lineRule="auto"/>
              <w:jc w:val="right"/>
              <w:rPr>
                <w:rFonts w:ascii="Arial" w:hAnsi="Arial" w:cs="Arial"/>
                <w:sz w:val="18"/>
                <w:szCs w:val="20"/>
              </w:rPr>
            </w:pPr>
            <w:r w:rsidRPr="00BE28D0">
              <w:rPr>
                <w:rFonts w:ascii="Arial" w:hAnsi="Arial" w:cs="Arial"/>
                <w:sz w:val="18"/>
                <w:szCs w:val="20"/>
              </w:rPr>
              <w:t xml:space="preserve"> 57,954,133 </w:t>
            </w:r>
          </w:p>
        </w:tc>
        <w:tc>
          <w:tcPr>
            <w:tcW w:w="1344" w:type="dxa"/>
            <w:tcBorders>
              <w:top w:val="nil"/>
              <w:left w:val="nil"/>
              <w:bottom w:val="single" w:sz="4" w:space="0" w:color="auto"/>
              <w:right w:val="single" w:sz="4" w:space="0" w:color="auto"/>
            </w:tcBorders>
            <w:noWrap/>
            <w:vAlign w:val="bottom"/>
            <w:hideMark/>
          </w:tcPr>
          <w:p w:rsidR="00A542BF" w:rsidRPr="00906AFB" w:rsidRDefault="00A542BF" w:rsidP="00A542BF">
            <w:pPr>
              <w:spacing w:after="0" w:line="240" w:lineRule="auto"/>
              <w:jc w:val="right"/>
              <w:rPr>
                <w:rFonts w:ascii="Arial" w:eastAsia="Times New Roman" w:hAnsi="Arial" w:cs="Arial"/>
                <w:sz w:val="18"/>
                <w:szCs w:val="18"/>
                <w:lang w:val="es-ES" w:eastAsia="es-ES"/>
              </w:rPr>
            </w:pPr>
            <w:r w:rsidRPr="00906AFB">
              <w:rPr>
                <w:rFonts w:ascii="Arial" w:eastAsia="Times New Roman" w:hAnsi="Arial" w:cs="Arial"/>
                <w:sz w:val="18"/>
                <w:szCs w:val="18"/>
                <w:lang w:val="es-ES" w:eastAsia="es-ES"/>
              </w:rPr>
              <w:t xml:space="preserve">81,036,505 </w:t>
            </w:r>
          </w:p>
        </w:tc>
      </w:tr>
      <w:tr w:rsidR="00A542BF" w:rsidRPr="00906AFB" w:rsidTr="00A542BF">
        <w:trPr>
          <w:trHeight w:val="283"/>
          <w:jc w:val="center"/>
        </w:trPr>
        <w:tc>
          <w:tcPr>
            <w:tcW w:w="3189" w:type="dxa"/>
            <w:tcBorders>
              <w:top w:val="nil"/>
              <w:left w:val="single" w:sz="4" w:space="0" w:color="auto"/>
              <w:bottom w:val="single" w:sz="4" w:space="0" w:color="auto"/>
              <w:right w:val="single" w:sz="4" w:space="0" w:color="auto"/>
            </w:tcBorders>
            <w:noWrap/>
            <w:vAlign w:val="bottom"/>
            <w:hideMark/>
          </w:tcPr>
          <w:p w:rsidR="00A542BF" w:rsidRPr="00906AFB" w:rsidRDefault="00A542BF" w:rsidP="00A542BF">
            <w:pPr>
              <w:spacing w:after="0" w:line="240" w:lineRule="auto"/>
              <w:rPr>
                <w:rFonts w:ascii="Arial" w:eastAsia="Times New Roman" w:hAnsi="Arial" w:cs="Arial"/>
                <w:sz w:val="18"/>
                <w:szCs w:val="18"/>
                <w:lang w:val="es-ES" w:eastAsia="es-ES"/>
              </w:rPr>
            </w:pPr>
            <w:r w:rsidRPr="00543F54">
              <w:rPr>
                <w:rFonts w:ascii="Arial" w:eastAsia="Times New Roman" w:hAnsi="Arial" w:cs="Arial"/>
                <w:sz w:val="18"/>
                <w:szCs w:val="18"/>
                <w:lang w:val="es-ES" w:eastAsia="es-ES"/>
              </w:rPr>
              <w:t>Crédito</w:t>
            </w:r>
            <w:r>
              <w:rPr>
                <w:rFonts w:ascii="Arial" w:eastAsia="Times New Roman" w:hAnsi="Arial" w:cs="Arial"/>
                <w:sz w:val="18"/>
                <w:szCs w:val="18"/>
                <w:lang w:val="es-ES" w:eastAsia="es-ES"/>
              </w:rPr>
              <w:t xml:space="preserve"> Interacciones 430259</w:t>
            </w:r>
          </w:p>
        </w:tc>
        <w:tc>
          <w:tcPr>
            <w:tcW w:w="1343" w:type="dxa"/>
            <w:tcBorders>
              <w:top w:val="nil"/>
              <w:left w:val="nil"/>
              <w:bottom w:val="single" w:sz="4" w:space="0" w:color="auto"/>
              <w:right w:val="single" w:sz="4" w:space="0" w:color="auto"/>
            </w:tcBorders>
            <w:noWrap/>
            <w:vAlign w:val="bottom"/>
            <w:hideMark/>
          </w:tcPr>
          <w:p w:rsidR="00A542BF" w:rsidRPr="00906AFB" w:rsidRDefault="00A542BF" w:rsidP="00A542BF">
            <w:pPr>
              <w:spacing w:after="0" w:line="240" w:lineRule="auto"/>
              <w:jc w:val="right"/>
              <w:rPr>
                <w:rFonts w:ascii="Arial" w:eastAsia="Times New Roman" w:hAnsi="Arial" w:cs="Arial"/>
                <w:sz w:val="18"/>
                <w:szCs w:val="18"/>
                <w:lang w:val="es-ES" w:eastAsia="es-ES"/>
              </w:rPr>
            </w:pPr>
            <w:r w:rsidRPr="00906AFB">
              <w:rPr>
                <w:rFonts w:ascii="Arial" w:eastAsia="Times New Roman" w:hAnsi="Arial" w:cs="Arial"/>
                <w:sz w:val="18"/>
                <w:szCs w:val="18"/>
                <w:lang w:val="es-ES" w:eastAsia="es-ES"/>
              </w:rPr>
              <w:t xml:space="preserve">9,216,665 </w:t>
            </w:r>
          </w:p>
        </w:tc>
        <w:tc>
          <w:tcPr>
            <w:tcW w:w="1350" w:type="dxa"/>
            <w:tcBorders>
              <w:top w:val="nil"/>
              <w:left w:val="nil"/>
              <w:bottom w:val="single" w:sz="4" w:space="0" w:color="auto"/>
              <w:right w:val="single" w:sz="4" w:space="0" w:color="auto"/>
            </w:tcBorders>
            <w:noWrap/>
            <w:vAlign w:val="center"/>
            <w:hideMark/>
          </w:tcPr>
          <w:p w:rsidR="00A542BF" w:rsidRPr="00BE28D0" w:rsidRDefault="00A542BF" w:rsidP="00A542BF">
            <w:pPr>
              <w:spacing w:after="0" w:line="240" w:lineRule="auto"/>
              <w:jc w:val="right"/>
              <w:rPr>
                <w:rFonts w:ascii="Arial" w:hAnsi="Arial" w:cs="Arial"/>
                <w:sz w:val="18"/>
                <w:szCs w:val="20"/>
              </w:rPr>
            </w:pPr>
            <w:r w:rsidRPr="00BE28D0">
              <w:rPr>
                <w:rFonts w:ascii="Arial" w:hAnsi="Arial" w:cs="Arial"/>
                <w:sz w:val="18"/>
                <w:szCs w:val="20"/>
              </w:rPr>
              <w:t xml:space="preserve"> 61,661,681 </w:t>
            </w:r>
          </w:p>
        </w:tc>
        <w:tc>
          <w:tcPr>
            <w:tcW w:w="1344" w:type="dxa"/>
            <w:tcBorders>
              <w:top w:val="nil"/>
              <w:left w:val="nil"/>
              <w:bottom w:val="single" w:sz="4" w:space="0" w:color="auto"/>
              <w:right w:val="single" w:sz="4" w:space="0" w:color="auto"/>
            </w:tcBorders>
            <w:noWrap/>
            <w:vAlign w:val="bottom"/>
            <w:hideMark/>
          </w:tcPr>
          <w:p w:rsidR="00A542BF" w:rsidRPr="00906AFB" w:rsidRDefault="00A542BF" w:rsidP="00A542BF">
            <w:pPr>
              <w:spacing w:after="0" w:line="240" w:lineRule="auto"/>
              <w:jc w:val="right"/>
              <w:rPr>
                <w:rFonts w:ascii="Arial" w:eastAsia="Times New Roman" w:hAnsi="Arial" w:cs="Arial"/>
                <w:sz w:val="18"/>
                <w:szCs w:val="18"/>
                <w:lang w:val="es-ES" w:eastAsia="es-ES"/>
              </w:rPr>
            </w:pPr>
            <w:r w:rsidRPr="00906AFB">
              <w:rPr>
                <w:rFonts w:ascii="Arial" w:eastAsia="Times New Roman" w:hAnsi="Arial" w:cs="Arial"/>
                <w:sz w:val="18"/>
                <w:szCs w:val="18"/>
                <w:lang w:val="es-ES" w:eastAsia="es-ES"/>
              </w:rPr>
              <w:t xml:space="preserve">68,183,732 </w:t>
            </w:r>
          </w:p>
        </w:tc>
      </w:tr>
      <w:tr w:rsidR="00A542BF" w:rsidRPr="00906AFB" w:rsidTr="00A542BF">
        <w:trPr>
          <w:trHeight w:val="283"/>
          <w:jc w:val="center"/>
        </w:trPr>
        <w:tc>
          <w:tcPr>
            <w:tcW w:w="3189" w:type="dxa"/>
            <w:tcBorders>
              <w:top w:val="nil"/>
              <w:left w:val="single" w:sz="4" w:space="0" w:color="auto"/>
              <w:bottom w:val="single" w:sz="4" w:space="0" w:color="auto"/>
              <w:right w:val="single" w:sz="4" w:space="0" w:color="auto"/>
            </w:tcBorders>
            <w:noWrap/>
            <w:vAlign w:val="bottom"/>
            <w:hideMark/>
          </w:tcPr>
          <w:p w:rsidR="00A542BF" w:rsidRPr="00906AFB" w:rsidRDefault="00A542BF" w:rsidP="00A542BF">
            <w:pPr>
              <w:spacing w:after="0" w:line="240" w:lineRule="auto"/>
              <w:rPr>
                <w:rFonts w:ascii="Arial" w:eastAsia="Times New Roman" w:hAnsi="Arial" w:cs="Arial"/>
                <w:b/>
                <w:bCs/>
                <w:sz w:val="18"/>
                <w:szCs w:val="18"/>
                <w:lang w:val="es-ES" w:eastAsia="es-ES"/>
              </w:rPr>
            </w:pPr>
            <w:r w:rsidRPr="00906AFB">
              <w:rPr>
                <w:rFonts w:ascii="Arial" w:eastAsia="Times New Roman" w:hAnsi="Arial" w:cs="Arial"/>
                <w:b/>
                <w:bCs/>
                <w:sz w:val="18"/>
                <w:szCs w:val="18"/>
                <w:lang w:val="es-ES" w:eastAsia="es-ES"/>
              </w:rPr>
              <w:t>Subtotal Banca Comercial</w:t>
            </w:r>
          </w:p>
        </w:tc>
        <w:tc>
          <w:tcPr>
            <w:tcW w:w="1343" w:type="dxa"/>
            <w:tcBorders>
              <w:top w:val="nil"/>
              <w:left w:val="nil"/>
              <w:bottom w:val="single" w:sz="4" w:space="0" w:color="auto"/>
              <w:right w:val="single" w:sz="4" w:space="0" w:color="auto"/>
            </w:tcBorders>
            <w:noWrap/>
            <w:vAlign w:val="bottom"/>
            <w:hideMark/>
          </w:tcPr>
          <w:p w:rsidR="00A542BF" w:rsidRPr="00906AFB" w:rsidRDefault="00A542BF" w:rsidP="00A542BF">
            <w:pPr>
              <w:spacing w:after="0" w:line="240" w:lineRule="auto"/>
              <w:jc w:val="right"/>
              <w:rPr>
                <w:rFonts w:ascii="Arial" w:eastAsia="Times New Roman" w:hAnsi="Arial" w:cs="Arial"/>
                <w:b/>
                <w:bCs/>
                <w:sz w:val="18"/>
                <w:szCs w:val="18"/>
                <w:lang w:val="es-ES" w:eastAsia="es-ES"/>
              </w:rPr>
            </w:pPr>
            <w:r w:rsidRPr="00906AFB">
              <w:rPr>
                <w:rFonts w:ascii="Arial" w:eastAsia="Times New Roman" w:hAnsi="Arial" w:cs="Arial"/>
                <w:b/>
                <w:bCs/>
                <w:sz w:val="18"/>
                <w:szCs w:val="18"/>
                <w:lang w:val="es-ES" w:eastAsia="es-ES"/>
              </w:rPr>
              <w:t xml:space="preserve">45,451,601 </w:t>
            </w:r>
          </w:p>
        </w:tc>
        <w:tc>
          <w:tcPr>
            <w:tcW w:w="1350" w:type="dxa"/>
            <w:tcBorders>
              <w:top w:val="nil"/>
              <w:left w:val="nil"/>
              <w:bottom w:val="single" w:sz="4" w:space="0" w:color="auto"/>
              <w:right w:val="single" w:sz="4" w:space="0" w:color="auto"/>
            </w:tcBorders>
            <w:noWrap/>
            <w:vAlign w:val="center"/>
            <w:hideMark/>
          </w:tcPr>
          <w:p w:rsidR="00A542BF" w:rsidRPr="00BE28D0" w:rsidRDefault="00A542BF" w:rsidP="00A542BF">
            <w:pPr>
              <w:spacing w:after="0" w:line="240" w:lineRule="auto"/>
              <w:jc w:val="right"/>
              <w:rPr>
                <w:rFonts w:ascii="Arial" w:hAnsi="Arial" w:cs="Arial"/>
                <w:b/>
                <w:sz w:val="18"/>
                <w:szCs w:val="20"/>
              </w:rPr>
            </w:pPr>
            <w:r w:rsidRPr="00BE28D0">
              <w:rPr>
                <w:rFonts w:ascii="Arial" w:hAnsi="Arial" w:cs="Arial"/>
                <w:b/>
                <w:sz w:val="18"/>
                <w:szCs w:val="20"/>
              </w:rPr>
              <w:t xml:space="preserve"> 121,810,045 </w:t>
            </w:r>
          </w:p>
        </w:tc>
        <w:tc>
          <w:tcPr>
            <w:tcW w:w="1344" w:type="dxa"/>
            <w:tcBorders>
              <w:top w:val="nil"/>
              <w:left w:val="nil"/>
              <w:bottom w:val="single" w:sz="4" w:space="0" w:color="auto"/>
              <w:right w:val="single" w:sz="4" w:space="0" w:color="auto"/>
            </w:tcBorders>
            <w:noWrap/>
            <w:vAlign w:val="bottom"/>
            <w:hideMark/>
          </w:tcPr>
          <w:p w:rsidR="00A542BF" w:rsidRPr="00906AFB" w:rsidRDefault="00A542BF" w:rsidP="00A542BF">
            <w:pPr>
              <w:spacing w:after="0" w:line="240" w:lineRule="auto"/>
              <w:jc w:val="right"/>
              <w:rPr>
                <w:rFonts w:ascii="Arial" w:eastAsia="Times New Roman" w:hAnsi="Arial" w:cs="Arial"/>
                <w:b/>
                <w:bCs/>
                <w:sz w:val="18"/>
                <w:szCs w:val="18"/>
                <w:lang w:val="es-ES" w:eastAsia="es-ES"/>
              </w:rPr>
            </w:pPr>
            <w:r w:rsidRPr="00906AFB">
              <w:rPr>
                <w:rFonts w:ascii="Arial" w:eastAsia="Times New Roman" w:hAnsi="Arial" w:cs="Arial"/>
                <w:b/>
                <w:bCs/>
                <w:sz w:val="18"/>
                <w:szCs w:val="18"/>
                <w:lang w:val="es-ES" w:eastAsia="es-ES"/>
              </w:rPr>
              <w:t xml:space="preserve">161,938,612 </w:t>
            </w:r>
          </w:p>
        </w:tc>
      </w:tr>
      <w:tr w:rsidR="00A542BF" w:rsidRPr="00906AFB" w:rsidTr="00A542BF">
        <w:trPr>
          <w:trHeight w:val="283"/>
          <w:jc w:val="center"/>
        </w:trPr>
        <w:tc>
          <w:tcPr>
            <w:tcW w:w="3189" w:type="dxa"/>
            <w:tcBorders>
              <w:top w:val="nil"/>
              <w:left w:val="single" w:sz="4" w:space="0" w:color="auto"/>
              <w:bottom w:val="single" w:sz="4" w:space="0" w:color="auto"/>
              <w:right w:val="single" w:sz="4" w:space="0" w:color="auto"/>
            </w:tcBorders>
            <w:noWrap/>
            <w:vAlign w:val="center"/>
            <w:hideMark/>
          </w:tcPr>
          <w:p w:rsidR="00A542BF" w:rsidRPr="00906AFB" w:rsidRDefault="00A542BF" w:rsidP="00A542BF">
            <w:pPr>
              <w:spacing w:after="0" w:line="240" w:lineRule="auto"/>
              <w:rPr>
                <w:rFonts w:ascii="Arial" w:eastAsia="Times New Roman" w:hAnsi="Arial" w:cs="Arial"/>
                <w:b/>
                <w:bCs/>
                <w:sz w:val="18"/>
                <w:szCs w:val="18"/>
                <w:lang w:val="es-ES" w:eastAsia="es-ES"/>
              </w:rPr>
            </w:pPr>
            <w:r w:rsidRPr="00906AFB">
              <w:rPr>
                <w:rFonts w:ascii="Arial" w:eastAsia="Times New Roman" w:hAnsi="Arial" w:cs="Arial"/>
                <w:b/>
                <w:bCs/>
                <w:sz w:val="18"/>
                <w:szCs w:val="18"/>
                <w:lang w:val="es-ES" w:eastAsia="es-ES"/>
              </w:rPr>
              <w:t>Gran Total</w:t>
            </w:r>
          </w:p>
        </w:tc>
        <w:tc>
          <w:tcPr>
            <w:tcW w:w="1343" w:type="dxa"/>
            <w:tcBorders>
              <w:top w:val="nil"/>
              <w:left w:val="nil"/>
              <w:bottom w:val="single" w:sz="4" w:space="0" w:color="auto"/>
              <w:right w:val="single" w:sz="4" w:space="0" w:color="auto"/>
            </w:tcBorders>
            <w:noWrap/>
            <w:vAlign w:val="center"/>
            <w:hideMark/>
          </w:tcPr>
          <w:p w:rsidR="00A542BF" w:rsidRPr="00906AFB" w:rsidRDefault="00A542BF" w:rsidP="00A542BF">
            <w:pPr>
              <w:spacing w:after="0" w:line="240" w:lineRule="auto"/>
              <w:jc w:val="right"/>
              <w:rPr>
                <w:rFonts w:ascii="Arial" w:eastAsia="Times New Roman" w:hAnsi="Arial" w:cs="Arial"/>
                <w:b/>
                <w:bCs/>
                <w:sz w:val="18"/>
                <w:szCs w:val="18"/>
                <w:lang w:val="es-ES" w:eastAsia="es-ES"/>
              </w:rPr>
            </w:pPr>
            <w:r w:rsidRPr="00906AFB">
              <w:rPr>
                <w:rFonts w:ascii="Arial" w:eastAsia="Times New Roman" w:hAnsi="Arial" w:cs="Arial"/>
                <w:b/>
                <w:bCs/>
                <w:sz w:val="18"/>
                <w:szCs w:val="18"/>
                <w:lang w:val="es-ES" w:eastAsia="es-ES"/>
              </w:rPr>
              <w:t xml:space="preserve">91,315,189 </w:t>
            </w:r>
          </w:p>
        </w:tc>
        <w:tc>
          <w:tcPr>
            <w:tcW w:w="1350" w:type="dxa"/>
            <w:tcBorders>
              <w:top w:val="nil"/>
              <w:left w:val="nil"/>
              <w:bottom w:val="single" w:sz="4" w:space="0" w:color="auto"/>
              <w:right w:val="single" w:sz="4" w:space="0" w:color="auto"/>
            </w:tcBorders>
            <w:noWrap/>
            <w:vAlign w:val="center"/>
            <w:hideMark/>
          </w:tcPr>
          <w:p w:rsidR="00A542BF" w:rsidRPr="00BE28D0" w:rsidRDefault="00A542BF" w:rsidP="00A542BF">
            <w:pPr>
              <w:spacing w:after="0" w:line="240" w:lineRule="auto"/>
              <w:jc w:val="right"/>
              <w:rPr>
                <w:rFonts w:ascii="Arial" w:hAnsi="Arial" w:cs="Arial"/>
                <w:b/>
                <w:sz w:val="18"/>
                <w:szCs w:val="20"/>
              </w:rPr>
            </w:pPr>
            <w:r w:rsidRPr="00BE28D0">
              <w:rPr>
                <w:rFonts w:ascii="Arial" w:hAnsi="Arial" w:cs="Arial"/>
                <w:b/>
                <w:sz w:val="18"/>
                <w:szCs w:val="20"/>
              </w:rPr>
              <w:t xml:space="preserve"> 261,490,481 </w:t>
            </w:r>
          </w:p>
        </w:tc>
        <w:tc>
          <w:tcPr>
            <w:tcW w:w="1344" w:type="dxa"/>
            <w:tcBorders>
              <w:top w:val="nil"/>
              <w:left w:val="nil"/>
              <w:bottom w:val="single" w:sz="4" w:space="0" w:color="auto"/>
              <w:right w:val="single" w:sz="4" w:space="0" w:color="auto"/>
            </w:tcBorders>
            <w:noWrap/>
            <w:vAlign w:val="center"/>
            <w:hideMark/>
          </w:tcPr>
          <w:p w:rsidR="00A542BF" w:rsidRPr="00906AFB" w:rsidRDefault="00A542BF" w:rsidP="00A542BF">
            <w:pPr>
              <w:spacing w:after="0" w:line="240" w:lineRule="auto"/>
              <w:jc w:val="right"/>
              <w:rPr>
                <w:rFonts w:ascii="Arial" w:eastAsia="Times New Roman" w:hAnsi="Arial" w:cs="Arial"/>
                <w:b/>
                <w:bCs/>
                <w:sz w:val="18"/>
                <w:szCs w:val="18"/>
                <w:lang w:val="es-ES" w:eastAsia="es-ES"/>
              </w:rPr>
            </w:pPr>
            <w:r w:rsidRPr="00906AFB">
              <w:rPr>
                <w:rFonts w:ascii="Arial" w:eastAsia="Times New Roman" w:hAnsi="Arial" w:cs="Arial"/>
                <w:b/>
                <w:bCs/>
                <w:sz w:val="18"/>
                <w:szCs w:val="18"/>
                <w:lang w:val="es-ES" w:eastAsia="es-ES"/>
              </w:rPr>
              <w:t xml:space="preserve">352,805,671 </w:t>
            </w:r>
          </w:p>
        </w:tc>
      </w:tr>
    </w:tbl>
    <w:p w:rsidR="00906AFB" w:rsidRDefault="00906AFB" w:rsidP="00906AFB">
      <w:pPr>
        <w:tabs>
          <w:tab w:val="left" w:pos="142"/>
        </w:tabs>
        <w:spacing w:after="0" w:line="240" w:lineRule="auto"/>
        <w:jc w:val="center"/>
        <w:rPr>
          <w:rFonts w:ascii="Arial" w:eastAsia="Calibri" w:hAnsi="Arial" w:cs="Arial"/>
          <w:color w:val="FF0000"/>
          <w:sz w:val="24"/>
          <w:szCs w:val="24"/>
          <w:lang w:val="es-ES" w:eastAsia="en-US"/>
        </w:rPr>
      </w:pPr>
    </w:p>
    <w:p w:rsidR="00FD430F" w:rsidRPr="00906AFB" w:rsidRDefault="00FD430F" w:rsidP="00906AFB">
      <w:pPr>
        <w:tabs>
          <w:tab w:val="left" w:pos="142"/>
        </w:tabs>
        <w:spacing w:after="0" w:line="240" w:lineRule="auto"/>
        <w:jc w:val="center"/>
        <w:rPr>
          <w:rFonts w:ascii="Arial" w:eastAsia="Calibri" w:hAnsi="Arial" w:cs="Arial"/>
          <w:color w:val="FF0000"/>
          <w:sz w:val="24"/>
          <w:szCs w:val="24"/>
          <w:lang w:val="es-ES" w:eastAsia="en-US"/>
        </w:rPr>
      </w:pPr>
    </w:p>
    <w:p w:rsidR="00906AFB" w:rsidRPr="00906AFB" w:rsidRDefault="00CF4172" w:rsidP="00906AFB">
      <w:pPr>
        <w:keepNext/>
        <w:keepLines/>
        <w:spacing w:after="0" w:line="240" w:lineRule="auto"/>
        <w:jc w:val="center"/>
        <w:outlineLvl w:val="1"/>
        <w:rPr>
          <w:rFonts w:ascii="Arial" w:eastAsia="Times New Roman" w:hAnsi="Arial" w:cs="Times New Roman"/>
          <w:b/>
          <w:sz w:val="20"/>
          <w:szCs w:val="26"/>
          <w:lang w:val="es-ES" w:eastAsia="en-US"/>
        </w:rPr>
      </w:pPr>
      <w:r>
        <w:rPr>
          <w:rFonts w:ascii="Arial" w:eastAsia="Times New Roman" w:hAnsi="Arial" w:cs="Times New Roman"/>
          <w:b/>
          <w:sz w:val="20"/>
          <w:szCs w:val="26"/>
          <w:lang w:val="es-ES" w:eastAsia="en-US"/>
        </w:rPr>
        <w:lastRenderedPageBreak/>
        <w:t>Tabla 36</w:t>
      </w:r>
      <w:r w:rsidR="00906AFB" w:rsidRPr="00906AFB">
        <w:rPr>
          <w:rFonts w:ascii="Arial" w:eastAsia="Times New Roman" w:hAnsi="Arial" w:cs="Times New Roman"/>
          <w:b/>
          <w:sz w:val="20"/>
          <w:szCs w:val="26"/>
          <w:lang w:val="es-ES" w:eastAsia="en-US"/>
        </w:rPr>
        <w:t>. Erogaciones Previstas para Deuda Pública</w:t>
      </w:r>
      <w:r w:rsidR="00906AFB" w:rsidRPr="00906AFB">
        <w:rPr>
          <w:rFonts w:ascii="Arial" w:eastAsia="Times New Roman" w:hAnsi="Arial" w:cs="Times New Roman"/>
          <w:b/>
          <w:sz w:val="20"/>
          <w:szCs w:val="26"/>
          <w:lang w:val="es-ES" w:eastAsia="en-US"/>
        </w:rPr>
        <w:br/>
        <w:t>(calendarización trimestral)</w:t>
      </w:r>
    </w:p>
    <w:tbl>
      <w:tblPr>
        <w:tblStyle w:val="Tablaconcuadrcula2"/>
        <w:tblW w:w="0" w:type="auto"/>
        <w:jc w:val="center"/>
        <w:tblInd w:w="0" w:type="dxa"/>
        <w:tblLook w:val="04A0" w:firstRow="1" w:lastRow="0" w:firstColumn="1" w:lastColumn="0" w:noHBand="0" w:noVBand="1"/>
      </w:tblPr>
      <w:tblGrid>
        <w:gridCol w:w="2555"/>
        <w:gridCol w:w="1218"/>
        <w:gridCol w:w="1218"/>
        <w:gridCol w:w="1218"/>
        <w:gridCol w:w="1218"/>
        <w:gridCol w:w="1217"/>
      </w:tblGrid>
      <w:tr w:rsidR="00906AFB" w:rsidRPr="00906AFB" w:rsidTr="00AD7F05">
        <w:trPr>
          <w:trHeight w:val="283"/>
          <w:jc w:val="center"/>
        </w:trPr>
        <w:tc>
          <w:tcPr>
            <w:tcW w:w="2555" w:type="dxa"/>
            <w:tcBorders>
              <w:top w:val="single" w:sz="4" w:space="0" w:color="auto"/>
              <w:left w:val="single" w:sz="4" w:space="0" w:color="auto"/>
              <w:bottom w:val="single" w:sz="4" w:space="0" w:color="auto"/>
              <w:right w:val="single" w:sz="4" w:space="0" w:color="auto"/>
            </w:tcBorders>
            <w:noWrap/>
            <w:vAlign w:val="center"/>
            <w:hideMark/>
          </w:tcPr>
          <w:p w:rsidR="00906AFB" w:rsidRPr="00A31E73" w:rsidRDefault="00906AFB" w:rsidP="00A31E73">
            <w:pPr>
              <w:jc w:val="center"/>
              <w:rPr>
                <w:rFonts w:ascii="Arial" w:hAnsi="Arial" w:cs="Arial"/>
                <w:b/>
                <w:bCs/>
                <w:sz w:val="18"/>
                <w:szCs w:val="18"/>
              </w:rPr>
            </w:pPr>
            <w:r w:rsidRPr="00A31E73">
              <w:rPr>
                <w:rFonts w:ascii="Arial" w:hAnsi="Arial" w:cs="Arial"/>
                <w:b/>
                <w:bCs/>
                <w:sz w:val="18"/>
                <w:szCs w:val="18"/>
              </w:rPr>
              <w:t>Crédito</w:t>
            </w:r>
          </w:p>
        </w:tc>
        <w:tc>
          <w:tcPr>
            <w:tcW w:w="1218" w:type="dxa"/>
            <w:tcBorders>
              <w:top w:val="single" w:sz="4" w:space="0" w:color="auto"/>
              <w:left w:val="single" w:sz="4" w:space="0" w:color="auto"/>
              <w:bottom w:val="single" w:sz="4" w:space="0" w:color="auto"/>
              <w:right w:val="single" w:sz="4" w:space="0" w:color="auto"/>
            </w:tcBorders>
            <w:noWrap/>
            <w:vAlign w:val="center"/>
            <w:hideMark/>
          </w:tcPr>
          <w:p w:rsidR="00906AFB" w:rsidRPr="00A31E73" w:rsidRDefault="00906AFB" w:rsidP="00A31E73">
            <w:pPr>
              <w:jc w:val="center"/>
              <w:rPr>
                <w:rFonts w:ascii="Arial" w:hAnsi="Arial" w:cs="Arial"/>
                <w:b/>
                <w:bCs/>
                <w:sz w:val="18"/>
                <w:szCs w:val="18"/>
              </w:rPr>
            </w:pPr>
            <w:r w:rsidRPr="00A31E73">
              <w:rPr>
                <w:rFonts w:ascii="Arial" w:hAnsi="Arial" w:cs="Arial"/>
                <w:b/>
                <w:bCs/>
                <w:sz w:val="18"/>
                <w:szCs w:val="18"/>
              </w:rPr>
              <w:t>Primer Trimestre</w:t>
            </w:r>
          </w:p>
        </w:tc>
        <w:tc>
          <w:tcPr>
            <w:tcW w:w="1218" w:type="dxa"/>
            <w:tcBorders>
              <w:top w:val="single" w:sz="4" w:space="0" w:color="auto"/>
              <w:left w:val="single" w:sz="4" w:space="0" w:color="auto"/>
              <w:bottom w:val="single" w:sz="4" w:space="0" w:color="auto"/>
              <w:right w:val="single" w:sz="4" w:space="0" w:color="auto"/>
            </w:tcBorders>
            <w:noWrap/>
            <w:vAlign w:val="center"/>
            <w:hideMark/>
          </w:tcPr>
          <w:p w:rsidR="00906AFB" w:rsidRPr="00A31E73" w:rsidRDefault="00906AFB" w:rsidP="00A31E73">
            <w:pPr>
              <w:jc w:val="center"/>
              <w:rPr>
                <w:rFonts w:ascii="Arial" w:hAnsi="Arial" w:cs="Arial"/>
                <w:b/>
                <w:bCs/>
                <w:sz w:val="18"/>
                <w:szCs w:val="18"/>
              </w:rPr>
            </w:pPr>
            <w:r w:rsidRPr="00A31E73">
              <w:rPr>
                <w:rFonts w:ascii="Arial" w:hAnsi="Arial" w:cs="Arial"/>
                <w:b/>
                <w:bCs/>
                <w:sz w:val="18"/>
                <w:szCs w:val="18"/>
              </w:rPr>
              <w:t>Segundo Trimestre</w:t>
            </w:r>
          </w:p>
        </w:tc>
        <w:tc>
          <w:tcPr>
            <w:tcW w:w="1218" w:type="dxa"/>
            <w:tcBorders>
              <w:top w:val="single" w:sz="4" w:space="0" w:color="auto"/>
              <w:left w:val="single" w:sz="4" w:space="0" w:color="auto"/>
              <w:bottom w:val="single" w:sz="4" w:space="0" w:color="auto"/>
              <w:right w:val="single" w:sz="4" w:space="0" w:color="auto"/>
            </w:tcBorders>
            <w:noWrap/>
            <w:vAlign w:val="center"/>
            <w:hideMark/>
          </w:tcPr>
          <w:p w:rsidR="00906AFB" w:rsidRPr="00A31E73" w:rsidRDefault="00906AFB" w:rsidP="00A31E73">
            <w:pPr>
              <w:jc w:val="center"/>
              <w:rPr>
                <w:rFonts w:ascii="Arial" w:hAnsi="Arial" w:cs="Arial"/>
                <w:b/>
                <w:bCs/>
                <w:sz w:val="18"/>
                <w:szCs w:val="18"/>
              </w:rPr>
            </w:pPr>
            <w:r w:rsidRPr="00A31E73">
              <w:rPr>
                <w:rFonts w:ascii="Arial" w:hAnsi="Arial" w:cs="Arial"/>
                <w:b/>
                <w:bCs/>
                <w:sz w:val="18"/>
                <w:szCs w:val="18"/>
              </w:rPr>
              <w:t>Tercer Trimestre</w:t>
            </w:r>
          </w:p>
        </w:tc>
        <w:tc>
          <w:tcPr>
            <w:tcW w:w="1218" w:type="dxa"/>
            <w:tcBorders>
              <w:top w:val="single" w:sz="4" w:space="0" w:color="auto"/>
              <w:left w:val="single" w:sz="4" w:space="0" w:color="auto"/>
              <w:bottom w:val="single" w:sz="4" w:space="0" w:color="auto"/>
              <w:right w:val="single" w:sz="4" w:space="0" w:color="auto"/>
            </w:tcBorders>
            <w:noWrap/>
            <w:vAlign w:val="center"/>
            <w:hideMark/>
          </w:tcPr>
          <w:p w:rsidR="00906AFB" w:rsidRPr="00A31E73" w:rsidRDefault="00906AFB" w:rsidP="00A31E73">
            <w:pPr>
              <w:jc w:val="center"/>
              <w:rPr>
                <w:rFonts w:ascii="Arial" w:hAnsi="Arial" w:cs="Arial"/>
                <w:b/>
                <w:bCs/>
                <w:sz w:val="18"/>
                <w:szCs w:val="18"/>
              </w:rPr>
            </w:pPr>
            <w:r w:rsidRPr="00A31E73">
              <w:rPr>
                <w:rFonts w:ascii="Arial" w:hAnsi="Arial" w:cs="Arial"/>
                <w:b/>
                <w:bCs/>
                <w:sz w:val="18"/>
                <w:szCs w:val="18"/>
              </w:rPr>
              <w:t>Cuarto Trimestre</w:t>
            </w:r>
          </w:p>
        </w:tc>
        <w:tc>
          <w:tcPr>
            <w:tcW w:w="1217" w:type="dxa"/>
            <w:tcBorders>
              <w:top w:val="single" w:sz="4" w:space="0" w:color="auto"/>
              <w:left w:val="single" w:sz="4" w:space="0" w:color="auto"/>
              <w:bottom w:val="single" w:sz="4" w:space="0" w:color="auto"/>
              <w:right w:val="single" w:sz="4" w:space="0" w:color="auto"/>
            </w:tcBorders>
            <w:noWrap/>
            <w:vAlign w:val="center"/>
            <w:hideMark/>
          </w:tcPr>
          <w:p w:rsidR="00906AFB" w:rsidRPr="00A31E73" w:rsidRDefault="00906AFB" w:rsidP="00AD7F05">
            <w:pPr>
              <w:jc w:val="right"/>
              <w:rPr>
                <w:rFonts w:ascii="Arial" w:hAnsi="Arial" w:cs="Arial"/>
                <w:b/>
                <w:bCs/>
                <w:sz w:val="18"/>
                <w:szCs w:val="18"/>
              </w:rPr>
            </w:pPr>
            <w:r w:rsidRPr="00A31E73">
              <w:rPr>
                <w:rFonts w:ascii="Arial" w:hAnsi="Arial" w:cs="Arial"/>
                <w:b/>
                <w:bCs/>
                <w:sz w:val="18"/>
                <w:szCs w:val="18"/>
              </w:rPr>
              <w:t>Total Anual</w:t>
            </w:r>
          </w:p>
        </w:tc>
      </w:tr>
      <w:tr w:rsidR="00A31E73" w:rsidRPr="00906AFB" w:rsidTr="00AD7F05">
        <w:trPr>
          <w:trHeight w:val="283"/>
          <w:jc w:val="center"/>
        </w:trPr>
        <w:tc>
          <w:tcPr>
            <w:tcW w:w="2555" w:type="dxa"/>
            <w:tcBorders>
              <w:top w:val="single" w:sz="4" w:space="0" w:color="auto"/>
              <w:left w:val="single" w:sz="4" w:space="0" w:color="auto"/>
              <w:bottom w:val="single" w:sz="4" w:space="0" w:color="auto"/>
              <w:right w:val="single" w:sz="4" w:space="0" w:color="auto"/>
            </w:tcBorders>
            <w:noWrap/>
            <w:vAlign w:val="center"/>
            <w:hideMark/>
          </w:tcPr>
          <w:p w:rsidR="00A31E73" w:rsidRPr="00A31E73" w:rsidRDefault="00A31E73" w:rsidP="00A31E73">
            <w:pPr>
              <w:rPr>
                <w:rFonts w:ascii="Arial" w:eastAsia="Times New Roman" w:hAnsi="Arial" w:cs="Arial"/>
                <w:sz w:val="18"/>
                <w:szCs w:val="18"/>
                <w:lang w:eastAsia="es-ES"/>
              </w:rPr>
            </w:pPr>
            <w:r w:rsidRPr="00A31E73">
              <w:rPr>
                <w:rFonts w:ascii="Arial" w:eastAsia="Times New Roman" w:hAnsi="Arial" w:cs="Arial"/>
                <w:sz w:val="18"/>
                <w:szCs w:val="18"/>
                <w:lang w:eastAsia="es-ES"/>
              </w:rPr>
              <w:t>Crédito Banobras 7225 y 7226</w:t>
            </w:r>
          </w:p>
        </w:tc>
        <w:tc>
          <w:tcPr>
            <w:tcW w:w="1218" w:type="dxa"/>
            <w:tcBorders>
              <w:top w:val="single" w:sz="4" w:space="0" w:color="auto"/>
              <w:left w:val="single" w:sz="4" w:space="0" w:color="auto"/>
              <w:bottom w:val="single" w:sz="4" w:space="0" w:color="auto"/>
              <w:right w:val="single" w:sz="4" w:space="0" w:color="auto"/>
            </w:tcBorders>
            <w:noWrap/>
            <w:vAlign w:val="center"/>
          </w:tcPr>
          <w:p w:rsidR="00A31E73" w:rsidRPr="00A31E73" w:rsidRDefault="00A31E73" w:rsidP="00A31E73">
            <w:pPr>
              <w:jc w:val="right"/>
              <w:rPr>
                <w:rFonts w:ascii="Arial" w:hAnsi="Arial" w:cs="Arial"/>
                <w:sz w:val="18"/>
                <w:szCs w:val="18"/>
              </w:rPr>
            </w:pPr>
            <w:r w:rsidRPr="00A31E73">
              <w:rPr>
                <w:rFonts w:ascii="Arial" w:hAnsi="Arial" w:cs="Arial"/>
                <w:sz w:val="18"/>
                <w:szCs w:val="18"/>
              </w:rPr>
              <w:t xml:space="preserve"> 9,509,443 </w:t>
            </w:r>
          </w:p>
        </w:tc>
        <w:tc>
          <w:tcPr>
            <w:tcW w:w="1218" w:type="dxa"/>
            <w:tcBorders>
              <w:top w:val="single" w:sz="4" w:space="0" w:color="auto"/>
              <w:left w:val="single" w:sz="4" w:space="0" w:color="auto"/>
              <w:bottom w:val="single" w:sz="4" w:space="0" w:color="auto"/>
              <w:right w:val="single" w:sz="4" w:space="0" w:color="auto"/>
            </w:tcBorders>
            <w:noWrap/>
            <w:vAlign w:val="center"/>
          </w:tcPr>
          <w:p w:rsidR="00A31E73" w:rsidRPr="00A31E73" w:rsidRDefault="00A31E73" w:rsidP="00A31E73">
            <w:pPr>
              <w:jc w:val="right"/>
              <w:rPr>
                <w:rFonts w:ascii="Arial" w:hAnsi="Arial" w:cs="Arial"/>
                <w:sz w:val="18"/>
                <w:szCs w:val="18"/>
              </w:rPr>
            </w:pPr>
            <w:r w:rsidRPr="00A31E73">
              <w:rPr>
                <w:rFonts w:ascii="Arial" w:hAnsi="Arial" w:cs="Arial"/>
                <w:sz w:val="18"/>
                <w:szCs w:val="18"/>
              </w:rPr>
              <w:t xml:space="preserve"> 9,664,476 </w:t>
            </w:r>
          </w:p>
        </w:tc>
        <w:tc>
          <w:tcPr>
            <w:tcW w:w="1218" w:type="dxa"/>
            <w:tcBorders>
              <w:top w:val="single" w:sz="4" w:space="0" w:color="auto"/>
              <w:left w:val="single" w:sz="4" w:space="0" w:color="auto"/>
              <w:bottom w:val="single" w:sz="4" w:space="0" w:color="auto"/>
              <w:right w:val="single" w:sz="4" w:space="0" w:color="auto"/>
            </w:tcBorders>
            <w:noWrap/>
            <w:vAlign w:val="center"/>
          </w:tcPr>
          <w:p w:rsidR="00A31E73" w:rsidRPr="00A31E73" w:rsidRDefault="00A31E73" w:rsidP="00A31E73">
            <w:pPr>
              <w:jc w:val="right"/>
              <w:rPr>
                <w:rFonts w:ascii="Arial" w:hAnsi="Arial" w:cs="Arial"/>
                <w:sz w:val="18"/>
                <w:szCs w:val="18"/>
              </w:rPr>
            </w:pPr>
            <w:r w:rsidRPr="00A31E73">
              <w:rPr>
                <w:rFonts w:ascii="Arial" w:hAnsi="Arial" w:cs="Arial"/>
                <w:sz w:val="18"/>
                <w:szCs w:val="18"/>
              </w:rPr>
              <w:t xml:space="preserve"> 9,820,066 </w:t>
            </w:r>
          </w:p>
        </w:tc>
        <w:tc>
          <w:tcPr>
            <w:tcW w:w="1218" w:type="dxa"/>
            <w:tcBorders>
              <w:top w:val="single" w:sz="4" w:space="0" w:color="auto"/>
              <w:left w:val="single" w:sz="4" w:space="0" w:color="auto"/>
              <w:bottom w:val="single" w:sz="4" w:space="0" w:color="auto"/>
              <w:right w:val="single" w:sz="4" w:space="0" w:color="auto"/>
            </w:tcBorders>
            <w:noWrap/>
            <w:vAlign w:val="center"/>
          </w:tcPr>
          <w:p w:rsidR="00A31E73" w:rsidRPr="00A31E73" w:rsidRDefault="00A31E73" w:rsidP="00A31E73">
            <w:pPr>
              <w:jc w:val="right"/>
              <w:rPr>
                <w:rFonts w:ascii="Arial" w:hAnsi="Arial" w:cs="Arial"/>
                <w:sz w:val="18"/>
                <w:szCs w:val="18"/>
              </w:rPr>
            </w:pPr>
            <w:r w:rsidRPr="00A31E73">
              <w:rPr>
                <w:rFonts w:ascii="Arial" w:hAnsi="Arial" w:cs="Arial"/>
                <w:sz w:val="18"/>
                <w:szCs w:val="18"/>
              </w:rPr>
              <w:t xml:space="preserve"> 9,702,392 </w:t>
            </w:r>
          </w:p>
        </w:tc>
        <w:tc>
          <w:tcPr>
            <w:tcW w:w="1217" w:type="dxa"/>
            <w:tcBorders>
              <w:top w:val="single" w:sz="4" w:space="0" w:color="auto"/>
              <w:left w:val="single" w:sz="4" w:space="0" w:color="auto"/>
              <w:bottom w:val="single" w:sz="4" w:space="0" w:color="auto"/>
              <w:right w:val="single" w:sz="4" w:space="0" w:color="auto"/>
            </w:tcBorders>
            <w:noWrap/>
            <w:vAlign w:val="center"/>
          </w:tcPr>
          <w:p w:rsidR="00A31E73" w:rsidRPr="00A31E73" w:rsidRDefault="00A31E73" w:rsidP="00AD7F05">
            <w:pPr>
              <w:jc w:val="right"/>
              <w:rPr>
                <w:rFonts w:ascii="Arial" w:hAnsi="Arial" w:cs="Arial"/>
                <w:sz w:val="18"/>
                <w:szCs w:val="18"/>
              </w:rPr>
            </w:pPr>
            <w:r w:rsidRPr="00A31E73">
              <w:rPr>
                <w:rFonts w:ascii="Arial" w:hAnsi="Arial" w:cs="Arial"/>
                <w:sz w:val="18"/>
                <w:szCs w:val="18"/>
              </w:rPr>
              <w:t xml:space="preserve"> 38,696,377 </w:t>
            </w:r>
          </w:p>
        </w:tc>
      </w:tr>
      <w:tr w:rsidR="00A31E73" w:rsidRPr="00906AFB" w:rsidTr="00AD7F05">
        <w:trPr>
          <w:trHeight w:val="283"/>
          <w:jc w:val="center"/>
        </w:trPr>
        <w:tc>
          <w:tcPr>
            <w:tcW w:w="2555" w:type="dxa"/>
            <w:tcBorders>
              <w:top w:val="single" w:sz="4" w:space="0" w:color="auto"/>
              <w:left w:val="single" w:sz="4" w:space="0" w:color="auto"/>
              <w:bottom w:val="single" w:sz="4" w:space="0" w:color="auto"/>
              <w:right w:val="single" w:sz="4" w:space="0" w:color="auto"/>
            </w:tcBorders>
            <w:noWrap/>
            <w:vAlign w:val="center"/>
            <w:hideMark/>
          </w:tcPr>
          <w:p w:rsidR="00A31E73" w:rsidRPr="00A31E73" w:rsidRDefault="00A31E73" w:rsidP="00A31E73">
            <w:pPr>
              <w:rPr>
                <w:rFonts w:ascii="Arial" w:eastAsia="Times New Roman" w:hAnsi="Arial" w:cs="Arial"/>
                <w:sz w:val="18"/>
                <w:szCs w:val="18"/>
                <w:lang w:eastAsia="es-ES"/>
              </w:rPr>
            </w:pPr>
            <w:r w:rsidRPr="00A31E73">
              <w:rPr>
                <w:rFonts w:ascii="Arial" w:eastAsia="Times New Roman" w:hAnsi="Arial" w:cs="Arial"/>
                <w:sz w:val="18"/>
                <w:szCs w:val="18"/>
                <w:lang w:eastAsia="es-ES"/>
              </w:rPr>
              <w:t>Crédito Banobras 7271 y 7272</w:t>
            </w:r>
          </w:p>
        </w:tc>
        <w:tc>
          <w:tcPr>
            <w:tcW w:w="1218" w:type="dxa"/>
            <w:tcBorders>
              <w:top w:val="single" w:sz="4" w:space="0" w:color="auto"/>
              <w:left w:val="single" w:sz="4" w:space="0" w:color="auto"/>
              <w:bottom w:val="single" w:sz="4" w:space="0" w:color="auto"/>
              <w:right w:val="single" w:sz="4" w:space="0" w:color="auto"/>
            </w:tcBorders>
            <w:noWrap/>
            <w:vAlign w:val="center"/>
          </w:tcPr>
          <w:p w:rsidR="00A31E73" w:rsidRPr="00A31E73" w:rsidRDefault="00A31E73" w:rsidP="00A31E73">
            <w:pPr>
              <w:jc w:val="right"/>
              <w:rPr>
                <w:rFonts w:ascii="Arial" w:hAnsi="Arial" w:cs="Arial"/>
                <w:sz w:val="18"/>
                <w:szCs w:val="18"/>
              </w:rPr>
            </w:pPr>
            <w:r w:rsidRPr="00A31E73">
              <w:rPr>
                <w:rFonts w:ascii="Arial" w:hAnsi="Arial" w:cs="Arial"/>
                <w:sz w:val="18"/>
                <w:szCs w:val="18"/>
              </w:rPr>
              <w:t xml:space="preserve"> 7,319,075 </w:t>
            </w:r>
          </w:p>
        </w:tc>
        <w:tc>
          <w:tcPr>
            <w:tcW w:w="1218" w:type="dxa"/>
            <w:tcBorders>
              <w:top w:val="single" w:sz="4" w:space="0" w:color="auto"/>
              <w:left w:val="single" w:sz="4" w:space="0" w:color="auto"/>
              <w:bottom w:val="single" w:sz="4" w:space="0" w:color="auto"/>
              <w:right w:val="single" w:sz="4" w:space="0" w:color="auto"/>
            </w:tcBorders>
            <w:noWrap/>
            <w:vAlign w:val="center"/>
          </w:tcPr>
          <w:p w:rsidR="00A31E73" w:rsidRPr="00A31E73" w:rsidRDefault="00A31E73" w:rsidP="00A31E73">
            <w:pPr>
              <w:jc w:val="right"/>
              <w:rPr>
                <w:rFonts w:ascii="Arial" w:hAnsi="Arial" w:cs="Arial"/>
                <w:sz w:val="18"/>
                <w:szCs w:val="18"/>
              </w:rPr>
            </w:pPr>
            <w:r w:rsidRPr="00A31E73">
              <w:rPr>
                <w:rFonts w:ascii="Arial" w:hAnsi="Arial" w:cs="Arial"/>
                <w:sz w:val="18"/>
                <w:szCs w:val="18"/>
              </w:rPr>
              <w:t xml:space="preserve"> 7,443,098 </w:t>
            </w:r>
          </w:p>
        </w:tc>
        <w:tc>
          <w:tcPr>
            <w:tcW w:w="1218" w:type="dxa"/>
            <w:tcBorders>
              <w:top w:val="single" w:sz="4" w:space="0" w:color="auto"/>
              <w:left w:val="single" w:sz="4" w:space="0" w:color="auto"/>
              <w:bottom w:val="single" w:sz="4" w:space="0" w:color="auto"/>
              <w:right w:val="single" w:sz="4" w:space="0" w:color="auto"/>
            </w:tcBorders>
            <w:noWrap/>
            <w:vAlign w:val="center"/>
          </w:tcPr>
          <w:p w:rsidR="00A31E73" w:rsidRPr="00A31E73" w:rsidRDefault="00A31E73" w:rsidP="00A31E73">
            <w:pPr>
              <w:jc w:val="right"/>
              <w:rPr>
                <w:rFonts w:ascii="Arial" w:hAnsi="Arial" w:cs="Arial"/>
                <w:sz w:val="18"/>
                <w:szCs w:val="18"/>
              </w:rPr>
            </w:pPr>
            <w:r w:rsidRPr="00A31E73">
              <w:rPr>
                <w:rFonts w:ascii="Arial" w:hAnsi="Arial" w:cs="Arial"/>
                <w:sz w:val="18"/>
                <w:szCs w:val="18"/>
              </w:rPr>
              <w:t xml:space="preserve"> 7,567,575 </w:t>
            </w:r>
          </w:p>
        </w:tc>
        <w:tc>
          <w:tcPr>
            <w:tcW w:w="1218" w:type="dxa"/>
            <w:tcBorders>
              <w:top w:val="single" w:sz="4" w:space="0" w:color="auto"/>
              <w:left w:val="single" w:sz="4" w:space="0" w:color="auto"/>
              <w:bottom w:val="single" w:sz="4" w:space="0" w:color="auto"/>
              <w:right w:val="single" w:sz="4" w:space="0" w:color="auto"/>
            </w:tcBorders>
            <w:noWrap/>
            <w:vAlign w:val="center"/>
          </w:tcPr>
          <w:p w:rsidR="00A31E73" w:rsidRPr="00A31E73" w:rsidRDefault="00A31E73" w:rsidP="00A31E73">
            <w:pPr>
              <w:jc w:val="right"/>
              <w:rPr>
                <w:rFonts w:ascii="Arial" w:hAnsi="Arial" w:cs="Arial"/>
                <w:sz w:val="18"/>
                <w:szCs w:val="18"/>
              </w:rPr>
            </w:pPr>
            <w:r w:rsidRPr="00A31E73">
              <w:rPr>
                <w:rFonts w:ascii="Arial" w:hAnsi="Arial" w:cs="Arial"/>
                <w:sz w:val="18"/>
                <w:szCs w:val="18"/>
              </w:rPr>
              <w:t xml:space="preserve"> 7,430,760 </w:t>
            </w:r>
          </w:p>
        </w:tc>
        <w:tc>
          <w:tcPr>
            <w:tcW w:w="1217" w:type="dxa"/>
            <w:tcBorders>
              <w:top w:val="single" w:sz="4" w:space="0" w:color="auto"/>
              <w:left w:val="single" w:sz="4" w:space="0" w:color="auto"/>
              <w:bottom w:val="single" w:sz="4" w:space="0" w:color="auto"/>
              <w:right w:val="single" w:sz="4" w:space="0" w:color="auto"/>
            </w:tcBorders>
            <w:noWrap/>
            <w:vAlign w:val="center"/>
          </w:tcPr>
          <w:p w:rsidR="00A31E73" w:rsidRPr="00A31E73" w:rsidRDefault="00A31E73" w:rsidP="00AD7F05">
            <w:pPr>
              <w:jc w:val="right"/>
              <w:rPr>
                <w:rFonts w:ascii="Arial" w:hAnsi="Arial" w:cs="Arial"/>
                <w:sz w:val="18"/>
                <w:szCs w:val="18"/>
              </w:rPr>
            </w:pPr>
            <w:r w:rsidRPr="00A31E73">
              <w:rPr>
                <w:rFonts w:ascii="Arial" w:hAnsi="Arial" w:cs="Arial"/>
                <w:sz w:val="18"/>
                <w:szCs w:val="18"/>
              </w:rPr>
              <w:t xml:space="preserve"> 29,760,508 </w:t>
            </w:r>
          </w:p>
        </w:tc>
      </w:tr>
      <w:tr w:rsidR="00A31E73" w:rsidRPr="00906AFB" w:rsidTr="00AD7F05">
        <w:trPr>
          <w:trHeight w:val="283"/>
          <w:jc w:val="center"/>
        </w:trPr>
        <w:tc>
          <w:tcPr>
            <w:tcW w:w="2555" w:type="dxa"/>
            <w:tcBorders>
              <w:top w:val="single" w:sz="4" w:space="0" w:color="auto"/>
              <w:left w:val="single" w:sz="4" w:space="0" w:color="auto"/>
              <w:bottom w:val="single" w:sz="4" w:space="0" w:color="auto"/>
              <w:right w:val="single" w:sz="4" w:space="0" w:color="auto"/>
            </w:tcBorders>
            <w:noWrap/>
            <w:vAlign w:val="center"/>
            <w:hideMark/>
          </w:tcPr>
          <w:p w:rsidR="00A31E73" w:rsidRPr="00A31E73" w:rsidRDefault="00A31E73" w:rsidP="00A31E73">
            <w:pPr>
              <w:rPr>
                <w:rFonts w:ascii="Arial" w:eastAsia="Times New Roman" w:hAnsi="Arial" w:cs="Arial"/>
                <w:sz w:val="18"/>
                <w:szCs w:val="18"/>
                <w:lang w:eastAsia="es-ES"/>
              </w:rPr>
            </w:pPr>
            <w:r w:rsidRPr="00A31E73">
              <w:rPr>
                <w:rFonts w:ascii="Arial" w:eastAsia="Times New Roman" w:hAnsi="Arial" w:cs="Arial"/>
                <w:sz w:val="18"/>
                <w:szCs w:val="18"/>
                <w:lang w:eastAsia="es-ES"/>
              </w:rPr>
              <w:t>Intereses Banobras 10487</w:t>
            </w:r>
          </w:p>
        </w:tc>
        <w:tc>
          <w:tcPr>
            <w:tcW w:w="1218" w:type="dxa"/>
            <w:tcBorders>
              <w:top w:val="single" w:sz="4" w:space="0" w:color="auto"/>
              <w:left w:val="single" w:sz="4" w:space="0" w:color="auto"/>
              <w:bottom w:val="single" w:sz="4" w:space="0" w:color="auto"/>
              <w:right w:val="single" w:sz="4" w:space="0" w:color="auto"/>
            </w:tcBorders>
            <w:noWrap/>
            <w:vAlign w:val="center"/>
          </w:tcPr>
          <w:p w:rsidR="00A31E73" w:rsidRPr="00A31E73" w:rsidRDefault="00A31E73" w:rsidP="00A31E73">
            <w:pPr>
              <w:jc w:val="right"/>
              <w:rPr>
                <w:rFonts w:ascii="Arial" w:hAnsi="Arial" w:cs="Arial"/>
                <w:sz w:val="18"/>
                <w:szCs w:val="18"/>
              </w:rPr>
            </w:pPr>
            <w:r w:rsidRPr="00A31E73">
              <w:rPr>
                <w:rFonts w:ascii="Arial" w:hAnsi="Arial" w:cs="Arial"/>
                <w:sz w:val="18"/>
                <w:szCs w:val="18"/>
              </w:rPr>
              <w:t xml:space="preserve"> 7,318,091 </w:t>
            </w:r>
          </w:p>
        </w:tc>
        <w:tc>
          <w:tcPr>
            <w:tcW w:w="1218" w:type="dxa"/>
            <w:tcBorders>
              <w:top w:val="single" w:sz="4" w:space="0" w:color="auto"/>
              <w:left w:val="single" w:sz="4" w:space="0" w:color="auto"/>
              <w:bottom w:val="single" w:sz="4" w:space="0" w:color="auto"/>
              <w:right w:val="single" w:sz="4" w:space="0" w:color="auto"/>
            </w:tcBorders>
            <w:noWrap/>
            <w:vAlign w:val="center"/>
          </w:tcPr>
          <w:p w:rsidR="00A31E73" w:rsidRPr="00A31E73" w:rsidRDefault="00A31E73" w:rsidP="00A31E73">
            <w:pPr>
              <w:jc w:val="right"/>
              <w:rPr>
                <w:rFonts w:ascii="Arial" w:hAnsi="Arial" w:cs="Arial"/>
                <w:sz w:val="18"/>
                <w:szCs w:val="18"/>
              </w:rPr>
            </w:pPr>
            <w:r w:rsidRPr="00A31E73">
              <w:rPr>
                <w:rFonts w:ascii="Arial" w:hAnsi="Arial" w:cs="Arial"/>
                <w:sz w:val="18"/>
                <w:szCs w:val="18"/>
              </w:rPr>
              <w:t xml:space="preserve"> 7,813,598 </w:t>
            </w:r>
          </w:p>
        </w:tc>
        <w:tc>
          <w:tcPr>
            <w:tcW w:w="1218" w:type="dxa"/>
            <w:tcBorders>
              <w:top w:val="single" w:sz="4" w:space="0" w:color="auto"/>
              <w:left w:val="single" w:sz="4" w:space="0" w:color="auto"/>
              <w:bottom w:val="single" w:sz="4" w:space="0" w:color="auto"/>
              <w:right w:val="single" w:sz="4" w:space="0" w:color="auto"/>
            </w:tcBorders>
            <w:noWrap/>
            <w:vAlign w:val="center"/>
          </w:tcPr>
          <w:p w:rsidR="00A31E73" w:rsidRPr="00A31E73" w:rsidRDefault="00A31E73" w:rsidP="00A31E73">
            <w:pPr>
              <w:jc w:val="right"/>
              <w:rPr>
                <w:rFonts w:ascii="Arial" w:hAnsi="Arial" w:cs="Arial"/>
                <w:sz w:val="18"/>
                <w:szCs w:val="18"/>
              </w:rPr>
            </w:pPr>
            <w:r w:rsidRPr="00A31E73">
              <w:rPr>
                <w:rFonts w:ascii="Arial" w:hAnsi="Arial" w:cs="Arial"/>
                <w:sz w:val="18"/>
                <w:szCs w:val="18"/>
              </w:rPr>
              <w:t xml:space="preserve"> 7,564,747 </w:t>
            </w:r>
          </w:p>
        </w:tc>
        <w:tc>
          <w:tcPr>
            <w:tcW w:w="1218" w:type="dxa"/>
            <w:tcBorders>
              <w:top w:val="single" w:sz="4" w:space="0" w:color="auto"/>
              <w:left w:val="single" w:sz="4" w:space="0" w:color="auto"/>
              <w:bottom w:val="single" w:sz="4" w:space="0" w:color="auto"/>
              <w:right w:val="single" w:sz="4" w:space="0" w:color="auto"/>
            </w:tcBorders>
            <w:noWrap/>
            <w:vAlign w:val="center"/>
          </w:tcPr>
          <w:p w:rsidR="00A31E73" w:rsidRPr="00A31E73" w:rsidRDefault="00A31E73" w:rsidP="00A31E73">
            <w:pPr>
              <w:jc w:val="right"/>
              <w:rPr>
                <w:rFonts w:ascii="Arial" w:hAnsi="Arial" w:cs="Arial"/>
                <w:sz w:val="18"/>
                <w:szCs w:val="18"/>
              </w:rPr>
            </w:pPr>
            <w:r w:rsidRPr="00A31E73">
              <w:rPr>
                <w:rFonts w:ascii="Arial" w:hAnsi="Arial" w:cs="Arial"/>
                <w:sz w:val="18"/>
                <w:szCs w:val="18"/>
              </w:rPr>
              <w:t xml:space="preserve"> 7,570,054 </w:t>
            </w:r>
          </w:p>
        </w:tc>
        <w:tc>
          <w:tcPr>
            <w:tcW w:w="1217" w:type="dxa"/>
            <w:tcBorders>
              <w:top w:val="single" w:sz="4" w:space="0" w:color="auto"/>
              <w:left w:val="single" w:sz="4" w:space="0" w:color="auto"/>
              <w:bottom w:val="single" w:sz="4" w:space="0" w:color="auto"/>
              <w:right w:val="single" w:sz="4" w:space="0" w:color="auto"/>
            </w:tcBorders>
            <w:noWrap/>
            <w:vAlign w:val="center"/>
          </w:tcPr>
          <w:p w:rsidR="00A31E73" w:rsidRPr="00A31E73" w:rsidRDefault="00A31E73" w:rsidP="00AD7F05">
            <w:pPr>
              <w:jc w:val="right"/>
              <w:rPr>
                <w:rFonts w:ascii="Arial" w:hAnsi="Arial" w:cs="Arial"/>
                <w:sz w:val="18"/>
                <w:szCs w:val="18"/>
              </w:rPr>
            </w:pPr>
            <w:r w:rsidRPr="00A31E73">
              <w:rPr>
                <w:rFonts w:ascii="Arial" w:hAnsi="Arial" w:cs="Arial"/>
                <w:sz w:val="18"/>
                <w:szCs w:val="18"/>
              </w:rPr>
              <w:t xml:space="preserve"> 30,266,491 </w:t>
            </w:r>
          </w:p>
        </w:tc>
      </w:tr>
      <w:tr w:rsidR="00A31E73" w:rsidRPr="00906AFB" w:rsidTr="00AD7F05">
        <w:trPr>
          <w:trHeight w:val="283"/>
          <w:jc w:val="center"/>
        </w:trPr>
        <w:tc>
          <w:tcPr>
            <w:tcW w:w="2555" w:type="dxa"/>
            <w:tcBorders>
              <w:top w:val="single" w:sz="4" w:space="0" w:color="auto"/>
              <w:left w:val="single" w:sz="4" w:space="0" w:color="auto"/>
              <w:bottom w:val="single" w:sz="4" w:space="0" w:color="auto"/>
              <w:right w:val="single" w:sz="4" w:space="0" w:color="auto"/>
            </w:tcBorders>
            <w:noWrap/>
            <w:vAlign w:val="center"/>
            <w:hideMark/>
          </w:tcPr>
          <w:p w:rsidR="00A31E73" w:rsidRPr="00A31E73" w:rsidRDefault="00A31E73" w:rsidP="00A31E73">
            <w:pPr>
              <w:rPr>
                <w:rFonts w:ascii="Arial" w:eastAsia="Times New Roman" w:hAnsi="Arial" w:cs="Arial"/>
                <w:sz w:val="18"/>
                <w:szCs w:val="18"/>
                <w:lang w:eastAsia="es-ES"/>
              </w:rPr>
            </w:pPr>
            <w:r w:rsidRPr="00A31E73">
              <w:rPr>
                <w:rFonts w:ascii="Arial" w:eastAsia="Times New Roman" w:hAnsi="Arial" w:cs="Arial"/>
                <w:sz w:val="18"/>
                <w:szCs w:val="18"/>
                <w:lang w:eastAsia="es-ES"/>
              </w:rPr>
              <w:t>Intereses Banobras 11126 y 111282</w:t>
            </w:r>
          </w:p>
        </w:tc>
        <w:tc>
          <w:tcPr>
            <w:tcW w:w="1218" w:type="dxa"/>
            <w:tcBorders>
              <w:top w:val="single" w:sz="4" w:space="0" w:color="auto"/>
              <w:left w:val="single" w:sz="4" w:space="0" w:color="auto"/>
              <w:bottom w:val="single" w:sz="4" w:space="0" w:color="auto"/>
              <w:right w:val="single" w:sz="4" w:space="0" w:color="auto"/>
            </w:tcBorders>
            <w:noWrap/>
            <w:vAlign w:val="center"/>
          </w:tcPr>
          <w:p w:rsidR="00A31E73" w:rsidRPr="00A31E73" w:rsidRDefault="00A31E73" w:rsidP="00A31E73">
            <w:pPr>
              <w:jc w:val="right"/>
              <w:rPr>
                <w:rFonts w:ascii="Arial" w:hAnsi="Arial" w:cs="Arial"/>
                <w:sz w:val="18"/>
                <w:szCs w:val="18"/>
              </w:rPr>
            </w:pPr>
            <w:r w:rsidRPr="00A31E73">
              <w:rPr>
                <w:rFonts w:ascii="Arial" w:hAnsi="Arial" w:cs="Arial"/>
                <w:sz w:val="18"/>
                <w:szCs w:val="18"/>
              </w:rPr>
              <w:t xml:space="preserve"> 4,449,868 </w:t>
            </w:r>
          </w:p>
        </w:tc>
        <w:tc>
          <w:tcPr>
            <w:tcW w:w="1218" w:type="dxa"/>
            <w:tcBorders>
              <w:top w:val="single" w:sz="4" w:space="0" w:color="auto"/>
              <w:left w:val="single" w:sz="4" w:space="0" w:color="auto"/>
              <w:bottom w:val="single" w:sz="4" w:space="0" w:color="auto"/>
              <w:right w:val="single" w:sz="4" w:space="0" w:color="auto"/>
            </w:tcBorders>
            <w:noWrap/>
            <w:vAlign w:val="center"/>
          </w:tcPr>
          <w:p w:rsidR="00A31E73" w:rsidRPr="00A31E73" w:rsidRDefault="00A31E73" w:rsidP="00A31E73">
            <w:pPr>
              <w:jc w:val="right"/>
              <w:rPr>
                <w:rFonts w:ascii="Arial" w:hAnsi="Arial" w:cs="Arial"/>
                <w:sz w:val="18"/>
                <w:szCs w:val="18"/>
              </w:rPr>
            </w:pPr>
            <w:r w:rsidRPr="00A31E73">
              <w:rPr>
                <w:rFonts w:ascii="Arial" w:hAnsi="Arial" w:cs="Arial"/>
                <w:sz w:val="18"/>
                <w:szCs w:val="18"/>
              </w:rPr>
              <w:t xml:space="preserve"> 4,546,744 </w:t>
            </w:r>
          </w:p>
        </w:tc>
        <w:tc>
          <w:tcPr>
            <w:tcW w:w="1218" w:type="dxa"/>
            <w:tcBorders>
              <w:top w:val="single" w:sz="4" w:space="0" w:color="auto"/>
              <w:left w:val="single" w:sz="4" w:space="0" w:color="auto"/>
              <w:bottom w:val="single" w:sz="4" w:space="0" w:color="auto"/>
              <w:right w:val="single" w:sz="4" w:space="0" w:color="auto"/>
            </w:tcBorders>
            <w:noWrap/>
            <w:vAlign w:val="center"/>
          </w:tcPr>
          <w:p w:rsidR="00A31E73" w:rsidRPr="00A31E73" w:rsidRDefault="00A31E73" w:rsidP="00A31E73">
            <w:pPr>
              <w:jc w:val="right"/>
              <w:rPr>
                <w:rFonts w:ascii="Arial" w:hAnsi="Arial" w:cs="Arial"/>
                <w:sz w:val="18"/>
                <w:szCs w:val="18"/>
              </w:rPr>
            </w:pPr>
            <w:r w:rsidRPr="00A31E73">
              <w:rPr>
                <w:rFonts w:ascii="Arial" w:hAnsi="Arial" w:cs="Arial"/>
                <w:sz w:val="18"/>
                <w:szCs w:val="18"/>
              </w:rPr>
              <w:t xml:space="preserve"> 4,645,905 </w:t>
            </w:r>
          </w:p>
        </w:tc>
        <w:tc>
          <w:tcPr>
            <w:tcW w:w="1218" w:type="dxa"/>
            <w:tcBorders>
              <w:top w:val="single" w:sz="4" w:space="0" w:color="auto"/>
              <w:left w:val="single" w:sz="4" w:space="0" w:color="auto"/>
              <w:bottom w:val="single" w:sz="4" w:space="0" w:color="auto"/>
              <w:right w:val="single" w:sz="4" w:space="0" w:color="auto"/>
            </w:tcBorders>
            <w:noWrap/>
            <w:vAlign w:val="center"/>
          </w:tcPr>
          <w:p w:rsidR="00A31E73" w:rsidRPr="00A31E73" w:rsidRDefault="00A31E73" w:rsidP="00A31E73">
            <w:pPr>
              <w:jc w:val="right"/>
              <w:rPr>
                <w:rFonts w:ascii="Arial" w:hAnsi="Arial" w:cs="Arial"/>
                <w:sz w:val="18"/>
                <w:szCs w:val="18"/>
              </w:rPr>
            </w:pPr>
            <w:r w:rsidRPr="00A31E73">
              <w:rPr>
                <w:rFonts w:ascii="Arial" w:hAnsi="Arial" w:cs="Arial"/>
                <w:sz w:val="18"/>
                <w:szCs w:val="18"/>
              </w:rPr>
              <w:t xml:space="preserve"> 4,550,246 </w:t>
            </w:r>
          </w:p>
        </w:tc>
        <w:tc>
          <w:tcPr>
            <w:tcW w:w="1217" w:type="dxa"/>
            <w:tcBorders>
              <w:top w:val="single" w:sz="4" w:space="0" w:color="auto"/>
              <w:left w:val="single" w:sz="4" w:space="0" w:color="auto"/>
              <w:bottom w:val="single" w:sz="4" w:space="0" w:color="auto"/>
              <w:right w:val="single" w:sz="4" w:space="0" w:color="auto"/>
            </w:tcBorders>
            <w:noWrap/>
            <w:vAlign w:val="center"/>
          </w:tcPr>
          <w:p w:rsidR="00A31E73" w:rsidRPr="00A31E73" w:rsidRDefault="00A31E73" w:rsidP="00AD7F05">
            <w:pPr>
              <w:jc w:val="right"/>
              <w:rPr>
                <w:rFonts w:ascii="Arial" w:hAnsi="Arial" w:cs="Arial"/>
                <w:sz w:val="18"/>
                <w:szCs w:val="18"/>
              </w:rPr>
            </w:pPr>
            <w:r w:rsidRPr="00A31E73">
              <w:rPr>
                <w:rFonts w:ascii="Arial" w:hAnsi="Arial" w:cs="Arial"/>
                <w:sz w:val="18"/>
                <w:szCs w:val="18"/>
              </w:rPr>
              <w:t xml:space="preserve"> 18,192,763 </w:t>
            </w:r>
          </w:p>
        </w:tc>
      </w:tr>
      <w:tr w:rsidR="00A31E73" w:rsidRPr="00906AFB" w:rsidTr="00AD7F05">
        <w:trPr>
          <w:trHeight w:val="283"/>
          <w:jc w:val="center"/>
        </w:trPr>
        <w:tc>
          <w:tcPr>
            <w:tcW w:w="2555" w:type="dxa"/>
            <w:tcBorders>
              <w:top w:val="single" w:sz="4" w:space="0" w:color="auto"/>
              <w:left w:val="single" w:sz="4" w:space="0" w:color="auto"/>
              <w:bottom w:val="single" w:sz="4" w:space="0" w:color="auto"/>
              <w:right w:val="single" w:sz="4" w:space="0" w:color="auto"/>
            </w:tcBorders>
            <w:noWrap/>
            <w:vAlign w:val="center"/>
            <w:hideMark/>
          </w:tcPr>
          <w:p w:rsidR="00A31E73" w:rsidRPr="00A31E73" w:rsidRDefault="00A31E73" w:rsidP="00A31E73">
            <w:pPr>
              <w:rPr>
                <w:rFonts w:ascii="Arial" w:eastAsia="Times New Roman" w:hAnsi="Arial" w:cs="Arial"/>
                <w:sz w:val="18"/>
                <w:szCs w:val="18"/>
                <w:lang w:eastAsia="es-ES"/>
              </w:rPr>
            </w:pPr>
            <w:r w:rsidRPr="00A31E73">
              <w:rPr>
                <w:rFonts w:ascii="Arial" w:eastAsia="Times New Roman" w:hAnsi="Arial" w:cs="Arial"/>
                <w:sz w:val="18"/>
                <w:szCs w:val="18"/>
                <w:lang w:eastAsia="es-ES"/>
              </w:rPr>
              <w:t>Crédito Banobras 11149</w:t>
            </w:r>
          </w:p>
        </w:tc>
        <w:tc>
          <w:tcPr>
            <w:tcW w:w="1218" w:type="dxa"/>
            <w:tcBorders>
              <w:top w:val="single" w:sz="4" w:space="0" w:color="auto"/>
              <w:left w:val="single" w:sz="4" w:space="0" w:color="auto"/>
              <w:bottom w:val="single" w:sz="4" w:space="0" w:color="auto"/>
              <w:right w:val="single" w:sz="4" w:space="0" w:color="auto"/>
            </w:tcBorders>
            <w:noWrap/>
            <w:vAlign w:val="center"/>
          </w:tcPr>
          <w:p w:rsidR="00A31E73" w:rsidRPr="00A31E73" w:rsidRDefault="00A31E73" w:rsidP="00A31E73">
            <w:pPr>
              <w:jc w:val="right"/>
              <w:rPr>
                <w:rFonts w:ascii="Arial" w:hAnsi="Arial" w:cs="Arial"/>
                <w:sz w:val="18"/>
                <w:szCs w:val="18"/>
              </w:rPr>
            </w:pPr>
            <w:r w:rsidRPr="00A31E73">
              <w:rPr>
                <w:rFonts w:ascii="Arial" w:hAnsi="Arial" w:cs="Arial"/>
                <w:sz w:val="18"/>
                <w:szCs w:val="18"/>
              </w:rPr>
              <w:t xml:space="preserve"> 17,114,189 </w:t>
            </w:r>
          </w:p>
        </w:tc>
        <w:tc>
          <w:tcPr>
            <w:tcW w:w="1218" w:type="dxa"/>
            <w:tcBorders>
              <w:top w:val="single" w:sz="4" w:space="0" w:color="auto"/>
              <w:left w:val="single" w:sz="4" w:space="0" w:color="auto"/>
              <w:bottom w:val="single" w:sz="4" w:space="0" w:color="auto"/>
              <w:right w:val="single" w:sz="4" w:space="0" w:color="auto"/>
            </w:tcBorders>
            <w:noWrap/>
            <w:vAlign w:val="center"/>
          </w:tcPr>
          <w:p w:rsidR="00A31E73" w:rsidRPr="00A31E73" w:rsidRDefault="00A31E73" w:rsidP="00A31E73">
            <w:pPr>
              <w:jc w:val="right"/>
              <w:rPr>
                <w:rFonts w:ascii="Arial" w:hAnsi="Arial" w:cs="Arial"/>
                <w:sz w:val="18"/>
                <w:szCs w:val="18"/>
              </w:rPr>
            </w:pPr>
            <w:r w:rsidRPr="00A31E73">
              <w:rPr>
                <w:rFonts w:ascii="Arial" w:hAnsi="Arial" w:cs="Arial"/>
                <w:sz w:val="18"/>
                <w:szCs w:val="18"/>
              </w:rPr>
              <w:t xml:space="preserve"> 17,216,745 </w:t>
            </w:r>
          </w:p>
        </w:tc>
        <w:tc>
          <w:tcPr>
            <w:tcW w:w="1218" w:type="dxa"/>
            <w:tcBorders>
              <w:top w:val="single" w:sz="4" w:space="0" w:color="auto"/>
              <w:left w:val="single" w:sz="4" w:space="0" w:color="auto"/>
              <w:bottom w:val="single" w:sz="4" w:space="0" w:color="auto"/>
              <w:right w:val="single" w:sz="4" w:space="0" w:color="auto"/>
            </w:tcBorders>
            <w:noWrap/>
            <w:vAlign w:val="center"/>
          </w:tcPr>
          <w:p w:rsidR="00A31E73" w:rsidRPr="00A31E73" w:rsidRDefault="00A31E73" w:rsidP="00A31E73">
            <w:pPr>
              <w:jc w:val="right"/>
              <w:rPr>
                <w:rFonts w:ascii="Arial" w:hAnsi="Arial" w:cs="Arial"/>
                <w:sz w:val="18"/>
                <w:szCs w:val="18"/>
              </w:rPr>
            </w:pPr>
            <w:r w:rsidRPr="00A31E73">
              <w:rPr>
                <w:rFonts w:ascii="Arial" w:hAnsi="Arial" w:cs="Arial"/>
                <w:sz w:val="18"/>
                <w:szCs w:val="18"/>
              </w:rPr>
              <w:t xml:space="preserve"> 17,316,747 </w:t>
            </w:r>
          </w:p>
        </w:tc>
        <w:tc>
          <w:tcPr>
            <w:tcW w:w="1218" w:type="dxa"/>
            <w:tcBorders>
              <w:top w:val="single" w:sz="4" w:space="0" w:color="auto"/>
              <w:left w:val="single" w:sz="4" w:space="0" w:color="auto"/>
              <w:bottom w:val="single" w:sz="4" w:space="0" w:color="auto"/>
              <w:right w:val="single" w:sz="4" w:space="0" w:color="auto"/>
            </w:tcBorders>
            <w:noWrap/>
            <w:vAlign w:val="center"/>
          </w:tcPr>
          <w:p w:rsidR="00A31E73" w:rsidRPr="00A31E73" w:rsidRDefault="00A31E73" w:rsidP="00A31E73">
            <w:pPr>
              <w:jc w:val="right"/>
              <w:rPr>
                <w:rFonts w:ascii="Arial" w:hAnsi="Arial" w:cs="Arial"/>
                <w:sz w:val="18"/>
                <w:szCs w:val="18"/>
              </w:rPr>
            </w:pPr>
            <w:r w:rsidRPr="00A31E73">
              <w:rPr>
                <w:rFonts w:ascii="Arial" w:hAnsi="Arial" w:cs="Arial"/>
                <w:sz w:val="18"/>
                <w:szCs w:val="18"/>
              </w:rPr>
              <w:t xml:space="preserve"> 16,980,206 </w:t>
            </w:r>
          </w:p>
        </w:tc>
        <w:tc>
          <w:tcPr>
            <w:tcW w:w="1217" w:type="dxa"/>
            <w:tcBorders>
              <w:top w:val="single" w:sz="4" w:space="0" w:color="auto"/>
              <w:left w:val="single" w:sz="4" w:space="0" w:color="auto"/>
              <w:bottom w:val="single" w:sz="4" w:space="0" w:color="auto"/>
              <w:right w:val="single" w:sz="4" w:space="0" w:color="auto"/>
            </w:tcBorders>
            <w:noWrap/>
            <w:vAlign w:val="center"/>
          </w:tcPr>
          <w:p w:rsidR="00A31E73" w:rsidRPr="00A31E73" w:rsidRDefault="00A31E73" w:rsidP="00AD7F05">
            <w:pPr>
              <w:jc w:val="right"/>
              <w:rPr>
                <w:rFonts w:ascii="Arial" w:hAnsi="Arial" w:cs="Arial"/>
                <w:sz w:val="18"/>
                <w:szCs w:val="18"/>
              </w:rPr>
            </w:pPr>
            <w:r w:rsidRPr="00A31E73">
              <w:rPr>
                <w:rFonts w:ascii="Arial" w:hAnsi="Arial" w:cs="Arial"/>
                <w:sz w:val="18"/>
                <w:szCs w:val="18"/>
              </w:rPr>
              <w:t xml:space="preserve"> 68,627,887 </w:t>
            </w:r>
          </w:p>
        </w:tc>
      </w:tr>
      <w:tr w:rsidR="00A31E73" w:rsidRPr="00A31E73" w:rsidTr="00AD7F05">
        <w:trPr>
          <w:trHeight w:val="283"/>
          <w:jc w:val="center"/>
        </w:trPr>
        <w:tc>
          <w:tcPr>
            <w:tcW w:w="2555" w:type="dxa"/>
            <w:tcBorders>
              <w:top w:val="single" w:sz="4" w:space="0" w:color="auto"/>
              <w:left w:val="single" w:sz="4" w:space="0" w:color="auto"/>
              <w:bottom w:val="single" w:sz="4" w:space="0" w:color="auto"/>
              <w:right w:val="single" w:sz="4" w:space="0" w:color="auto"/>
            </w:tcBorders>
            <w:noWrap/>
            <w:vAlign w:val="center"/>
            <w:hideMark/>
          </w:tcPr>
          <w:p w:rsidR="00A31E73" w:rsidRPr="00A31E73" w:rsidRDefault="00A31E73" w:rsidP="00A31E73">
            <w:pPr>
              <w:rPr>
                <w:rFonts w:ascii="Arial" w:eastAsia="Times New Roman" w:hAnsi="Arial" w:cs="Arial"/>
                <w:b/>
                <w:bCs/>
                <w:sz w:val="18"/>
                <w:szCs w:val="18"/>
                <w:lang w:eastAsia="es-ES"/>
              </w:rPr>
            </w:pPr>
            <w:r w:rsidRPr="00A31E73">
              <w:rPr>
                <w:rFonts w:ascii="Arial" w:eastAsia="Times New Roman" w:hAnsi="Arial" w:cs="Arial"/>
                <w:b/>
                <w:bCs/>
                <w:sz w:val="18"/>
                <w:szCs w:val="18"/>
                <w:lang w:eastAsia="es-ES"/>
              </w:rPr>
              <w:t>Subtotal Banca de Desarrollo</w:t>
            </w:r>
          </w:p>
        </w:tc>
        <w:tc>
          <w:tcPr>
            <w:tcW w:w="1218" w:type="dxa"/>
            <w:tcBorders>
              <w:top w:val="single" w:sz="4" w:space="0" w:color="auto"/>
              <w:left w:val="single" w:sz="4" w:space="0" w:color="auto"/>
              <w:bottom w:val="single" w:sz="4" w:space="0" w:color="auto"/>
              <w:right w:val="single" w:sz="4" w:space="0" w:color="auto"/>
            </w:tcBorders>
            <w:noWrap/>
            <w:vAlign w:val="center"/>
          </w:tcPr>
          <w:p w:rsidR="00A31E73" w:rsidRPr="00A31E73" w:rsidRDefault="00A31E73" w:rsidP="00A31E73">
            <w:pPr>
              <w:jc w:val="right"/>
              <w:rPr>
                <w:rFonts w:ascii="Arial" w:hAnsi="Arial" w:cs="Arial"/>
                <w:b/>
                <w:sz w:val="18"/>
                <w:szCs w:val="18"/>
              </w:rPr>
            </w:pPr>
            <w:r w:rsidRPr="00A31E73">
              <w:rPr>
                <w:rFonts w:ascii="Arial" w:hAnsi="Arial" w:cs="Arial"/>
                <w:b/>
                <w:sz w:val="18"/>
                <w:szCs w:val="18"/>
              </w:rPr>
              <w:t xml:space="preserve"> 45,710,665 </w:t>
            </w:r>
          </w:p>
        </w:tc>
        <w:tc>
          <w:tcPr>
            <w:tcW w:w="1218" w:type="dxa"/>
            <w:tcBorders>
              <w:top w:val="single" w:sz="4" w:space="0" w:color="auto"/>
              <w:left w:val="single" w:sz="4" w:space="0" w:color="auto"/>
              <w:bottom w:val="single" w:sz="4" w:space="0" w:color="auto"/>
              <w:right w:val="single" w:sz="4" w:space="0" w:color="auto"/>
            </w:tcBorders>
            <w:noWrap/>
            <w:vAlign w:val="center"/>
          </w:tcPr>
          <w:p w:rsidR="00A31E73" w:rsidRPr="00A31E73" w:rsidRDefault="00A31E73" w:rsidP="00A31E73">
            <w:pPr>
              <w:jc w:val="right"/>
              <w:rPr>
                <w:rFonts w:ascii="Arial" w:hAnsi="Arial" w:cs="Arial"/>
                <w:b/>
                <w:sz w:val="18"/>
                <w:szCs w:val="18"/>
              </w:rPr>
            </w:pPr>
            <w:r w:rsidRPr="00A31E73">
              <w:rPr>
                <w:rFonts w:ascii="Arial" w:hAnsi="Arial" w:cs="Arial"/>
                <w:b/>
                <w:sz w:val="18"/>
                <w:szCs w:val="18"/>
              </w:rPr>
              <w:t xml:space="preserve"> 46,684,661 </w:t>
            </w:r>
          </w:p>
        </w:tc>
        <w:tc>
          <w:tcPr>
            <w:tcW w:w="1218" w:type="dxa"/>
            <w:tcBorders>
              <w:top w:val="single" w:sz="4" w:space="0" w:color="auto"/>
              <w:left w:val="single" w:sz="4" w:space="0" w:color="auto"/>
              <w:bottom w:val="single" w:sz="4" w:space="0" w:color="auto"/>
              <w:right w:val="single" w:sz="4" w:space="0" w:color="auto"/>
            </w:tcBorders>
            <w:noWrap/>
            <w:vAlign w:val="center"/>
          </w:tcPr>
          <w:p w:rsidR="00A31E73" w:rsidRPr="00A31E73" w:rsidRDefault="00A31E73" w:rsidP="00A31E73">
            <w:pPr>
              <w:jc w:val="right"/>
              <w:rPr>
                <w:rFonts w:ascii="Arial" w:hAnsi="Arial" w:cs="Arial"/>
                <w:b/>
                <w:sz w:val="18"/>
                <w:szCs w:val="18"/>
              </w:rPr>
            </w:pPr>
            <w:r w:rsidRPr="00A31E73">
              <w:rPr>
                <w:rFonts w:ascii="Arial" w:hAnsi="Arial" w:cs="Arial"/>
                <w:b/>
                <w:sz w:val="18"/>
                <w:szCs w:val="18"/>
              </w:rPr>
              <w:t xml:space="preserve"> 46,915,039 </w:t>
            </w:r>
          </w:p>
        </w:tc>
        <w:tc>
          <w:tcPr>
            <w:tcW w:w="1218" w:type="dxa"/>
            <w:tcBorders>
              <w:top w:val="single" w:sz="4" w:space="0" w:color="auto"/>
              <w:left w:val="single" w:sz="4" w:space="0" w:color="auto"/>
              <w:bottom w:val="single" w:sz="4" w:space="0" w:color="auto"/>
              <w:right w:val="single" w:sz="4" w:space="0" w:color="auto"/>
            </w:tcBorders>
            <w:noWrap/>
            <w:vAlign w:val="center"/>
          </w:tcPr>
          <w:p w:rsidR="00A31E73" w:rsidRPr="00A31E73" w:rsidRDefault="00A31E73" w:rsidP="00A31E73">
            <w:pPr>
              <w:jc w:val="right"/>
              <w:rPr>
                <w:rFonts w:ascii="Arial" w:hAnsi="Arial" w:cs="Arial"/>
                <w:b/>
                <w:sz w:val="18"/>
                <w:szCs w:val="18"/>
              </w:rPr>
            </w:pPr>
            <w:r w:rsidRPr="00A31E73">
              <w:rPr>
                <w:rFonts w:ascii="Arial" w:hAnsi="Arial" w:cs="Arial"/>
                <w:b/>
                <w:sz w:val="18"/>
                <w:szCs w:val="18"/>
              </w:rPr>
              <w:t xml:space="preserve"> 46,233,659 </w:t>
            </w:r>
          </w:p>
        </w:tc>
        <w:tc>
          <w:tcPr>
            <w:tcW w:w="1217" w:type="dxa"/>
            <w:tcBorders>
              <w:top w:val="single" w:sz="4" w:space="0" w:color="auto"/>
              <w:left w:val="single" w:sz="4" w:space="0" w:color="auto"/>
              <w:bottom w:val="single" w:sz="4" w:space="0" w:color="auto"/>
              <w:right w:val="single" w:sz="4" w:space="0" w:color="auto"/>
            </w:tcBorders>
            <w:noWrap/>
            <w:vAlign w:val="center"/>
          </w:tcPr>
          <w:p w:rsidR="00A31E73" w:rsidRPr="00A31E73" w:rsidRDefault="00A31E73" w:rsidP="00AD7F05">
            <w:pPr>
              <w:jc w:val="right"/>
              <w:rPr>
                <w:rFonts w:ascii="Arial" w:hAnsi="Arial" w:cs="Arial"/>
                <w:b/>
                <w:sz w:val="18"/>
                <w:szCs w:val="18"/>
              </w:rPr>
            </w:pPr>
            <w:r w:rsidRPr="00A31E73">
              <w:rPr>
                <w:rFonts w:ascii="Arial" w:hAnsi="Arial" w:cs="Arial"/>
                <w:b/>
                <w:sz w:val="18"/>
                <w:szCs w:val="18"/>
              </w:rPr>
              <w:t xml:space="preserve">185,544,025 </w:t>
            </w:r>
          </w:p>
        </w:tc>
      </w:tr>
      <w:tr w:rsidR="00A31E73" w:rsidRPr="00906AFB" w:rsidTr="00AD7F05">
        <w:trPr>
          <w:trHeight w:val="283"/>
          <w:jc w:val="center"/>
        </w:trPr>
        <w:tc>
          <w:tcPr>
            <w:tcW w:w="2555" w:type="dxa"/>
            <w:tcBorders>
              <w:top w:val="single" w:sz="4" w:space="0" w:color="auto"/>
              <w:left w:val="single" w:sz="4" w:space="0" w:color="auto"/>
              <w:bottom w:val="single" w:sz="4" w:space="0" w:color="auto"/>
              <w:right w:val="single" w:sz="4" w:space="0" w:color="auto"/>
            </w:tcBorders>
            <w:noWrap/>
            <w:vAlign w:val="center"/>
            <w:hideMark/>
          </w:tcPr>
          <w:p w:rsidR="00A31E73" w:rsidRPr="00A31E73" w:rsidRDefault="00A31E73" w:rsidP="00A31E73">
            <w:pPr>
              <w:rPr>
                <w:rFonts w:ascii="Arial" w:eastAsia="Times New Roman" w:hAnsi="Arial" w:cs="Arial"/>
                <w:sz w:val="18"/>
                <w:szCs w:val="18"/>
                <w:lang w:eastAsia="es-ES"/>
              </w:rPr>
            </w:pPr>
            <w:r w:rsidRPr="00A31E73">
              <w:rPr>
                <w:rFonts w:ascii="Arial" w:eastAsia="Times New Roman" w:hAnsi="Arial" w:cs="Arial"/>
                <w:sz w:val="18"/>
                <w:szCs w:val="18"/>
                <w:lang w:eastAsia="es-ES"/>
              </w:rPr>
              <w:t>Crédito Banorte 34228560</w:t>
            </w:r>
          </w:p>
        </w:tc>
        <w:tc>
          <w:tcPr>
            <w:tcW w:w="1218" w:type="dxa"/>
            <w:tcBorders>
              <w:top w:val="single" w:sz="4" w:space="0" w:color="auto"/>
              <w:left w:val="single" w:sz="4" w:space="0" w:color="auto"/>
              <w:bottom w:val="single" w:sz="4" w:space="0" w:color="auto"/>
              <w:right w:val="single" w:sz="4" w:space="0" w:color="auto"/>
            </w:tcBorders>
            <w:noWrap/>
            <w:vAlign w:val="center"/>
          </w:tcPr>
          <w:p w:rsidR="00A31E73" w:rsidRPr="00A31E73" w:rsidRDefault="00A31E73" w:rsidP="00A31E73">
            <w:pPr>
              <w:jc w:val="right"/>
              <w:rPr>
                <w:rFonts w:ascii="Arial" w:hAnsi="Arial" w:cs="Arial"/>
                <w:sz w:val="18"/>
                <w:szCs w:val="18"/>
              </w:rPr>
            </w:pPr>
            <w:r w:rsidRPr="00A31E73">
              <w:rPr>
                <w:rFonts w:ascii="Arial" w:hAnsi="Arial" w:cs="Arial"/>
                <w:sz w:val="18"/>
                <w:szCs w:val="18"/>
              </w:rPr>
              <w:t xml:space="preserve"> 3,300,506 </w:t>
            </w:r>
          </w:p>
        </w:tc>
        <w:tc>
          <w:tcPr>
            <w:tcW w:w="1218" w:type="dxa"/>
            <w:tcBorders>
              <w:top w:val="single" w:sz="4" w:space="0" w:color="auto"/>
              <w:left w:val="single" w:sz="4" w:space="0" w:color="auto"/>
              <w:bottom w:val="single" w:sz="4" w:space="0" w:color="auto"/>
              <w:right w:val="single" w:sz="4" w:space="0" w:color="auto"/>
            </w:tcBorders>
            <w:noWrap/>
            <w:vAlign w:val="center"/>
          </w:tcPr>
          <w:p w:rsidR="00A31E73" w:rsidRPr="00A31E73" w:rsidRDefault="00A31E73" w:rsidP="00A31E73">
            <w:pPr>
              <w:jc w:val="right"/>
              <w:rPr>
                <w:rFonts w:ascii="Arial" w:hAnsi="Arial" w:cs="Arial"/>
                <w:sz w:val="18"/>
                <w:szCs w:val="18"/>
              </w:rPr>
            </w:pPr>
            <w:r w:rsidRPr="00A31E73">
              <w:rPr>
                <w:rFonts w:ascii="Arial" w:hAnsi="Arial" w:cs="Arial"/>
                <w:sz w:val="18"/>
                <w:szCs w:val="18"/>
              </w:rPr>
              <w:t xml:space="preserve"> 3,235,667 </w:t>
            </w:r>
          </w:p>
        </w:tc>
        <w:tc>
          <w:tcPr>
            <w:tcW w:w="1218" w:type="dxa"/>
            <w:tcBorders>
              <w:top w:val="single" w:sz="4" w:space="0" w:color="auto"/>
              <w:left w:val="single" w:sz="4" w:space="0" w:color="auto"/>
              <w:bottom w:val="single" w:sz="4" w:space="0" w:color="auto"/>
              <w:right w:val="single" w:sz="4" w:space="0" w:color="auto"/>
            </w:tcBorders>
            <w:noWrap/>
            <w:vAlign w:val="center"/>
          </w:tcPr>
          <w:p w:rsidR="00A31E73" w:rsidRPr="00A31E73" w:rsidRDefault="00A31E73" w:rsidP="00A31E73">
            <w:pPr>
              <w:jc w:val="right"/>
              <w:rPr>
                <w:rFonts w:ascii="Arial" w:hAnsi="Arial" w:cs="Arial"/>
                <w:sz w:val="18"/>
                <w:szCs w:val="18"/>
              </w:rPr>
            </w:pPr>
            <w:r w:rsidRPr="00A31E73">
              <w:rPr>
                <w:rFonts w:ascii="Arial" w:hAnsi="Arial" w:cs="Arial"/>
                <w:sz w:val="18"/>
                <w:szCs w:val="18"/>
              </w:rPr>
              <w:t xml:space="preserve"> 3,171,150 </w:t>
            </w:r>
          </w:p>
        </w:tc>
        <w:tc>
          <w:tcPr>
            <w:tcW w:w="1218" w:type="dxa"/>
            <w:tcBorders>
              <w:top w:val="single" w:sz="4" w:space="0" w:color="auto"/>
              <w:left w:val="single" w:sz="4" w:space="0" w:color="auto"/>
              <w:bottom w:val="single" w:sz="4" w:space="0" w:color="auto"/>
              <w:right w:val="single" w:sz="4" w:space="0" w:color="auto"/>
            </w:tcBorders>
            <w:noWrap/>
            <w:vAlign w:val="center"/>
          </w:tcPr>
          <w:p w:rsidR="00A31E73" w:rsidRPr="00A31E73" w:rsidRDefault="00A31E73" w:rsidP="00A31E73">
            <w:pPr>
              <w:jc w:val="right"/>
              <w:rPr>
                <w:rFonts w:ascii="Arial" w:hAnsi="Arial" w:cs="Arial"/>
                <w:sz w:val="18"/>
                <w:szCs w:val="18"/>
              </w:rPr>
            </w:pPr>
            <w:r w:rsidRPr="00A31E73">
              <w:rPr>
                <w:rFonts w:ascii="Arial" w:hAnsi="Arial" w:cs="Arial"/>
                <w:sz w:val="18"/>
                <w:szCs w:val="18"/>
              </w:rPr>
              <w:t xml:space="preserve"> 3,106,909 </w:t>
            </w:r>
          </w:p>
        </w:tc>
        <w:tc>
          <w:tcPr>
            <w:tcW w:w="1217" w:type="dxa"/>
            <w:tcBorders>
              <w:top w:val="single" w:sz="4" w:space="0" w:color="auto"/>
              <w:left w:val="single" w:sz="4" w:space="0" w:color="auto"/>
              <w:bottom w:val="single" w:sz="4" w:space="0" w:color="auto"/>
              <w:right w:val="single" w:sz="4" w:space="0" w:color="auto"/>
            </w:tcBorders>
            <w:noWrap/>
            <w:vAlign w:val="center"/>
          </w:tcPr>
          <w:p w:rsidR="00A31E73" w:rsidRPr="00A31E73" w:rsidRDefault="00A31E73" w:rsidP="00AD7F05">
            <w:pPr>
              <w:jc w:val="right"/>
              <w:rPr>
                <w:rFonts w:ascii="Arial" w:hAnsi="Arial" w:cs="Arial"/>
                <w:sz w:val="18"/>
                <w:szCs w:val="18"/>
              </w:rPr>
            </w:pPr>
            <w:r w:rsidRPr="00A31E73">
              <w:rPr>
                <w:rFonts w:ascii="Arial" w:hAnsi="Arial" w:cs="Arial"/>
                <w:sz w:val="18"/>
                <w:szCs w:val="18"/>
              </w:rPr>
              <w:t xml:space="preserve">12,814,231 </w:t>
            </w:r>
          </w:p>
        </w:tc>
      </w:tr>
      <w:tr w:rsidR="00A31E73" w:rsidRPr="00906AFB" w:rsidTr="00AD7F05">
        <w:trPr>
          <w:trHeight w:val="283"/>
          <w:jc w:val="center"/>
        </w:trPr>
        <w:tc>
          <w:tcPr>
            <w:tcW w:w="2555" w:type="dxa"/>
            <w:tcBorders>
              <w:top w:val="single" w:sz="4" w:space="0" w:color="auto"/>
              <w:left w:val="single" w:sz="4" w:space="0" w:color="auto"/>
              <w:bottom w:val="single" w:sz="4" w:space="0" w:color="auto"/>
              <w:right w:val="single" w:sz="4" w:space="0" w:color="auto"/>
            </w:tcBorders>
            <w:noWrap/>
            <w:vAlign w:val="center"/>
            <w:hideMark/>
          </w:tcPr>
          <w:p w:rsidR="00A31E73" w:rsidRPr="00A31E73" w:rsidRDefault="00A31E73" w:rsidP="00A31E73">
            <w:pPr>
              <w:rPr>
                <w:rFonts w:ascii="Arial" w:eastAsia="Times New Roman" w:hAnsi="Arial" w:cs="Arial"/>
                <w:sz w:val="18"/>
                <w:szCs w:val="18"/>
                <w:lang w:eastAsia="es-ES"/>
              </w:rPr>
            </w:pPr>
            <w:r w:rsidRPr="00A31E73">
              <w:rPr>
                <w:rFonts w:ascii="Arial" w:eastAsia="Times New Roman" w:hAnsi="Arial" w:cs="Arial"/>
                <w:sz w:val="18"/>
                <w:szCs w:val="18"/>
                <w:lang w:eastAsia="es-ES"/>
              </w:rPr>
              <w:t>Crédito Banorte 45523370</w:t>
            </w:r>
          </w:p>
        </w:tc>
        <w:tc>
          <w:tcPr>
            <w:tcW w:w="1218" w:type="dxa"/>
            <w:tcBorders>
              <w:top w:val="single" w:sz="4" w:space="0" w:color="auto"/>
              <w:left w:val="single" w:sz="4" w:space="0" w:color="auto"/>
              <w:bottom w:val="single" w:sz="4" w:space="0" w:color="auto"/>
              <w:right w:val="single" w:sz="4" w:space="0" w:color="auto"/>
            </w:tcBorders>
            <w:noWrap/>
            <w:vAlign w:val="center"/>
          </w:tcPr>
          <w:p w:rsidR="00A31E73" w:rsidRPr="00A31E73" w:rsidRDefault="00A31E73" w:rsidP="00A31E73">
            <w:pPr>
              <w:jc w:val="right"/>
              <w:rPr>
                <w:rFonts w:ascii="Arial" w:hAnsi="Arial" w:cs="Arial"/>
                <w:sz w:val="18"/>
                <w:szCs w:val="18"/>
              </w:rPr>
            </w:pPr>
            <w:r w:rsidRPr="00A31E73">
              <w:rPr>
                <w:rFonts w:ascii="Arial" w:hAnsi="Arial" w:cs="Arial"/>
                <w:sz w:val="18"/>
                <w:szCs w:val="18"/>
              </w:rPr>
              <w:t xml:space="preserve"> 20,823,604 </w:t>
            </w:r>
          </w:p>
        </w:tc>
        <w:tc>
          <w:tcPr>
            <w:tcW w:w="1218" w:type="dxa"/>
            <w:tcBorders>
              <w:top w:val="single" w:sz="4" w:space="0" w:color="auto"/>
              <w:left w:val="single" w:sz="4" w:space="0" w:color="auto"/>
              <w:bottom w:val="single" w:sz="4" w:space="0" w:color="auto"/>
              <w:right w:val="single" w:sz="4" w:space="0" w:color="auto"/>
            </w:tcBorders>
            <w:noWrap/>
            <w:vAlign w:val="center"/>
          </w:tcPr>
          <w:p w:rsidR="00A31E73" w:rsidRPr="00A31E73" w:rsidRDefault="00A31E73" w:rsidP="00A31E73">
            <w:pPr>
              <w:jc w:val="right"/>
              <w:rPr>
                <w:rFonts w:ascii="Arial" w:hAnsi="Arial" w:cs="Arial"/>
                <w:sz w:val="18"/>
                <w:szCs w:val="18"/>
              </w:rPr>
            </w:pPr>
            <w:r w:rsidRPr="00A31E73">
              <w:rPr>
                <w:rFonts w:ascii="Arial" w:hAnsi="Arial" w:cs="Arial"/>
                <w:sz w:val="18"/>
                <w:szCs w:val="18"/>
              </w:rPr>
              <w:t xml:space="preserve"> 20,863,358 </w:t>
            </w:r>
          </w:p>
        </w:tc>
        <w:tc>
          <w:tcPr>
            <w:tcW w:w="1218" w:type="dxa"/>
            <w:tcBorders>
              <w:top w:val="single" w:sz="4" w:space="0" w:color="auto"/>
              <w:left w:val="single" w:sz="4" w:space="0" w:color="auto"/>
              <w:bottom w:val="single" w:sz="4" w:space="0" w:color="auto"/>
              <w:right w:val="single" w:sz="4" w:space="0" w:color="auto"/>
            </w:tcBorders>
            <w:noWrap/>
            <w:vAlign w:val="center"/>
          </w:tcPr>
          <w:p w:rsidR="00A31E73" w:rsidRPr="00A31E73" w:rsidRDefault="00A31E73" w:rsidP="00A31E73">
            <w:pPr>
              <w:jc w:val="right"/>
              <w:rPr>
                <w:rFonts w:ascii="Arial" w:hAnsi="Arial" w:cs="Arial"/>
                <w:sz w:val="18"/>
                <w:szCs w:val="18"/>
              </w:rPr>
            </w:pPr>
            <w:r w:rsidRPr="00A31E73">
              <w:rPr>
                <w:rFonts w:ascii="Arial" w:hAnsi="Arial" w:cs="Arial"/>
                <w:sz w:val="18"/>
                <w:szCs w:val="18"/>
              </w:rPr>
              <w:t xml:space="preserve"> 20,911,742 </w:t>
            </w:r>
          </w:p>
        </w:tc>
        <w:tc>
          <w:tcPr>
            <w:tcW w:w="1218" w:type="dxa"/>
            <w:tcBorders>
              <w:top w:val="single" w:sz="4" w:space="0" w:color="auto"/>
              <w:left w:val="single" w:sz="4" w:space="0" w:color="auto"/>
              <w:bottom w:val="single" w:sz="4" w:space="0" w:color="auto"/>
              <w:right w:val="single" w:sz="4" w:space="0" w:color="auto"/>
            </w:tcBorders>
            <w:noWrap/>
            <w:vAlign w:val="center"/>
          </w:tcPr>
          <w:p w:rsidR="00A31E73" w:rsidRPr="00A31E73" w:rsidRDefault="00A31E73" w:rsidP="00A31E73">
            <w:pPr>
              <w:jc w:val="right"/>
              <w:rPr>
                <w:rFonts w:ascii="Arial" w:hAnsi="Arial" w:cs="Arial"/>
                <w:sz w:val="18"/>
                <w:szCs w:val="18"/>
              </w:rPr>
            </w:pPr>
            <w:r w:rsidRPr="00A31E73">
              <w:rPr>
                <w:rFonts w:ascii="Arial" w:hAnsi="Arial" w:cs="Arial"/>
                <w:sz w:val="18"/>
                <w:szCs w:val="18"/>
              </w:rPr>
              <w:t xml:space="preserve"> 20,970,365 </w:t>
            </w:r>
          </w:p>
        </w:tc>
        <w:tc>
          <w:tcPr>
            <w:tcW w:w="1217" w:type="dxa"/>
            <w:tcBorders>
              <w:top w:val="single" w:sz="4" w:space="0" w:color="auto"/>
              <w:left w:val="single" w:sz="4" w:space="0" w:color="auto"/>
              <w:bottom w:val="single" w:sz="4" w:space="0" w:color="auto"/>
              <w:right w:val="single" w:sz="4" w:space="0" w:color="auto"/>
            </w:tcBorders>
            <w:noWrap/>
            <w:vAlign w:val="center"/>
          </w:tcPr>
          <w:p w:rsidR="00A31E73" w:rsidRPr="00A31E73" w:rsidRDefault="00A31E73" w:rsidP="00AD7F05">
            <w:pPr>
              <w:jc w:val="right"/>
              <w:rPr>
                <w:rFonts w:ascii="Arial" w:hAnsi="Arial" w:cs="Arial"/>
                <w:sz w:val="18"/>
                <w:szCs w:val="18"/>
              </w:rPr>
            </w:pPr>
            <w:r w:rsidRPr="00A31E73">
              <w:rPr>
                <w:rFonts w:ascii="Arial" w:hAnsi="Arial" w:cs="Arial"/>
                <w:sz w:val="18"/>
                <w:szCs w:val="18"/>
              </w:rPr>
              <w:t xml:space="preserve">83,569,069 </w:t>
            </w:r>
          </w:p>
        </w:tc>
      </w:tr>
      <w:tr w:rsidR="00A31E73" w:rsidRPr="00906AFB" w:rsidTr="00AD7F05">
        <w:trPr>
          <w:trHeight w:val="283"/>
          <w:jc w:val="center"/>
        </w:trPr>
        <w:tc>
          <w:tcPr>
            <w:tcW w:w="2555" w:type="dxa"/>
            <w:tcBorders>
              <w:top w:val="single" w:sz="4" w:space="0" w:color="auto"/>
              <w:left w:val="single" w:sz="4" w:space="0" w:color="auto"/>
              <w:bottom w:val="single" w:sz="4" w:space="0" w:color="auto"/>
              <w:right w:val="single" w:sz="4" w:space="0" w:color="auto"/>
            </w:tcBorders>
            <w:noWrap/>
            <w:vAlign w:val="center"/>
            <w:hideMark/>
          </w:tcPr>
          <w:p w:rsidR="00A31E73" w:rsidRPr="00A31E73" w:rsidRDefault="00A31E73" w:rsidP="00A31E73">
            <w:pPr>
              <w:rPr>
                <w:rFonts w:ascii="Arial" w:eastAsia="Times New Roman" w:hAnsi="Arial" w:cs="Arial"/>
                <w:sz w:val="18"/>
                <w:szCs w:val="18"/>
                <w:lang w:eastAsia="es-ES"/>
              </w:rPr>
            </w:pPr>
            <w:r w:rsidRPr="00A31E73">
              <w:rPr>
                <w:rFonts w:ascii="Arial" w:eastAsia="Times New Roman" w:hAnsi="Arial" w:cs="Arial"/>
                <w:sz w:val="18"/>
                <w:szCs w:val="18"/>
                <w:lang w:eastAsia="es-ES"/>
              </w:rPr>
              <w:t>Crédito Interacciones 430259</w:t>
            </w:r>
          </w:p>
        </w:tc>
        <w:tc>
          <w:tcPr>
            <w:tcW w:w="1218" w:type="dxa"/>
            <w:tcBorders>
              <w:top w:val="single" w:sz="4" w:space="0" w:color="auto"/>
              <w:left w:val="single" w:sz="4" w:space="0" w:color="auto"/>
              <w:bottom w:val="single" w:sz="4" w:space="0" w:color="auto"/>
              <w:right w:val="single" w:sz="4" w:space="0" w:color="auto"/>
            </w:tcBorders>
            <w:noWrap/>
            <w:vAlign w:val="center"/>
          </w:tcPr>
          <w:p w:rsidR="00A31E73" w:rsidRPr="00A31E73" w:rsidRDefault="00A31E73" w:rsidP="00A31E73">
            <w:pPr>
              <w:jc w:val="right"/>
              <w:rPr>
                <w:rFonts w:ascii="Arial" w:hAnsi="Arial" w:cs="Arial"/>
                <w:sz w:val="18"/>
                <w:szCs w:val="18"/>
              </w:rPr>
            </w:pPr>
            <w:r w:rsidRPr="00A31E73">
              <w:rPr>
                <w:rFonts w:ascii="Arial" w:hAnsi="Arial" w:cs="Arial"/>
                <w:sz w:val="18"/>
                <w:szCs w:val="18"/>
              </w:rPr>
              <w:t xml:space="preserve"> 17,703,227 </w:t>
            </w:r>
          </w:p>
        </w:tc>
        <w:tc>
          <w:tcPr>
            <w:tcW w:w="1218" w:type="dxa"/>
            <w:tcBorders>
              <w:top w:val="single" w:sz="4" w:space="0" w:color="auto"/>
              <w:left w:val="single" w:sz="4" w:space="0" w:color="auto"/>
              <w:bottom w:val="single" w:sz="4" w:space="0" w:color="auto"/>
              <w:right w:val="single" w:sz="4" w:space="0" w:color="auto"/>
            </w:tcBorders>
            <w:noWrap/>
            <w:vAlign w:val="center"/>
          </w:tcPr>
          <w:p w:rsidR="00A31E73" w:rsidRPr="00A31E73" w:rsidRDefault="00A31E73" w:rsidP="00A31E73">
            <w:pPr>
              <w:jc w:val="right"/>
              <w:rPr>
                <w:rFonts w:ascii="Arial" w:hAnsi="Arial" w:cs="Arial"/>
                <w:sz w:val="18"/>
                <w:szCs w:val="18"/>
              </w:rPr>
            </w:pPr>
            <w:r w:rsidRPr="00A31E73">
              <w:rPr>
                <w:rFonts w:ascii="Arial" w:hAnsi="Arial" w:cs="Arial"/>
                <w:sz w:val="18"/>
                <w:szCs w:val="18"/>
              </w:rPr>
              <w:t xml:space="preserve"> 17,708,322 </w:t>
            </w:r>
          </w:p>
        </w:tc>
        <w:tc>
          <w:tcPr>
            <w:tcW w:w="1218" w:type="dxa"/>
            <w:tcBorders>
              <w:top w:val="single" w:sz="4" w:space="0" w:color="auto"/>
              <w:left w:val="single" w:sz="4" w:space="0" w:color="auto"/>
              <w:bottom w:val="single" w:sz="4" w:space="0" w:color="auto"/>
              <w:right w:val="single" w:sz="4" w:space="0" w:color="auto"/>
            </w:tcBorders>
            <w:noWrap/>
            <w:vAlign w:val="center"/>
          </w:tcPr>
          <w:p w:rsidR="00A31E73" w:rsidRPr="00A31E73" w:rsidRDefault="00A31E73" w:rsidP="00A31E73">
            <w:pPr>
              <w:jc w:val="right"/>
              <w:rPr>
                <w:rFonts w:ascii="Arial" w:hAnsi="Arial" w:cs="Arial"/>
                <w:sz w:val="18"/>
                <w:szCs w:val="18"/>
              </w:rPr>
            </w:pPr>
            <w:r w:rsidRPr="00A31E73">
              <w:rPr>
                <w:rFonts w:ascii="Arial" w:hAnsi="Arial" w:cs="Arial"/>
                <w:sz w:val="18"/>
                <w:szCs w:val="18"/>
              </w:rPr>
              <w:t xml:space="preserve"> 17,721,684 </w:t>
            </w:r>
          </w:p>
        </w:tc>
        <w:tc>
          <w:tcPr>
            <w:tcW w:w="1218" w:type="dxa"/>
            <w:tcBorders>
              <w:top w:val="single" w:sz="4" w:space="0" w:color="auto"/>
              <w:left w:val="single" w:sz="4" w:space="0" w:color="auto"/>
              <w:bottom w:val="single" w:sz="4" w:space="0" w:color="auto"/>
              <w:right w:val="single" w:sz="4" w:space="0" w:color="auto"/>
            </w:tcBorders>
            <w:noWrap/>
            <w:vAlign w:val="center"/>
          </w:tcPr>
          <w:p w:rsidR="00A31E73" w:rsidRPr="00A31E73" w:rsidRDefault="00A31E73" w:rsidP="00A31E73">
            <w:pPr>
              <w:jc w:val="right"/>
              <w:rPr>
                <w:rFonts w:ascii="Arial" w:hAnsi="Arial" w:cs="Arial"/>
                <w:sz w:val="18"/>
                <w:szCs w:val="18"/>
              </w:rPr>
            </w:pPr>
            <w:r w:rsidRPr="00A31E73">
              <w:rPr>
                <w:rFonts w:ascii="Arial" w:hAnsi="Arial" w:cs="Arial"/>
                <w:sz w:val="18"/>
                <w:szCs w:val="18"/>
              </w:rPr>
              <w:t xml:space="preserve"> 17,745,112 </w:t>
            </w:r>
          </w:p>
        </w:tc>
        <w:tc>
          <w:tcPr>
            <w:tcW w:w="1217" w:type="dxa"/>
            <w:tcBorders>
              <w:top w:val="single" w:sz="4" w:space="0" w:color="auto"/>
              <w:left w:val="single" w:sz="4" w:space="0" w:color="auto"/>
              <w:bottom w:val="single" w:sz="4" w:space="0" w:color="auto"/>
              <w:right w:val="single" w:sz="4" w:space="0" w:color="auto"/>
            </w:tcBorders>
            <w:noWrap/>
            <w:vAlign w:val="center"/>
          </w:tcPr>
          <w:p w:rsidR="00A31E73" w:rsidRPr="00A31E73" w:rsidRDefault="00A31E73" w:rsidP="00AD7F05">
            <w:pPr>
              <w:jc w:val="right"/>
              <w:rPr>
                <w:rFonts w:ascii="Arial" w:hAnsi="Arial" w:cs="Arial"/>
                <w:sz w:val="18"/>
                <w:szCs w:val="18"/>
              </w:rPr>
            </w:pPr>
            <w:r w:rsidRPr="00A31E73">
              <w:rPr>
                <w:rFonts w:ascii="Arial" w:hAnsi="Arial" w:cs="Arial"/>
                <w:sz w:val="18"/>
                <w:szCs w:val="18"/>
              </w:rPr>
              <w:t xml:space="preserve">70,878,346 </w:t>
            </w:r>
          </w:p>
        </w:tc>
      </w:tr>
      <w:tr w:rsidR="00A31E73" w:rsidRPr="00A31E73" w:rsidTr="00AD7F05">
        <w:trPr>
          <w:trHeight w:val="283"/>
          <w:jc w:val="center"/>
        </w:trPr>
        <w:tc>
          <w:tcPr>
            <w:tcW w:w="2555" w:type="dxa"/>
            <w:tcBorders>
              <w:top w:val="single" w:sz="4" w:space="0" w:color="auto"/>
              <w:left w:val="single" w:sz="4" w:space="0" w:color="auto"/>
              <w:bottom w:val="single" w:sz="4" w:space="0" w:color="auto"/>
              <w:right w:val="single" w:sz="4" w:space="0" w:color="auto"/>
            </w:tcBorders>
            <w:noWrap/>
            <w:vAlign w:val="center"/>
            <w:hideMark/>
          </w:tcPr>
          <w:p w:rsidR="00A31E73" w:rsidRPr="00A31E73" w:rsidRDefault="00A31E73" w:rsidP="00A31E73">
            <w:pPr>
              <w:rPr>
                <w:rFonts w:ascii="Arial" w:hAnsi="Arial" w:cs="Arial"/>
                <w:b/>
                <w:bCs/>
                <w:sz w:val="18"/>
                <w:szCs w:val="18"/>
              </w:rPr>
            </w:pPr>
            <w:r w:rsidRPr="00A31E73">
              <w:rPr>
                <w:rFonts w:ascii="Arial" w:hAnsi="Arial" w:cs="Arial"/>
                <w:b/>
                <w:bCs/>
                <w:sz w:val="18"/>
                <w:szCs w:val="18"/>
              </w:rPr>
              <w:t>Subtotal Banca Comercial</w:t>
            </w:r>
          </w:p>
        </w:tc>
        <w:tc>
          <w:tcPr>
            <w:tcW w:w="1218" w:type="dxa"/>
            <w:tcBorders>
              <w:top w:val="single" w:sz="4" w:space="0" w:color="auto"/>
              <w:left w:val="single" w:sz="4" w:space="0" w:color="auto"/>
              <w:bottom w:val="single" w:sz="4" w:space="0" w:color="auto"/>
              <w:right w:val="single" w:sz="4" w:space="0" w:color="auto"/>
            </w:tcBorders>
            <w:noWrap/>
            <w:vAlign w:val="center"/>
          </w:tcPr>
          <w:p w:rsidR="00A31E73" w:rsidRPr="00A31E73" w:rsidRDefault="00A31E73" w:rsidP="00A31E73">
            <w:pPr>
              <w:jc w:val="right"/>
              <w:rPr>
                <w:rFonts w:ascii="Arial" w:hAnsi="Arial" w:cs="Arial"/>
                <w:b/>
                <w:sz w:val="18"/>
                <w:szCs w:val="18"/>
              </w:rPr>
            </w:pPr>
            <w:r w:rsidRPr="00A31E73">
              <w:rPr>
                <w:rFonts w:ascii="Arial" w:hAnsi="Arial" w:cs="Arial"/>
                <w:b/>
                <w:sz w:val="18"/>
                <w:szCs w:val="18"/>
              </w:rPr>
              <w:t xml:space="preserve"> 41,827,337 </w:t>
            </w:r>
          </w:p>
        </w:tc>
        <w:tc>
          <w:tcPr>
            <w:tcW w:w="1218" w:type="dxa"/>
            <w:tcBorders>
              <w:top w:val="single" w:sz="4" w:space="0" w:color="auto"/>
              <w:left w:val="single" w:sz="4" w:space="0" w:color="auto"/>
              <w:bottom w:val="single" w:sz="4" w:space="0" w:color="auto"/>
              <w:right w:val="single" w:sz="4" w:space="0" w:color="auto"/>
            </w:tcBorders>
            <w:noWrap/>
            <w:vAlign w:val="center"/>
          </w:tcPr>
          <w:p w:rsidR="00A31E73" w:rsidRPr="00A31E73" w:rsidRDefault="00A31E73" w:rsidP="00A31E73">
            <w:pPr>
              <w:jc w:val="right"/>
              <w:rPr>
                <w:rFonts w:ascii="Arial" w:hAnsi="Arial" w:cs="Arial"/>
                <w:b/>
                <w:sz w:val="18"/>
                <w:szCs w:val="18"/>
              </w:rPr>
            </w:pPr>
            <w:r w:rsidRPr="00A31E73">
              <w:rPr>
                <w:rFonts w:ascii="Arial" w:hAnsi="Arial" w:cs="Arial"/>
                <w:b/>
                <w:sz w:val="18"/>
                <w:szCs w:val="18"/>
              </w:rPr>
              <w:t xml:space="preserve"> 41,807,347 </w:t>
            </w:r>
          </w:p>
        </w:tc>
        <w:tc>
          <w:tcPr>
            <w:tcW w:w="1218" w:type="dxa"/>
            <w:tcBorders>
              <w:top w:val="single" w:sz="4" w:space="0" w:color="auto"/>
              <w:left w:val="single" w:sz="4" w:space="0" w:color="auto"/>
              <w:bottom w:val="single" w:sz="4" w:space="0" w:color="auto"/>
              <w:right w:val="single" w:sz="4" w:space="0" w:color="auto"/>
            </w:tcBorders>
            <w:noWrap/>
            <w:vAlign w:val="center"/>
          </w:tcPr>
          <w:p w:rsidR="00A31E73" w:rsidRPr="00A31E73" w:rsidRDefault="00A31E73" w:rsidP="00A31E73">
            <w:pPr>
              <w:jc w:val="right"/>
              <w:rPr>
                <w:rFonts w:ascii="Arial" w:hAnsi="Arial" w:cs="Arial"/>
                <w:b/>
                <w:sz w:val="18"/>
                <w:szCs w:val="18"/>
              </w:rPr>
            </w:pPr>
            <w:r w:rsidRPr="00A31E73">
              <w:rPr>
                <w:rFonts w:ascii="Arial" w:hAnsi="Arial" w:cs="Arial"/>
                <w:b/>
                <w:sz w:val="18"/>
                <w:szCs w:val="18"/>
              </w:rPr>
              <w:t xml:space="preserve"> 41,804,576 </w:t>
            </w:r>
          </w:p>
        </w:tc>
        <w:tc>
          <w:tcPr>
            <w:tcW w:w="1218" w:type="dxa"/>
            <w:tcBorders>
              <w:top w:val="single" w:sz="4" w:space="0" w:color="auto"/>
              <w:left w:val="single" w:sz="4" w:space="0" w:color="auto"/>
              <w:bottom w:val="single" w:sz="4" w:space="0" w:color="auto"/>
              <w:right w:val="single" w:sz="4" w:space="0" w:color="auto"/>
            </w:tcBorders>
            <w:noWrap/>
            <w:vAlign w:val="center"/>
          </w:tcPr>
          <w:p w:rsidR="00A31E73" w:rsidRPr="00A31E73" w:rsidRDefault="00A31E73" w:rsidP="00A31E73">
            <w:pPr>
              <w:jc w:val="right"/>
              <w:rPr>
                <w:rFonts w:ascii="Arial" w:hAnsi="Arial" w:cs="Arial"/>
                <w:b/>
                <w:sz w:val="18"/>
                <w:szCs w:val="18"/>
              </w:rPr>
            </w:pPr>
            <w:r w:rsidRPr="00A31E73">
              <w:rPr>
                <w:rFonts w:ascii="Arial" w:hAnsi="Arial" w:cs="Arial"/>
                <w:b/>
                <w:sz w:val="18"/>
                <w:szCs w:val="18"/>
              </w:rPr>
              <w:t xml:space="preserve"> 41,822,386 </w:t>
            </w:r>
          </w:p>
        </w:tc>
        <w:tc>
          <w:tcPr>
            <w:tcW w:w="1217" w:type="dxa"/>
            <w:tcBorders>
              <w:top w:val="single" w:sz="4" w:space="0" w:color="auto"/>
              <w:left w:val="single" w:sz="4" w:space="0" w:color="auto"/>
              <w:bottom w:val="single" w:sz="4" w:space="0" w:color="auto"/>
              <w:right w:val="single" w:sz="4" w:space="0" w:color="auto"/>
            </w:tcBorders>
            <w:noWrap/>
            <w:vAlign w:val="center"/>
          </w:tcPr>
          <w:p w:rsidR="00A31E73" w:rsidRPr="00A31E73" w:rsidRDefault="00A31E73" w:rsidP="00AD7F05">
            <w:pPr>
              <w:jc w:val="right"/>
              <w:rPr>
                <w:rFonts w:ascii="Arial" w:hAnsi="Arial" w:cs="Arial"/>
                <w:b/>
                <w:sz w:val="18"/>
                <w:szCs w:val="18"/>
              </w:rPr>
            </w:pPr>
            <w:r w:rsidRPr="00A31E73">
              <w:rPr>
                <w:rFonts w:ascii="Arial" w:hAnsi="Arial" w:cs="Arial"/>
                <w:b/>
                <w:sz w:val="18"/>
                <w:szCs w:val="18"/>
              </w:rPr>
              <w:t xml:space="preserve">167,261,646 </w:t>
            </w:r>
          </w:p>
        </w:tc>
      </w:tr>
      <w:tr w:rsidR="00A31E73" w:rsidRPr="00A31E73" w:rsidTr="00AD7F05">
        <w:trPr>
          <w:trHeight w:val="283"/>
          <w:jc w:val="center"/>
        </w:trPr>
        <w:tc>
          <w:tcPr>
            <w:tcW w:w="2555" w:type="dxa"/>
            <w:tcBorders>
              <w:top w:val="single" w:sz="4" w:space="0" w:color="auto"/>
              <w:left w:val="single" w:sz="4" w:space="0" w:color="auto"/>
              <w:bottom w:val="single" w:sz="4" w:space="0" w:color="auto"/>
              <w:right w:val="single" w:sz="4" w:space="0" w:color="auto"/>
            </w:tcBorders>
            <w:noWrap/>
            <w:vAlign w:val="center"/>
            <w:hideMark/>
          </w:tcPr>
          <w:p w:rsidR="00A31E73" w:rsidRPr="00A31E73" w:rsidRDefault="00A31E73" w:rsidP="00A31E73">
            <w:pPr>
              <w:rPr>
                <w:rFonts w:ascii="Arial" w:hAnsi="Arial" w:cs="Arial"/>
                <w:b/>
                <w:bCs/>
                <w:sz w:val="18"/>
                <w:szCs w:val="18"/>
              </w:rPr>
            </w:pPr>
            <w:r w:rsidRPr="00A31E73">
              <w:rPr>
                <w:rFonts w:ascii="Arial" w:hAnsi="Arial" w:cs="Arial"/>
                <w:b/>
                <w:bCs/>
                <w:sz w:val="18"/>
                <w:szCs w:val="18"/>
              </w:rPr>
              <w:t>Gran Total</w:t>
            </w:r>
          </w:p>
        </w:tc>
        <w:tc>
          <w:tcPr>
            <w:tcW w:w="1218" w:type="dxa"/>
            <w:tcBorders>
              <w:top w:val="single" w:sz="4" w:space="0" w:color="auto"/>
              <w:left w:val="single" w:sz="4" w:space="0" w:color="auto"/>
              <w:bottom w:val="single" w:sz="4" w:space="0" w:color="auto"/>
              <w:right w:val="single" w:sz="4" w:space="0" w:color="auto"/>
            </w:tcBorders>
            <w:noWrap/>
            <w:vAlign w:val="center"/>
          </w:tcPr>
          <w:p w:rsidR="00A31E73" w:rsidRPr="00A31E73" w:rsidRDefault="00A31E73" w:rsidP="00A31E73">
            <w:pPr>
              <w:jc w:val="right"/>
              <w:rPr>
                <w:rFonts w:ascii="Arial" w:hAnsi="Arial" w:cs="Arial"/>
                <w:b/>
                <w:sz w:val="18"/>
                <w:szCs w:val="18"/>
              </w:rPr>
            </w:pPr>
            <w:r w:rsidRPr="00A31E73">
              <w:rPr>
                <w:rFonts w:ascii="Arial" w:hAnsi="Arial" w:cs="Arial"/>
                <w:b/>
                <w:sz w:val="18"/>
                <w:szCs w:val="18"/>
              </w:rPr>
              <w:t xml:space="preserve"> 87,538,002 </w:t>
            </w:r>
          </w:p>
        </w:tc>
        <w:tc>
          <w:tcPr>
            <w:tcW w:w="1218" w:type="dxa"/>
            <w:tcBorders>
              <w:top w:val="single" w:sz="4" w:space="0" w:color="auto"/>
              <w:left w:val="single" w:sz="4" w:space="0" w:color="auto"/>
              <w:bottom w:val="single" w:sz="4" w:space="0" w:color="auto"/>
              <w:right w:val="single" w:sz="4" w:space="0" w:color="auto"/>
            </w:tcBorders>
            <w:noWrap/>
            <w:vAlign w:val="center"/>
          </w:tcPr>
          <w:p w:rsidR="00A31E73" w:rsidRPr="00A31E73" w:rsidRDefault="00A31E73" w:rsidP="00A31E73">
            <w:pPr>
              <w:jc w:val="right"/>
              <w:rPr>
                <w:rFonts w:ascii="Arial" w:hAnsi="Arial" w:cs="Arial"/>
                <w:b/>
                <w:sz w:val="18"/>
                <w:szCs w:val="18"/>
              </w:rPr>
            </w:pPr>
            <w:r w:rsidRPr="00A31E73">
              <w:rPr>
                <w:rFonts w:ascii="Arial" w:hAnsi="Arial" w:cs="Arial"/>
                <w:b/>
                <w:sz w:val="18"/>
                <w:szCs w:val="18"/>
              </w:rPr>
              <w:t xml:space="preserve"> 88,492,009 </w:t>
            </w:r>
          </w:p>
        </w:tc>
        <w:tc>
          <w:tcPr>
            <w:tcW w:w="1218" w:type="dxa"/>
            <w:tcBorders>
              <w:top w:val="single" w:sz="4" w:space="0" w:color="auto"/>
              <w:left w:val="single" w:sz="4" w:space="0" w:color="auto"/>
              <w:bottom w:val="single" w:sz="4" w:space="0" w:color="auto"/>
              <w:right w:val="single" w:sz="4" w:space="0" w:color="auto"/>
            </w:tcBorders>
            <w:noWrap/>
            <w:vAlign w:val="center"/>
          </w:tcPr>
          <w:p w:rsidR="00A31E73" w:rsidRPr="00A31E73" w:rsidRDefault="00A31E73" w:rsidP="00A31E73">
            <w:pPr>
              <w:jc w:val="right"/>
              <w:rPr>
                <w:rFonts w:ascii="Arial" w:hAnsi="Arial" w:cs="Arial"/>
                <w:b/>
                <w:sz w:val="18"/>
                <w:szCs w:val="18"/>
              </w:rPr>
            </w:pPr>
            <w:r w:rsidRPr="00A31E73">
              <w:rPr>
                <w:rFonts w:ascii="Arial" w:hAnsi="Arial" w:cs="Arial"/>
                <w:b/>
                <w:sz w:val="18"/>
                <w:szCs w:val="18"/>
              </w:rPr>
              <w:t xml:space="preserve"> 88,719,615 </w:t>
            </w:r>
          </w:p>
        </w:tc>
        <w:tc>
          <w:tcPr>
            <w:tcW w:w="1218" w:type="dxa"/>
            <w:tcBorders>
              <w:top w:val="single" w:sz="4" w:space="0" w:color="auto"/>
              <w:left w:val="single" w:sz="4" w:space="0" w:color="auto"/>
              <w:bottom w:val="single" w:sz="4" w:space="0" w:color="auto"/>
              <w:right w:val="single" w:sz="4" w:space="0" w:color="auto"/>
            </w:tcBorders>
            <w:noWrap/>
            <w:vAlign w:val="center"/>
          </w:tcPr>
          <w:p w:rsidR="00A31E73" w:rsidRPr="00A31E73" w:rsidRDefault="00A31E73" w:rsidP="00A31E73">
            <w:pPr>
              <w:jc w:val="right"/>
              <w:rPr>
                <w:rFonts w:ascii="Arial" w:hAnsi="Arial" w:cs="Arial"/>
                <w:b/>
                <w:sz w:val="18"/>
                <w:szCs w:val="18"/>
              </w:rPr>
            </w:pPr>
            <w:r w:rsidRPr="00A31E73">
              <w:rPr>
                <w:rFonts w:ascii="Arial" w:hAnsi="Arial" w:cs="Arial"/>
                <w:b/>
                <w:sz w:val="18"/>
                <w:szCs w:val="18"/>
              </w:rPr>
              <w:t xml:space="preserve"> 88,056,045 </w:t>
            </w:r>
          </w:p>
        </w:tc>
        <w:tc>
          <w:tcPr>
            <w:tcW w:w="1217" w:type="dxa"/>
            <w:tcBorders>
              <w:top w:val="single" w:sz="4" w:space="0" w:color="auto"/>
              <w:left w:val="single" w:sz="4" w:space="0" w:color="auto"/>
              <w:bottom w:val="single" w:sz="4" w:space="0" w:color="auto"/>
              <w:right w:val="single" w:sz="4" w:space="0" w:color="auto"/>
            </w:tcBorders>
            <w:noWrap/>
            <w:vAlign w:val="center"/>
          </w:tcPr>
          <w:p w:rsidR="00A31E73" w:rsidRPr="00A31E73" w:rsidRDefault="00A31E73" w:rsidP="00AD7F05">
            <w:pPr>
              <w:jc w:val="right"/>
              <w:rPr>
                <w:rFonts w:ascii="Arial" w:hAnsi="Arial" w:cs="Arial"/>
                <w:b/>
                <w:sz w:val="18"/>
                <w:szCs w:val="18"/>
              </w:rPr>
            </w:pPr>
            <w:r w:rsidRPr="00A31E73">
              <w:rPr>
                <w:rFonts w:ascii="Arial" w:hAnsi="Arial" w:cs="Arial"/>
                <w:b/>
                <w:sz w:val="18"/>
                <w:szCs w:val="18"/>
              </w:rPr>
              <w:t xml:space="preserve">352,805,671 </w:t>
            </w:r>
          </w:p>
        </w:tc>
      </w:tr>
    </w:tbl>
    <w:p w:rsidR="00906AFB" w:rsidRPr="00906AFB" w:rsidRDefault="00906AFB" w:rsidP="00906AFB">
      <w:pPr>
        <w:spacing w:after="0" w:line="240" w:lineRule="auto"/>
        <w:jc w:val="both"/>
        <w:rPr>
          <w:rFonts w:ascii="Arial" w:eastAsia="Calibri" w:hAnsi="Arial" w:cs="Arial"/>
          <w:b/>
          <w:bCs/>
          <w:sz w:val="18"/>
          <w:szCs w:val="18"/>
          <w:lang w:val="es-ES" w:eastAsia="en-US"/>
        </w:rPr>
      </w:pPr>
    </w:p>
    <w:p w:rsidR="00906AFB" w:rsidRPr="00906AFB" w:rsidRDefault="00906AFB" w:rsidP="00906AFB">
      <w:pPr>
        <w:spacing w:after="0" w:line="240" w:lineRule="auto"/>
        <w:jc w:val="both"/>
        <w:rPr>
          <w:rFonts w:ascii="Arial" w:eastAsia="Times New Roman" w:hAnsi="Arial" w:cs="Arial"/>
          <w:sz w:val="24"/>
          <w:szCs w:val="24"/>
          <w:lang w:val="es-ES" w:eastAsia="es-ES"/>
        </w:rPr>
      </w:pPr>
    </w:p>
    <w:p w:rsidR="00723C49" w:rsidRDefault="00723C49" w:rsidP="00723C49">
      <w:pPr>
        <w:spacing w:after="0" w:line="240" w:lineRule="auto"/>
        <w:jc w:val="both"/>
        <w:rPr>
          <w:rFonts w:ascii="Arial" w:eastAsia="Times New Roman" w:hAnsi="Arial" w:cs="Arial"/>
          <w:sz w:val="24"/>
          <w:szCs w:val="24"/>
          <w:lang w:val="es-ES" w:eastAsia="es-ES"/>
        </w:rPr>
      </w:pPr>
      <w:r w:rsidRPr="00723C49">
        <w:rPr>
          <w:rFonts w:ascii="Arial" w:eastAsia="Times New Roman" w:hAnsi="Arial" w:cs="Arial"/>
          <w:sz w:val="24"/>
          <w:szCs w:val="24"/>
          <w:lang w:val="es-ES" w:eastAsia="es-ES"/>
        </w:rPr>
        <w:t>El destino de los créditos vigentes es el siguiente:</w:t>
      </w:r>
    </w:p>
    <w:p w:rsidR="00723C49" w:rsidRPr="00CA2A50" w:rsidRDefault="00723C49" w:rsidP="00723C49">
      <w:pPr>
        <w:spacing w:after="0" w:line="240" w:lineRule="auto"/>
        <w:jc w:val="both"/>
        <w:rPr>
          <w:rFonts w:ascii="Arial" w:eastAsia="Times New Roman" w:hAnsi="Arial" w:cs="Arial"/>
          <w:sz w:val="16"/>
          <w:szCs w:val="24"/>
          <w:lang w:val="es-ES" w:eastAsia="es-ES"/>
        </w:rPr>
      </w:pPr>
    </w:p>
    <w:p w:rsidR="00723C49" w:rsidRPr="00723C49" w:rsidRDefault="00CF4172" w:rsidP="00723C49">
      <w:pPr>
        <w:keepNext/>
        <w:keepLines/>
        <w:spacing w:after="0" w:line="240" w:lineRule="auto"/>
        <w:jc w:val="center"/>
        <w:outlineLvl w:val="1"/>
        <w:rPr>
          <w:rFonts w:ascii="Arial" w:eastAsia="Times New Roman" w:hAnsi="Arial" w:cs="Times New Roman"/>
          <w:b/>
          <w:sz w:val="20"/>
          <w:szCs w:val="26"/>
          <w:lang w:val="es-ES" w:eastAsia="en-US"/>
        </w:rPr>
      </w:pPr>
      <w:r>
        <w:rPr>
          <w:rFonts w:ascii="Arial" w:eastAsia="Times New Roman" w:hAnsi="Arial" w:cs="Times New Roman"/>
          <w:b/>
          <w:sz w:val="20"/>
          <w:szCs w:val="26"/>
          <w:lang w:val="es-ES" w:eastAsia="en-US"/>
        </w:rPr>
        <w:t>Tabla 37</w:t>
      </w:r>
      <w:r w:rsidR="00723C49" w:rsidRPr="00723C49">
        <w:rPr>
          <w:rFonts w:ascii="Arial" w:eastAsia="Times New Roman" w:hAnsi="Arial" w:cs="Times New Roman"/>
          <w:b/>
          <w:sz w:val="20"/>
          <w:szCs w:val="26"/>
          <w:lang w:val="es-ES" w:eastAsia="en-US"/>
        </w:rPr>
        <w:t xml:space="preserve">. Destino de los </w:t>
      </w:r>
      <w:r w:rsidR="00A31E73" w:rsidRPr="00723C49">
        <w:rPr>
          <w:rFonts w:ascii="Arial" w:eastAsia="Times New Roman" w:hAnsi="Arial" w:cs="Times New Roman"/>
          <w:b/>
          <w:sz w:val="20"/>
          <w:szCs w:val="26"/>
          <w:lang w:val="es-ES" w:eastAsia="en-US"/>
        </w:rPr>
        <w:t>Créditos Vigentes</w:t>
      </w:r>
    </w:p>
    <w:tbl>
      <w:tblPr>
        <w:tblW w:w="6395" w:type="dxa"/>
        <w:jc w:val="center"/>
        <w:tblCellMar>
          <w:left w:w="70" w:type="dxa"/>
          <w:right w:w="70" w:type="dxa"/>
        </w:tblCellMar>
        <w:tblLook w:val="04A0" w:firstRow="1" w:lastRow="0" w:firstColumn="1" w:lastColumn="0" w:noHBand="0" w:noVBand="1"/>
      </w:tblPr>
      <w:tblGrid>
        <w:gridCol w:w="4709"/>
        <w:gridCol w:w="1686"/>
      </w:tblGrid>
      <w:tr w:rsidR="00723C49" w:rsidRPr="00B31CB3" w:rsidTr="008855C9">
        <w:trPr>
          <w:trHeight w:val="300"/>
          <w:jc w:val="center"/>
        </w:trPr>
        <w:tc>
          <w:tcPr>
            <w:tcW w:w="4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C49" w:rsidRPr="008855C9" w:rsidRDefault="00723C49" w:rsidP="008855C9">
            <w:pPr>
              <w:spacing w:after="0" w:line="240" w:lineRule="auto"/>
              <w:jc w:val="center"/>
              <w:rPr>
                <w:rFonts w:ascii="Arial" w:eastAsia="Times New Roman" w:hAnsi="Arial" w:cs="Arial"/>
                <w:b/>
                <w:bCs/>
                <w:sz w:val="20"/>
                <w:szCs w:val="18"/>
              </w:rPr>
            </w:pPr>
            <w:r w:rsidRPr="008855C9">
              <w:rPr>
                <w:rFonts w:ascii="Arial" w:eastAsia="Times New Roman" w:hAnsi="Arial" w:cs="Arial"/>
                <w:b/>
                <w:bCs/>
                <w:sz w:val="20"/>
                <w:szCs w:val="18"/>
              </w:rPr>
              <w:t>Crédito</w:t>
            </w:r>
          </w:p>
        </w:tc>
        <w:tc>
          <w:tcPr>
            <w:tcW w:w="1686" w:type="dxa"/>
            <w:tcBorders>
              <w:top w:val="single" w:sz="4" w:space="0" w:color="auto"/>
              <w:left w:val="nil"/>
              <w:bottom w:val="single" w:sz="4" w:space="0" w:color="auto"/>
              <w:right w:val="single" w:sz="4" w:space="0" w:color="auto"/>
            </w:tcBorders>
            <w:shd w:val="clear" w:color="auto" w:fill="auto"/>
            <w:noWrap/>
            <w:vAlign w:val="center"/>
            <w:hideMark/>
          </w:tcPr>
          <w:p w:rsidR="00723C49" w:rsidRPr="008855C9" w:rsidRDefault="00723C49" w:rsidP="008855C9">
            <w:pPr>
              <w:spacing w:after="0" w:line="240" w:lineRule="auto"/>
              <w:jc w:val="right"/>
              <w:rPr>
                <w:rFonts w:ascii="Arial" w:eastAsia="Times New Roman" w:hAnsi="Arial" w:cs="Arial"/>
                <w:b/>
                <w:bCs/>
                <w:sz w:val="20"/>
                <w:szCs w:val="18"/>
              </w:rPr>
            </w:pPr>
            <w:r w:rsidRPr="008855C9">
              <w:rPr>
                <w:rFonts w:ascii="Arial" w:eastAsia="Times New Roman" w:hAnsi="Arial" w:cs="Arial"/>
                <w:b/>
                <w:bCs/>
                <w:sz w:val="20"/>
                <w:szCs w:val="18"/>
              </w:rPr>
              <w:t>Destino</w:t>
            </w:r>
          </w:p>
        </w:tc>
      </w:tr>
      <w:tr w:rsidR="008855C9" w:rsidRPr="00B31CB3" w:rsidTr="008855C9">
        <w:trPr>
          <w:trHeight w:val="300"/>
          <w:jc w:val="center"/>
        </w:trPr>
        <w:tc>
          <w:tcPr>
            <w:tcW w:w="4709" w:type="dxa"/>
            <w:tcBorders>
              <w:top w:val="nil"/>
              <w:left w:val="single" w:sz="4" w:space="0" w:color="auto"/>
              <w:bottom w:val="single" w:sz="4" w:space="0" w:color="auto"/>
              <w:right w:val="single" w:sz="4" w:space="0" w:color="auto"/>
            </w:tcBorders>
            <w:shd w:val="clear" w:color="auto" w:fill="auto"/>
            <w:noWrap/>
            <w:vAlign w:val="center"/>
            <w:hideMark/>
          </w:tcPr>
          <w:p w:rsidR="008855C9" w:rsidRPr="008855C9" w:rsidRDefault="008855C9" w:rsidP="008855C9">
            <w:pPr>
              <w:spacing w:after="0" w:line="240" w:lineRule="auto"/>
              <w:rPr>
                <w:rFonts w:ascii="Arial" w:hAnsi="Arial" w:cs="Arial"/>
                <w:sz w:val="20"/>
                <w:szCs w:val="18"/>
              </w:rPr>
            </w:pPr>
            <w:r w:rsidRPr="008855C9">
              <w:rPr>
                <w:rFonts w:ascii="Arial" w:hAnsi="Arial" w:cs="Arial"/>
                <w:sz w:val="20"/>
                <w:szCs w:val="18"/>
              </w:rPr>
              <w:t>Crédito Banobras 7225 y 7226</w:t>
            </w:r>
          </w:p>
        </w:tc>
        <w:tc>
          <w:tcPr>
            <w:tcW w:w="1686" w:type="dxa"/>
            <w:tcBorders>
              <w:top w:val="nil"/>
              <w:left w:val="nil"/>
              <w:bottom w:val="single" w:sz="4" w:space="0" w:color="auto"/>
              <w:right w:val="single" w:sz="4" w:space="0" w:color="auto"/>
            </w:tcBorders>
            <w:shd w:val="clear" w:color="auto" w:fill="auto"/>
            <w:noWrap/>
            <w:vAlign w:val="center"/>
            <w:hideMark/>
          </w:tcPr>
          <w:p w:rsidR="008855C9" w:rsidRPr="008855C9" w:rsidRDefault="008855C9" w:rsidP="008855C9">
            <w:pPr>
              <w:spacing w:after="0" w:line="240" w:lineRule="auto"/>
              <w:jc w:val="right"/>
              <w:rPr>
                <w:rFonts w:ascii="Arial" w:eastAsia="Times New Roman" w:hAnsi="Arial" w:cs="Arial"/>
                <w:color w:val="000000"/>
                <w:sz w:val="20"/>
                <w:szCs w:val="18"/>
              </w:rPr>
            </w:pPr>
            <w:r w:rsidRPr="008855C9">
              <w:rPr>
                <w:rFonts w:ascii="Arial" w:eastAsia="Times New Roman" w:hAnsi="Arial" w:cs="Arial"/>
                <w:color w:val="000000"/>
                <w:sz w:val="20"/>
                <w:szCs w:val="18"/>
              </w:rPr>
              <w:t>Refinanciamiento</w:t>
            </w:r>
          </w:p>
        </w:tc>
      </w:tr>
      <w:tr w:rsidR="008855C9" w:rsidRPr="00B31CB3" w:rsidTr="008855C9">
        <w:trPr>
          <w:trHeight w:val="300"/>
          <w:jc w:val="center"/>
        </w:trPr>
        <w:tc>
          <w:tcPr>
            <w:tcW w:w="4709" w:type="dxa"/>
            <w:tcBorders>
              <w:top w:val="nil"/>
              <w:left w:val="single" w:sz="4" w:space="0" w:color="auto"/>
              <w:bottom w:val="single" w:sz="4" w:space="0" w:color="auto"/>
              <w:right w:val="single" w:sz="4" w:space="0" w:color="auto"/>
            </w:tcBorders>
            <w:shd w:val="clear" w:color="auto" w:fill="auto"/>
            <w:noWrap/>
            <w:vAlign w:val="center"/>
            <w:hideMark/>
          </w:tcPr>
          <w:p w:rsidR="008855C9" w:rsidRPr="008855C9" w:rsidRDefault="008855C9" w:rsidP="008855C9">
            <w:pPr>
              <w:spacing w:after="0" w:line="240" w:lineRule="auto"/>
              <w:rPr>
                <w:rFonts w:ascii="Arial" w:hAnsi="Arial" w:cs="Arial"/>
                <w:sz w:val="20"/>
                <w:szCs w:val="18"/>
              </w:rPr>
            </w:pPr>
            <w:r w:rsidRPr="008855C9">
              <w:rPr>
                <w:rFonts w:ascii="Arial" w:hAnsi="Arial" w:cs="Arial"/>
                <w:sz w:val="20"/>
                <w:szCs w:val="18"/>
              </w:rPr>
              <w:t>Crédito Banobras 7271 y 7272</w:t>
            </w:r>
          </w:p>
        </w:tc>
        <w:tc>
          <w:tcPr>
            <w:tcW w:w="1686" w:type="dxa"/>
            <w:tcBorders>
              <w:top w:val="nil"/>
              <w:left w:val="nil"/>
              <w:bottom w:val="single" w:sz="4" w:space="0" w:color="auto"/>
              <w:right w:val="single" w:sz="4" w:space="0" w:color="auto"/>
            </w:tcBorders>
            <w:shd w:val="clear" w:color="auto" w:fill="auto"/>
            <w:noWrap/>
            <w:vAlign w:val="center"/>
            <w:hideMark/>
          </w:tcPr>
          <w:p w:rsidR="008855C9" w:rsidRPr="008855C9" w:rsidRDefault="008855C9" w:rsidP="008855C9">
            <w:pPr>
              <w:spacing w:after="0" w:line="240" w:lineRule="auto"/>
              <w:jc w:val="right"/>
              <w:rPr>
                <w:rFonts w:ascii="Arial" w:eastAsia="Times New Roman" w:hAnsi="Arial" w:cs="Arial"/>
                <w:color w:val="000000"/>
                <w:sz w:val="20"/>
                <w:szCs w:val="18"/>
              </w:rPr>
            </w:pPr>
            <w:r w:rsidRPr="008855C9">
              <w:rPr>
                <w:rFonts w:ascii="Arial" w:eastAsia="Times New Roman" w:hAnsi="Arial" w:cs="Arial"/>
                <w:color w:val="000000"/>
                <w:sz w:val="20"/>
                <w:szCs w:val="18"/>
              </w:rPr>
              <w:t>Refinanciamiento</w:t>
            </w:r>
          </w:p>
        </w:tc>
      </w:tr>
      <w:tr w:rsidR="008855C9" w:rsidRPr="00B31CB3" w:rsidTr="008855C9">
        <w:trPr>
          <w:trHeight w:val="300"/>
          <w:jc w:val="center"/>
        </w:trPr>
        <w:tc>
          <w:tcPr>
            <w:tcW w:w="4709" w:type="dxa"/>
            <w:tcBorders>
              <w:top w:val="nil"/>
              <w:left w:val="single" w:sz="4" w:space="0" w:color="auto"/>
              <w:bottom w:val="single" w:sz="4" w:space="0" w:color="auto"/>
              <w:right w:val="single" w:sz="4" w:space="0" w:color="auto"/>
            </w:tcBorders>
            <w:shd w:val="clear" w:color="auto" w:fill="auto"/>
            <w:noWrap/>
            <w:vAlign w:val="center"/>
            <w:hideMark/>
          </w:tcPr>
          <w:p w:rsidR="008855C9" w:rsidRPr="008855C9" w:rsidRDefault="008855C9" w:rsidP="008855C9">
            <w:pPr>
              <w:spacing w:after="0" w:line="240" w:lineRule="auto"/>
              <w:rPr>
                <w:rFonts w:ascii="Arial" w:hAnsi="Arial" w:cs="Arial"/>
                <w:sz w:val="20"/>
                <w:szCs w:val="18"/>
              </w:rPr>
            </w:pPr>
            <w:r w:rsidRPr="008855C9">
              <w:rPr>
                <w:rFonts w:ascii="Arial" w:hAnsi="Arial" w:cs="Arial"/>
                <w:sz w:val="20"/>
                <w:szCs w:val="18"/>
              </w:rPr>
              <w:t>Intereses Banobras 10487</w:t>
            </w:r>
          </w:p>
        </w:tc>
        <w:tc>
          <w:tcPr>
            <w:tcW w:w="1686" w:type="dxa"/>
            <w:tcBorders>
              <w:top w:val="nil"/>
              <w:left w:val="nil"/>
              <w:bottom w:val="single" w:sz="4" w:space="0" w:color="auto"/>
              <w:right w:val="single" w:sz="4" w:space="0" w:color="auto"/>
            </w:tcBorders>
            <w:shd w:val="clear" w:color="auto" w:fill="auto"/>
            <w:noWrap/>
            <w:vAlign w:val="center"/>
            <w:hideMark/>
          </w:tcPr>
          <w:p w:rsidR="008855C9" w:rsidRPr="008855C9" w:rsidRDefault="008855C9" w:rsidP="008855C9">
            <w:pPr>
              <w:spacing w:after="0" w:line="240" w:lineRule="auto"/>
              <w:jc w:val="right"/>
              <w:rPr>
                <w:rFonts w:ascii="Arial" w:eastAsia="Times New Roman" w:hAnsi="Arial" w:cs="Arial"/>
                <w:color w:val="000000"/>
                <w:sz w:val="20"/>
                <w:szCs w:val="18"/>
              </w:rPr>
            </w:pPr>
            <w:r w:rsidRPr="008855C9">
              <w:rPr>
                <w:rFonts w:ascii="Arial" w:eastAsia="Times New Roman" w:hAnsi="Arial" w:cs="Arial"/>
                <w:color w:val="000000"/>
                <w:sz w:val="20"/>
                <w:szCs w:val="18"/>
              </w:rPr>
              <w:t xml:space="preserve">Inversión Pública </w:t>
            </w:r>
          </w:p>
        </w:tc>
      </w:tr>
      <w:tr w:rsidR="008855C9" w:rsidRPr="00B31CB3" w:rsidTr="008855C9">
        <w:trPr>
          <w:trHeight w:val="300"/>
          <w:jc w:val="center"/>
        </w:trPr>
        <w:tc>
          <w:tcPr>
            <w:tcW w:w="4709" w:type="dxa"/>
            <w:tcBorders>
              <w:top w:val="nil"/>
              <w:left w:val="single" w:sz="4" w:space="0" w:color="auto"/>
              <w:bottom w:val="single" w:sz="4" w:space="0" w:color="auto"/>
              <w:right w:val="single" w:sz="4" w:space="0" w:color="auto"/>
            </w:tcBorders>
            <w:shd w:val="clear" w:color="auto" w:fill="auto"/>
            <w:noWrap/>
            <w:vAlign w:val="center"/>
            <w:hideMark/>
          </w:tcPr>
          <w:p w:rsidR="008855C9" w:rsidRPr="008855C9" w:rsidRDefault="008855C9" w:rsidP="008855C9">
            <w:pPr>
              <w:spacing w:after="0" w:line="240" w:lineRule="auto"/>
              <w:rPr>
                <w:rFonts w:ascii="Arial" w:hAnsi="Arial" w:cs="Arial"/>
                <w:sz w:val="20"/>
                <w:szCs w:val="18"/>
              </w:rPr>
            </w:pPr>
            <w:r w:rsidRPr="008855C9">
              <w:rPr>
                <w:rFonts w:ascii="Arial" w:hAnsi="Arial" w:cs="Arial"/>
                <w:sz w:val="20"/>
                <w:szCs w:val="18"/>
              </w:rPr>
              <w:t>Intereses Banobras 11126 y 111282</w:t>
            </w:r>
          </w:p>
        </w:tc>
        <w:tc>
          <w:tcPr>
            <w:tcW w:w="1686" w:type="dxa"/>
            <w:tcBorders>
              <w:top w:val="nil"/>
              <w:left w:val="nil"/>
              <w:bottom w:val="single" w:sz="4" w:space="0" w:color="auto"/>
              <w:right w:val="single" w:sz="4" w:space="0" w:color="auto"/>
            </w:tcBorders>
            <w:shd w:val="clear" w:color="auto" w:fill="auto"/>
            <w:noWrap/>
            <w:vAlign w:val="center"/>
            <w:hideMark/>
          </w:tcPr>
          <w:p w:rsidR="008855C9" w:rsidRPr="008855C9" w:rsidRDefault="008855C9" w:rsidP="008855C9">
            <w:pPr>
              <w:spacing w:after="0" w:line="240" w:lineRule="auto"/>
              <w:jc w:val="right"/>
              <w:rPr>
                <w:rFonts w:ascii="Arial" w:eastAsia="Times New Roman" w:hAnsi="Arial" w:cs="Arial"/>
                <w:color w:val="000000"/>
                <w:sz w:val="20"/>
                <w:szCs w:val="18"/>
              </w:rPr>
            </w:pPr>
            <w:r w:rsidRPr="008855C9">
              <w:rPr>
                <w:rFonts w:ascii="Arial" w:eastAsia="Times New Roman" w:hAnsi="Arial" w:cs="Arial"/>
                <w:color w:val="000000"/>
                <w:sz w:val="20"/>
                <w:szCs w:val="18"/>
              </w:rPr>
              <w:t xml:space="preserve">Inversión Pública </w:t>
            </w:r>
          </w:p>
        </w:tc>
      </w:tr>
      <w:tr w:rsidR="008855C9" w:rsidRPr="00B31CB3" w:rsidTr="008855C9">
        <w:trPr>
          <w:trHeight w:val="300"/>
          <w:jc w:val="center"/>
        </w:trPr>
        <w:tc>
          <w:tcPr>
            <w:tcW w:w="4709" w:type="dxa"/>
            <w:tcBorders>
              <w:top w:val="nil"/>
              <w:left w:val="single" w:sz="4" w:space="0" w:color="auto"/>
              <w:bottom w:val="single" w:sz="4" w:space="0" w:color="auto"/>
              <w:right w:val="single" w:sz="4" w:space="0" w:color="auto"/>
            </w:tcBorders>
            <w:shd w:val="clear" w:color="auto" w:fill="auto"/>
            <w:noWrap/>
            <w:vAlign w:val="center"/>
            <w:hideMark/>
          </w:tcPr>
          <w:p w:rsidR="008855C9" w:rsidRPr="008855C9" w:rsidRDefault="008855C9" w:rsidP="008855C9">
            <w:pPr>
              <w:spacing w:after="0" w:line="240" w:lineRule="auto"/>
              <w:rPr>
                <w:rFonts w:ascii="Arial" w:hAnsi="Arial" w:cs="Arial"/>
                <w:sz w:val="20"/>
                <w:szCs w:val="18"/>
              </w:rPr>
            </w:pPr>
            <w:r w:rsidRPr="008855C9">
              <w:rPr>
                <w:rFonts w:ascii="Arial" w:hAnsi="Arial" w:cs="Arial"/>
                <w:sz w:val="20"/>
                <w:szCs w:val="18"/>
              </w:rPr>
              <w:t>Crédito Banobras 11149</w:t>
            </w:r>
          </w:p>
        </w:tc>
        <w:tc>
          <w:tcPr>
            <w:tcW w:w="1686" w:type="dxa"/>
            <w:tcBorders>
              <w:top w:val="nil"/>
              <w:left w:val="nil"/>
              <w:bottom w:val="single" w:sz="4" w:space="0" w:color="auto"/>
              <w:right w:val="single" w:sz="4" w:space="0" w:color="auto"/>
            </w:tcBorders>
            <w:shd w:val="clear" w:color="auto" w:fill="auto"/>
            <w:noWrap/>
            <w:vAlign w:val="center"/>
            <w:hideMark/>
          </w:tcPr>
          <w:p w:rsidR="008855C9" w:rsidRPr="008855C9" w:rsidRDefault="008855C9" w:rsidP="008855C9">
            <w:pPr>
              <w:spacing w:after="0" w:line="240" w:lineRule="auto"/>
              <w:jc w:val="right"/>
              <w:rPr>
                <w:rFonts w:ascii="Arial" w:eastAsia="Times New Roman" w:hAnsi="Arial" w:cs="Arial"/>
                <w:color w:val="000000"/>
                <w:sz w:val="20"/>
                <w:szCs w:val="18"/>
              </w:rPr>
            </w:pPr>
            <w:r w:rsidRPr="008855C9">
              <w:rPr>
                <w:rFonts w:ascii="Arial" w:eastAsia="Times New Roman" w:hAnsi="Arial" w:cs="Arial"/>
                <w:color w:val="000000"/>
                <w:sz w:val="20"/>
                <w:szCs w:val="18"/>
              </w:rPr>
              <w:t>Refinanciamiento</w:t>
            </w:r>
          </w:p>
        </w:tc>
      </w:tr>
      <w:tr w:rsidR="00723C49" w:rsidRPr="00B31CB3" w:rsidTr="008855C9">
        <w:trPr>
          <w:trHeight w:val="300"/>
          <w:jc w:val="center"/>
        </w:trPr>
        <w:tc>
          <w:tcPr>
            <w:tcW w:w="4709" w:type="dxa"/>
            <w:tcBorders>
              <w:top w:val="nil"/>
              <w:left w:val="single" w:sz="4" w:space="0" w:color="auto"/>
              <w:bottom w:val="single" w:sz="4" w:space="0" w:color="auto"/>
              <w:right w:val="single" w:sz="4" w:space="0" w:color="auto"/>
            </w:tcBorders>
            <w:shd w:val="clear" w:color="auto" w:fill="auto"/>
            <w:noWrap/>
            <w:vAlign w:val="center"/>
            <w:hideMark/>
          </w:tcPr>
          <w:p w:rsidR="00723C49" w:rsidRPr="008855C9" w:rsidRDefault="00723C49" w:rsidP="008855C9">
            <w:pPr>
              <w:spacing w:after="0" w:line="240" w:lineRule="auto"/>
              <w:jc w:val="center"/>
              <w:rPr>
                <w:rFonts w:ascii="Arial" w:eastAsia="Times New Roman" w:hAnsi="Arial" w:cs="Arial"/>
                <w:b/>
                <w:bCs/>
                <w:sz w:val="20"/>
                <w:szCs w:val="18"/>
              </w:rPr>
            </w:pPr>
            <w:r w:rsidRPr="008855C9">
              <w:rPr>
                <w:rFonts w:ascii="Arial" w:eastAsia="Times New Roman" w:hAnsi="Arial" w:cs="Arial"/>
                <w:b/>
                <w:bCs/>
                <w:sz w:val="20"/>
                <w:szCs w:val="18"/>
              </w:rPr>
              <w:t>Subtotal Banca de Desarrollo</w:t>
            </w:r>
          </w:p>
        </w:tc>
        <w:tc>
          <w:tcPr>
            <w:tcW w:w="1686" w:type="dxa"/>
            <w:tcBorders>
              <w:top w:val="nil"/>
              <w:left w:val="nil"/>
              <w:bottom w:val="single" w:sz="4" w:space="0" w:color="auto"/>
              <w:right w:val="single" w:sz="4" w:space="0" w:color="auto"/>
            </w:tcBorders>
            <w:shd w:val="clear" w:color="auto" w:fill="auto"/>
            <w:noWrap/>
            <w:vAlign w:val="center"/>
            <w:hideMark/>
          </w:tcPr>
          <w:p w:rsidR="00723C49" w:rsidRPr="008855C9" w:rsidRDefault="00723C49" w:rsidP="008855C9">
            <w:pPr>
              <w:spacing w:after="0" w:line="240" w:lineRule="auto"/>
              <w:jc w:val="right"/>
              <w:rPr>
                <w:rFonts w:ascii="Arial" w:eastAsia="Times New Roman" w:hAnsi="Arial" w:cs="Arial"/>
                <w:color w:val="000000"/>
                <w:sz w:val="20"/>
                <w:szCs w:val="18"/>
              </w:rPr>
            </w:pPr>
            <w:r w:rsidRPr="008855C9">
              <w:rPr>
                <w:rFonts w:ascii="Arial" w:eastAsia="Times New Roman" w:hAnsi="Arial" w:cs="Arial"/>
                <w:color w:val="000000"/>
                <w:sz w:val="20"/>
                <w:szCs w:val="18"/>
              </w:rPr>
              <w:t> </w:t>
            </w:r>
          </w:p>
        </w:tc>
      </w:tr>
      <w:tr w:rsidR="008855C9" w:rsidRPr="00B31CB3" w:rsidTr="008855C9">
        <w:trPr>
          <w:trHeight w:val="300"/>
          <w:jc w:val="center"/>
        </w:trPr>
        <w:tc>
          <w:tcPr>
            <w:tcW w:w="4709" w:type="dxa"/>
            <w:tcBorders>
              <w:top w:val="nil"/>
              <w:left w:val="single" w:sz="4" w:space="0" w:color="auto"/>
              <w:bottom w:val="single" w:sz="4" w:space="0" w:color="auto"/>
              <w:right w:val="single" w:sz="4" w:space="0" w:color="auto"/>
            </w:tcBorders>
            <w:shd w:val="clear" w:color="auto" w:fill="auto"/>
            <w:noWrap/>
            <w:vAlign w:val="center"/>
            <w:hideMark/>
          </w:tcPr>
          <w:p w:rsidR="008855C9" w:rsidRPr="008855C9" w:rsidRDefault="008855C9" w:rsidP="008855C9">
            <w:pPr>
              <w:spacing w:after="0" w:line="240" w:lineRule="auto"/>
              <w:rPr>
                <w:rFonts w:ascii="Arial" w:eastAsia="Times New Roman" w:hAnsi="Arial" w:cs="Arial"/>
                <w:sz w:val="20"/>
                <w:szCs w:val="18"/>
                <w:lang w:val="es-ES" w:eastAsia="es-ES"/>
              </w:rPr>
            </w:pPr>
            <w:r w:rsidRPr="008855C9">
              <w:rPr>
                <w:rFonts w:ascii="Arial" w:eastAsia="Times New Roman" w:hAnsi="Arial" w:cs="Arial"/>
                <w:sz w:val="20"/>
                <w:szCs w:val="18"/>
                <w:lang w:val="es-ES" w:eastAsia="es-ES"/>
              </w:rPr>
              <w:t>Crédito Banorte 34228560</w:t>
            </w:r>
          </w:p>
        </w:tc>
        <w:tc>
          <w:tcPr>
            <w:tcW w:w="1686" w:type="dxa"/>
            <w:tcBorders>
              <w:top w:val="nil"/>
              <w:left w:val="nil"/>
              <w:bottom w:val="single" w:sz="4" w:space="0" w:color="auto"/>
              <w:right w:val="single" w:sz="4" w:space="0" w:color="auto"/>
            </w:tcBorders>
            <w:shd w:val="clear" w:color="auto" w:fill="auto"/>
            <w:noWrap/>
            <w:vAlign w:val="center"/>
            <w:hideMark/>
          </w:tcPr>
          <w:p w:rsidR="008855C9" w:rsidRPr="008855C9" w:rsidRDefault="008855C9" w:rsidP="008855C9">
            <w:pPr>
              <w:spacing w:after="0" w:line="240" w:lineRule="auto"/>
              <w:jc w:val="right"/>
              <w:rPr>
                <w:rFonts w:ascii="Arial" w:eastAsia="Times New Roman" w:hAnsi="Arial" w:cs="Arial"/>
                <w:color w:val="000000"/>
                <w:sz w:val="20"/>
                <w:szCs w:val="18"/>
              </w:rPr>
            </w:pPr>
            <w:r w:rsidRPr="008855C9">
              <w:rPr>
                <w:rFonts w:ascii="Arial" w:eastAsia="Times New Roman" w:hAnsi="Arial" w:cs="Arial"/>
                <w:color w:val="000000"/>
                <w:sz w:val="20"/>
                <w:szCs w:val="18"/>
              </w:rPr>
              <w:t xml:space="preserve">Inversión Pública </w:t>
            </w:r>
          </w:p>
        </w:tc>
      </w:tr>
      <w:tr w:rsidR="008855C9" w:rsidRPr="00B31CB3" w:rsidTr="008855C9">
        <w:trPr>
          <w:trHeight w:val="300"/>
          <w:jc w:val="center"/>
        </w:trPr>
        <w:tc>
          <w:tcPr>
            <w:tcW w:w="4709" w:type="dxa"/>
            <w:tcBorders>
              <w:top w:val="nil"/>
              <w:left w:val="single" w:sz="4" w:space="0" w:color="auto"/>
              <w:bottom w:val="single" w:sz="4" w:space="0" w:color="auto"/>
              <w:right w:val="single" w:sz="4" w:space="0" w:color="auto"/>
            </w:tcBorders>
            <w:shd w:val="clear" w:color="auto" w:fill="auto"/>
            <w:noWrap/>
            <w:vAlign w:val="center"/>
            <w:hideMark/>
          </w:tcPr>
          <w:p w:rsidR="008855C9" w:rsidRPr="008855C9" w:rsidRDefault="008855C9" w:rsidP="008855C9">
            <w:pPr>
              <w:spacing w:after="0" w:line="240" w:lineRule="auto"/>
              <w:rPr>
                <w:rFonts w:ascii="Arial" w:eastAsia="Times New Roman" w:hAnsi="Arial" w:cs="Arial"/>
                <w:sz w:val="20"/>
                <w:szCs w:val="18"/>
                <w:lang w:val="es-ES" w:eastAsia="es-ES"/>
              </w:rPr>
            </w:pPr>
            <w:r w:rsidRPr="008855C9">
              <w:rPr>
                <w:rFonts w:ascii="Arial" w:eastAsia="Times New Roman" w:hAnsi="Arial" w:cs="Arial"/>
                <w:sz w:val="20"/>
                <w:szCs w:val="18"/>
                <w:lang w:val="es-ES" w:eastAsia="es-ES"/>
              </w:rPr>
              <w:t>Crédito Banorte 45523370</w:t>
            </w:r>
          </w:p>
        </w:tc>
        <w:tc>
          <w:tcPr>
            <w:tcW w:w="1686" w:type="dxa"/>
            <w:tcBorders>
              <w:top w:val="nil"/>
              <w:left w:val="nil"/>
              <w:bottom w:val="single" w:sz="4" w:space="0" w:color="auto"/>
              <w:right w:val="single" w:sz="4" w:space="0" w:color="auto"/>
            </w:tcBorders>
            <w:shd w:val="clear" w:color="auto" w:fill="auto"/>
            <w:noWrap/>
            <w:vAlign w:val="center"/>
            <w:hideMark/>
          </w:tcPr>
          <w:p w:rsidR="008855C9" w:rsidRPr="008855C9" w:rsidRDefault="008855C9" w:rsidP="008855C9">
            <w:pPr>
              <w:spacing w:after="0" w:line="240" w:lineRule="auto"/>
              <w:jc w:val="right"/>
              <w:rPr>
                <w:rFonts w:ascii="Arial" w:eastAsia="Times New Roman" w:hAnsi="Arial" w:cs="Arial"/>
                <w:color w:val="000000"/>
                <w:sz w:val="20"/>
                <w:szCs w:val="18"/>
              </w:rPr>
            </w:pPr>
            <w:r w:rsidRPr="008855C9">
              <w:rPr>
                <w:rFonts w:ascii="Arial" w:eastAsia="Times New Roman" w:hAnsi="Arial" w:cs="Arial"/>
                <w:color w:val="000000"/>
                <w:sz w:val="20"/>
                <w:szCs w:val="18"/>
              </w:rPr>
              <w:t xml:space="preserve">Inversión Pública </w:t>
            </w:r>
          </w:p>
        </w:tc>
      </w:tr>
      <w:tr w:rsidR="008855C9" w:rsidRPr="00B31CB3" w:rsidTr="008855C9">
        <w:trPr>
          <w:trHeight w:val="300"/>
          <w:jc w:val="center"/>
        </w:trPr>
        <w:tc>
          <w:tcPr>
            <w:tcW w:w="4709" w:type="dxa"/>
            <w:tcBorders>
              <w:top w:val="nil"/>
              <w:left w:val="single" w:sz="4" w:space="0" w:color="auto"/>
              <w:bottom w:val="single" w:sz="4" w:space="0" w:color="auto"/>
              <w:right w:val="single" w:sz="4" w:space="0" w:color="auto"/>
            </w:tcBorders>
            <w:shd w:val="clear" w:color="auto" w:fill="auto"/>
            <w:noWrap/>
            <w:vAlign w:val="center"/>
            <w:hideMark/>
          </w:tcPr>
          <w:p w:rsidR="008855C9" w:rsidRPr="00A31E73" w:rsidRDefault="000774A1" w:rsidP="008855C9">
            <w:pPr>
              <w:spacing w:after="0" w:line="240" w:lineRule="auto"/>
              <w:rPr>
                <w:rFonts w:ascii="Arial" w:eastAsia="Times New Roman" w:hAnsi="Arial" w:cs="Arial"/>
                <w:sz w:val="20"/>
                <w:szCs w:val="18"/>
                <w:lang w:val="es-ES" w:eastAsia="es-ES"/>
              </w:rPr>
            </w:pPr>
            <w:r w:rsidRPr="00A31E73">
              <w:rPr>
                <w:rFonts w:ascii="Arial" w:eastAsia="Times New Roman" w:hAnsi="Arial" w:cs="Arial"/>
                <w:sz w:val="20"/>
                <w:szCs w:val="18"/>
                <w:lang w:val="es-ES" w:eastAsia="es-ES"/>
              </w:rPr>
              <w:t>Crédito Interacciones 430259</w:t>
            </w:r>
          </w:p>
        </w:tc>
        <w:tc>
          <w:tcPr>
            <w:tcW w:w="1686" w:type="dxa"/>
            <w:tcBorders>
              <w:top w:val="nil"/>
              <w:left w:val="nil"/>
              <w:bottom w:val="single" w:sz="4" w:space="0" w:color="auto"/>
              <w:right w:val="single" w:sz="4" w:space="0" w:color="auto"/>
            </w:tcBorders>
            <w:shd w:val="clear" w:color="auto" w:fill="auto"/>
            <w:noWrap/>
            <w:vAlign w:val="center"/>
            <w:hideMark/>
          </w:tcPr>
          <w:p w:rsidR="008855C9" w:rsidRPr="008855C9" w:rsidRDefault="008855C9" w:rsidP="008855C9">
            <w:pPr>
              <w:spacing w:after="0" w:line="240" w:lineRule="auto"/>
              <w:jc w:val="right"/>
              <w:rPr>
                <w:rFonts w:ascii="Arial" w:eastAsia="Times New Roman" w:hAnsi="Arial" w:cs="Arial"/>
                <w:color w:val="000000"/>
                <w:sz w:val="20"/>
                <w:szCs w:val="18"/>
              </w:rPr>
            </w:pPr>
            <w:r w:rsidRPr="008855C9">
              <w:rPr>
                <w:rFonts w:ascii="Arial" w:eastAsia="Times New Roman" w:hAnsi="Arial" w:cs="Arial"/>
                <w:color w:val="000000"/>
                <w:sz w:val="20"/>
                <w:szCs w:val="18"/>
              </w:rPr>
              <w:t>Refinanciamiento</w:t>
            </w:r>
          </w:p>
        </w:tc>
      </w:tr>
      <w:tr w:rsidR="00723C49" w:rsidRPr="00B31CB3" w:rsidTr="008855C9">
        <w:trPr>
          <w:trHeight w:val="300"/>
          <w:jc w:val="center"/>
        </w:trPr>
        <w:tc>
          <w:tcPr>
            <w:tcW w:w="4709" w:type="dxa"/>
            <w:tcBorders>
              <w:top w:val="nil"/>
              <w:left w:val="single" w:sz="4" w:space="0" w:color="auto"/>
              <w:bottom w:val="single" w:sz="4" w:space="0" w:color="auto"/>
              <w:right w:val="single" w:sz="4" w:space="0" w:color="auto"/>
            </w:tcBorders>
            <w:shd w:val="clear" w:color="auto" w:fill="auto"/>
            <w:noWrap/>
            <w:vAlign w:val="center"/>
            <w:hideMark/>
          </w:tcPr>
          <w:p w:rsidR="00723C49" w:rsidRPr="008855C9" w:rsidRDefault="00723C49" w:rsidP="008855C9">
            <w:pPr>
              <w:spacing w:after="0" w:line="240" w:lineRule="auto"/>
              <w:jc w:val="center"/>
              <w:rPr>
                <w:rFonts w:ascii="Arial" w:eastAsia="Times New Roman" w:hAnsi="Arial" w:cs="Arial"/>
                <w:b/>
                <w:bCs/>
                <w:sz w:val="20"/>
                <w:szCs w:val="18"/>
              </w:rPr>
            </w:pPr>
            <w:r w:rsidRPr="008855C9">
              <w:rPr>
                <w:rFonts w:ascii="Arial" w:eastAsia="Times New Roman" w:hAnsi="Arial" w:cs="Arial"/>
                <w:b/>
                <w:bCs/>
                <w:sz w:val="20"/>
                <w:szCs w:val="18"/>
              </w:rPr>
              <w:t>Subtotal Banca Comercial</w:t>
            </w:r>
          </w:p>
        </w:tc>
        <w:tc>
          <w:tcPr>
            <w:tcW w:w="1686" w:type="dxa"/>
            <w:tcBorders>
              <w:top w:val="nil"/>
              <w:left w:val="nil"/>
              <w:bottom w:val="single" w:sz="4" w:space="0" w:color="auto"/>
              <w:right w:val="single" w:sz="4" w:space="0" w:color="auto"/>
            </w:tcBorders>
            <w:shd w:val="clear" w:color="auto" w:fill="auto"/>
            <w:noWrap/>
            <w:vAlign w:val="center"/>
            <w:hideMark/>
          </w:tcPr>
          <w:p w:rsidR="00723C49" w:rsidRPr="008855C9" w:rsidRDefault="00723C49" w:rsidP="008855C9">
            <w:pPr>
              <w:spacing w:after="0" w:line="240" w:lineRule="auto"/>
              <w:jc w:val="right"/>
              <w:rPr>
                <w:rFonts w:ascii="Arial" w:eastAsia="Times New Roman" w:hAnsi="Arial" w:cs="Arial"/>
                <w:color w:val="000000"/>
                <w:sz w:val="20"/>
                <w:szCs w:val="18"/>
              </w:rPr>
            </w:pPr>
            <w:r w:rsidRPr="008855C9">
              <w:rPr>
                <w:rFonts w:ascii="Arial" w:eastAsia="Times New Roman" w:hAnsi="Arial" w:cs="Arial"/>
                <w:color w:val="000000"/>
                <w:sz w:val="20"/>
                <w:szCs w:val="18"/>
              </w:rPr>
              <w:t> </w:t>
            </w:r>
          </w:p>
        </w:tc>
      </w:tr>
    </w:tbl>
    <w:p w:rsidR="00723C49" w:rsidRDefault="00723C49" w:rsidP="00723C49"/>
    <w:p w:rsidR="00906AFB" w:rsidRPr="00906AFB" w:rsidRDefault="00906AFB" w:rsidP="00906AFB">
      <w:pPr>
        <w:spacing w:after="0" w:line="240" w:lineRule="auto"/>
        <w:jc w:val="both"/>
        <w:rPr>
          <w:rFonts w:ascii="Arial" w:eastAsia="Times New Roman" w:hAnsi="Arial" w:cs="Arial"/>
          <w:sz w:val="24"/>
          <w:szCs w:val="24"/>
          <w:lang w:val="es-ES" w:eastAsia="es-ES"/>
        </w:rPr>
      </w:pPr>
      <w:r w:rsidRPr="00906AFB">
        <w:rPr>
          <w:rFonts w:ascii="Arial" w:eastAsia="Times New Roman" w:hAnsi="Arial" w:cs="Arial"/>
          <w:sz w:val="24"/>
          <w:szCs w:val="24"/>
          <w:lang w:val="es-ES" w:eastAsia="es-ES"/>
        </w:rPr>
        <w:t xml:space="preserve">El monto estimado para el pago de honorarios </w:t>
      </w:r>
      <w:r w:rsidR="00A707F3">
        <w:rPr>
          <w:rFonts w:ascii="Arial" w:eastAsia="Times New Roman" w:hAnsi="Arial" w:cs="Arial"/>
          <w:sz w:val="24"/>
          <w:szCs w:val="24"/>
          <w:lang w:val="es-ES" w:eastAsia="es-ES"/>
        </w:rPr>
        <w:t xml:space="preserve">por administración </w:t>
      </w:r>
      <w:r w:rsidRPr="00906AFB">
        <w:rPr>
          <w:rFonts w:ascii="Arial" w:eastAsia="Times New Roman" w:hAnsi="Arial" w:cs="Arial"/>
          <w:sz w:val="24"/>
          <w:szCs w:val="24"/>
          <w:lang w:val="es-ES" w:eastAsia="es-ES"/>
        </w:rPr>
        <w:t>de Fideicomisos relacionados con la Deuda Pública es el siguiente:</w:t>
      </w:r>
    </w:p>
    <w:p w:rsidR="00906AFB" w:rsidRPr="00FD430F" w:rsidRDefault="00906AFB" w:rsidP="00906AFB">
      <w:pPr>
        <w:spacing w:after="0" w:line="240" w:lineRule="auto"/>
        <w:jc w:val="both"/>
        <w:rPr>
          <w:rFonts w:ascii="Arial" w:eastAsia="Times New Roman" w:hAnsi="Arial" w:cs="Arial"/>
          <w:sz w:val="20"/>
          <w:szCs w:val="24"/>
          <w:lang w:val="es-ES" w:eastAsia="es-ES"/>
        </w:rPr>
      </w:pPr>
    </w:p>
    <w:p w:rsidR="00906AFB" w:rsidRPr="00906AFB" w:rsidRDefault="00CF4172" w:rsidP="00906AFB">
      <w:pPr>
        <w:keepNext/>
        <w:keepLines/>
        <w:spacing w:after="0" w:line="240" w:lineRule="auto"/>
        <w:jc w:val="center"/>
        <w:outlineLvl w:val="1"/>
        <w:rPr>
          <w:rFonts w:ascii="Arial" w:eastAsia="Times New Roman" w:hAnsi="Arial" w:cs="Times New Roman"/>
          <w:b/>
          <w:sz w:val="20"/>
          <w:szCs w:val="26"/>
          <w:lang w:val="es-ES" w:eastAsia="en-US"/>
        </w:rPr>
      </w:pPr>
      <w:r>
        <w:rPr>
          <w:rFonts w:ascii="Arial" w:eastAsia="Times New Roman" w:hAnsi="Arial" w:cs="Times New Roman"/>
          <w:b/>
          <w:sz w:val="20"/>
          <w:szCs w:val="26"/>
          <w:lang w:val="es-ES" w:eastAsia="en-US"/>
        </w:rPr>
        <w:t>Tabla 38</w:t>
      </w:r>
      <w:r w:rsidR="00906AFB" w:rsidRPr="00906AFB">
        <w:rPr>
          <w:rFonts w:ascii="Arial" w:eastAsia="Times New Roman" w:hAnsi="Arial" w:cs="Times New Roman"/>
          <w:b/>
          <w:sz w:val="20"/>
          <w:szCs w:val="26"/>
          <w:lang w:val="es-ES" w:eastAsia="en-US"/>
        </w:rPr>
        <w:t xml:space="preserve">. Erogaciones Previstas para Deuda Pública </w:t>
      </w:r>
      <w:r w:rsidR="00906AFB" w:rsidRPr="00906AFB">
        <w:rPr>
          <w:rFonts w:ascii="Arial" w:eastAsia="Times New Roman" w:hAnsi="Arial" w:cs="Times New Roman"/>
          <w:b/>
          <w:sz w:val="20"/>
          <w:szCs w:val="26"/>
          <w:lang w:val="es-ES" w:eastAsia="en-US"/>
        </w:rPr>
        <w:br/>
        <w:t xml:space="preserve">(Pago de honorarios </w:t>
      </w:r>
      <w:r w:rsidR="00A707F3">
        <w:rPr>
          <w:rFonts w:ascii="Arial" w:eastAsia="Times New Roman" w:hAnsi="Arial" w:cs="Times New Roman"/>
          <w:b/>
          <w:sz w:val="20"/>
          <w:szCs w:val="26"/>
          <w:lang w:val="es-ES" w:eastAsia="en-US"/>
        </w:rPr>
        <w:t xml:space="preserve">por administración </w:t>
      </w:r>
      <w:r w:rsidR="00906AFB" w:rsidRPr="00906AFB">
        <w:rPr>
          <w:rFonts w:ascii="Arial" w:eastAsia="Times New Roman" w:hAnsi="Arial" w:cs="Times New Roman"/>
          <w:b/>
          <w:sz w:val="20"/>
          <w:szCs w:val="26"/>
          <w:lang w:val="es-ES" w:eastAsia="en-US"/>
        </w:rPr>
        <w:t>de Fideicomisos)</w:t>
      </w:r>
    </w:p>
    <w:tbl>
      <w:tblPr>
        <w:tblStyle w:val="Tablaconcuadrcula2"/>
        <w:tblW w:w="0" w:type="auto"/>
        <w:jc w:val="center"/>
        <w:tblInd w:w="0" w:type="dxa"/>
        <w:tblLook w:val="04A0" w:firstRow="1" w:lastRow="0" w:firstColumn="1" w:lastColumn="0" w:noHBand="0" w:noVBand="1"/>
      </w:tblPr>
      <w:tblGrid>
        <w:gridCol w:w="2888"/>
        <w:gridCol w:w="2782"/>
        <w:gridCol w:w="1701"/>
      </w:tblGrid>
      <w:tr w:rsidR="00906AFB" w:rsidRPr="00906AFB" w:rsidTr="00906AFB">
        <w:trPr>
          <w:trHeight w:val="375"/>
          <w:jc w:val="center"/>
        </w:trPr>
        <w:tc>
          <w:tcPr>
            <w:tcW w:w="2888"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center"/>
              <w:rPr>
                <w:rFonts w:ascii="Arial" w:hAnsi="Arial" w:cs="Arial"/>
                <w:b/>
                <w:sz w:val="20"/>
                <w:lang w:eastAsia="es-ES"/>
              </w:rPr>
            </w:pPr>
            <w:r w:rsidRPr="00906AFB">
              <w:rPr>
                <w:rFonts w:ascii="Arial" w:hAnsi="Arial" w:cs="Arial"/>
                <w:b/>
                <w:sz w:val="20"/>
                <w:lang w:eastAsia="es-ES"/>
              </w:rPr>
              <w:t>Fiduciario</w:t>
            </w:r>
          </w:p>
        </w:tc>
        <w:tc>
          <w:tcPr>
            <w:tcW w:w="2782"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center"/>
              <w:rPr>
                <w:rFonts w:ascii="Arial" w:hAnsi="Arial" w:cs="Arial"/>
                <w:b/>
                <w:sz w:val="20"/>
                <w:lang w:eastAsia="es-ES"/>
              </w:rPr>
            </w:pPr>
            <w:r w:rsidRPr="00906AFB">
              <w:rPr>
                <w:rFonts w:ascii="Arial" w:hAnsi="Arial" w:cs="Arial"/>
                <w:b/>
                <w:sz w:val="20"/>
                <w:lang w:eastAsia="es-ES"/>
              </w:rPr>
              <w:t>Número de identificación</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center"/>
              <w:rPr>
                <w:rFonts w:ascii="Arial" w:hAnsi="Arial" w:cs="Arial"/>
                <w:b/>
                <w:sz w:val="20"/>
                <w:lang w:eastAsia="es-ES"/>
              </w:rPr>
            </w:pPr>
            <w:r w:rsidRPr="00906AFB">
              <w:rPr>
                <w:rFonts w:ascii="Arial" w:hAnsi="Arial" w:cs="Arial"/>
                <w:b/>
                <w:sz w:val="20"/>
                <w:lang w:eastAsia="es-ES"/>
              </w:rPr>
              <w:t>Monto</w:t>
            </w:r>
          </w:p>
        </w:tc>
      </w:tr>
      <w:tr w:rsidR="00906AFB" w:rsidRPr="00906AFB" w:rsidTr="00906AFB">
        <w:trPr>
          <w:trHeight w:val="300"/>
          <w:jc w:val="center"/>
        </w:trPr>
        <w:tc>
          <w:tcPr>
            <w:tcW w:w="2888"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rPr>
                <w:rFonts w:ascii="Arial" w:hAnsi="Arial" w:cs="Arial"/>
                <w:sz w:val="20"/>
                <w:lang w:eastAsia="es-ES"/>
              </w:rPr>
            </w:pPr>
            <w:r w:rsidRPr="00906AFB">
              <w:rPr>
                <w:rFonts w:ascii="Arial" w:hAnsi="Arial" w:cs="Arial"/>
                <w:sz w:val="20"/>
                <w:lang w:eastAsia="es-ES"/>
              </w:rPr>
              <w:lastRenderedPageBreak/>
              <w:t>Banco Santander México S.A.</w:t>
            </w:r>
          </w:p>
        </w:tc>
        <w:tc>
          <w:tcPr>
            <w:tcW w:w="2782"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rPr>
                <w:rFonts w:ascii="Arial" w:hAnsi="Arial" w:cs="Arial"/>
                <w:sz w:val="20"/>
                <w:lang w:eastAsia="es-ES"/>
              </w:rPr>
            </w:pPr>
            <w:r w:rsidRPr="00906AFB">
              <w:rPr>
                <w:rFonts w:ascii="Arial" w:hAnsi="Arial" w:cs="Arial"/>
                <w:sz w:val="20"/>
                <w:lang w:eastAsia="es-ES"/>
              </w:rPr>
              <w:t xml:space="preserve"> F/2112337 </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20"/>
                <w:lang w:eastAsia="es-ES"/>
              </w:rPr>
            </w:pPr>
            <w:r w:rsidRPr="00906AFB">
              <w:rPr>
                <w:rFonts w:ascii="Arial" w:hAnsi="Arial" w:cs="Arial"/>
                <w:sz w:val="20"/>
                <w:lang w:eastAsia="es-ES"/>
              </w:rPr>
              <w:t xml:space="preserve">835,200 </w:t>
            </w:r>
          </w:p>
        </w:tc>
      </w:tr>
      <w:tr w:rsidR="00906AFB" w:rsidRPr="00906AFB" w:rsidTr="00906AFB">
        <w:trPr>
          <w:trHeight w:val="300"/>
          <w:jc w:val="center"/>
        </w:trPr>
        <w:tc>
          <w:tcPr>
            <w:tcW w:w="2888"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rPr>
                <w:rFonts w:ascii="Arial" w:hAnsi="Arial" w:cs="Arial"/>
                <w:sz w:val="20"/>
                <w:lang w:eastAsia="es-ES"/>
              </w:rPr>
            </w:pPr>
            <w:r w:rsidRPr="00906AFB">
              <w:rPr>
                <w:rFonts w:ascii="Arial" w:hAnsi="Arial" w:cs="Arial"/>
                <w:sz w:val="20"/>
                <w:lang w:eastAsia="es-ES"/>
              </w:rPr>
              <w:t>Banco INVEX S.A.</w:t>
            </w:r>
          </w:p>
        </w:tc>
        <w:tc>
          <w:tcPr>
            <w:tcW w:w="2782"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rPr>
                <w:rFonts w:ascii="Arial" w:hAnsi="Arial" w:cs="Arial"/>
                <w:sz w:val="20"/>
                <w:lang w:eastAsia="es-ES"/>
              </w:rPr>
            </w:pPr>
            <w:r w:rsidRPr="00906AFB">
              <w:rPr>
                <w:rFonts w:ascii="Arial" w:hAnsi="Arial" w:cs="Arial"/>
                <w:sz w:val="20"/>
                <w:lang w:eastAsia="es-ES"/>
              </w:rPr>
              <w:t xml:space="preserve"> F/790 </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20"/>
                <w:lang w:eastAsia="es-ES"/>
              </w:rPr>
            </w:pPr>
            <w:r w:rsidRPr="00906AFB">
              <w:rPr>
                <w:rFonts w:ascii="Arial" w:hAnsi="Arial" w:cs="Arial"/>
                <w:sz w:val="20"/>
                <w:lang w:eastAsia="es-ES"/>
              </w:rPr>
              <w:t xml:space="preserve">596,815 </w:t>
            </w:r>
          </w:p>
        </w:tc>
      </w:tr>
      <w:tr w:rsidR="00906AFB" w:rsidRPr="00906AFB" w:rsidTr="00906AFB">
        <w:trPr>
          <w:trHeight w:val="315"/>
          <w:jc w:val="center"/>
        </w:trPr>
        <w:tc>
          <w:tcPr>
            <w:tcW w:w="2888"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rPr>
                <w:rFonts w:ascii="Arial" w:hAnsi="Arial" w:cs="Arial"/>
                <w:sz w:val="20"/>
                <w:lang w:eastAsia="es-ES"/>
              </w:rPr>
            </w:pPr>
            <w:r w:rsidRPr="00906AFB">
              <w:rPr>
                <w:rFonts w:ascii="Arial" w:hAnsi="Arial" w:cs="Arial"/>
                <w:sz w:val="20"/>
                <w:lang w:eastAsia="es-ES"/>
              </w:rPr>
              <w:t>Banco INVEX S.A.</w:t>
            </w:r>
          </w:p>
        </w:tc>
        <w:tc>
          <w:tcPr>
            <w:tcW w:w="2782"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rPr>
                <w:rFonts w:ascii="Arial" w:hAnsi="Arial" w:cs="Arial"/>
                <w:sz w:val="20"/>
                <w:lang w:eastAsia="es-ES"/>
              </w:rPr>
            </w:pPr>
            <w:r w:rsidRPr="00906AFB">
              <w:rPr>
                <w:rFonts w:ascii="Arial" w:hAnsi="Arial" w:cs="Arial"/>
                <w:sz w:val="20"/>
                <w:lang w:eastAsia="es-ES"/>
              </w:rPr>
              <w:t xml:space="preserve"> F/946 </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20"/>
                <w:lang w:eastAsia="es-ES"/>
              </w:rPr>
            </w:pPr>
            <w:r w:rsidRPr="00906AFB">
              <w:rPr>
                <w:rFonts w:ascii="Arial" w:hAnsi="Arial" w:cs="Arial"/>
                <w:sz w:val="20"/>
                <w:lang w:eastAsia="es-ES"/>
              </w:rPr>
              <w:t xml:space="preserve">232,000 </w:t>
            </w:r>
          </w:p>
        </w:tc>
      </w:tr>
      <w:tr w:rsidR="00906AFB" w:rsidRPr="00906AFB" w:rsidTr="00906AFB">
        <w:trPr>
          <w:trHeight w:val="222"/>
          <w:jc w:val="center"/>
        </w:trPr>
        <w:tc>
          <w:tcPr>
            <w:tcW w:w="2888" w:type="dxa"/>
            <w:tcBorders>
              <w:top w:val="single" w:sz="4" w:space="0" w:color="auto"/>
              <w:left w:val="single" w:sz="4" w:space="0" w:color="auto"/>
              <w:bottom w:val="single" w:sz="4" w:space="0" w:color="auto"/>
              <w:right w:val="single" w:sz="4" w:space="0" w:color="auto"/>
            </w:tcBorders>
            <w:noWrap/>
            <w:hideMark/>
          </w:tcPr>
          <w:p w:rsidR="00906AFB" w:rsidRPr="00906AFB" w:rsidRDefault="00906AFB" w:rsidP="00906AFB">
            <w:pPr>
              <w:jc w:val="center"/>
              <w:rPr>
                <w:rFonts w:ascii="Arial" w:hAnsi="Arial" w:cs="Arial"/>
                <w:b/>
                <w:sz w:val="20"/>
                <w:lang w:eastAsia="es-ES"/>
              </w:rPr>
            </w:pPr>
            <w:r w:rsidRPr="00906AFB">
              <w:rPr>
                <w:rFonts w:ascii="Arial" w:hAnsi="Arial" w:cs="Arial"/>
                <w:b/>
                <w:sz w:val="20"/>
                <w:lang w:eastAsia="es-ES"/>
              </w:rPr>
              <w:t xml:space="preserve">Total </w:t>
            </w:r>
          </w:p>
        </w:tc>
        <w:tc>
          <w:tcPr>
            <w:tcW w:w="2782" w:type="dxa"/>
            <w:tcBorders>
              <w:top w:val="single" w:sz="4" w:space="0" w:color="auto"/>
              <w:left w:val="single" w:sz="4" w:space="0" w:color="auto"/>
              <w:bottom w:val="single" w:sz="4" w:space="0" w:color="auto"/>
              <w:right w:val="single" w:sz="4" w:space="0" w:color="auto"/>
            </w:tcBorders>
            <w:noWrap/>
            <w:hideMark/>
          </w:tcPr>
          <w:p w:rsidR="00906AFB" w:rsidRPr="00906AFB" w:rsidRDefault="00906AFB" w:rsidP="00906AFB">
            <w:pPr>
              <w:jc w:val="center"/>
              <w:rPr>
                <w:rFonts w:ascii="Arial" w:hAnsi="Arial" w:cs="Arial"/>
                <w:b/>
                <w:sz w:val="20"/>
                <w:lang w:eastAsia="es-ES"/>
              </w:rPr>
            </w:pPr>
            <w:r w:rsidRPr="00906AFB">
              <w:rPr>
                <w:rFonts w:ascii="Arial" w:hAnsi="Arial" w:cs="Arial"/>
                <w:b/>
                <w:sz w:val="20"/>
                <w:lang w:eastAsia="es-ES"/>
              </w:rPr>
              <w:t> </w:t>
            </w:r>
          </w:p>
        </w:tc>
        <w:tc>
          <w:tcPr>
            <w:tcW w:w="1701" w:type="dxa"/>
            <w:tcBorders>
              <w:top w:val="single" w:sz="4" w:space="0" w:color="auto"/>
              <w:left w:val="single" w:sz="4" w:space="0" w:color="auto"/>
              <w:bottom w:val="single" w:sz="4" w:space="0" w:color="auto"/>
              <w:right w:val="single" w:sz="4" w:space="0" w:color="auto"/>
            </w:tcBorders>
            <w:noWrap/>
            <w:hideMark/>
          </w:tcPr>
          <w:p w:rsidR="00906AFB" w:rsidRPr="00906AFB" w:rsidRDefault="00906AFB" w:rsidP="00906AFB">
            <w:pPr>
              <w:jc w:val="right"/>
              <w:rPr>
                <w:rFonts w:ascii="Arial" w:hAnsi="Arial" w:cs="Arial"/>
                <w:b/>
                <w:sz w:val="20"/>
                <w:lang w:eastAsia="es-ES"/>
              </w:rPr>
            </w:pPr>
            <w:r w:rsidRPr="00906AFB">
              <w:rPr>
                <w:rFonts w:ascii="Arial" w:hAnsi="Arial" w:cs="Arial"/>
                <w:b/>
                <w:sz w:val="20"/>
                <w:lang w:eastAsia="es-ES"/>
              </w:rPr>
              <w:t xml:space="preserve">1,664,015 </w:t>
            </w:r>
          </w:p>
        </w:tc>
      </w:tr>
    </w:tbl>
    <w:p w:rsidR="00906AFB" w:rsidRDefault="00906AFB" w:rsidP="00906AFB">
      <w:pPr>
        <w:spacing w:after="0" w:line="240" w:lineRule="auto"/>
        <w:jc w:val="center"/>
        <w:rPr>
          <w:rFonts w:ascii="Arial" w:eastAsia="Times New Roman" w:hAnsi="Arial" w:cs="Times New Roman"/>
          <w:b/>
          <w:sz w:val="16"/>
          <w:lang w:val="es-ES" w:eastAsia="en-US"/>
        </w:rPr>
      </w:pPr>
    </w:p>
    <w:p w:rsidR="00FD430F" w:rsidRPr="00FD430F" w:rsidRDefault="00FD430F" w:rsidP="00906AFB">
      <w:pPr>
        <w:spacing w:after="0" w:line="240" w:lineRule="auto"/>
        <w:jc w:val="center"/>
        <w:rPr>
          <w:rFonts w:ascii="Arial" w:eastAsia="Times New Roman" w:hAnsi="Arial" w:cs="Times New Roman"/>
          <w:b/>
          <w:sz w:val="16"/>
          <w:lang w:val="es-ES" w:eastAsia="en-US"/>
        </w:rPr>
      </w:pPr>
    </w:p>
    <w:p w:rsidR="00906AFB" w:rsidRPr="00906AFB" w:rsidRDefault="00906AFB" w:rsidP="00906AFB">
      <w:pPr>
        <w:spacing w:after="0" w:line="240" w:lineRule="auto"/>
        <w:jc w:val="center"/>
        <w:rPr>
          <w:rFonts w:ascii="Arial" w:eastAsia="Times New Roman" w:hAnsi="Arial" w:cs="Times New Roman"/>
          <w:b/>
          <w:sz w:val="20"/>
          <w:lang w:val="es-ES" w:eastAsia="en-US"/>
        </w:rPr>
      </w:pPr>
      <w:r w:rsidRPr="00906AFB">
        <w:rPr>
          <w:rFonts w:ascii="Arial" w:eastAsia="Times New Roman" w:hAnsi="Arial" w:cs="Times New Roman"/>
          <w:b/>
          <w:sz w:val="20"/>
          <w:lang w:val="es-ES" w:eastAsia="en-US"/>
        </w:rPr>
        <w:t xml:space="preserve">(Pago de </w:t>
      </w:r>
      <w:r w:rsidR="00A707F3">
        <w:rPr>
          <w:rFonts w:ascii="Arial" w:eastAsia="Times New Roman" w:hAnsi="Arial" w:cs="Times New Roman"/>
          <w:b/>
          <w:sz w:val="20"/>
          <w:lang w:val="es-ES" w:eastAsia="en-US"/>
        </w:rPr>
        <w:t xml:space="preserve">Servicios de </w:t>
      </w:r>
      <w:r w:rsidRPr="00906AFB">
        <w:rPr>
          <w:rFonts w:ascii="Arial" w:eastAsia="Times New Roman" w:hAnsi="Arial" w:cs="Times New Roman"/>
          <w:b/>
          <w:sz w:val="20"/>
          <w:lang w:val="es-ES" w:eastAsia="en-US"/>
        </w:rPr>
        <w:t>Calificaciones Crediticias)</w:t>
      </w:r>
    </w:p>
    <w:tbl>
      <w:tblPr>
        <w:tblStyle w:val="Tablaconcuadrcula2"/>
        <w:tblW w:w="0" w:type="auto"/>
        <w:jc w:val="center"/>
        <w:tblInd w:w="0" w:type="dxa"/>
        <w:tblLook w:val="04A0" w:firstRow="1" w:lastRow="0" w:firstColumn="1" w:lastColumn="0" w:noHBand="0" w:noVBand="1"/>
      </w:tblPr>
      <w:tblGrid>
        <w:gridCol w:w="2977"/>
        <w:gridCol w:w="2693"/>
        <w:gridCol w:w="1701"/>
      </w:tblGrid>
      <w:tr w:rsidR="00906AFB" w:rsidRPr="00906AFB" w:rsidTr="00906AFB">
        <w:trPr>
          <w:trHeight w:val="300"/>
          <w:jc w:val="center"/>
        </w:trPr>
        <w:tc>
          <w:tcPr>
            <w:tcW w:w="297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rPr>
                <w:rFonts w:ascii="Arial" w:hAnsi="Arial" w:cs="Arial"/>
                <w:sz w:val="20"/>
                <w:lang w:eastAsia="es-ES"/>
              </w:rPr>
            </w:pPr>
            <w:r w:rsidRPr="00906AFB">
              <w:rPr>
                <w:rFonts w:ascii="Arial" w:hAnsi="Arial" w:cs="Arial"/>
                <w:sz w:val="20"/>
                <w:lang w:eastAsia="es-ES"/>
              </w:rPr>
              <w:t>Calificaciones Quirografarias</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ind w:left="-108"/>
              <w:rPr>
                <w:rFonts w:ascii="Arial" w:hAnsi="Arial" w:cs="Arial"/>
                <w:sz w:val="20"/>
                <w:lang w:val="en-US" w:eastAsia="es-ES"/>
              </w:rPr>
            </w:pPr>
            <w:r w:rsidRPr="00906AFB">
              <w:rPr>
                <w:rFonts w:ascii="Arial" w:hAnsi="Arial" w:cs="Arial"/>
                <w:sz w:val="20"/>
                <w:lang w:val="en-US" w:eastAsia="es-ES"/>
              </w:rPr>
              <w:t xml:space="preserve"> Fitch Ratings y HR Ratings </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20"/>
                <w:lang w:eastAsia="es-ES"/>
              </w:rPr>
            </w:pPr>
            <w:r w:rsidRPr="00906AFB">
              <w:rPr>
                <w:rFonts w:ascii="Arial" w:hAnsi="Arial" w:cs="Arial"/>
                <w:sz w:val="20"/>
                <w:lang w:eastAsia="es-ES"/>
              </w:rPr>
              <w:t>516,000</w:t>
            </w:r>
          </w:p>
        </w:tc>
      </w:tr>
      <w:tr w:rsidR="00906AFB" w:rsidRPr="00906AFB" w:rsidTr="00906AFB">
        <w:trPr>
          <w:trHeight w:val="315"/>
          <w:jc w:val="center"/>
        </w:trPr>
        <w:tc>
          <w:tcPr>
            <w:tcW w:w="297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rPr>
                <w:rFonts w:ascii="Arial" w:hAnsi="Arial" w:cs="Arial"/>
                <w:sz w:val="20"/>
                <w:lang w:eastAsia="es-ES"/>
              </w:rPr>
            </w:pPr>
            <w:r w:rsidRPr="00906AFB">
              <w:rPr>
                <w:rFonts w:ascii="Arial" w:hAnsi="Arial" w:cs="Arial"/>
                <w:sz w:val="20"/>
                <w:lang w:eastAsia="es-ES"/>
              </w:rPr>
              <w:t>Calificaciones Estructuradas</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ind w:left="-108"/>
              <w:rPr>
                <w:rFonts w:ascii="Arial" w:hAnsi="Arial" w:cs="Arial"/>
                <w:sz w:val="20"/>
                <w:lang w:eastAsia="es-ES"/>
              </w:rPr>
            </w:pPr>
            <w:r w:rsidRPr="00906AFB">
              <w:rPr>
                <w:rFonts w:ascii="Arial" w:hAnsi="Arial" w:cs="Arial"/>
                <w:sz w:val="20"/>
                <w:lang w:eastAsia="es-ES"/>
              </w:rPr>
              <w:t xml:space="preserve"> Fitch Ratings  </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20"/>
                <w:lang w:eastAsia="es-ES"/>
              </w:rPr>
            </w:pPr>
            <w:r w:rsidRPr="00906AFB">
              <w:rPr>
                <w:rFonts w:ascii="Arial" w:hAnsi="Arial" w:cs="Arial"/>
                <w:sz w:val="20"/>
                <w:lang w:eastAsia="es-ES"/>
              </w:rPr>
              <w:t>900,000</w:t>
            </w:r>
          </w:p>
        </w:tc>
      </w:tr>
      <w:tr w:rsidR="00906AFB" w:rsidRPr="00906AFB" w:rsidTr="00906AFB">
        <w:trPr>
          <w:trHeight w:val="254"/>
          <w:jc w:val="center"/>
        </w:trPr>
        <w:tc>
          <w:tcPr>
            <w:tcW w:w="2977" w:type="dxa"/>
            <w:tcBorders>
              <w:top w:val="single" w:sz="4" w:space="0" w:color="auto"/>
              <w:left w:val="single" w:sz="4" w:space="0" w:color="auto"/>
              <w:bottom w:val="single" w:sz="4" w:space="0" w:color="auto"/>
              <w:right w:val="single" w:sz="4" w:space="0" w:color="auto"/>
            </w:tcBorders>
            <w:noWrap/>
            <w:hideMark/>
          </w:tcPr>
          <w:p w:rsidR="00906AFB" w:rsidRPr="00906AFB" w:rsidRDefault="00906AFB" w:rsidP="00906AFB">
            <w:pPr>
              <w:jc w:val="center"/>
              <w:rPr>
                <w:rFonts w:ascii="Arial" w:hAnsi="Arial" w:cs="Arial"/>
                <w:b/>
                <w:sz w:val="20"/>
                <w:lang w:eastAsia="es-ES"/>
              </w:rPr>
            </w:pPr>
            <w:r w:rsidRPr="00906AFB">
              <w:rPr>
                <w:rFonts w:ascii="Arial" w:hAnsi="Arial" w:cs="Arial"/>
                <w:b/>
                <w:sz w:val="20"/>
                <w:lang w:eastAsia="es-ES"/>
              </w:rPr>
              <w:t>Total</w:t>
            </w:r>
          </w:p>
        </w:tc>
        <w:tc>
          <w:tcPr>
            <w:tcW w:w="2693" w:type="dxa"/>
            <w:tcBorders>
              <w:top w:val="single" w:sz="4" w:space="0" w:color="auto"/>
              <w:left w:val="single" w:sz="4" w:space="0" w:color="auto"/>
              <w:bottom w:val="single" w:sz="4" w:space="0" w:color="auto"/>
              <w:right w:val="single" w:sz="4" w:space="0" w:color="auto"/>
            </w:tcBorders>
            <w:noWrap/>
            <w:hideMark/>
          </w:tcPr>
          <w:p w:rsidR="00906AFB" w:rsidRPr="00906AFB" w:rsidRDefault="00906AFB" w:rsidP="00906AFB">
            <w:pPr>
              <w:spacing w:before="120" w:after="120" w:line="360" w:lineRule="auto"/>
              <w:jc w:val="both"/>
              <w:rPr>
                <w:rFonts w:ascii="Arial" w:hAnsi="Arial" w:cs="Arial"/>
                <w:b/>
                <w:sz w:val="20"/>
                <w:lang w:eastAsia="es-ES"/>
              </w:rPr>
            </w:pPr>
          </w:p>
        </w:tc>
        <w:tc>
          <w:tcPr>
            <w:tcW w:w="1701" w:type="dxa"/>
            <w:tcBorders>
              <w:top w:val="single" w:sz="4" w:space="0" w:color="auto"/>
              <w:left w:val="single" w:sz="4" w:space="0" w:color="auto"/>
              <w:bottom w:val="single" w:sz="4" w:space="0" w:color="auto"/>
              <w:right w:val="single" w:sz="4" w:space="0" w:color="auto"/>
            </w:tcBorders>
            <w:noWrap/>
            <w:hideMark/>
          </w:tcPr>
          <w:p w:rsidR="00906AFB" w:rsidRPr="00906AFB" w:rsidRDefault="00906AFB" w:rsidP="00906AFB">
            <w:pPr>
              <w:jc w:val="right"/>
              <w:rPr>
                <w:rFonts w:ascii="Arial" w:hAnsi="Arial" w:cs="Arial"/>
                <w:b/>
                <w:sz w:val="20"/>
                <w:lang w:eastAsia="es-ES"/>
              </w:rPr>
            </w:pPr>
            <w:r w:rsidRPr="00906AFB">
              <w:rPr>
                <w:rFonts w:ascii="Arial" w:hAnsi="Arial" w:cs="Arial"/>
                <w:b/>
                <w:sz w:val="20"/>
                <w:lang w:eastAsia="es-ES"/>
              </w:rPr>
              <w:t>1,416,000</w:t>
            </w:r>
          </w:p>
        </w:tc>
      </w:tr>
    </w:tbl>
    <w:p w:rsidR="00FD430F" w:rsidRDefault="00FD430F" w:rsidP="00906AFB">
      <w:pPr>
        <w:spacing w:after="0" w:line="240" w:lineRule="auto"/>
        <w:jc w:val="center"/>
        <w:rPr>
          <w:rFonts w:ascii="Arial" w:eastAsia="Calibri" w:hAnsi="Arial" w:cs="Arial"/>
          <w:b/>
          <w:sz w:val="16"/>
          <w:szCs w:val="24"/>
          <w:lang w:val="es-ES" w:eastAsia="en-US"/>
        </w:rPr>
      </w:pPr>
    </w:p>
    <w:p w:rsidR="00FD430F" w:rsidRDefault="00FD430F" w:rsidP="00906AFB">
      <w:pPr>
        <w:spacing w:after="0" w:line="240" w:lineRule="auto"/>
        <w:jc w:val="center"/>
        <w:rPr>
          <w:rFonts w:ascii="Arial" w:eastAsia="Calibri" w:hAnsi="Arial" w:cs="Arial"/>
          <w:b/>
          <w:sz w:val="16"/>
          <w:szCs w:val="24"/>
          <w:lang w:val="es-ES" w:eastAsia="en-US"/>
        </w:rPr>
      </w:pPr>
    </w:p>
    <w:p w:rsidR="00906AFB" w:rsidRPr="00906AFB" w:rsidRDefault="00906AFB" w:rsidP="00906AFB">
      <w:pPr>
        <w:spacing w:after="0" w:line="240" w:lineRule="auto"/>
        <w:jc w:val="center"/>
        <w:rPr>
          <w:rFonts w:ascii="Arial" w:eastAsia="Times New Roman" w:hAnsi="Arial" w:cs="Times New Roman"/>
          <w:b/>
          <w:sz w:val="20"/>
          <w:lang w:val="es-ES" w:eastAsia="en-US"/>
        </w:rPr>
      </w:pPr>
      <w:r w:rsidRPr="00906AFB">
        <w:rPr>
          <w:rFonts w:ascii="Arial" w:eastAsia="Times New Roman" w:hAnsi="Arial" w:cs="Times New Roman"/>
          <w:b/>
          <w:sz w:val="20"/>
          <w:lang w:val="es-ES" w:eastAsia="en-US"/>
        </w:rPr>
        <w:t>(Pago de Coberturas de Tasa de Interés)</w:t>
      </w:r>
    </w:p>
    <w:tbl>
      <w:tblPr>
        <w:tblStyle w:val="Tablaconcuadrcula2"/>
        <w:tblW w:w="0" w:type="auto"/>
        <w:jc w:val="center"/>
        <w:tblInd w:w="0" w:type="dxa"/>
        <w:tblLook w:val="04A0" w:firstRow="1" w:lastRow="0" w:firstColumn="1" w:lastColumn="0" w:noHBand="0" w:noVBand="1"/>
      </w:tblPr>
      <w:tblGrid>
        <w:gridCol w:w="2977"/>
        <w:gridCol w:w="2693"/>
        <w:gridCol w:w="1701"/>
      </w:tblGrid>
      <w:tr w:rsidR="00906AFB" w:rsidRPr="00906AFB" w:rsidTr="00906AFB">
        <w:trPr>
          <w:trHeight w:val="315"/>
          <w:jc w:val="center"/>
        </w:trPr>
        <w:tc>
          <w:tcPr>
            <w:tcW w:w="297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rPr>
                <w:rFonts w:ascii="Arial" w:hAnsi="Arial" w:cs="Arial"/>
                <w:sz w:val="20"/>
                <w:lang w:eastAsia="es-ES"/>
              </w:rPr>
            </w:pPr>
            <w:r w:rsidRPr="00906AFB">
              <w:rPr>
                <w:rFonts w:ascii="Arial" w:hAnsi="Arial" w:cs="Arial"/>
                <w:sz w:val="20"/>
                <w:lang w:eastAsia="es-ES"/>
              </w:rPr>
              <w:t>Coberturas de Tasa de Interés</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rPr>
                <w:rFonts w:ascii="Arial" w:hAnsi="Arial" w:cs="Arial"/>
                <w:sz w:val="20"/>
                <w:lang w:eastAsia="es-ES"/>
              </w:rPr>
            </w:pPr>
            <w:r w:rsidRPr="00906AFB">
              <w:rPr>
                <w:rFonts w:ascii="Arial" w:hAnsi="Arial" w:cs="Arial"/>
                <w:sz w:val="20"/>
                <w:lang w:eastAsia="es-ES"/>
              </w:rPr>
              <w:t xml:space="preserve"> Banobras y Banorte  </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20"/>
                <w:lang w:eastAsia="es-ES"/>
              </w:rPr>
            </w:pPr>
            <w:r w:rsidRPr="00906AFB">
              <w:rPr>
                <w:rFonts w:ascii="Arial" w:hAnsi="Arial" w:cs="Arial"/>
                <w:sz w:val="20"/>
                <w:lang w:eastAsia="es-ES"/>
              </w:rPr>
              <w:t>1,200,000</w:t>
            </w:r>
          </w:p>
        </w:tc>
      </w:tr>
      <w:tr w:rsidR="00906AFB" w:rsidRPr="00906AFB" w:rsidTr="00906AFB">
        <w:trPr>
          <w:trHeight w:val="248"/>
          <w:jc w:val="center"/>
        </w:trPr>
        <w:tc>
          <w:tcPr>
            <w:tcW w:w="5670" w:type="dxa"/>
            <w:gridSpan w:val="2"/>
            <w:tcBorders>
              <w:top w:val="single" w:sz="4" w:space="0" w:color="auto"/>
              <w:left w:val="single" w:sz="4" w:space="0" w:color="auto"/>
              <w:bottom w:val="single" w:sz="4" w:space="0" w:color="auto"/>
              <w:right w:val="single" w:sz="4" w:space="0" w:color="auto"/>
            </w:tcBorders>
            <w:noWrap/>
            <w:hideMark/>
          </w:tcPr>
          <w:p w:rsidR="00906AFB" w:rsidRPr="00906AFB" w:rsidRDefault="00906AFB" w:rsidP="00906AFB">
            <w:pPr>
              <w:jc w:val="center"/>
              <w:rPr>
                <w:rFonts w:ascii="Arial" w:hAnsi="Arial" w:cs="Arial"/>
                <w:b/>
                <w:sz w:val="20"/>
                <w:lang w:eastAsia="es-ES"/>
              </w:rPr>
            </w:pPr>
            <w:r w:rsidRPr="00906AFB">
              <w:rPr>
                <w:rFonts w:ascii="Arial" w:hAnsi="Arial" w:cs="Arial"/>
                <w:b/>
                <w:sz w:val="20"/>
                <w:lang w:eastAsia="es-ES"/>
              </w:rPr>
              <w:t>Total</w:t>
            </w:r>
          </w:p>
        </w:tc>
        <w:tc>
          <w:tcPr>
            <w:tcW w:w="1701" w:type="dxa"/>
            <w:tcBorders>
              <w:top w:val="single" w:sz="4" w:space="0" w:color="auto"/>
              <w:left w:val="single" w:sz="4" w:space="0" w:color="auto"/>
              <w:bottom w:val="single" w:sz="4" w:space="0" w:color="auto"/>
              <w:right w:val="single" w:sz="4" w:space="0" w:color="auto"/>
            </w:tcBorders>
            <w:noWrap/>
            <w:hideMark/>
          </w:tcPr>
          <w:p w:rsidR="00906AFB" w:rsidRPr="00906AFB" w:rsidRDefault="00906AFB" w:rsidP="00906AFB">
            <w:pPr>
              <w:jc w:val="right"/>
              <w:rPr>
                <w:rFonts w:ascii="Arial" w:hAnsi="Arial" w:cs="Arial"/>
                <w:b/>
                <w:sz w:val="20"/>
                <w:lang w:eastAsia="es-ES"/>
              </w:rPr>
            </w:pPr>
            <w:r w:rsidRPr="00906AFB">
              <w:rPr>
                <w:rFonts w:ascii="Arial" w:hAnsi="Arial" w:cs="Arial"/>
                <w:b/>
                <w:sz w:val="20"/>
                <w:lang w:eastAsia="es-ES"/>
              </w:rPr>
              <w:t>1,200,000</w:t>
            </w:r>
          </w:p>
        </w:tc>
      </w:tr>
    </w:tbl>
    <w:p w:rsidR="00906AFB" w:rsidRDefault="00906AFB" w:rsidP="00906AFB">
      <w:pPr>
        <w:spacing w:after="0" w:line="240" w:lineRule="auto"/>
        <w:jc w:val="both"/>
        <w:rPr>
          <w:rFonts w:ascii="Arial" w:eastAsia="Times New Roman" w:hAnsi="Arial" w:cs="Arial"/>
          <w:sz w:val="16"/>
          <w:szCs w:val="24"/>
          <w:lang w:val="es-ES" w:eastAsia="es-ES"/>
        </w:rPr>
      </w:pPr>
    </w:p>
    <w:p w:rsidR="00FD430F" w:rsidRPr="00FD430F" w:rsidRDefault="00FD430F" w:rsidP="00906AFB">
      <w:pPr>
        <w:spacing w:after="0" w:line="240" w:lineRule="auto"/>
        <w:jc w:val="both"/>
        <w:rPr>
          <w:rFonts w:ascii="Arial" w:eastAsia="Times New Roman" w:hAnsi="Arial" w:cs="Arial"/>
          <w:sz w:val="16"/>
          <w:szCs w:val="24"/>
          <w:lang w:val="es-ES" w:eastAsia="es-ES"/>
        </w:rPr>
      </w:pPr>
    </w:p>
    <w:p w:rsidR="00906AFB" w:rsidRPr="00906AFB" w:rsidRDefault="00906AFB" w:rsidP="00906AFB">
      <w:pPr>
        <w:spacing w:after="0" w:line="240" w:lineRule="auto"/>
        <w:jc w:val="center"/>
        <w:rPr>
          <w:rFonts w:ascii="Arial" w:eastAsia="Times New Roman" w:hAnsi="Arial" w:cs="Times New Roman"/>
          <w:b/>
          <w:sz w:val="20"/>
          <w:lang w:val="es-ES" w:eastAsia="es-ES"/>
        </w:rPr>
      </w:pPr>
      <w:r w:rsidRPr="00906AFB">
        <w:rPr>
          <w:rFonts w:ascii="Arial" w:eastAsia="Times New Roman" w:hAnsi="Arial" w:cs="Times New Roman"/>
          <w:b/>
          <w:sz w:val="20"/>
          <w:lang w:val="es-ES" w:eastAsia="es-ES"/>
        </w:rPr>
        <w:t xml:space="preserve">(Presupuesto Arrendamiento </w:t>
      </w:r>
      <w:r w:rsidR="00A707F3">
        <w:rPr>
          <w:rFonts w:ascii="Arial" w:eastAsia="Times New Roman" w:hAnsi="Arial" w:cs="Times New Roman"/>
          <w:b/>
          <w:sz w:val="20"/>
          <w:lang w:val="es-ES" w:eastAsia="es-ES"/>
        </w:rPr>
        <w:t>Puro</w:t>
      </w:r>
      <w:r w:rsidRPr="00906AFB">
        <w:rPr>
          <w:rFonts w:ascii="Arial" w:eastAsia="Times New Roman" w:hAnsi="Arial" w:cs="Times New Roman"/>
          <w:b/>
          <w:sz w:val="20"/>
          <w:lang w:val="es-ES" w:eastAsia="es-ES"/>
        </w:rPr>
        <w:t>)</w:t>
      </w:r>
    </w:p>
    <w:tbl>
      <w:tblPr>
        <w:tblStyle w:val="Tablaconcuadrcula2"/>
        <w:tblW w:w="0" w:type="auto"/>
        <w:jc w:val="center"/>
        <w:tblInd w:w="0" w:type="dxa"/>
        <w:tblLook w:val="04A0" w:firstRow="1" w:lastRow="0" w:firstColumn="1" w:lastColumn="0" w:noHBand="0" w:noVBand="1"/>
      </w:tblPr>
      <w:tblGrid>
        <w:gridCol w:w="2977"/>
        <w:gridCol w:w="2693"/>
        <w:gridCol w:w="1701"/>
      </w:tblGrid>
      <w:tr w:rsidR="00906AFB" w:rsidRPr="00906AFB" w:rsidTr="00906AFB">
        <w:trPr>
          <w:trHeight w:val="330"/>
          <w:jc w:val="center"/>
        </w:trPr>
        <w:tc>
          <w:tcPr>
            <w:tcW w:w="297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center"/>
              <w:rPr>
                <w:rFonts w:ascii="Arial" w:hAnsi="Arial" w:cs="Arial"/>
                <w:b/>
                <w:bCs/>
                <w:sz w:val="20"/>
                <w:lang w:eastAsia="es-ES"/>
              </w:rPr>
            </w:pPr>
            <w:r w:rsidRPr="00906AFB">
              <w:rPr>
                <w:rFonts w:ascii="Arial" w:hAnsi="Arial" w:cs="Arial"/>
                <w:b/>
                <w:bCs/>
                <w:sz w:val="20"/>
                <w:lang w:eastAsia="es-ES"/>
              </w:rPr>
              <w:t>Crédito</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center"/>
              <w:rPr>
                <w:rFonts w:ascii="Arial" w:hAnsi="Arial" w:cs="Arial"/>
                <w:b/>
                <w:bCs/>
                <w:sz w:val="20"/>
                <w:lang w:eastAsia="es-ES"/>
              </w:rPr>
            </w:pPr>
            <w:r w:rsidRPr="00906AFB">
              <w:rPr>
                <w:rFonts w:ascii="Arial" w:hAnsi="Arial" w:cs="Arial"/>
                <w:b/>
                <w:bCs/>
                <w:sz w:val="20"/>
                <w:lang w:eastAsia="es-ES"/>
              </w:rPr>
              <w:t>Pago mensual</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center"/>
              <w:rPr>
                <w:rFonts w:ascii="Arial" w:hAnsi="Arial" w:cs="Arial"/>
                <w:b/>
                <w:bCs/>
                <w:sz w:val="20"/>
                <w:lang w:eastAsia="es-ES"/>
              </w:rPr>
            </w:pPr>
            <w:r w:rsidRPr="00906AFB">
              <w:rPr>
                <w:rFonts w:ascii="Arial" w:hAnsi="Arial" w:cs="Arial"/>
                <w:b/>
                <w:bCs/>
                <w:sz w:val="20"/>
                <w:lang w:eastAsia="es-ES"/>
              </w:rPr>
              <w:t>Pago Anual</w:t>
            </w:r>
          </w:p>
        </w:tc>
      </w:tr>
      <w:tr w:rsidR="00906AFB" w:rsidRPr="00906AFB" w:rsidTr="00906AFB">
        <w:trPr>
          <w:trHeight w:val="330"/>
          <w:jc w:val="center"/>
        </w:trPr>
        <w:tc>
          <w:tcPr>
            <w:tcW w:w="297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rPr>
                <w:rFonts w:ascii="Arial" w:hAnsi="Arial" w:cs="Arial"/>
                <w:sz w:val="20"/>
                <w:lang w:eastAsia="es-ES"/>
              </w:rPr>
            </w:pPr>
            <w:r w:rsidRPr="00906AFB">
              <w:rPr>
                <w:rFonts w:ascii="Arial" w:hAnsi="Arial" w:cs="Arial"/>
                <w:sz w:val="20"/>
                <w:lang w:eastAsia="es-ES"/>
              </w:rPr>
              <w:t>Banco del Bajío (2606-APPE-0001)</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20"/>
                <w:lang w:eastAsia="es-ES"/>
              </w:rPr>
            </w:pPr>
            <w:r w:rsidRPr="00906AFB">
              <w:rPr>
                <w:rFonts w:ascii="Arial" w:hAnsi="Arial" w:cs="Arial"/>
                <w:sz w:val="20"/>
                <w:lang w:eastAsia="es-ES"/>
              </w:rPr>
              <w:t xml:space="preserve">192,555 </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20"/>
                <w:lang w:eastAsia="es-ES"/>
              </w:rPr>
            </w:pPr>
            <w:r w:rsidRPr="00906AFB">
              <w:rPr>
                <w:rFonts w:ascii="Arial" w:hAnsi="Arial" w:cs="Arial"/>
                <w:sz w:val="20"/>
                <w:lang w:eastAsia="es-ES"/>
              </w:rPr>
              <w:t xml:space="preserve">2,310,664 </w:t>
            </w:r>
          </w:p>
        </w:tc>
      </w:tr>
    </w:tbl>
    <w:p w:rsidR="00906AFB" w:rsidRPr="00906AFB" w:rsidRDefault="00906AFB" w:rsidP="00906AFB">
      <w:pPr>
        <w:spacing w:after="0" w:line="240" w:lineRule="auto"/>
        <w:jc w:val="both"/>
        <w:rPr>
          <w:rFonts w:ascii="Arial" w:eastAsia="Times New Roman" w:hAnsi="Arial" w:cs="Arial"/>
          <w:sz w:val="24"/>
          <w:szCs w:val="24"/>
          <w:lang w:val="es-ES" w:eastAsia="es-ES"/>
        </w:rPr>
      </w:pPr>
    </w:p>
    <w:p w:rsidR="00FD430F" w:rsidRDefault="00FD430F" w:rsidP="00906AFB">
      <w:pPr>
        <w:spacing w:after="0" w:line="240" w:lineRule="auto"/>
        <w:jc w:val="both"/>
        <w:rPr>
          <w:rFonts w:ascii="Arial" w:eastAsia="Times New Roman" w:hAnsi="Arial" w:cs="Arial"/>
          <w:color w:val="000000"/>
          <w:sz w:val="24"/>
          <w:szCs w:val="24"/>
          <w:lang w:val="es-ES" w:eastAsia="es-ES"/>
        </w:rPr>
      </w:pPr>
    </w:p>
    <w:p w:rsidR="00906AFB" w:rsidRDefault="00906AFB" w:rsidP="00906AFB">
      <w:pPr>
        <w:spacing w:after="0" w:line="240" w:lineRule="auto"/>
        <w:jc w:val="both"/>
        <w:rPr>
          <w:rFonts w:ascii="Arial" w:eastAsia="Times New Roman" w:hAnsi="Arial" w:cs="Arial"/>
          <w:sz w:val="24"/>
          <w:szCs w:val="24"/>
          <w:lang w:val="es-ES" w:eastAsia="es-ES"/>
        </w:rPr>
      </w:pPr>
      <w:r w:rsidRPr="00906AFB">
        <w:rPr>
          <w:rFonts w:ascii="Arial" w:eastAsia="Times New Roman" w:hAnsi="Arial" w:cs="Arial"/>
          <w:color w:val="000000"/>
          <w:sz w:val="24"/>
          <w:szCs w:val="24"/>
          <w:lang w:val="es-ES" w:eastAsia="es-ES"/>
        </w:rPr>
        <w:t xml:space="preserve">El desglose de la Deuda Pública Directa por institución acreedora, tipo de instrumento, monto contratado, monto dispuesto, saldo insoluto, número de crédito, tasa de interés anual, fechas de suscripción, de vencimiento y garantías </w:t>
      </w:r>
      <w:r w:rsidRPr="00906AFB">
        <w:rPr>
          <w:rFonts w:ascii="Arial" w:eastAsia="Times New Roman" w:hAnsi="Arial" w:cs="Arial"/>
          <w:sz w:val="24"/>
          <w:szCs w:val="24"/>
          <w:lang w:val="es-ES" w:eastAsia="es-ES"/>
        </w:rPr>
        <w:t>es de la siguiente forma:</w:t>
      </w:r>
    </w:p>
    <w:p w:rsidR="00FD430F" w:rsidRDefault="00FD430F">
      <w:pPr>
        <w:rPr>
          <w:rFonts w:ascii="Arial" w:eastAsia="Times New Roman" w:hAnsi="Arial" w:cs="Arial"/>
          <w:sz w:val="24"/>
          <w:szCs w:val="24"/>
          <w:lang w:val="es-ES" w:eastAsia="es-ES"/>
        </w:rPr>
      </w:pPr>
      <w:r>
        <w:rPr>
          <w:rFonts w:ascii="Arial" w:eastAsia="Times New Roman" w:hAnsi="Arial" w:cs="Arial"/>
          <w:sz w:val="24"/>
          <w:szCs w:val="24"/>
          <w:lang w:val="es-ES" w:eastAsia="es-ES"/>
        </w:rPr>
        <w:br w:type="page"/>
      </w:r>
    </w:p>
    <w:p w:rsidR="00FD430F" w:rsidRPr="00906AFB" w:rsidRDefault="00FD430F" w:rsidP="00906AFB">
      <w:pPr>
        <w:spacing w:after="0" w:line="240" w:lineRule="auto"/>
        <w:jc w:val="both"/>
        <w:rPr>
          <w:rFonts w:ascii="Arial" w:eastAsia="Times New Roman" w:hAnsi="Arial" w:cs="Arial"/>
          <w:sz w:val="24"/>
          <w:szCs w:val="24"/>
          <w:lang w:val="es-ES" w:eastAsia="es-ES"/>
        </w:rPr>
      </w:pPr>
    </w:p>
    <w:p w:rsidR="00906AFB" w:rsidRPr="00906AFB" w:rsidRDefault="00906AFB" w:rsidP="00906AFB">
      <w:pPr>
        <w:spacing w:after="0" w:line="240" w:lineRule="auto"/>
        <w:jc w:val="both"/>
        <w:rPr>
          <w:rFonts w:ascii="Arial" w:eastAsia="Times New Roman" w:hAnsi="Arial" w:cs="Arial"/>
          <w:sz w:val="24"/>
          <w:szCs w:val="24"/>
          <w:lang w:val="es-ES" w:eastAsia="es-ES"/>
        </w:rPr>
      </w:pPr>
    </w:p>
    <w:p w:rsidR="00906AFB" w:rsidRPr="00906AFB" w:rsidRDefault="00906AFB" w:rsidP="00906AFB">
      <w:pPr>
        <w:keepNext/>
        <w:keepLines/>
        <w:spacing w:after="0" w:line="240" w:lineRule="auto"/>
        <w:jc w:val="center"/>
        <w:outlineLvl w:val="1"/>
        <w:rPr>
          <w:rFonts w:ascii="Arial" w:eastAsia="Times New Roman" w:hAnsi="Arial" w:cs="Times New Roman"/>
          <w:b/>
          <w:sz w:val="20"/>
          <w:szCs w:val="26"/>
          <w:lang w:val="es-ES" w:eastAsia="en-US"/>
        </w:rPr>
      </w:pPr>
      <w:r w:rsidRPr="00906AFB">
        <w:rPr>
          <w:rFonts w:ascii="Arial" w:eastAsia="Times New Roman" w:hAnsi="Arial" w:cs="Times New Roman"/>
          <w:b/>
          <w:sz w:val="20"/>
          <w:szCs w:val="26"/>
          <w:lang w:val="es-ES" w:eastAsia="en-US"/>
        </w:rPr>
        <w:t>Tabla 3</w:t>
      </w:r>
      <w:r w:rsidR="00CF4172">
        <w:rPr>
          <w:rFonts w:ascii="Arial" w:eastAsia="Times New Roman" w:hAnsi="Arial" w:cs="Times New Roman"/>
          <w:b/>
          <w:sz w:val="20"/>
          <w:szCs w:val="26"/>
          <w:lang w:val="es-ES" w:eastAsia="en-US"/>
        </w:rPr>
        <w:t>9</w:t>
      </w:r>
      <w:r w:rsidRPr="00906AFB">
        <w:rPr>
          <w:rFonts w:ascii="Arial" w:eastAsia="Times New Roman" w:hAnsi="Arial" w:cs="Times New Roman"/>
          <w:b/>
          <w:sz w:val="20"/>
          <w:szCs w:val="26"/>
          <w:lang w:val="es-ES" w:eastAsia="en-US"/>
        </w:rPr>
        <w:t xml:space="preserve">. </w:t>
      </w:r>
      <w:r w:rsidR="00A707F3">
        <w:rPr>
          <w:rFonts w:ascii="Arial" w:eastAsia="Times New Roman" w:hAnsi="Arial" w:cs="Times New Roman"/>
          <w:b/>
          <w:sz w:val="20"/>
          <w:szCs w:val="26"/>
          <w:lang w:val="es-ES" w:eastAsia="en-US"/>
        </w:rPr>
        <w:t>S</w:t>
      </w:r>
      <w:r w:rsidR="00A707F3" w:rsidRPr="00A707F3">
        <w:rPr>
          <w:rFonts w:ascii="Arial" w:eastAsia="Times New Roman" w:hAnsi="Arial" w:cs="Times New Roman"/>
          <w:b/>
          <w:sz w:val="20"/>
          <w:szCs w:val="26"/>
          <w:lang w:val="es-ES" w:eastAsia="en-US"/>
        </w:rPr>
        <w:t>aldos Insolutos Estimados y Características de los Créditos Vigentes</w:t>
      </w:r>
    </w:p>
    <w:tbl>
      <w:tblPr>
        <w:tblStyle w:val="Tablaconcuadrcula2"/>
        <w:tblW w:w="9356" w:type="dxa"/>
        <w:tblInd w:w="108" w:type="dxa"/>
        <w:tblLook w:val="04A0" w:firstRow="1" w:lastRow="0" w:firstColumn="1" w:lastColumn="0" w:noHBand="0" w:noVBand="1"/>
      </w:tblPr>
      <w:tblGrid>
        <w:gridCol w:w="1008"/>
        <w:gridCol w:w="1001"/>
        <w:gridCol w:w="968"/>
        <w:gridCol w:w="992"/>
        <w:gridCol w:w="851"/>
        <w:gridCol w:w="850"/>
        <w:gridCol w:w="858"/>
        <w:gridCol w:w="985"/>
        <w:gridCol w:w="1134"/>
        <w:gridCol w:w="709"/>
      </w:tblGrid>
      <w:tr w:rsidR="00906AFB" w:rsidRPr="00906AFB" w:rsidTr="00906AFB">
        <w:trPr>
          <w:trHeight w:val="330"/>
        </w:trPr>
        <w:tc>
          <w:tcPr>
            <w:tcW w:w="9356" w:type="dxa"/>
            <w:gridSpan w:val="10"/>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center"/>
              <w:rPr>
                <w:rFonts w:ascii="Arial" w:hAnsi="Arial" w:cs="Arial"/>
                <w:b/>
                <w:bCs/>
                <w:sz w:val="18"/>
                <w:szCs w:val="20"/>
              </w:rPr>
            </w:pPr>
            <w:r w:rsidRPr="00906AFB">
              <w:rPr>
                <w:rFonts w:ascii="Arial" w:hAnsi="Arial" w:cs="Arial"/>
                <w:b/>
                <w:bCs/>
                <w:sz w:val="18"/>
                <w:szCs w:val="20"/>
              </w:rPr>
              <w:t>Saldos al 31 de octubre de 2016</w:t>
            </w:r>
          </w:p>
        </w:tc>
      </w:tr>
      <w:tr w:rsidR="00906AFB" w:rsidRPr="00906AFB" w:rsidTr="00906AFB">
        <w:trPr>
          <w:trHeight w:val="435"/>
        </w:trPr>
        <w:tc>
          <w:tcPr>
            <w:tcW w:w="10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06AFB" w:rsidRPr="00906AFB" w:rsidRDefault="00906AFB" w:rsidP="00906AFB">
            <w:pPr>
              <w:jc w:val="center"/>
              <w:rPr>
                <w:rFonts w:ascii="Arial" w:hAnsi="Arial" w:cs="Arial"/>
                <w:b/>
                <w:bCs/>
                <w:sz w:val="14"/>
                <w:szCs w:val="14"/>
              </w:rPr>
            </w:pPr>
            <w:r w:rsidRPr="00906AFB">
              <w:rPr>
                <w:rFonts w:ascii="Arial" w:hAnsi="Arial" w:cs="Arial"/>
                <w:b/>
                <w:bCs/>
                <w:sz w:val="14"/>
                <w:szCs w:val="14"/>
              </w:rPr>
              <w:t>Acreedor</w:t>
            </w:r>
          </w:p>
        </w:tc>
        <w:tc>
          <w:tcPr>
            <w:tcW w:w="10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06AFB" w:rsidRPr="00906AFB" w:rsidRDefault="00906AFB" w:rsidP="00906AFB">
            <w:pPr>
              <w:jc w:val="center"/>
              <w:rPr>
                <w:rFonts w:ascii="Arial" w:hAnsi="Arial" w:cs="Arial"/>
                <w:b/>
                <w:bCs/>
                <w:sz w:val="14"/>
                <w:szCs w:val="14"/>
              </w:rPr>
            </w:pPr>
            <w:r w:rsidRPr="00906AFB">
              <w:rPr>
                <w:rFonts w:ascii="Arial" w:hAnsi="Arial" w:cs="Arial"/>
                <w:b/>
                <w:bCs/>
                <w:sz w:val="14"/>
                <w:szCs w:val="14"/>
              </w:rPr>
              <w:t>Monto Contratado</w:t>
            </w:r>
          </w:p>
        </w:tc>
        <w:tc>
          <w:tcPr>
            <w:tcW w:w="9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06AFB" w:rsidRPr="00906AFB" w:rsidRDefault="00906AFB" w:rsidP="00906AFB">
            <w:pPr>
              <w:jc w:val="center"/>
              <w:rPr>
                <w:rFonts w:ascii="Arial" w:hAnsi="Arial" w:cs="Arial"/>
                <w:b/>
                <w:bCs/>
                <w:sz w:val="14"/>
                <w:szCs w:val="14"/>
              </w:rPr>
            </w:pPr>
            <w:r w:rsidRPr="00906AFB">
              <w:rPr>
                <w:rFonts w:ascii="Arial" w:hAnsi="Arial" w:cs="Arial"/>
                <w:b/>
                <w:bCs/>
                <w:sz w:val="14"/>
                <w:szCs w:val="14"/>
              </w:rPr>
              <w:t>Monto Dispuesto</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06AFB" w:rsidRPr="00906AFB" w:rsidRDefault="00906AFB" w:rsidP="00906AFB">
            <w:pPr>
              <w:jc w:val="center"/>
              <w:rPr>
                <w:rFonts w:ascii="Arial" w:hAnsi="Arial" w:cs="Arial"/>
                <w:b/>
                <w:bCs/>
                <w:sz w:val="14"/>
                <w:szCs w:val="14"/>
              </w:rPr>
            </w:pPr>
            <w:r w:rsidRPr="00906AFB">
              <w:rPr>
                <w:rFonts w:ascii="Arial" w:hAnsi="Arial" w:cs="Arial"/>
                <w:b/>
                <w:bCs/>
                <w:sz w:val="14"/>
                <w:szCs w:val="14"/>
              </w:rPr>
              <w:t>Saldo Insoluto</w:t>
            </w:r>
          </w:p>
        </w:tc>
        <w:tc>
          <w:tcPr>
            <w:tcW w:w="85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06AFB" w:rsidRPr="00906AFB" w:rsidRDefault="00906AFB" w:rsidP="00906AFB">
            <w:pPr>
              <w:jc w:val="center"/>
              <w:rPr>
                <w:rFonts w:ascii="Arial" w:hAnsi="Arial" w:cs="Arial"/>
                <w:b/>
                <w:bCs/>
                <w:sz w:val="14"/>
                <w:szCs w:val="14"/>
              </w:rPr>
            </w:pPr>
            <w:r w:rsidRPr="00906AFB">
              <w:rPr>
                <w:rFonts w:ascii="Arial" w:hAnsi="Arial" w:cs="Arial"/>
                <w:b/>
                <w:bCs/>
                <w:sz w:val="14"/>
                <w:szCs w:val="14"/>
              </w:rPr>
              <w:t>Número de Crédito</w:t>
            </w:r>
          </w:p>
        </w:tc>
        <w:tc>
          <w:tcPr>
            <w:tcW w:w="85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06AFB" w:rsidRPr="00906AFB" w:rsidRDefault="00906AFB" w:rsidP="00906AFB">
            <w:pPr>
              <w:jc w:val="center"/>
              <w:rPr>
                <w:rFonts w:ascii="Arial" w:hAnsi="Arial" w:cs="Arial"/>
                <w:b/>
                <w:bCs/>
                <w:sz w:val="14"/>
                <w:szCs w:val="14"/>
              </w:rPr>
            </w:pPr>
            <w:r w:rsidRPr="00906AFB">
              <w:rPr>
                <w:rFonts w:ascii="Arial" w:hAnsi="Arial" w:cs="Arial"/>
                <w:b/>
                <w:bCs/>
                <w:sz w:val="14"/>
                <w:szCs w:val="14"/>
              </w:rPr>
              <w:t>Tasa de Interés Contratada</w:t>
            </w:r>
          </w:p>
        </w:tc>
        <w:tc>
          <w:tcPr>
            <w:tcW w:w="85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06AFB" w:rsidRPr="00906AFB" w:rsidRDefault="00906AFB" w:rsidP="00906AFB">
            <w:pPr>
              <w:jc w:val="center"/>
              <w:rPr>
                <w:rFonts w:ascii="Arial" w:hAnsi="Arial" w:cs="Arial"/>
                <w:b/>
                <w:bCs/>
                <w:sz w:val="14"/>
                <w:szCs w:val="14"/>
              </w:rPr>
            </w:pPr>
            <w:r w:rsidRPr="00906AFB">
              <w:rPr>
                <w:rFonts w:ascii="Arial" w:hAnsi="Arial" w:cs="Arial"/>
                <w:b/>
                <w:bCs/>
                <w:sz w:val="14"/>
                <w:szCs w:val="14"/>
              </w:rPr>
              <w:t>Fecha de Suscripción</w:t>
            </w:r>
          </w:p>
        </w:tc>
        <w:tc>
          <w:tcPr>
            <w:tcW w:w="98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06AFB" w:rsidRPr="00906AFB" w:rsidRDefault="00906AFB" w:rsidP="00906AFB">
            <w:pPr>
              <w:jc w:val="center"/>
              <w:rPr>
                <w:rFonts w:ascii="Arial" w:hAnsi="Arial" w:cs="Arial"/>
                <w:b/>
                <w:bCs/>
                <w:sz w:val="14"/>
                <w:szCs w:val="14"/>
              </w:rPr>
            </w:pPr>
            <w:r w:rsidRPr="00906AFB">
              <w:rPr>
                <w:rFonts w:ascii="Arial" w:hAnsi="Arial" w:cs="Arial"/>
                <w:b/>
                <w:bCs/>
                <w:sz w:val="14"/>
                <w:szCs w:val="14"/>
              </w:rPr>
              <w:t>Fecha de Vencimiento</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06AFB" w:rsidRPr="00906AFB" w:rsidRDefault="00906AFB" w:rsidP="00906AFB">
            <w:pPr>
              <w:jc w:val="center"/>
              <w:rPr>
                <w:rFonts w:ascii="Arial" w:hAnsi="Arial" w:cs="Arial"/>
                <w:b/>
                <w:bCs/>
                <w:sz w:val="14"/>
                <w:szCs w:val="14"/>
              </w:rPr>
            </w:pPr>
            <w:r w:rsidRPr="00906AFB">
              <w:rPr>
                <w:rFonts w:ascii="Arial" w:hAnsi="Arial" w:cs="Arial"/>
                <w:b/>
                <w:bCs/>
                <w:sz w:val="14"/>
                <w:szCs w:val="14"/>
              </w:rPr>
              <w:t>Garantía y/o Fuente de Pago</w:t>
            </w:r>
          </w:p>
        </w:tc>
        <w:tc>
          <w:tcPr>
            <w:tcW w:w="7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06AFB" w:rsidRPr="00906AFB" w:rsidRDefault="00906AFB" w:rsidP="00906AFB">
            <w:pPr>
              <w:jc w:val="center"/>
              <w:rPr>
                <w:rFonts w:ascii="Arial" w:hAnsi="Arial" w:cs="Arial"/>
                <w:b/>
                <w:bCs/>
                <w:sz w:val="14"/>
                <w:szCs w:val="14"/>
              </w:rPr>
            </w:pPr>
            <w:r w:rsidRPr="00906AFB">
              <w:rPr>
                <w:rFonts w:ascii="Arial" w:hAnsi="Arial" w:cs="Arial"/>
                <w:b/>
                <w:bCs/>
                <w:sz w:val="14"/>
                <w:szCs w:val="14"/>
              </w:rPr>
              <w:t>Tipo de Crédito</w:t>
            </w:r>
          </w:p>
        </w:tc>
      </w:tr>
      <w:tr w:rsidR="00906AFB" w:rsidRPr="00906AFB" w:rsidTr="00906AFB">
        <w:trPr>
          <w:trHeight w:val="315"/>
        </w:trPr>
        <w:tc>
          <w:tcPr>
            <w:tcW w:w="1008"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06AFB" w:rsidRPr="00906AFB" w:rsidRDefault="00906AFB" w:rsidP="00906AFB">
            <w:pPr>
              <w:rPr>
                <w:rFonts w:ascii="Arial" w:hAnsi="Arial" w:cs="Arial"/>
                <w:bCs/>
                <w:sz w:val="14"/>
                <w:szCs w:val="14"/>
              </w:rPr>
            </w:pPr>
            <w:r w:rsidRPr="00906AFB">
              <w:rPr>
                <w:rFonts w:ascii="Arial" w:hAnsi="Arial" w:cs="Arial"/>
                <w:bCs/>
                <w:sz w:val="14"/>
                <w:szCs w:val="14"/>
              </w:rPr>
              <w:t>Banobras</w:t>
            </w:r>
          </w:p>
        </w:tc>
        <w:tc>
          <w:tcPr>
            <w:tcW w:w="100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06AFB" w:rsidRPr="00906AFB" w:rsidRDefault="00906AFB" w:rsidP="00906AFB">
            <w:pPr>
              <w:jc w:val="right"/>
              <w:rPr>
                <w:rFonts w:ascii="Arial" w:hAnsi="Arial" w:cs="Arial"/>
                <w:sz w:val="14"/>
                <w:szCs w:val="14"/>
              </w:rPr>
            </w:pPr>
            <w:r w:rsidRPr="00906AFB">
              <w:rPr>
                <w:rFonts w:ascii="Arial" w:hAnsi="Arial" w:cs="Arial"/>
                <w:sz w:val="14"/>
                <w:szCs w:val="14"/>
              </w:rPr>
              <w:t xml:space="preserve">502,012,500 </w:t>
            </w:r>
          </w:p>
        </w:tc>
        <w:tc>
          <w:tcPr>
            <w:tcW w:w="968"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06AFB" w:rsidRPr="00906AFB" w:rsidRDefault="00906AFB" w:rsidP="00906AFB">
            <w:pPr>
              <w:jc w:val="right"/>
              <w:rPr>
                <w:rFonts w:ascii="Arial" w:hAnsi="Arial" w:cs="Arial"/>
                <w:sz w:val="14"/>
                <w:szCs w:val="14"/>
              </w:rPr>
            </w:pPr>
            <w:r w:rsidRPr="00906AFB">
              <w:rPr>
                <w:rFonts w:ascii="Arial" w:hAnsi="Arial" w:cs="Arial"/>
                <w:sz w:val="14"/>
                <w:szCs w:val="14"/>
              </w:rPr>
              <w:t xml:space="preserve">498,054,065 </w:t>
            </w:r>
          </w:p>
        </w:tc>
        <w:tc>
          <w:tcPr>
            <w:tcW w:w="99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06AFB" w:rsidRPr="00906AFB" w:rsidRDefault="00906AFB" w:rsidP="00906AFB">
            <w:pPr>
              <w:jc w:val="right"/>
              <w:rPr>
                <w:rFonts w:ascii="Arial" w:hAnsi="Arial" w:cs="Arial"/>
                <w:sz w:val="14"/>
                <w:szCs w:val="14"/>
              </w:rPr>
            </w:pPr>
            <w:r w:rsidRPr="00906AFB">
              <w:rPr>
                <w:rFonts w:ascii="Arial" w:hAnsi="Arial" w:cs="Arial"/>
                <w:sz w:val="14"/>
                <w:szCs w:val="14"/>
              </w:rPr>
              <w:t xml:space="preserve">426,683,500 </w:t>
            </w:r>
          </w:p>
        </w:tc>
        <w:tc>
          <w:tcPr>
            <w:tcW w:w="85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06AFB" w:rsidRPr="00906AFB" w:rsidRDefault="00906AFB" w:rsidP="00906AFB">
            <w:pPr>
              <w:jc w:val="center"/>
              <w:rPr>
                <w:rFonts w:ascii="Arial" w:hAnsi="Arial" w:cs="Arial"/>
                <w:sz w:val="14"/>
                <w:szCs w:val="14"/>
              </w:rPr>
            </w:pPr>
            <w:r w:rsidRPr="00906AFB">
              <w:rPr>
                <w:rFonts w:ascii="Arial" w:hAnsi="Arial" w:cs="Arial"/>
                <w:sz w:val="14"/>
                <w:szCs w:val="14"/>
              </w:rPr>
              <w:t>7225, 7226</w:t>
            </w:r>
          </w:p>
        </w:tc>
        <w:tc>
          <w:tcPr>
            <w:tcW w:w="85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06AFB" w:rsidRPr="00906AFB" w:rsidRDefault="00906AFB" w:rsidP="00906AFB">
            <w:pPr>
              <w:jc w:val="center"/>
              <w:rPr>
                <w:rFonts w:ascii="Arial" w:hAnsi="Arial" w:cs="Arial"/>
                <w:sz w:val="14"/>
                <w:szCs w:val="14"/>
              </w:rPr>
            </w:pPr>
            <w:r w:rsidRPr="00906AFB">
              <w:rPr>
                <w:rFonts w:ascii="Arial" w:hAnsi="Arial" w:cs="Arial"/>
                <w:sz w:val="14"/>
                <w:szCs w:val="14"/>
              </w:rPr>
              <w:t>TIIE+ 0.27%</w:t>
            </w:r>
          </w:p>
        </w:tc>
        <w:tc>
          <w:tcPr>
            <w:tcW w:w="858"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06AFB" w:rsidRPr="00906AFB" w:rsidRDefault="00906AFB" w:rsidP="00906AFB">
            <w:pPr>
              <w:jc w:val="center"/>
              <w:rPr>
                <w:rFonts w:ascii="Arial" w:hAnsi="Arial" w:cs="Arial"/>
                <w:sz w:val="14"/>
                <w:szCs w:val="14"/>
              </w:rPr>
            </w:pPr>
            <w:r w:rsidRPr="00906AFB">
              <w:rPr>
                <w:rFonts w:ascii="Arial" w:hAnsi="Arial" w:cs="Arial"/>
                <w:sz w:val="14"/>
                <w:szCs w:val="14"/>
              </w:rPr>
              <w:t>jun-08</w:t>
            </w:r>
          </w:p>
        </w:tc>
        <w:tc>
          <w:tcPr>
            <w:tcW w:w="985"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06AFB" w:rsidRPr="00906AFB" w:rsidRDefault="00906AFB" w:rsidP="00906AFB">
            <w:pPr>
              <w:jc w:val="center"/>
              <w:rPr>
                <w:rFonts w:ascii="Arial" w:hAnsi="Arial" w:cs="Arial"/>
                <w:sz w:val="14"/>
                <w:szCs w:val="14"/>
              </w:rPr>
            </w:pPr>
            <w:r w:rsidRPr="00906AFB">
              <w:rPr>
                <w:rFonts w:ascii="Arial" w:hAnsi="Arial" w:cs="Arial"/>
                <w:sz w:val="14"/>
                <w:szCs w:val="14"/>
              </w:rPr>
              <w:t>jun-33</w:t>
            </w:r>
          </w:p>
        </w:tc>
        <w:tc>
          <w:tcPr>
            <w:tcW w:w="1134"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06AFB" w:rsidRPr="00906AFB" w:rsidRDefault="00906AFB" w:rsidP="00906AFB">
            <w:pPr>
              <w:jc w:val="center"/>
              <w:rPr>
                <w:rFonts w:ascii="Arial" w:hAnsi="Arial" w:cs="Arial"/>
                <w:sz w:val="14"/>
                <w:szCs w:val="14"/>
              </w:rPr>
            </w:pPr>
            <w:r w:rsidRPr="00906AFB">
              <w:rPr>
                <w:rFonts w:ascii="Arial" w:hAnsi="Arial" w:cs="Arial"/>
                <w:sz w:val="14"/>
                <w:szCs w:val="14"/>
              </w:rPr>
              <w:t>Participaciones</w:t>
            </w:r>
          </w:p>
        </w:tc>
        <w:tc>
          <w:tcPr>
            <w:tcW w:w="709"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06AFB" w:rsidRPr="00906AFB" w:rsidRDefault="00906AFB" w:rsidP="00906AFB">
            <w:pPr>
              <w:jc w:val="center"/>
              <w:rPr>
                <w:rFonts w:ascii="Arial" w:hAnsi="Arial" w:cs="Arial"/>
                <w:sz w:val="14"/>
                <w:szCs w:val="14"/>
              </w:rPr>
            </w:pPr>
            <w:r w:rsidRPr="00906AFB">
              <w:rPr>
                <w:rFonts w:ascii="Arial" w:hAnsi="Arial" w:cs="Arial"/>
                <w:sz w:val="14"/>
                <w:szCs w:val="14"/>
              </w:rPr>
              <w:t>Simple</w:t>
            </w:r>
          </w:p>
        </w:tc>
      </w:tr>
      <w:tr w:rsidR="00906AFB" w:rsidRPr="00906AFB" w:rsidTr="00906AFB">
        <w:trPr>
          <w:trHeight w:val="315"/>
        </w:trPr>
        <w:tc>
          <w:tcPr>
            <w:tcW w:w="1008"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06AFB" w:rsidRPr="00906AFB" w:rsidRDefault="00906AFB" w:rsidP="00906AFB">
            <w:pPr>
              <w:rPr>
                <w:rFonts w:ascii="Arial" w:hAnsi="Arial" w:cs="Arial"/>
                <w:bCs/>
                <w:sz w:val="14"/>
                <w:szCs w:val="14"/>
              </w:rPr>
            </w:pPr>
            <w:r w:rsidRPr="00906AFB">
              <w:rPr>
                <w:rFonts w:ascii="Arial" w:hAnsi="Arial" w:cs="Arial"/>
                <w:bCs/>
                <w:sz w:val="14"/>
                <w:szCs w:val="14"/>
              </w:rPr>
              <w:t>Banobras</w:t>
            </w:r>
          </w:p>
        </w:tc>
        <w:tc>
          <w:tcPr>
            <w:tcW w:w="100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06AFB" w:rsidRPr="00906AFB" w:rsidRDefault="00906AFB" w:rsidP="00906AFB">
            <w:pPr>
              <w:jc w:val="right"/>
              <w:rPr>
                <w:rFonts w:ascii="Arial" w:hAnsi="Arial" w:cs="Arial"/>
                <w:sz w:val="14"/>
                <w:szCs w:val="14"/>
              </w:rPr>
            </w:pPr>
            <w:r w:rsidRPr="00906AFB">
              <w:rPr>
                <w:rFonts w:ascii="Arial" w:hAnsi="Arial" w:cs="Arial"/>
                <w:sz w:val="14"/>
                <w:szCs w:val="14"/>
              </w:rPr>
              <w:t xml:space="preserve">231,006,250 </w:t>
            </w:r>
          </w:p>
        </w:tc>
        <w:tc>
          <w:tcPr>
            <w:tcW w:w="968"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06AFB" w:rsidRPr="00906AFB" w:rsidRDefault="00906AFB" w:rsidP="00906AFB">
            <w:pPr>
              <w:jc w:val="right"/>
              <w:rPr>
                <w:rFonts w:ascii="Arial" w:hAnsi="Arial" w:cs="Arial"/>
                <w:sz w:val="14"/>
                <w:szCs w:val="14"/>
              </w:rPr>
            </w:pPr>
            <w:r w:rsidRPr="00906AFB">
              <w:rPr>
                <w:rFonts w:ascii="Arial" w:hAnsi="Arial" w:cs="Arial"/>
                <w:sz w:val="14"/>
                <w:szCs w:val="14"/>
              </w:rPr>
              <w:t xml:space="preserve">230,812,383 </w:t>
            </w:r>
          </w:p>
        </w:tc>
        <w:tc>
          <w:tcPr>
            <w:tcW w:w="99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06AFB" w:rsidRPr="00906AFB" w:rsidRDefault="00906AFB" w:rsidP="00906AFB">
            <w:pPr>
              <w:jc w:val="right"/>
              <w:rPr>
                <w:rFonts w:ascii="Arial" w:hAnsi="Arial" w:cs="Arial"/>
                <w:sz w:val="14"/>
                <w:szCs w:val="14"/>
              </w:rPr>
            </w:pPr>
            <w:r w:rsidRPr="00906AFB">
              <w:rPr>
                <w:rFonts w:ascii="Arial" w:hAnsi="Arial" w:cs="Arial"/>
                <w:sz w:val="14"/>
                <w:szCs w:val="14"/>
              </w:rPr>
              <w:t xml:space="preserve">203,670,182 </w:t>
            </w:r>
          </w:p>
        </w:tc>
        <w:tc>
          <w:tcPr>
            <w:tcW w:w="85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06AFB" w:rsidRPr="00906AFB" w:rsidRDefault="00906AFB" w:rsidP="00906AFB">
            <w:pPr>
              <w:jc w:val="center"/>
              <w:rPr>
                <w:rFonts w:ascii="Arial" w:hAnsi="Arial" w:cs="Arial"/>
                <w:sz w:val="14"/>
                <w:szCs w:val="14"/>
              </w:rPr>
            </w:pPr>
            <w:r w:rsidRPr="00906AFB">
              <w:rPr>
                <w:rFonts w:ascii="Arial" w:hAnsi="Arial" w:cs="Arial"/>
                <w:sz w:val="14"/>
                <w:szCs w:val="14"/>
              </w:rPr>
              <w:t>7271, 7272</w:t>
            </w:r>
          </w:p>
        </w:tc>
        <w:tc>
          <w:tcPr>
            <w:tcW w:w="85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06AFB" w:rsidRPr="00906AFB" w:rsidRDefault="00906AFB" w:rsidP="00906AFB">
            <w:pPr>
              <w:jc w:val="center"/>
              <w:rPr>
                <w:rFonts w:ascii="Arial" w:hAnsi="Arial" w:cs="Arial"/>
                <w:sz w:val="14"/>
                <w:szCs w:val="14"/>
              </w:rPr>
            </w:pPr>
            <w:r w:rsidRPr="00906AFB">
              <w:rPr>
                <w:rFonts w:ascii="Arial" w:hAnsi="Arial" w:cs="Arial"/>
                <w:sz w:val="14"/>
                <w:szCs w:val="14"/>
              </w:rPr>
              <w:t>Fija 9.81%</w:t>
            </w:r>
          </w:p>
        </w:tc>
        <w:tc>
          <w:tcPr>
            <w:tcW w:w="858"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06AFB" w:rsidRPr="00906AFB" w:rsidRDefault="00906AFB" w:rsidP="00906AFB">
            <w:pPr>
              <w:jc w:val="center"/>
              <w:rPr>
                <w:rFonts w:ascii="Arial" w:hAnsi="Arial" w:cs="Arial"/>
                <w:sz w:val="14"/>
                <w:szCs w:val="14"/>
              </w:rPr>
            </w:pPr>
            <w:r w:rsidRPr="00906AFB">
              <w:rPr>
                <w:rFonts w:ascii="Arial" w:hAnsi="Arial" w:cs="Arial"/>
                <w:sz w:val="14"/>
                <w:szCs w:val="14"/>
              </w:rPr>
              <w:t>jun-08</w:t>
            </w:r>
          </w:p>
        </w:tc>
        <w:tc>
          <w:tcPr>
            <w:tcW w:w="985"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06AFB" w:rsidRPr="00906AFB" w:rsidRDefault="00906AFB" w:rsidP="00906AFB">
            <w:pPr>
              <w:jc w:val="center"/>
              <w:rPr>
                <w:rFonts w:ascii="Arial" w:hAnsi="Arial" w:cs="Arial"/>
                <w:sz w:val="14"/>
                <w:szCs w:val="14"/>
              </w:rPr>
            </w:pPr>
            <w:r w:rsidRPr="00906AFB">
              <w:rPr>
                <w:rFonts w:ascii="Arial" w:hAnsi="Arial" w:cs="Arial"/>
                <w:sz w:val="14"/>
                <w:szCs w:val="14"/>
              </w:rPr>
              <w:t>jun-33</w:t>
            </w:r>
          </w:p>
        </w:tc>
        <w:tc>
          <w:tcPr>
            <w:tcW w:w="1134"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06AFB" w:rsidRPr="00906AFB" w:rsidRDefault="00906AFB" w:rsidP="00906AFB">
            <w:pPr>
              <w:jc w:val="center"/>
              <w:rPr>
                <w:rFonts w:ascii="Arial" w:hAnsi="Arial" w:cs="Arial"/>
                <w:sz w:val="14"/>
                <w:szCs w:val="14"/>
              </w:rPr>
            </w:pPr>
            <w:r w:rsidRPr="00906AFB">
              <w:rPr>
                <w:rFonts w:ascii="Arial" w:hAnsi="Arial" w:cs="Arial"/>
                <w:sz w:val="14"/>
                <w:szCs w:val="14"/>
              </w:rPr>
              <w:t>Participaciones</w:t>
            </w:r>
          </w:p>
        </w:tc>
        <w:tc>
          <w:tcPr>
            <w:tcW w:w="709"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06AFB" w:rsidRPr="00906AFB" w:rsidRDefault="00906AFB" w:rsidP="00906AFB">
            <w:pPr>
              <w:jc w:val="center"/>
              <w:rPr>
                <w:rFonts w:ascii="Arial" w:hAnsi="Arial" w:cs="Arial"/>
                <w:sz w:val="14"/>
                <w:szCs w:val="14"/>
              </w:rPr>
            </w:pPr>
            <w:r w:rsidRPr="00906AFB">
              <w:rPr>
                <w:rFonts w:ascii="Arial" w:hAnsi="Arial" w:cs="Arial"/>
                <w:sz w:val="14"/>
                <w:szCs w:val="14"/>
              </w:rPr>
              <w:t>Simple</w:t>
            </w:r>
          </w:p>
        </w:tc>
      </w:tr>
      <w:tr w:rsidR="00906AFB" w:rsidRPr="00906AFB" w:rsidTr="00906AFB">
        <w:trPr>
          <w:trHeight w:val="315"/>
        </w:trPr>
        <w:tc>
          <w:tcPr>
            <w:tcW w:w="1008"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06AFB" w:rsidRPr="00906AFB" w:rsidRDefault="00906AFB" w:rsidP="00906AFB">
            <w:pPr>
              <w:rPr>
                <w:rFonts w:ascii="Arial" w:hAnsi="Arial" w:cs="Arial"/>
                <w:bCs/>
                <w:sz w:val="14"/>
                <w:szCs w:val="14"/>
              </w:rPr>
            </w:pPr>
            <w:r w:rsidRPr="00906AFB">
              <w:rPr>
                <w:rFonts w:ascii="Arial" w:hAnsi="Arial" w:cs="Arial"/>
                <w:bCs/>
                <w:sz w:val="14"/>
                <w:szCs w:val="14"/>
              </w:rPr>
              <w:t>Banorte</w:t>
            </w:r>
          </w:p>
        </w:tc>
        <w:tc>
          <w:tcPr>
            <w:tcW w:w="100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06AFB" w:rsidRPr="00906AFB" w:rsidRDefault="00906AFB" w:rsidP="00906AFB">
            <w:pPr>
              <w:jc w:val="right"/>
              <w:rPr>
                <w:rFonts w:ascii="Arial" w:hAnsi="Arial" w:cs="Arial"/>
                <w:sz w:val="14"/>
                <w:szCs w:val="14"/>
              </w:rPr>
            </w:pPr>
            <w:r w:rsidRPr="00906AFB">
              <w:rPr>
                <w:rFonts w:ascii="Arial" w:hAnsi="Arial" w:cs="Arial"/>
                <w:sz w:val="14"/>
                <w:szCs w:val="14"/>
              </w:rPr>
              <w:t xml:space="preserve">100,000,000 </w:t>
            </w:r>
          </w:p>
        </w:tc>
        <w:tc>
          <w:tcPr>
            <w:tcW w:w="968"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06AFB" w:rsidRPr="00906AFB" w:rsidRDefault="00906AFB" w:rsidP="00906AFB">
            <w:pPr>
              <w:jc w:val="right"/>
              <w:rPr>
                <w:rFonts w:ascii="Arial" w:hAnsi="Arial" w:cs="Arial"/>
                <w:sz w:val="14"/>
                <w:szCs w:val="14"/>
              </w:rPr>
            </w:pPr>
            <w:r w:rsidRPr="00906AFB">
              <w:rPr>
                <w:rFonts w:ascii="Arial" w:hAnsi="Arial" w:cs="Arial"/>
                <w:sz w:val="14"/>
                <w:szCs w:val="14"/>
              </w:rPr>
              <w:t xml:space="preserve">100,000,000 </w:t>
            </w:r>
          </w:p>
        </w:tc>
        <w:tc>
          <w:tcPr>
            <w:tcW w:w="99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06AFB" w:rsidRPr="00906AFB" w:rsidRDefault="00906AFB" w:rsidP="00906AFB">
            <w:pPr>
              <w:jc w:val="right"/>
              <w:rPr>
                <w:rFonts w:ascii="Arial" w:hAnsi="Arial" w:cs="Arial"/>
                <w:sz w:val="14"/>
                <w:szCs w:val="14"/>
              </w:rPr>
            </w:pPr>
            <w:r w:rsidRPr="00906AFB">
              <w:rPr>
                <w:rFonts w:ascii="Arial" w:hAnsi="Arial" w:cs="Arial"/>
                <w:sz w:val="14"/>
                <w:szCs w:val="14"/>
              </w:rPr>
              <w:t xml:space="preserve">29,192,184 </w:t>
            </w:r>
          </w:p>
        </w:tc>
        <w:tc>
          <w:tcPr>
            <w:tcW w:w="85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06AFB" w:rsidRPr="00906AFB" w:rsidRDefault="00906AFB" w:rsidP="00906AFB">
            <w:pPr>
              <w:jc w:val="center"/>
              <w:rPr>
                <w:rFonts w:ascii="Arial" w:hAnsi="Arial" w:cs="Arial"/>
                <w:sz w:val="14"/>
                <w:szCs w:val="14"/>
              </w:rPr>
            </w:pPr>
            <w:r w:rsidRPr="00906AFB">
              <w:rPr>
                <w:rFonts w:ascii="Arial" w:hAnsi="Arial" w:cs="Arial"/>
                <w:sz w:val="14"/>
                <w:szCs w:val="14"/>
              </w:rPr>
              <w:t>8560</w:t>
            </w:r>
          </w:p>
        </w:tc>
        <w:tc>
          <w:tcPr>
            <w:tcW w:w="85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06AFB" w:rsidRPr="00906AFB" w:rsidRDefault="00906AFB" w:rsidP="00906AFB">
            <w:pPr>
              <w:jc w:val="center"/>
              <w:rPr>
                <w:rFonts w:ascii="Arial" w:hAnsi="Arial" w:cs="Arial"/>
                <w:sz w:val="14"/>
                <w:szCs w:val="14"/>
              </w:rPr>
            </w:pPr>
            <w:r w:rsidRPr="00906AFB">
              <w:rPr>
                <w:rFonts w:ascii="Arial" w:hAnsi="Arial" w:cs="Arial"/>
                <w:sz w:val="14"/>
                <w:szCs w:val="14"/>
              </w:rPr>
              <w:t>TIIE + 2.5%</w:t>
            </w:r>
          </w:p>
        </w:tc>
        <w:tc>
          <w:tcPr>
            <w:tcW w:w="858"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06AFB" w:rsidRPr="00906AFB" w:rsidRDefault="00906AFB" w:rsidP="00906AFB">
            <w:pPr>
              <w:jc w:val="center"/>
              <w:rPr>
                <w:rFonts w:ascii="Arial" w:hAnsi="Arial" w:cs="Arial"/>
                <w:sz w:val="14"/>
                <w:szCs w:val="14"/>
              </w:rPr>
            </w:pPr>
            <w:r w:rsidRPr="00906AFB">
              <w:rPr>
                <w:rFonts w:ascii="Arial" w:hAnsi="Arial" w:cs="Arial"/>
                <w:sz w:val="14"/>
                <w:szCs w:val="14"/>
              </w:rPr>
              <w:t>ago-09</w:t>
            </w:r>
          </w:p>
        </w:tc>
        <w:tc>
          <w:tcPr>
            <w:tcW w:w="985"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06AFB" w:rsidRPr="00906AFB" w:rsidRDefault="00906AFB" w:rsidP="00906AFB">
            <w:pPr>
              <w:jc w:val="center"/>
              <w:rPr>
                <w:rFonts w:ascii="Arial" w:hAnsi="Arial" w:cs="Arial"/>
                <w:sz w:val="14"/>
                <w:szCs w:val="14"/>
              </w:rPr>
            </w:pPr>
            <w:r w:rsidRPr="00906AFB">
              <w:rPr>
                <w:rFonts w:ascii="Arial" w:hAnsi="Arial" w:cs="Arial"/>
                <w:sz w:val="14"/>
                <w:szCs w:val="14"/>
              </w:rPr>
              <w:t>ago-19</w:t>
            </w:r>
          </w:p>
        </w:tc>
        <w:tc>
          <w:tcPr>
            <w:tcW w:w="1134"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06AFB" w:rsidRPr="00906AFB" w:rsidRDefault="00906AFB" w:rsidP="00906AFB">
            <w:pPr>
              <w:jc w:val="center"/>
              <w:rPr>
                <w:rFonts w:ascii="Arial" w:hAnsi="Arial" w:cs="Arial"/>
                <w:sz w:val="14"/>
                <w:szCs w:val="14"/>
              </w:rPr>
            </w:pPr>
            <w:r w:rsidRPr="00906AFB">
              <w:rPr>
                <w:rFonts w:ascii="Arial" w:hAnsi="Arial" w:cs="Arial"/>
                <w:sz w:val="14"/>
                <w:szCs w:val="14"/>
              </w:rPr>
              <w:t>Participaciones</w:t>
            </w:r>
          </w:p>
        </w:tc>
        <w:tc>
          <w:tcPr>
            <w:tcW w:w="709"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06AFB" w:rsidRPr="00906AFB" w:rsidRDefault="00906AFB" w:rsidP="00906AFB">
            <w:pPr>
              <w:jc w:val="center"/>
              <w:rPr>
                <w:rFonts w:ascii="Arial" w:hAnsi="Arial" w:cs="Arial"/>
                <w:sz w:val="14"/>
                <w:szCs w:val="14"/>
              </w:rPr>
            </w:pPr>
            <w:r w:rsidRPr="00906AFB">
              <w:rPr>
                <w:rFonts w:ascii="Arial" w:hAnsi="Arial" w:cs="Arial"/>
                <w:sz w:val="14"/>
                <w:szCs w:val="14"/>
              </w:rPr>
              <w:t>Simple</w:t>
            </w:r>
          </w:p>
        </w:tc>
      </w:tr>
      <w:tr w:rsidR="00906AFB" w:rsidRPr="00906AFB" w:rsidTr="00906AFB">
        <w:trPr>
          <w:trHeight w:val="315"/>
        </w:trPr>
        <w:tc>
          <w:tcPr>
            <w:tcW w:w="1008"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06AFB" w:rsidRPr="00906AFB" w:rsidRDefault="00906AFB" w:rsidP="00906AFB">
            <w:pPr>
              <w:rPr>
                <w:rFonts w:ascii="Arial" w:hAnsi="Arial" w:cs="Arial"/>
                <w:bCs/>
                <w:sz w:val="14"/>
                <w:szCs w:val="14"/>
              </w:rPr>
            </w:pPr>
            <w:r w:rsidRPr="00906AFB">
              <w:rPr>
                <w:rFonts w:ascii="Arial" w:hAnsi="Arial" w:cs="Arial"/>
                <w:bCs/>
                <w:sz w:val="14"/>
                <w:szCs w:val="14"/>
              </w:rPr>
              <w:t>Banorte</w:t>
            </w:r>
          </w:p>
        </w:tc>
        <w:tc>
          <w:tcPr>
            <w:tcW w:w="100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06AFB" w:rsidRPr="00906AFB" w:rsidRDefault="00906AFB" w:rsidP="00906AFB">
            <w:pPr>
              <w:jc w:val="right"/>
              <w:rPr>
                <w:rFonts w:ascii="Arial" w:hAnsi="Arial" w:cs="Arial"/>
                <w:sz w:val="14"/>
                <w:szCs w:val="14"/>
              </w:rPr>
            </w:pPr>
            <w:r w:rsidRPr="00906AFB">
              <w:rPr>
                <w:rFonts w:ascii="Arial" w:hAnsi="Arial" w:cs="Arial"/>
                <w:sz w:val="14"/>
                <w:szCs w:val="14"/>
              </w:rPr>
              <w:t xml:space="preserve">900,000,000 </w:t>
            </w:r>
          </w:p>
        </w:tc>
        <w:tc>
          <w:tcPr>
            <w:tcW w:w="968"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06AFB" w:rsidRPr="00906AFB" w:rsidRDefault="00906AFB" w:rsidP="00906AFB">
            <w:pPr>
              <w:jc w:val="right"/>
              <w:rPr>
                <w:rFonts w:ascii="Arial" w:hAnsi="Arial" w:cs="Arial"/>
                <w:sz w:val="14"/>
                <w:szCs w:val="14"/>
              </w:rPr>
            </w:pPr>
            <w:r w:rsidRPr="00906AFB">
              <w:rPr>
                <w:rFonts w:ascii="Arial" w:hAnsi="Arial" w:cs="Arial"/>
                <w:sz w:val="14"/>
                <w:szCs w:val="14"/>
              </w:rPr>
              <w:t xml:space="preserve">900,000,000 </w:t>
            </w:r>
          </w:p>
        </w:tc>
        <w:tc>
          <w:tcPr>
            <w:tcW w:w="99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06AFB" w:rsidRPr="00906AFB" w:rsidRDefault="00906AFB" w:rsidP="00906AFB">
            <w:pPr>
              <w:jc w:val="right"/>
              <w:rPr>
                <w:rFonts w:ascii="Arial" w:hAnsi="Arial" w:cs="Arial"/>
                <w:sz w:val="14"/>
                <w:szCs w:val="14"/>
              </w:rPr>
            </w:pPr>
            <w:r w:rsidRPr="00906AFB">
              <w:rPr>
                <w:rFonts w:ascii="Arial" w:hAnsi="Arial" w:cs="Arial"/>
                <w:sz w:val="14"/>
                <w:szCs w:val="14"/>
              </w:rPr>
              <w:t xml:space="preserve">839,340,594 </w:t>
            </w:r>
          </w:p>
        </w:tc>
        <w:tc>
          <w:tcPr>
            <w:tcW w:w="85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06AFB" w:rsidRPr="00906AFB" w:rsidRDefault="00906AFB" w:rsidP="00906AFB">
            <w:pPr>
              <w:jc w:val="center"/>
              <w:rPr>
                <w:rFonts w:ascii="Arial" w:hAnsi="Arial" w:cs="Arial"/>
                <w:sz w:val="14"/>
                <w:szCs w:val="14"/>
              </w:rPr>
            </w:pPr>
            <w:r w:rsidRPr="00906AFB">
              <w:rPr>
                <w:rFonts w:ascii="Arial" w:hAnsi="Arial" w:cs="Arial"/>
                <w:sz w:val="14"/>
                <w:szCs w:val="14"/>
              </w:rPr>
              <w:t>45523370</w:t>
            </w:r>
          </w:p>
        </w:tc>
        <w:tc>
          <w:tcPr>
            <w:tcW w:w="85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06AFB" w:rsidRPr="00906AFB" w:rsidRDefault="00906AFB" w:rsidP="00906AFB">
            <w:pPr>
              <w:jc w:val="center"/>
              <w:rPr>
                <w:rFonts w:ascii="Arial" w:hAnsi="Arial" w:cs="Arial"/>
                <w:sz w:val="14"/>
                <w:szCs w:val="14"/>
              </w:rPr>
            </w:pPr>
            <w:r w:rsidRPr="00906AFB">
              <w:rPr>
                <w:rFonts w:ascii="Arial" w:hAnsi="Arial" w:cs="Arial"/>
                <w:sz w:val="14"/>
                <w:szCs w:val="14"/>
              </w:rPr>
              <w:t>TIIE+1.25%</w:t>
            </w:r>
          </w:p>
        </w:tc>
        <w:tc>
          <w:tcPr>
            <w:tcW w:w="858"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06AFB" w:rsidRPr="00906AFB" w:rsidRDefault="00906AFB" w:rsidP="00906AFB">
            <w:pPr>
              <w:jc w:val="center"/>
              <w:rPr>
                <w:rFonts w:ascii="Arial" w:hAnsi="Arial" w:cs="Arial"/>
                <w:sz w:val="14"/>
                <w:szCs w:val="14"/>
              </w:rPr>
            </w:pPr>
            <w:r w:rsidRPr="00906AFB">
              <w:rPr>
                <w:rFonts w:ascii="Arial" w:hAnsi="Arial" w:cs="Arial"/>
                <w:sz w:val="14"/>
                <w:szCs w:val="14"/>
              </w:rPr>
              <w:t>dic-11</w:t>
            </w:r>
          </w:p>
        </w:tc>
        <w:tc>
          <w:tcPr>
            <w:tcW w:w="985"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06AFB" w:rsidRPr="00906AFB" w:rsidRDefault="00906AFB" w:rsidP="00906AFB">
            <w:pPr>
              <w:jc w:val="center"/>
              <w:rPr>
                <w:rFonts w:ascii="Arial" w:hAnsi="Arial" w:cs="Arial"/>
                <w:sz w:val="14"/>
                <w:szCs w:val="14"/>
              </w:rPr>
            </w:pPr>
            <w:r w:rsidRPr="00906AFB">
              <w:rPr>
                <w:rFonts w:ascii="Arial" w:hAnsi="Arial" w:cs="Arial"/>
                <w:sz w:val="14"/>
                <w:szCs w:val="14"/>
              </w:rPr>
              <w:t>dic-31</w:t>
            </w:r>
          </w:p>
        </w:tc>
        <w:tc>
          <w:tcPr>
            <w:tcW w:w="1134"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06AFB" w:rsidRPr="00906AFB" w:rsidRDefault="00906AFB" w:rsidP="00906AFB">
            <w:pPr>
              <w:jc w:val="center"/>
              <w:rPr>
                <w:rFonts w:ascii="Arial" w:hAnsi="Arial" w:cs="Arial"/>
                <w:sz w:val="14"/>
                <w:szCs w:val="14"/>
              </w:rPr>
            </w:pPr>
            <w:r w:rsidRPr="00906AFB">
              <w:rPr>
                <w:rFonts w:ascii="Arial" w:hAnsi="Arial" w:cs="Arial"/>
                <w:sz w:val="14"/>
                <w:szCs w:val="14"/>
              </w:rPr>
              <w:t>Participaciones</w:t>
            </w:r>
          </w:p>
        </w:tc>
        <w:tc>
          <w:tcPr>
            <w:tcW w:w="709"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06AFB" w:rsidRPr="00906AFB" w:rsidRDefault="00906AFB" w:rsidP="00906AFB">
            <w:pPr>
              <w:jc w:val="center"/>
              <w:rPr>
                <w:rFonts w:ascii="Arial" w:hAnsi="Arial" w:cs="Arial"/>
                <w:sz w:val="14"/>
                <w:szCs w:val="14"/>
              </w:rPr>
            </w:pPr>
            <w:r w:rsidRPr="00906AFB">
              <w:rPr>
                <w:rFonts w:ascii="Arial" w:hAnsi="Arial" w:cs="Arial"/>
                <w:sz w:val="14"/>
                <w:szCs w:val="14"/>
              </w:rPr>
              <w:t>Simple</w:t>
            </w:r>
          </w:p>
        </w:tc>
      </w:tr>
      <w:tr w:rsidR="00906AFB" w:rsidRPr="00906AFB" w:rsidTr="00906AFB">
        <w:trPr>
          <w:trHeight w:val="315"/>
        </w:trPr>
        <w:tc>
          <w:tcPr>
            <w:tcW w:w="1008"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06AFB" w:rsidRPr="00906AFB" w:rsidRDefault="00906AFB" w:rsidP="00906AFB">
            <w:pPr>
              <w:rPr>
                <w:rFonts w:ascii="Arial" w:hAnsi="Arial" w:cs="Arial"/>
                <w:bCs/>
                <w:sz w:val="14"/>
                <w:szCs w:val="14"/>
              </w:rPr>
            </w:pPr>
            <w:r w:rsidRPr="00906AFB">
              <w:rPr>
                <w:rFonts w:ascii="Arial" w:hAnsi="Arial" w:cs="Arial"/>
                <w:bCs/>
                <w:sz w:val="14"/>
                <w:szCs w:val="14"/>
              </w:rPr>
              <w:t>Banobras</w:t>
            </w:r>
          </w:p>
        </w:tc>
        <w:tc>
          <w:tcPr>
            <w:tcW w:w="100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06AFB" w:rsidRPr="00906AFB" w:rsidRDefault="00906AFB" w:rsidP="00906AFB">
            <w:pPr>
              <w:jc w:val="right"/>
              <w:rPr>
                <w:rFonts w:ascii="Arial" w:hAnsi="Arial" w:cs="Arial"/>
                <w:sz w:val="14"/>
                <w:szCs w:val="14"/>
              </w:rPr>
            </w:pPr>
            <w:r w:rsidRPr="00906AFB">
              <w:rPr>
                <w:rFonts w:ascii="Arial" w:hAnsi="Arial" w:cs="Arial"/>
                <w:sz w:val="14"/>
                <w:szCs w:val="14"/>
              </w:rPr>
              <w:t xml:space="preserve">660,700,000 </w:t>
            </w:r>
          </w:p>
        </w:tc>
        <w:tc>
          <w:tcPr>
            <w:tcW w:w="968"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06AFB" w:rsidRPr="00906AFB" w:rsidRDefault="00906AFB" w:rsidP="00906AFB">
            <w:pPr>
              <w:jc w:val="right"/>
              <w:rPr>
                <w:rFonts w:ascii="Arial" w:hAnsi="Arial" w:cs="Arial"/>
                <w:sz w:val="14"/>
                <w:szCs w:val="14"/>
              </w:rPr>
            </w:pPr>
            <w:r w:rsidRPr="00906AFB">
              <w:rPr>
                <w:rFonts w:ascii="Arial" w:hAnsi="Arial" w:cs="Arial"/>
                <w:sz w:val="14"/>
                <w:szCs w:val="14"/>
              </w:rPr>
              <w:t xml:space="preserve">660,700,000 </w:t>
            </w:r>
          </w:p>
        </w:tc>
        <w:tc>
          <w:tcPr>
            <w:tcW w:w="99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06AFB" w:rsidRPr="00906AFB" w:rsidRDefault="00906AFB" w:rsidP="00906AFB">
            <w:pPr>
              <w:jc w:val="right"/>
              <w:rPr>
                <w:rFonts w:ascii="Arial" w:hAnsi="Arial" w:cs="Arial"/>
                <w:sz w:val="14"/>
                <w:szCs w:val="14"/>
              </w:rPr>
            </w:pPr>
            <w:r w:rsidRPr="00906AFB">
              <w:rPr>
                <w:rFonts w:ascii="Arial" w:hAnsi="Arial" w:cs="Arial"/>
                <w:sz w:val="14"/>
                <w:szCs w:val="14"/>
              </w:rPr>
              <w:t xml:space="preserve">603,347,570 </w:t>
            </w:r>
          </w:p>
        </w:tc>
        <w:tc>
          <w:tcPr>
            <w:tcW w:w="85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06AFB" w:rsidRPr="00906AFB" w:rsidRDefault="00906AFB" w:rsidP="00906AFB">
            <w:pPr>
              <w:jc w:val="center"/>
              <w:rPr>
                <w:rFonts w:ascii="Arial" w:hAnsi="Arial" w:cs="Arial"/>
                <w:sz w:val="14"/>
                <w:szCs w:val="14"/>
              </w:rPr>
            </w:pPr>
            <w:r w:rsidRPr="00906AFB">
              <w:rPr>
                <w:rFonts w:ascii="Arial" w:hAnsi="Arial" w:cs="Arial"/>
                <w:sz w:val="14"/>
                <w:szCs w:val="14"/>
              </w:rPr>
              <w:t>11149</w:t>
            </w:r>
          </w:p>
        </w:tc>
        <w:tc>
          <w:tcPr>
            <w:tcW w:w="85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06AFB" w:rsidRPr="00906AFB" w:rsidRDefault="00906AFB" w:rsidP="00906AFB">
            <w:pPr>
              <w:jc w:val="center"/>
              <w:rPr>
                <w:rFonts w:ascii="Arial" w:hAnsi="Arial" w:cs="Arial"/>
                <w:sz w:val="14"/>
                <w:szCs w:val="14"/>
              </w:rPr>
            </w:pPr>
            <w:r w:rsidRPr="00906AFB">
              <w:rPr>
                <w:rFonts w:ascii="Arial" w:hAnsi="Arial" w:cs="Arial"/>
                <w:sz w:val="14"/>
                <w:szCs w:val="14"/>
              </w:rPr>
              <w:t>TIIE+0.87%</w:t>
            </w:r>
          </w:p>
        </w:tc>
        <w:tc>
          <w:tcPr>
            <w:tcW w:w="858"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06AFB" w:rsidRPr="00906AFB" w:rsidRDefault="00906AFB" w:rsidP="00906AFB">
            <w:pPr>
              <w:jc w:val="center"/>
              <w:rPr>
                <w:rFonts w:ascii="Arial" w:hAnsi="Arial" w:cs="Arial"/>
                <w:sz w:val="14"/>
                <w:szCs w:val="14"/>
              </w:rPr>
            </w:pPr>
            <w:r w:rsidRPr="00906AFB">
              <w:rPr>
                <w:rFonts w:ascii="Arial" w:hAnsi="Arial" w:cs="Arial"/>
                <w:sz w:val="14"/>
                <w:szCs w:val="14"/>
              </w:rPr>
              <w:t>sep-13</w:t>
            </w:r>
          </w:p>
        </w:tc>
        <w:tc>
          <w:tcPr>
            <w:tcW w:w="985"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06AFB" w:rsidRPr="00906AFB" w:rsidRDefault="00906AFB" w:rsidP="00906AFB">
            <w:pPr>
              <w:jc w:val="center"/>
              <w:rPr>
                <w:rFonts w:ascii="Arial" w:hAnsi="Arial" w:cs="Arial"/>
                <w:sz w:val="14"/>
                <w:szCs w:val="14"/>
              </w:rPr>
            </w:pPr>
            <w:r w:rsidRPr="00906AFB">
              <w:rPr>
                <w:rFonts w:ascii="Arial" w:hAnsi="Arial" w:cs="Arial"/>
                <w:sz w:val="14"/>
                <w:szCs w:val="14"/>
              </w:rPr>
              <w:t>sep-38</w:t>
            </w:r>
          </w:p>
        </w:tc>
        <w:tc>
          <w:tcPr>
            <w:tcW w:w="1134"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06AFB" w:rsidRPr="00906AFB" w:rsidRDefault="00906AFB" w:rsidP="00906AFB">
            <w:pPr>
              <w:jc w:val="center"/>
              <w:rPr>
                <w:rFonts w:ascii="Arial" w:hAnsi="Arial" w:cs="Arial"/>
                <w:sz w:val="14"/>
                <w:szCs w:val="14"/>
              </w:rPr>
            </w:pPr>
            <w:r w:rsidRPr="00906AFB">
              <w:rPr>
                <w:rFonts w:ascii="Arial" w:hAnsi="Arial" w:cs="Arial"/>
                <w:sz w:val="14"/>
                <w:szCs w:val="14"/>
              </w:rPr>
              <w:t>Participaciones</w:t>
            </w:r>
          </w:p>
        </w:tc>
        <w:tc>
          <w:tcPr>
            <w:tcW w:w="709"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06AFB" w:rsidRPr="00906AFB" w:rsidRDefault="00906AFB" w:rsidP="00906AFB">
            <w:pPr>
              <w:jc w:val="center"/>
              <w:rPr>
                <w:rFonts w:ascii="Arial" w:hAnsi="Arial" w:cs="Arial"/>
                <w:sz w:val="14"/>
                <w:szCs w:val="14"/>
              </w:rPr>
            </w:pPr>
            <w:r w:rsidRPr="00906AFB">
              <w:rPr>
                <w:rFonts w:ascii="Arial" w:hAnsi="Arial" w:cs="Arial"/>
                <w:sz w:val="14"/>
                <w:szCs w:val="14"/>
              </w:rPr>
              <w:t>Simple</w:t>
            </w:r>
          </w:p>
        </w:tc>
      </w:tr>
      <w:tr w:rsidR="00906AFB" w:rsidRPr="00906AFB" w:rsidTr="00906AFB">
        <w:trPr>
          <w:trHeight w:val="315"/>
        </w:trPr>
        <w:tc>
          <w:tcPr>
            <w:tcW w:w="1008"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06AFB" w:rsidRPr="00906AFB" w:rsidRDefault="00906AFB" w:rsidP="00906AFB">
            <w:pPr>
              <w:rPr>
                <w:rFonts w:ascii="Arial" w:hAnsi="Arial" w:cs="Arial"/>
                <w:bCs/>
                <w:sz w:val="14"/>
                <w:szCs w:val="14"/>
              </w:rPr>
            </w:pPr>
            <w:r w:rsidRPr="00906AFB">
              <w:rPr>
                <w:rFonts w:ascii="Arial" w:hAnsi="Arial" w:cs="Arial"/>
                <w:bCs/>
                <w:sz w:val="14"/>
                <w:szCs w:val="14"/>
              </w:rPr>
              <w:t>Interacciones</w:t>
            </w:r>
          </w:p>
        </w:tc>
        <w:tc>
          <w:tcPr>
            <w:tcW w:w="100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06AFB" w:rsidRPr="00906AFB" w:rsidRDefault="00906AFB" w:rsidP="00906AFB">
            <w:pPr>
              <w:jc w:val="right"/>
              <w:rPr>
                <w:rFonts w:ascii="Arial" w:hAnsi="Arial" w:cs="Arial"/>
                <w:sz w:val="14"/>
                <w:szCs w:val="14"/>
              </w:rPr>
            </w:pPr>
            <w:r w:rsidRPr="00906AFB">
              <w:rPr>
                <w:rFonts w:ascii="Arial" w:hAnsi="Arial" w:cs="Arial"/>
                <w:sz w:val="14"/>
                <w:szCs w:val="14"/>
              </w:rPr>
              <w:t xml:space="preserve">638,000,000 </w:t>
            </w:r>
          </w:p>
        </w:tc>
        <w:tc>
          <w:tcPr>
            <w:tcW w:w="968"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06AFB" w:rsidRPr="00906AFB" w:rsidRDefault="00906AFB" w:rsidP="00906AFB">
            <w:pPr>
              <w:jc w:val="right"/>
              <w:rPr>
                <w:rFonts w:ascii="Arial" w:hAnsi="Arial" w:cs="Arial"/>
                <w:sz w:val="14"/>
                <w:szCs w:val="14"/>
              </w:rPr>
            </w:pPr>
            <w:r w:rsidRPr="00906AFB">
              <w:rPr>
                <w:rFonts w:ascii="Arial" w:hAnsi="Arial" w:cs="Arial"/>
                <w:sz w:val="14"/>
                <w:szCs w:val="14"/>
              </w:rPr>
              <w:t xml:space="preserve">638,000,000 </w:t>
            </w:r>
          </w:p>
        </w:tc>
        <w:tc>
          <w:tcPr>
            <w:tcW w:w="99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06AFB" w:rsidRPr="00906AFB" w:rsidRDefault="00906AFB" w:rsidP="00906AFB">
            <w:pPr>
              <w:jc w:val="right"/>
              <w:rPr>
                <w:rFonts w:ascii="Arial" w:hAnsi="Arial" w:cs="Arial"/>
                <w:sz w:val="14"/>
                <w:szCs w:val="14"/>
              </w:rPr>
            </w:pPr>
            <w:r w:rsidRPr="00906AFB">
              <w:rPr>
                <w:rFonts w:ascii="Arial" w:hAnsi="Arial" w:cs="Arial"/>
                <w:sz w:val="14"/>
                <w:szCs w:val="14"/>
              </w:rPr>
              <w:t xml:space="preserve">631,252,609 </w:t>
            </w:r>
          </w:p>
        </w:tc>
        <w:tc>
          <w:tcPr>
            <w:tcW w:w="851"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06AFB" w:rsidRPr="00906AFB" w:rsidRDefault="00906AFB" w:rsidP="00906AFB">
            <w:pPr>
              <w:jc w:val="center"/>
              <w:rPr>
                <w:rFonts w:ascii="Arial" w:hAnsi="Arial" w:cs="Arial"/>
                <w:sz w:val="14"/>
                <w:szCs w:val="14"/>
              </w:rPr>
            </w:pPr>
            <w:r w:rsidRPr="00906AFB">
              <w:rPr>
                <w:rFonts w:ascii="Arial" w:hAnsi="Arial" w:cs="Arial"/>
                <w:sz w:val="14"/>
                <w:szCs w:val="14"/>
              </w:rPr>
              <w:t>430259</w:t>
            </w:r>
          </w:p>
        </w:tc>
        <w:tc>
          <w:tcPr>
            <w:tcW w:w="85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06AFB" w:rsidRPr="00906AFB" w:rsidRDefault="00906AFB" w:rsidP="00906AFB">
            <w:pPr>
              <w:jc w:val="center"/>
              <w:rPr>
                <w:rFonts w:ascii="Arial" w:hAnsi="Arial" w:cs="Arial"/>
                <w:sz w:val="14"/>
                <w:szCs w:val="14"/>
              </w:rPr>
            </w:pPr>
            <w:r w:rsidRPr="00906AFB">
              <w:rPr>
                <w:rFonts w:ascii="Arial" w:hAnsi="Arial" w:cs="Arial"/>
                <w:sz w:val="14"/>
                <w:szCs w:val="14"/>
              </w:rPr>
              <w:t>TIIE+3.60%</w:t>
            </w:r>
          </w:p>
        </w:tc>
        <w:tc>
          <w:tcPr>
            <w:tcW w:w="858"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06AFB" w:rsidRPr="00906AFB" w:rsidRDefault="00906AFB" w:rsidP="00906AFB">
            <w:pPr>
              <w:jc w:val="center"/>
              <w:rPr>
                <w:rFonts w:ascii="Arial" w:hAnsi="Arial" w:cs="Arial"/>
                <w:sz w:val="14"/>
                <w:szCs w:val="14"/>
              </w:rPr>
            </w:pPr>
            <w:r w:rsidRPr="00906AFB">
              <w:rPr>
                <w:rFonts w:ascii="Arial" w:hAnsi="Arial" w:cs="Arial"/>
                <w:sz w:val="14"/>
                <w:szCs w:val="14"/>
              </w:rPr>
              <w:t>dic-15</w:t>
            </w:r>
          </w:p>
        </w:tc>
        <w:tc>
          <w:tcPr>
            <w:tcW w:w="985"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06AFB" w:rsidRPr="00906AFB" w:rsidRDefault="00906AFB" w:rsidP="00906AFB">
            <w:pPr>
              <w:jc w:val="center"/>
              <w:rPr>
                <w:rFonts w:ascii="Arial" w:hAnsi="Arial" w:cs="Arial"/>
                <w:sz w:val="14"/>
                <w:szCs w:val="14"/>
              </w:rPr>
            </w:pPr>
            <w:r w:rsidRPr="00906AFB">
              <w:rPr>
                <w:rFonts w:ascii="Arial" w:hAnsi="Arial" w:cs="Arial"/>
                <w:sz w:val="14"/>
                <w:szCs w:val="14"/>
              </w:rPr>
              <w:t>dic-35</w:t>
            </w:r>
          </w:p>
        </w:tc>
        <w:tc>
          <w:tcPr>
            <w:tcW w:w="1134"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06AFB" w:rsidRPr="00906AFB" w:rsidRDefault="00906AFB" w:rsidP="00906AFB">
            <w:pPr>
              <w:jc w:val="center"/>
              <w:rPr>
                <w:rFonts w:ascii="Arial" w:hAnsi="Arial" w:cs="Arial"/>
                <w:sz w:val="14"/>
                <w:szCs w:val="14"/>
              </w:rPr>
            </w:pPr>
            <w:r w:rsidRPr="00906AFB">
              <w:rPr>
                <w:rFonts w:ascii="Arial" w:hAnsi="Arial" w:cs="Arial"/>
                <w:sz w:val="14"/>
                <w:szCs w:val="14"/>
              </w:rPr>
              <w:t>En trámite</w:t>
            </w:r>
          </w:p>
        </w:tc>
        <w:tc>
          <w:tcPr>
            <w:tcW w:w="709"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906AFB" w:rsidRPr="00906AFB" w:rsidRDefault="00906AFB" w:rsidP="00906AFB">
            <w:pPr>
              <w:jc w:val="center"/>
              <w:rPr>
                <w:rFonts w:ascii="Arial" w:hAnsi="Arial" w:cs="Arial"/>
                <w:sz w:val="14"/>
                <w:szCs w:val="14"/>
              </w:rPr>
            </w:pPr>
            <w:r w:rsidRPr="00906AFB">
              <w:rPr>
                <w:rFonts w:ascii="Arial" w:hAnsi="Arial" w:cs="Arial"/>
                <w:sz w:val="14"/>
                <w:szCs w:val="14"/>
              </w:rPr>
              <w:t>Simple</w:t>
            </w:r>
          </w:p>
        </w:tc>
      </w:tr>
      <w:tr w:rsidR="00906AFB" w:rsidRPr="00906AFB" w:rsidTr="00906AFB">
        <w:trPr>
          <w:trHeight w:val="330"/>
        </w:trPr>
        <w:tc>
          <w:tcPr>
            <w:tcW w:w="10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06AFB" w:rsidRPr="00906AFB" w:rsidRDefault="00906AFB" w:rsidP="00906AFB">
            <w:pPr>
              <w:jc w:val="center"/>
              <w:rPr>
                <w:rFonts w:ascii="Arial" w:hAnsi="Arial" w:cs="Arial"/>
                <w:b/>
                <w:bCs/>
                <w:sz w:val="14"/>
                <w:szCs w:val="14"/>
              </w:rPr>
            </w:pPr>
            <w:r w:rsidRPr="00906AFB">
              <w:rPr>
                <w:rFonts w:ascii="Arial" w:hAnsi="Arial" w:cs="Arial"/>
                <w:b/>
                <w:bCs/>
                <w:sz w:val="14"/>
                <w:szCs w:val="14"/>
              </w:rPr>
              <w:t>Total</w:t>
            </w:r>
          </w:p>
        </w:tc>
        <w:tc>
          <w:tcPr>
            <w:tcW w:w="10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06AFB" w:rsidRPr="00906AFB" w:rsidRDefault="00906AFB" w:rsidP="00906AFB">
            <w:pPr>
              <w:spacing w:before="120" w:after="120" w:line="360" w:lineRule="auto"/>
              <w:jc w:val="both"/>
              <w:rPr>
                <w:rFonts w:ascii="Arial" w:hAnsi="Arial" w:cs="Arial"/>
                <w:b/>
                <w:bCs/>
                <w:sz w:val="14"/>
                <w:szCs w:val="14"/>
              </w:rPr>
            </w:pPr>
          </w:p>
        </w:tc>
        <w:tc>
          <w:tcPr>
            <w:tcW w:w="9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06AFB" w:rsidRPr="00906AFB" w:rsidRDefault="00906AFB" w:rsidP="00906AFB">
            <w:pPr>
              <w:jc w:val="right"/>
              <w:rPr>
                <w:rFonts w:ascii="Arial" w:hAnsi="Arial" w:cs="Arial"/>
                <w:b/>
                <w:bCs/>
                <w:sz w:val="14"/>
                <w:szCs w:val="14"/>
              </w:rPr>
            </w:pPr>
            <w:r w:rsidRPr="00906AFB">
              <w:rPr>
                <w:rFonts w:ascii="Arial" w:hAnsi="Arial" w:cs="Arial"/>
                <w:b/>
                <w:bCs/>
                <w:sz w:val="14"/>
                <w:szCs w:val="14"/>
              </w:rPr>
              <w:t>3,027,566,447</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06AFB" w:rsidRPr="00906AFB" w:rsidRDefault="00906AFB" w:rsidP="00906AFB">
            <w:pPr>
              <w:jc w:val="right"/>
              <w:rPr>
                <w:rFonts w:ascii="Arial" w:hAnsi="Arial" w:cs="Arial"/>
                <w:b/>
                <w:bCs/>
                <w:sz w:val="14"/>
                <w:szCs w:val="14"/>
              </w:rPr>
            </w:pPr>
            <w:r w:rsidRPr="00906AFB">
              <w:rPr>
                <w:rFonts w:ascii="Arial" w:hAnsi="Arial" w:cs="Arial"/>
                <w:b/>
                <w:bCs/>
                <w:sz w:val="14"/>
                <w:szCs w:val="14"/>
              </w:rPr>
              <w:t>2,733,486,638</w:t>
            </w:r>
          </w:p>
        </w:tc>
        <w:tc>
          <w:tcPr>
            <w:tcW w:w="5387" w:type="dxa"/>
            <w:gridSpan w:val="6"/>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906AFB" w:rsidRPr="00906AFB" w:rsidRDefault="00906AFB" w:rsidP="00906AFB">
            <w:pPr>
              <w:spacing w:before="120" w:after="120" w:line="360" w:lineRule="auto"/>
              <w:jc w:val="both"/>
              <w:rPr>
                <w:rFonts w:ascii="Arial" w:hAnsi="Arial" w:cs="Arial"/>
                <w:b/>
                <w:bCs/>
                <w:sz w:val="14"/>
                <w:szCs w:val="14"/>
              </w:rPr>
            </w:pPr>
          </w:p>
        </w:tc>
      </w:tr>
    </w:tbl>
    <w:p w:rsidR="00906AFB" w:rsidRPr="00906AFB" w:rsidRDefault="00906AFB" w:rsidP="00906AFB">
      <w:pPr>
        <w:spacing w:after="0" w:line="240" w:lineRule="auto"/>
        <w:jc w:val="both"/>
        <w:rPr>
          <w:rFonts w:ascii="Arial" w:eastAsia="Times New Roman" w:hAnsi="Arial" w:cs="Arial"/>
          <w:sz w:val="24"/>
          <w:szCs w:val="24"/>
          <w:lang w:val="es-ES" w:eastAsia="es-ES"/>
        </w:rPr>
      </w:pPr>
    </w:p>
    <w:p w:rsidR="00906AFB" w:rsidRPr="00906AFB" w:rsidRDefault="00906AFB" w:rsidP="00906AFB">
      <w:pPr>
        <w:spacing w:after="0" w:line="240" w:lineRule="auto"/>
        <w:jc w:val="both"/>
        <w:rPr>
          <w:rFonts w:ascii="Arial" w:eastAsia="Times New Roman" w:hAnsi="Arial" w:cs="Arial"/>
          <w:sz w:val="24"/>
          <w:szCs w:val="24"/>
          <w:lang w:val="es-ES" w:eastAsia="es-ES"/>
        </w:rPr>
      </w:pPr>
    </w:p>
    <w:p w:rsidR="00906AFB" w:rsidRPr="00906AFB" w:rsidRDefault="00906AFB" w:rsidP="00906AFB">
      <w:pPr>
        <w:keepNext/>
        <w:keepLines/>
        <w:spacing w:after="0" w:line="240" w:lineRule="auto"/>
        <w:jc w:val="center"/>
        <w:outlineLvl w:val="1"/>
        <w:rPr>
          <w:rFonts w:ascii="Arial" w:eastAsia="Times New Roman" w:hAnsi="Arial" w:cs="Times New Roman"/>
          <w:b/>
          <w:sz w:val="20"/>
          <w:szCs w:val="26"/>
          <w:lang w:val="es-ES" w:eastAsia="en-US"/>
        </w:rPr>
      </w:pPr>
      <w:r w:rsidRPr="00906AFB">
        <w:rPr>
          <w:rFonts w:ascii="Arial" w:eastAsia="Times New Roman" w:hAnsi="Arial" w:cs="Times New Roman"/>
          <w:b/>
          <w:sz w:val="20"/>
          <w:szCs w:val="26"/>
          <w:lang w:val="es-ES" w:eastAsia="en-US"/>
        </w:rPr>
        <w:t xml:space="preserve">Tabla </w:t>
      </w:r>
      <w:r w:rsidR="00CF4172">
        <w:rPr>
          <w:rFonts w:ascii="Arial" w:eastAsia="Times New Roman" w:hAnsi="Arial" w:cs="Times New Roman"/>
          <w:b/>
          <w:sz w:val="20"/>
          <w:szCs w:val="26"/>
          <w:lang w:val="es-ES" w:eastAsia="en-US"/>
        </w:rPr>
        <w:t>40</w:t>
      </w:r>
      <w:r w:rsidRPr="00906AFB">
        <w:rPr>
          <w:rFonts w:ascii="Arial" w:eastAsia="Times New Roman" w:hAnsi="Arial" w:cs="Times New Roman"/>
          <w:b/>
          <w:sz w:val="20"/>
          <w:szCs w:val="26"/>
          <w:lang w:val="es-ES" w:eastAsia="en-US"/>
        </w:rPr>
        <w:t xml:space="preserve">. Financiamientos </w:t>
      </w:r>
      <w:r w:rsidR="00A707F3">
        <w:rPr>
          <w:rFonts w:ascii="Arial" w:eastAsia="Times New Roman" w:hAnsi="Arial" w:cs="Times New Roman"/>
          <w:b/>
          <w:sz w:val="20"/>
          <w:szCs w:val="26"/>
          <w:lang w:val="es-ES" w:eastAsia="en-US"/>
        </w:rPr>
        <w:t xml:space="preserve">Contratados bajo el </w:t>
      </w:r>
      <w:r w:rsidRPr="00906AFB">
        <w:rPr>
          <w:rFonts w:ascii="Arial" w:eastAsia="Times New Roman" w:hAnsi="Arial" w:cs="Times New Roman"/>
          <w:b/>
          <w:sz w:val="20"/>
          <w:szCs w:val="26"/>
          <w:lang w:val="es-ES" w:eastAsia="en-US"/>
        </w:rPr>
        <w:t>Esquema de Bono Cupón Cero</w:t>
      </w:r>
      <w:r w:rsidRPr="00906AFB">
        <w:rPr>
          <w:rFonts w:ascii="Arial" w:eastAsia="Times New Roman" w:hAnsi="Arial" w:cs="Times New Roman"/>
          <w:b/>
          <w:sz w:val="20"/>
          <w:szCs w:val="26"/>
          <w:lang w:val="es-ES" w:eastAsia="en-US"/>
        </w:rPr>
        <w:br/>
        <w:t xml:space="preserve"> (Cupón Cero)</w:t>
      </w:r>
    </w:p>
    <w:tbl>
      <w:tblPr>
        <w:tblStyle w:val="Tablaconcuadrcula2"/>
        <w:tblW w:w="0" w:type="auto"/>
        <w:tblInd w:w="0" w:type="dxa"/>
        <w:tblLook w:val="04A0" w:firstRow="1" w:lastRow="0" w:firstColumn="1" w:lastColumn="0" w:noHBand="0" w:noVBand="1"/>
      </w:tblPr>
      <w:tblGrid>
        <w:gridCol w:w="834"/>
        <w:gridCol w:w="1019"/>
        <w:gridCol w:w="1019"/>
        <w:gridCol w:w="1019"/>
        <w:gridCol w:w="730"/>
        <w:gridCol w:w="930"/>
        <w:gridCol w:w="963"/>
        <w:gridCol w:w="1011"/>
        <w:gridCol w:w="1195"/>
      </w:tblGrid>
      <w:tr w:rsidR="00906AFB" w:rsidRPr="00906AFB" w:rsidTr="00906AFB">
        <w:trPr>
          <w:trHeight w:val="300"/>
        </w:trPr>
        <w:tc>
          <w:tcPr>
            <w:tcW w:w="8720" w:type="dxa"/>
            <w:gridSpan w:val="9"/>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center"/>
              <w:rPr>
                <w:rFonts w:ascii="Arial" w:hAnsi="Arial" w:cs="Arial"/>
                <w:sz w:val="18"/>
                <w:szCs w:val="16"/>
                <w:lang w:eastAsia="es-ES"/>
              </w:rPr>
            </w:pPr>
            <w:r w:rsidRPr="00906AFB">
              <w:rPr>
                <w:rFonts w:ascii="Arial" w:hAnsi="Arial" w:cs="Arial"/>
                <w:sz w:val="18"/>
                <w:szCs w:val="16"/>
                <w:lang w:eastAsia="es-ES"/>
              </w:rPr>
              <w:t>Saldos al 31 de octubre de 2016</w:t>
            </w:r>
          </w:p>
        </w:tc>
      </w:tr>
      <w:tr w:rsidR="00906AFB" w:rsidRPr="00906AFB" w:rsidTr="00906AFB">
        <w:trPr>
          <w:trHeight w:val="510"/>
        </w:trPr>
        <w:tc>
          <w:tcPr>
            <w:tcW w:w="834"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ind w:left="-142"/>
              <w:jc w:val="center"/>
              <w:rPr>
                <w:rFonts w:ascii="Arial" w:hAnsi="Arial" w:cs="Arial"/>
                <w:b/>
                <w:sz w:val="14"/>
                <w:szCs w:val="16"/>
                <w:lang w:eastAsia="es-ES"/>
              </w:rPr>
            </w:pPr>
            <w:r w:rsidRPr="00906AFB">
              <w:rPr>
                <w:rFonts w:ascii="Arial" w:hAnsi="Arial" w:cs="Arial"/>
                <w:b/>
                <w:sz w:val="14"/>
                <w:szCs w:val="16"/>
                <w:lang w:eastAsia="es-ES"/>
              </w:rPr>
              <w:t>Acreedor</w:t>
            </w:r>
          </w:p>
        </w:tc>
        <w:tc>
          <w:tcPr>
            <w:tcW w:w="1019"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ind w:left="-112"/>
              <w:jc w:val="center"/>
              <w:rPr>
                <w:rFonts w:ascii="Arial" w:hAnsi="Arial" w:cs="Arial"/>
                <w:b/>
                <w:sz w:val="14"/>
                <w:szCs w:val="16"/>
                <w:lang w:eastAsia="es-ES"/>
              </w:rPr>
            </w:pPr>
            <w:r w:rsidRPr="00906AFB">
              <w:rPr>
                <w:rFonts w:ascii="Arial" w:hAnsi="Arial" w:cs="Arial"/>
                <w:b/>
                <w:sz w:val="14"/>
                <w:szCs w:val="16"/>
                <w:lang w:eastAsia="es-ES"/>
              </w:rPr>
              <w:t>Monto Contratado</w:t>
            </w:r>
          </w:p>
        </w:tc>
        <w:tc>
          <w:tcPr>
            <w:tcW w:w="1019"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ind w:left="-123"/>
              <w:jc w:val="center"/>
              <w:rPr>
                <w:rFonts w:ascii="Arial" w:hAnsi="Arial" w:cs="Arial"/>
                <w:b/>
                <w:sz w:val="14"/>
                <w:szCs w:val="16"/>
                <w:lang w:eastAsia="es-ES"/>
              </w:rPr>
            </w:pPr>
            <w:r w:rsidRPr="00906AFB">
              <w:rPr>
                <w:rFonts w:ascii="Arial" w:hAnsi="Arial" w:cs="Arial"/>
                <w:b/>
                <w:sz w:val="14"/>
                <w:szCs w:val="16"/>
                <w:lang w:eastAsia="es-ES"/>
              </w:rPr>
              <w:t>Monto Dispuesto</w:t>
            </w:r>
          </w:p>
        </w:tc>
        <w:tc>
          <w:tcPr>
            <w:tcW w:w="1019"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ind w:left="-134"/>
              <w:jc w:val="center"/>
              <w:rPr>
                <w:rFonts w:ascii="Arial" w:hAnsi="Arial" w:cs="Arial"/>
                <w:b/>
                <w:sz w:val="14"/>
                <w:szCs w:val="16"/>
                <w:lang w:eastAsia="es-ES"/>
              </w:rPr>
            </w:pPr>
            <w:r w:rsidRPr="00906AFB">
              <w:rPr>
                <w:rFonts w:ascii="Arial" w:hAnsi="Arial" w:cs="Arial"/>
                <w:b/>
                <w:sz w:val="14"/>
                <w:szCs w:val="16"/>
                <w:lang w:eastAsia="es-ES"/>
              </w:rPr>
              <w:t>Saldo Insoluto</w:t>
            </w:r>
          </w:p>
        </w:tc>
        <w:tc>
          <w:tcPr>
            <w:tcW w:w="73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ind w:left="-146"/>
              <w:jc w:val="center"/>
              <w:rPr>
                <w:rFonts w:ascii="Arial" w:hAnsi="Arial" w:cs="Arial"/>
                <w:b/>
                <w:sz w:val="14"/>
                <w:szCs w:val="16"/>
                <w:lang w:eastAsia="es-ES"/>
              </w:rPr>
            </w:pPr>
            <w:r w:rsidRPr="00906AFB">
              <w:rPr>
                <w:rFonts w:ascii="Arial" w:hAnsi="Arial" w:cs="Arial"/>
                <w:b/>
                <w:sz w:val="14"/>
                <w:szCs w:val="16"/>
                <w:lang w:eastAsia="es-ES"/>
              </w:rPr>
              <w:t>Número de Crédito</w:t>
            </w:r>
          </w:p>
        </w:tc>
        <w:tc>
          <w:tcPr>
            <w:tcW w:w="93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ind w:left="-166"/>
              <w:jc w:val="center"/>
              <w:rPr>
                <w:rFonts w:ascii="Arial" w:hAnsi="Arial" w:cs="Arial"/>
                <w:b/>
                <w:sz w:val="14"/>
                <w:szCs w:val="16"/>
                <w:lang w:eastAsia="es-ES"/>
              </w:rPr>
            </w:pPr>
            <w:r w:rsidRPr="00906AFB">
              <w:rPr>
                <w:rFonts w:ascii="Arial" w:hAnsi="Arial" w:cs="Arial"/>
                <w:b/>
                <w:sz w:val="14"/>
                <w:szCs w:val="16"/>
                <w:lang w:eastAsia="es-ES"/>
              </w:rPr>
              <w:t>Tasa de Interés Contratada</w:t>
            </w:r>
          </w:p>
        </w:tc>
        <w:tc>
          <w:tcPr>
            <w:tcW w:w="963"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ind w:left="-106"/>
              <w:jc w:val="center"/>
              <w:rPr>
                <w:rFonts w:ascii="Arial" w:hAnsi="Arial" w:cs="Arial"/>
                <w:b/>
                <w:sz w:val="14"/>
                <w:szCs w:val="16"/>
                <w:lang w:eastAsia="es-ES"/>
              </w:rPr>
            </w:pPr>
            <w:r w:rsidRPr="00906AFB">
              <w:rPr>
                <w:rFonts w:ascii="Arial" w:hAnsi="Arial" w:cs="Arial"/>
                <w:b/>
                <w:sz w:val="14"/>
                <w:szCs w:val="16"/>
                <w:lang w:eastAsia="es-ES"/>
              </w:rPr>
              <w:t>Fecha de Suscripción</w:t>
            </w:r>
          </w:p>
        </w:tc>
        <w:tc>
          <w:tcPr>
            <w:tcW w:w="1011"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ind w:left="-107"/>
              <w:jc w:val="center"/>
              <w:rPr>
                <w:rFonts w:ascii="Arial" w:hAnsi="Arial" w:cs="Arial"/>
                <w:b/>
                <w:sz w:val="14"/>
                <w:szCs w:val="16"/>
                <w:lang w:eastAsia="es-ES"/>
              </w:rPr>
            </w:pPr>
            <w:r w:rsidRPr="00906AFB">
              <w:rPr>
                <w:rFonts w:ascii="Arial" w:hAnsi="Arial" w:cs="Arial"/>
                <w:b/>
                <w:sz w:val="14"/>
                <w:szCs w:val="16"/>
                <w:lang w:eastAsia="es-ES"/>
              </w:rPr>
              <w:t>Fecha de Vencimiento</w:t>
            </w:r>
          </w:p>
        </w:tc>
        <w:tc>
          <w:tcPr>
            <w:tcW w:w="1195"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ind w:left="-154"/>
              <w:jc w:val="center"/>
              <w:rPr>
                <w:rFonts w:ascii="Arial" w:hAnsi="Arial" w:cs="Arial"/>
                <w:b/>
                <w:sz w:val="14"/>
                <w:szCs w:val="16"/>
                <w:lang w:eastAsia="es-ES"/>
              </w:rPr>
            </w:pPr>
            <w:r w:rsidRPr="00906AFB">
              <w:rPr>
                <w:rFonts w:ascii="Arial" w:hAnsi="Arial" w:cs="Arial"/>
                <w:b/>
                <w:sz w:val="14"/>
                <w:szCs w:val="16"/>
                <w:lang w:eastAsia="es-ES"/>
              </w:rPr>
              <w:t>Garantía y/o Fuente de Pago</w:t>
            </w:r>
          </w:p>
        </w:tc>
      </w:tr>
      <w:tr w:rsidR="00906AFB" w:rsidRPr="00906AFB" w:rsidTr="00906AFB">
        <w:trPr>
          <w:trHeight w:val="300"/>
        </w:trPr>
        <w:tc>
          <w:tcPr>
            <w:tcW w:w="83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rPr>
                <w:rFonts w:ascii="Arial" w:hAnsi="Arial" w:cs="Arial"/>
                <w:sz w:val="14"/>
                <w:szCs w:val="16"/>
                <w:lang w:eastAsia="es-ES"/>
              </w:rPr>
            </w:pPr>
            <w:r w:rsidRPr="00906AFB">
              <w:rPr>
                <w:rFonts w:ascii="Arial" w:hAnsi="Arial" w:cs="Arial"/>
                <w:sz w:val="14"/>
                <w:szCs w:val="16"/>
                <w:lang w:eastAsia="es-ES"/>
              </w:rPr>
              <w:t>Banobras</w:t>
            </w:r>
          </w:p>
        </w:tc>
        <w:tc>
          <w:tcPr>
            <w:tcW w:w="101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4"/>
                <w:szCs w:val="16"/>
                <w:lang w:eastAsia="es-ES"/>
              </w:rPr>
            </w:pPr>
            <w:r w:rsidRPr="00906AFB">
              <w:rPr>
                <w:rFonts w:ascii="Arial" w:hAnsi="Arial" w:cs="Arial"/>
                <w:sz w:val="14"/>
                <w:szCs w:val="16"/>
                <w:lang w:eastAsia="es-ES"/>
              </w:rPr>
              <w:t>159,963,093</w:t>
            </w:r>
          </w:p>
        </w:tc>
        <w:tc>
          <w:tcPr>
            <w:tcW w:w="101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4"/>
                <w:szCs w:val="16"/>
                <w:lang w:eastAsia="es-ES"/>
              </w:rPr>
            </w:pPr>
            <w:r w:rsidRPr="00906AFB">
              <w:rPr>
                <w:rFonts w:ascii="Arial" w:hAnsi="Arial" w:cs="Arial"/>
                <w:sz w:val="14"/>
                <w:szCs w:val="16"/>
                <w:lang w:eastAsia="es-ES"/>
              </w:rPr>
              <w:t>159,963,093</w:t>
            </w:r>
          </w:p>
        </w:tc>
        <w:tc>
          <w:tcPr>
            <w:tcW w:w="101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4"/>
                <w:szCs w:val="16"/>
                <w:lang w:eastAsia="es-ES"/>
              </w:rPr>
            </w:pPr>
            <w:r w:rsidRPr="00906AFB">
              <w:rPr>
                <w:rFonts w:ascii="Arial" w:hAnsi="Arial" w:cs="Arial"/>
                <w:sz w:val="14"/>
                <w:szCs w:val="16"/>
                <w:lang w:eastAsia="es-ES"/>
              </w:rPr>
              <w:t>159,963,093</w:t>
            </w:r>
          </w:p>
        </w:tc>
        <w:tc>
          <w:tcPr>
            <w:tcW w:w="730"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center"/>
              <w:rPr>
                <w:rFonts w:ascii="Arial" w:hAnsi="Arial" w:cs="Arial"/>
                <w:sz w:val="14"/>
                <w:szCs w:val="16"/>
                <w:lang w:eastAsia="es-ES"/>
              </w:rPr>
            </w:pPr>
            <w:r w:rsidRPr="00906AFB">
              <w:rPr>
                <w:rFonts w:ascii="Arial" w:hAnsi="Arial" w:cs="Arial"/>
                <w:sz w:val="14"/>
                <w:szCs w:val="16"/>
                <w:lang w:eastAsia="es-ES"/>
              </w:rPr>
              <w:t>11282, 11126</w:t>
            </w:r>
          </w:p>
        </w:tc>
        <w:tc>
          <w:tcPr>
            <w:tcW w:w="930"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center"/>
              <w:rPr>
                <w:rFonts w:ascii="Arial" w:hAnsi="Arial" w:cs="Arial"/>
                <w:sz w:val="14"/>
                <w:szCs w:val="16"/>
                <w:lang w:eastAsia="es-ES"/>
              </w:rPr>
            </w:pPr>
            <w:r w:rsidRPr="00906AFB">
              <w:rPr>
                <w:rFonts w:ascii="Arial" w:hAnsi="Arial" w:cs="Arial"/>
                <w:sz w:val="14"/>
                <w:szCs w:val="16"/>
                <w:lang w:eastAsia="es-ES"/>
              </w:rPr>
              <w:t>Base +1.13%</w:t>
            </w:r>
          </w:p>
        </w:tc>
        <w:tc>
          <w:tcPr>
            <w:tcW w:w="963"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center"/>
              <w:rPr>
                <w:rFonts w:ascii="Arial" w:hAnsi="Arial" w:cs="Arial"/>
                <w:sz w:val="14"/>
                <w:szCs w:val="16"/>
                <w:lang w:eastAsia="es-ES"/>
              </w:rPr>
            </w:pPr>
            <w:r w:rsidRPr="00906AFB">
              <w:rPr>
                <w:rFonts w:ascii="Arial" w:hAnsi="Arial" w:cs="Arial"/>
                <w:sz w:val="14"/>
                <w:szCs w:val="16"/>
                <w:lang w:eastAsia="es-ES"/>
              </w:rPr>
              <w:t>Jul-13</w:t>
            </w:r>
          </w:p>
        </w:tc>
        <w:tc>
          <w:tcPr>
            <w:tcW w:w="101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center"/>
              <w:rPr>
                <w:rFonts w:ascii="Arial" w:hAnsi="Arial" w:cs="Arial"/>
                <w:sz w:val="14"/>
                <w:szCs w:val="16"/>
                <w:lang w:eastAsia="es-ES"/>
              </w:rPr>
            </w:pPr>
            <w:r w:rsidRPr="00906AFB">
              <w:rPr>
                <w:rFonts w:ascii="Arial" w:hAnsi="Arial" w:cs="Arial"/>
                <w:sz w:val="14"/>
                <w:szCs w:val="16"/>
                <w:lang w:eastAsia="es-ES"/>
              </w:rPr>
              <w:t>Jul-33</w:t>
            </w:r>
          </w:p>
        </w:tc>
        <w:tc>
          <w:tcPr>
            <w:tcW w:w="1195"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center"/>
              <w:rPr>
                <w:rFonts w:ascii="Arial" w:hAnsi="Arial" w:cs="Arial"/>
                <w:sz w:val="14"/>
                <w:szCs w:val="16"/>
                <w:lang w:eastAsia="es-ES"/>
              </w:rPr>
            </w:pPr>
            <w:r w:rsidRPr="00906AFB">
              <w:rPr>
                <w:rFonts w:ascii="Arial" w:hAnsi="Arial" w:cs="Arial"/>
                <w:sz w:val="14"/>
                <w:szCs w:val="16"/>
                <w:lang w:eastAsia="es-ES"/>
              </w:rPr>
              <w:t>Participaciones</w:t>
            </w:r>
          </w:p>
        </w:tc>
      </w:tr>
      <w:tr w:rsidR="00906AFB" w:rsidRPr="00906AFB" w:rsidTr="00906AFB">
        <w:trPr>
          <w:trHeight w:val="300"/>
        </w:trPr>
        <w:tc>
          <w:tcPr>
            <w:tcW w:w="83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rPr>
                <w:rFonts w:ascii="Arial" w:hAnsi="Arial" w:cs="Arial"/>
                <w:sz w:val="14"/>
                <w:szCs w:val="16"/>
                <w:lang w:eastAsia="es-ES"/>
              </w:rPr>
            </w:pPr>
            <w:r w:rsidRPr="00906AFB">
              <w:rPr>
                <w:rFonts w:ascii="Arial" w:hAnsi="Arial" w:cs="Arial"/>
                <w:sz w:val="14"/>
                <w:szCs w:val="16"/>
                <w:lang w:eastAsia="es-ES"/>
              </w:rPr>
              <w:t>Banobras</w:t>
            </w:r>
          </w:p>
        </w:tc>
        <w:tc>
          <w:tcPr>
            <w:tcW w:w="101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4"/>
                <w:szCs w:val="16"/>
                <w:lang w:eastAsia="es-ES"/>
              </w:rPr>
            </w:pPr>
            <w:r w:rsidRPr="00906AFB">
              <w:rPr>
                <w:rFonts w:ascii="Arial" w:hAnsi="Arial" w:cs="Arial"/>
                <w:sz w:val="14"/>
                <w:szCs w:val="16"/>
                <w:lang w:eastAsia="es-ES"/>
              </w:rPr>
              <w:t>280,948,782</w:t>
            </w:r>
          </w:p>
        </w:tc>
        <w:tc>
          <w:tcPr>
            <w:tcW w:w="101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4"/>
                <w:szCs w:val="16"/>
                <w:lang w:eastAsia="es-ES"/>
              </w:rPr>
            </w:pPr>
            <w:r w:rsidRPr="00906AFB">
              <w:rPr>
                <w:rFonts w:ascii="Arial" w:hAnsi="Arial" w:cs="Arial"/>
                <w:sz w:val="14"/>
                <w:szCs w:val="16"/>
                <w:lang w:eastAsia="es-ES"/>
              </w:rPr>
              <w:t>280,948,782</w:t>
            </w:r>
          </w:p>
        </w:tc>
        <w:tc>
          <w:tcPr>
            <w:tcW w:w="101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4"/>
                <w:szCs w:val="16"/>
                <w:lang w:eastAsia="es-ES"/>
              </w:rPr>
            </w:pPr>
            <w:r w:rsidRPr="00906AFB">
              <w:rPr>
                <w:rFonts w:ascii="Arial" w:hAnsi="Arial" w:cs="Arial"/>
                <w:sz w:val="14"/>
                <w:szCs w:val="16"/>
                <w:lang w:eastAsia="es-ES"/>
              </w:rPr>
              <w:t>280,948,782</w:t>
            </w:r>
          </w:p>
        </w:tc>
        <w:tc>
          <w:tcPr>
            <w:tcW w:w="730"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center"/>
              <w:rPr>
                <w:rFonts w:ascii="Arial" w:hAnsi="Arial" w:cs="Arial"/>
                <w:sz w:val="14"/>
                <w:szCs w:val="16"/>
                <w:lang w:eastAsia="es-ES"/>
              </w:rPr>
            </w:pPr>
            <w:r w:rsidRPr="00906AFB">
              <w:rPr>
                <w:rFonts w:ascii="Arial" w:hAnsi="Arial" w:cs="Arial"/>
                <w:sz w:val="14"/>
                <w:szCs w:val="16"/>
                <w:lang w:eastAsia="es-ES"/>
              </w:rPr>
              <w:t>10487</w:t>
            </w:r>
          </w:p>
        </w:tc>
        <w:tc>
          <w:tcPr>
            <w:tcW w:w="930"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center"/>
              <w:rPr>
                <w:rFonts w:ascii="Arial" w:hAnsi="Arial" w:cs="Arial"/>
                <w:sz w:val="14"/>
                <w:szCs w:val="16"/>
                <w:lang w:eastAsia="es-ES"/>
              </w:rPr>
            </w:pPr>
            <w:r w:rsidRPr="00906AFB">
              <w:rPr>
                <w:rFonts w:ascii="Arial" w:hAnsi="Arial" w:cs="Arial"/>
                <w:sz w:val="14"/>
                <w:szCs w:val="16"/>
                <w:lang w:eastAsia="es-ES"/>
              </w:rPr>
              <w:t>8.63% Fija</w:t>
            </w:r>
          </w:p>
        </w:tc>
        <w:tc>
          <w:tcPr>
            <w:tcW w:w="963"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center"/>
              <w:rPr>
                <w:rFonts w:ascii="Arial" w:hAnsi="Arial" w:cs="Arial"/>
                <w:sz w:val="14"/>
                <w:szCs w:val="16"/>
                <w:lang w:eastAsia="es-ES"/>
              </w:rPr>
            </w:pPr>
            <w:r w:rsidRPr="00906AFB">
              <w:rPr>
                <w:rFonts w:ascii="Arial" w:hAnsi="Arial" w:cs="Arial"/>
                <w:sz w:val="14"/>
                <w:szCs w:val="16"/>
                <w:lang w:eastAsia="es-ES"/>
              </w:rPr>
              <w:t>Feb-12</w:t>
            </w:r>
          </w:p>
        </w:tc>
        <w:tc>
          <w:tcPr>
            <w:tcW w:w="101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center"/>
              <w:rPr>
                <w:rFonts w:ascii="Arial" w:hAnsi="Arial" w:cs="Arial"/>
                <w:sz w:val="14"/>
                <w:szCs w:val="16"/>
                <w:lang w:eastAsia="es-ES"/>
              </w:rPr>
            </w:pPr>
            <w:r w:rsidRPr="00906AFB">
              <w:rPr>
                <w:rFonts w:ascii="Arial" w:hAnsi="Arial" w:cs="Arial"/>
                <w:sz w:val="14"/>
                <w:szCs w:val="16"/>
                <w:lang w:eastAsia="es-ES"/>
              </w:rPr>
              <w:t>Feb-32</w:t>
            </w:r>
          </w:p>
        </w:tc>
        <w:tc>
          <w:tcPr>
            <w:tcW w:w="1195"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center"/>
              <w:rPr>
                <w:rFonts w:ascii="Arial" w:hAnsi="Arial" w:cs="Arial"/>
                <w:sz w:val="14"/>
                <w:szCs w:val="16"/>
                <w:lang w:eastAsia="es-ES"/>
              </w:rPr>
            </w:pPr>
            <w:r w:rsidRPr="00906AFB">
              <w:rPr>
                <w:rFonts w:ascii="Arial" w:hAnsi="Arial" w:cs="Arial"/>
                <w:sz w:val="14"/>
                <w:szCs w:val="16"/>
                <w:lang w:eastAsia="es-ES"/>
              </w:rPr>
              <w:t>Participaciones</w:t>
            </w:r>
          </w:p>
        </w:tc>
      </w:tr>
      <w:tr w:rsidR="00906AFB" w:rsidRPr="00906AFB" w:rsidTr="00906AFB">
        <w:trPr>
          <w:trHeight w:val="300"/>
        </w:trPr>
        <w:tc>
          <w:tcPr>
            <w:tcW w:w="834"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b/>
                <w:sz w:val="14"/>
                <w:szCs w:val="16"/>
                <w:lang w:eastAsia="es-ES"/>
              </w:rPr>
            </w:pPr>
            <w:r w:rsidRPr="00906AFB">
              <w:rPr>
                <w:rFonts w:ascii="Arial" w:hAnsi="Arial" w:cs="Arial"/>
                <w:b/>
                <w:sz w:val="14"/>
                <w:szCs w:val="16"/>
                <w:lang w:eastAsia="es-ES"/>
              </w:rPr>
              <w:t>Total</w:t>
            </w:r>
          </w:p>
        </w:tc>
        <w:tc>
          <w:tcPr>
            <w:tcW w:w="1019"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before="120" w:after="120" w:line="360" w:lineRule="auto"/>
              <w:jc w:val="both"/>
              <w:rPr>
                <w:rFonts w:ascii="Arial" w:hAnsi="Arial" w:cs="Arial"/>
                <w:b/>
                <w:sz w:val="14"/>
                <w:szCs w:val="16"/>
                <w:lang w:eastAsia="es-ES"/>
              </w:rPr>
            </w:pPr>
          </w:p>
        </w:tc>
        <w:tc>
          <w:tcPr>
            <w:tcW w:w="1019"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b/>
                <w:sz w:val="14"/>
                <w:szCs w:val="16"/>
                <w:lang w:eastAsia="es-ES"/>
              </w:rPr>
            </w:pPr>
            <w:r w:rsidRPr="00906AFB">
              <w:rPr>
                <w:rFonts w:ascii="Arial" w:hAnsi="Arial" w:cs="Arial"/>
                <w:b/>
                <w:sz w:val="14"/>
                <w:szCs w:val="16"/>
                <w:lang w:eastAsia="es-ES"/>
              </w:rPr>
              <w:t>440,911,875</w:t>
            </w:r>
          </w:p>
        </w:tc>
        <w:tc>
          <w:tcPr>
            <w:tcW w:w="1019"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b/>
                <w:sz w:val="14"/>
                <w:szCs w:val="16"/>
                <w:lang w:eastAsia="es-ES"/>
              </w:rPr>
            </w:pPr>
            <w:r w:rsidRPr="00906AFB">
              <w:rPr>
                <w:rFonts w:ascii="Arial" w:hAnsi="Arial" w:cs="Arial"/>
                <w:b/>
                <w:sz w:val="14"/>
                <w:szCs w:val="16"/>
                <w:lang w:eastAsia="es-ES"/>
              </w:rPr>
              <w:t>440,911,875</w:t>
            </w:r>
          </w:p>
        </w:tc>
        <w:tc>
          <w:tcPr>
            <w:tcW w:w="4829" w:type="dxa"/>
            <w:gridSpan w:val="5"/>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before="120" w:after="120" w:line="360" w:lineRule="auto"/>
              <w:jc w:val="both"/>
              <w:rPr>
                <w:rFonts w:ascii="Arial" w:hAnsi="Arial" w:cs="Arial"/>
                <w:b/>
                <w:sz w:val="14"/>
                <w:szCs w:val="16"/>
                <w:lang w:eastAsia="es-ES"/>
              </w:rPr>
            </w:pPr>
          </w:p>
        </w:tc>
      </w:tr>
    </w:tbl>
    <w:p w:rsidR="00906AFB" w:rsidRDefault="00906AFB" w:rsidP="00906AFB">
      <w:pPr>
        <w:spacing w:after="0" w:line="240" w:lineRule="auto"/>
        <w:jc w:val="both"/>
        <w:rPr>
          <w:rFonts w:ascii="Arial" w:eastAsia="Times New Roman" w:hAnsi="Arial" w:cs="Arial"/>
          <w:sz w:val="24"/>
          <w:szCs w:val="24"/>
          <w:lang w:val="es-ES" w:eastAsia="es-ES"/>
        </w:rPr>
      </w:pPr>
    </w:p>
    <w:p w:rsidR="00E22E97" w:rsidRPr="00906AFB" w:rsidRDefault="00E22E97" w:rsidP="00906AFB">
      <w:pPr>
        <w:spacing w:after="0" w:line="240" w:lineRule="auto"/>
        <w:jc w:val="both"/>
        <w:rPr>
          <w:rFonts w:ascii="Arial" w:eastAsia="Times New Roman" w:hAnsi="Arial" w:cs="Arial"/>
          <w:sz w:val="24"/>
          <w:szCs w:val="24"/>
          <w:lang w:val="es-ES" w:eastAsia="es-ES"/>
        </w:rPr>
      </w:pPr>
    </w:p>
    <w:p w:rsidR="00906AFB" w:rsidRPr="00906AFB" w:rsidRDefault="00906AFB" w:rsidP="00906AFB">
      <w:pPr>
        <w:spacing w:after="0" w:line="240" w:lineRule="auto"/>
        <w:jc w:val="both"/>
        <w:rPr>
          <w:rFonts w:ascii="Arial" w:eastAsia="Times New Roman" w:hAnsi="Arial" w:cs="Arial"/>
          <w:sz w:val="24"/>
          <w:szCs w:val="24"/>
          <w:lang w:val="es-ES" w:eastAsia="es-ES"/>
        </w:rPr>
      </w:pPr>
      <w:r w:rsidRPr="00906AFB">
        <w:rPr>
          <w:rFonts w:ascii="Arial" w:eastAsia="Times New Roman" w:hAnsi="Arial" w:cs="Arial"/>
          <w:sz w:val="24"/>
          <w:szCs w:val="24"/>
          <w:lang w:val="es-ES" w:eastAsia="es-ES"/>
        </w:rPr>
        <w:t xml:space="preserve">A </w:t>
      </w:r>
      <w:r w:rsidR="00E22E97" w:rsidRPr="00906AFB">
        <w:rPr>
          <w:rFonts w:ascii="Arial" w:eastAsia="Times New Roman" w:hAnsi="Arial" w:cs="Arial"/>
          <w:sz w:val="24"/>
          <w:szCs w:val="24"/>
          <w:lang w:val="es-ES" w:eastAsia="es-ES"/>
        </w:rPr>
        <w:t>continuación,</w:t>
      </w:r>
      <w:r w:rsidRPr="00906AFB">
        <w:rPr>
          <w:rFonts w:ascii="Arial" w:eastAsia="Times New Roman" w:hAnsi="Arial" w:cs="Arial"/>
          <w:sz w:val="24"/>
          <w:szCs w:val="24"/>
          <w:lang w:val="es-ES" w:eastAsia="es-ES"/>
        </w:rPr>
        <w:t xml:space="preserve"> se describen la calendarización trimestral de conceptos de Deuda Pública.</w:t>
      </w:r>
    </w:p>
    <w:p w:rsidR="00906AFB" w:rsidRPr="00FD430F" w:rsidRDefault="00906AFB" w:rsidP="00906AFB">
      <w:pPr>
        <w:spacing w:after="0" w:line="240" w:lineRule="auto"/>
        <w:jc w:val="both"/>
        <w:rPr>
          <w:rFonts w:ascii="Arial" w:eastAsia="Times New Roman" w:hAnsi="Arial" w:cs="Arial"/>
          <w:sz w:val="20"/>
          <w:szCs w:val="24"/>
          <w:lang w:val="es-ES" w:eastAsia="es-ES"/>
        </w:rPr>
      </w:pPr>
    </w:p>
    <w:p w:rsidR="0061215E" w:rsidRDefault="0061215E" w:rsidP="0084146E">
      <w:pPr>
        <w:rPr>
          <w:rFonts w:eastAsia="Times New Roman"/>
          <w:lang w:val="es-ES" w:eastAsia="en-US"/>
        </w:rPr>
      </w:pPr>
    </w:p>
    <w:p w:rsidR="00906AFB" w:rsidRDefault="00906AFB" w:rsidP="00906AFB">
      <w:pPr>
        <w:keepNext/>
        <w:keepLines/>
        <w:spacing w:after="0" w:line="240" w:lineRule="auto"/>
        <w:jc w:val="center"/>
        <w:outlineLvl w:val="1"/>
        <w:rPr>
          <w:rFonts w:ascii="Arial" w:eastAsia="Times New Roman" w:hAnsi="Arial" w:cs="Times New Roman"/>
          <w:b/>
          <w:sz w:val="20"/>
          <w:szCs w:val="26"/>
          <w:lang w:val="es-ES" w:eastAsia="en-US"/>
        </w:rPr>
      </w:pPr>
      <w:r w:rsidRPr="0061215E">
        <w:rPr>
          <w:rFonts w:ascii="Arial" w:eastAsia="Times New Roman" w:hAnsi="Arial" w:cs="Times New Roman"/>
          <w:b/>
          <w:sz w:val="20"/>
          <w:szCs w:val="26"/>
          <w:lang w:val="es-ES" w:eastAsia="en-US"/>
        </w:rPr>
        <w:t xml:space="preserve">Tabla </w:t>
      </w:r>
      <w:r w:rsidR="00CF4172" w:rsidRPr="0061215E">
        <w:rPr>
          <w:rFonts w:ascii="Arial" w:eastAsia="Times New Roman" w:hAnsi="Arial" w:cs="Times New Roman"/>
          <w:b/>
          <w:sz w:val="20"/>
          <w:szCs w:val="26"/>
          <w:lang w:val="es-ES" w:eastAsia="en-US"/>
        </w:rPr>
        <w:t>41</w:t>
      </w:r>
      <w:r w:rsidRPr="0061215E">
        <w:rPr>
          <w:rFonts w:ascii="Arial" w:eastAsia="Times New Roman" w:hAnsi="Arial" w:cs="Times New Roman"/>
          <w:b/>
          <w:sz w:val="20"/>
          <w:szCs w:val="26"/>
          <w:lang w:val="es-ES" w:eastAsia="en-US"/>
        </w:rPr>
        <w:t xml:space="preserve">. Erogaciones Previstas para Deuda Pública </w:t>
      </w:r>
      <w:r w:rsidRPr="0061215E">
        <w:rPr>
          <w:rFonts w:ascii="Arial" w:eastAsia="Times New Roman" w:hAnsi="Arial" w:cs="Times New Roman"/>
          <w:b/>
          <w:sz w:val="20"/>
          <w:szCs w:val="26"/>
          <w:lang w:val="es-ES" w:eastAsia="en-US"/>
        </w:rPr>
        <w:br/>
        <w:t>(calendarización trimestral)</w:t>
      </w:r>
    </w:p>
    <w:tbl>
      <w:tblPr>
        <w:tblStyle w:val="Tablaconcuadrcula"/>
        <w:tblW w:w="0" w:type="auto"/>
        <w:tblLayout w:type="fixed"/>
        <w:tblLook w:val="04A0" w:firstRow="1" w:lastRow="0" w:firstColumn="1" w:lastColumn="0" w:noHBand="0" w:noVBand="1"/>
      </w:tblPr>
      <w:tblGrid>
        <w:gridCol w:w="704"/>
        <w:gridCol w:w="2579"/>
        <w:gridCol w:w="1134"/>
        <w:gridCol w:w="1134"/>
        <w:gridCol w:w="1110"/>
        <w:gridCol w:w="1017"/>
        <w:gridCol w:w="1036"/>
      </w:tblGrid>
      <w:tr w:rsidR="00D25960" w:rsidRPr="0061215E" w:rsidTr="00D25960">
        <w:trPr>
          <w:trHeight w:val="600"/>
        </w:trPr>
        <w:tc>
          <w:tcPr>
            <w:tcW w:w="704" w:type="dxa"/>
            <w:vAlign w:val="center"/>
            <w:hideMark/>
          </w:tcPr>
          <w:p w:rsidR="0061215E" w:rsidRPr="00D25960" w:rsidRDefault="0061215E" w:rsidP="0061215E">
            <w:pPr>
              <w:jc w:val="center"/>
              <w:rPr>
                <w:rFonts w:ascii="Arial" w:eastAsia="Calibri" w:hAnsi="Arial" w:cs="Arial"/>
                <w:b/>
                <w:bCs/>
                <w:sz w:val="14"/>
                <w:szCs w:val="16"/>
                <w:lang w:eastAsia="en-US"/>
              </w:rPr>
            </w:pPr>
            <w:r w:rsidRPr="00D25960">
              <w:rPr>
                <w:rFonts w:ascii="Arial" w:eastAsia="Calibri" w:hAnsi="Arial" w:cs="Arial"/>
                <w:b/>
                <w:bCs/>
                <w:sz w:val="14"/>
                <w:szCs w:val="16"/>
                <w:lang w:eastAsia="en-US"/>
              </w:rPr>
              <w:t>Partida</w:t>
            </w:r>
          </w:p>
        </w:tc>
        <w:tc>
          <w:tcPr>
            <w:tcW w:w="2579" w:type="dxa"/>
            <w:vAlign w:val="center"/>
            <w:hideMark/>
          </w:tcPr>
          <w:p w:rsidR="0061215E" w:rsidRPr="0061215E" w:rsidRDefault="0061215E" w:rsidP="0061215E">
            <w:pPr>
              <w:jc w:val="center"/>
              <w:rPr>
                <w:rFonts w:ascii="Arial" w:eastAsia="Calibri" w:hAnsi="Arial" w:cs="Arial"/>
                <w:b/>
                <w:bCs/>
                <w:sz w:val="16"/>
                <w:szCs w:val="16"/>
                <w:lang w:eastAsia="en-US"/>
              </w:rPr>
            </w:pPr>
            <w:r w:rsidRPr="0061215E">
              <w:rPr>
                <w:rFonts w:ascii="Arial" w:eastAsia="Calibri" w:hAnsi="Arial" w:cs="Arial"/>
                <w:b/>
                <w:bCs/>
                <w:sz w:val="16"/>
                <w:szCs w:val="16"/>
                <w:lang w:eastAsia="en-US"/>
              </w:rPr>
              <w:t>Concepto</w:t>
            </w:r>
          </w:p>
        </w:tc>
        <w:tc>
          <w:tcPr>
            <w:tcW w:w="1134" w:type="dxa"/>
            <w:vAlign w:val="center"/>
            <w:hideMark/>
          </w:tcPr>
          <w:p w:rsidR="0061215E" w:rsidRPr="0061215E" w:rsidRDefault="0061215E" w:rsidP="0061215E">
            <w:pPr>
              <w:jc w:val="center"/>
              <w:rPr>
                <w:rFonts w:ascii="Arial" w:eastAsia="Calibri" w:hAnsi="Arial" w:cs="Arial"/>
                <w:b/>
                <w:bCs/>
                <w:sz w:val="16"/>
                <w:szCs w:val="16"/>
                <w:lang w:eastAsia="en-US"/>
              </w:rPr>
            </w:pPr>
            <w:r w:rsidRPr="0061215E">
              <w:rPr>
                <w:rFonts w:ascii="Arial" w:eastAsia="Calibri" w:hAnsi="Arial" w:cs="Arial"/>
                <w:b/>
                <w:bCs/>
                <w:sz w:val="14"/>
                <w:szCs w:val="16"/>
                <w:lang w:eastAsia="en-US"/>
              </w:rPr>
              <w:t>Asignación Presupuestal</w:t>
            </w:r>
          </w:p>
        </w:tc>
        <w:tc>
          <w:tcPr>
            <w:tcW w:w="1134" w:type="dxa"/>
            <w:vAlign w:val="center"/>
            <w:hideMark/>
          </w:tcPr>
          <w:p w:rsidR="0061215E" w:rsidRPr="0061215E" w:rsidRDefault="0061215E" w:rsidP="0061215E">
            <w:pPr>
              <w:jc w:val="center"/>
              <w:rPr>
                <w:rFonts w:ascii="Arial" w:eastAsia="Calibri" w:hAnsi="Arial" w:cs="Arial"/>
                <w:b/>
                <w:bCs/>
                <w:sz w:val="16"/>
                <w:szCs w:val="16"/>
                <w:lang w:eastAsia="en-US"/>
              </w:rPr>
            </w:pPr>
            <w:r w:rsidRPr="0061215E">
              <w:rPr>
                <w:rFonts w:ascii="Arial" w:eastAsia="Calibri" w:hAnsi="Arial" w:cs="Arial"/>
                <w:b/>
                <w:bCs/>
                <w:sz w:val="16"/>
                <w:szCs w:val="16"/>
                <w:lang w:eastAsia="en-US"/>
              </w:rPr>
              <w:t>Primer Trimestre</w:t>
            </w:r>
          </w:p>
        </w:tc>
        <w:tc>
          <w:tcPr>
            <w:tcW w:w="1110" w:type="dxa"/>
            <w:vAlign w:val="center"/>
            <w:hideMark/>
          </w:tcPr>
          <w:p w:rsidR="0061215E" w:rsidRPr="0061215E" w:rsidRDefault="0061215E" w:rsidP="0061215E">
            <w:pPr>
              <w:jc w:val="center"/>
              <w:rPr>
                <w:rFonts w:ascii="Arial" w:eastAsia="Calibri" w:hAnsi="Arial" w:cs="Arial"/>
                <w:b/>
                <w:bCs/>
                <w:sz w:val="16"/>
                <w:szCs w:val="16"/>
                <w:lang w:eastAsia="en-US"/>
              </w:rPr>
            </w:pPr>
            <w:r w:rsidRPr="0061215E">
              <w:rPr>
                <w:rFonts w:ascii="Arial" w:eastAsia="Calibri" w:hAnsi="Arial" w:cs="Arial"/>
                <w:b/>
                <w:bCs/>
                <w:sz w:val="16"/>
                <w:szCs w:val="16"/>
                <w:lang w:eastAsia="en-US"/>
              </w:rPr>
              <w:t>Segundo Trimestre</w:t>
            </w:r>
          </w:p>
        </w:tc>
        <w:tc>
          <w:tcPr>
            <w:tcW w:w="1017" w:type="dxa"/>
            <w:vAlign w:val="center"/>
            <w:hideMark/>
          </w:tcPr>
          <w:p w:rsidR="0061215E" w:rsidRPr="0061215E" w:rsidRDefault="0061215E" w:rsidP="0061215E">
            <w:pPr>
              <w:jc w:val="center"/>
              <w:rPr>
                <w:rFonts w:ascii="Arial" w:eastAsia="Calibri" w:hAnsi="Arial" w:cs="Arial"/>
                <w:b/>
                <w:bCs/>
                <w:sz w:val="16"/>
                <w:szCs w:val="16"/>
                <w:lang w:eastAsia="en-US"/>
              </w:rPr>
            </w:pPr>
            <w:r w:rsidRPr="0061215E">
              <w:rPr>
                <w:rFonts w:ascii="Arial" w:eastAsia="Calibri" w:hAnsi="Arial" w:cs="Arial"/>
                <w:b/>
                <w:bCs/>
                <w:sz w:val="16"/>
                <w:szCs w:val="16"/>
                <w:lang w:eastAsia="en-US"/>
              </w:rPr>
              <w:t>Tercer Trimestre</w:t>
            </w:r>
          </w:p>
        </w:tc>
        <w:tc>
          <w:tcPr>
            <w:tcW w:w="1036" w:type="dxa"/>
            <w:vAlign w:val="center"/>
            <w:hideMark/>
          </w:tcPr>
          <w:p w:rsidR="0061215E" w:rsidRPr="0061215E" w:rsidRDefault="0061215E" w:rsidP="0061215E">
            <w:pPr>
              <w:jc w:val="center"/>
              <w:rPr>
                <w:rFonts w:ascii="Arial" w:eastAsia="Calibri" w:hAnsi="Arial" w:cs="Arial"/>
                <w:b/>
                <w:bCs/>
                <w:sz w:val="16"/>
                <w:szCs w:val="16"/>
                <w:lang w:eastAsia="en-US"/>
              </w:rPr>
            </w:pPr>
            <w:r w:rsidRPr="0061215E">
              <w:rPr>
                <w:rFonts w:ascii="Arial" w:eastAsia="Calibri" w:hAnsi="Arial" w:cs="Arial"/>
                <w:b/>
                <w:bCs/>
                <w:sz w:val="16"/>
                <w:szCs w:val="16"/>
                <w:lang w:eastAsia="en-US"/>
              </w:rPr>
              <w:t>Cuarto Trimestre</w:t>
            </w:r>
          </w:p>
        </w:tc>
      </w:tr>
      <w:tr w:rsidR="0061215E" w:rsidRPr="0061215E" w:rsidTr="00D25960">
        <w:trPr>
          <w:trHeight w:val="360"/>
        </w:trPr>
        <w:tc>
          <w:tcPr>
            <w:tcW w:w="704" w:type="dxa"/>
            <w:noWrap/>
            <w:hideMark/>
          </w:tcPr>
          <w:p w:rsidR="0061215E" w:rsidRPr="0061215E" w:rsidRDefault="0061215E" w:rsidP="0061215E">
            <w:pPr>
              <w:jc w:val="center"/>
              <w:rPr>
                <w:rFonts w:ascii="Arial" w:eastAsia="Calibri" w:hAnsi="Arial" w:cs="Arial"/>
                <w:b/>
                <w:bCs/>
                <w:sz w:val="16"/>
                <w:szCs w:val="16"/>
                <w:lang w:eastAsia="en-US"/>
              </w:rPr>
            </w:pPr>
            <w:r w:rsidRPr="0061215E">
              <w:rPr>
                <w:rFonts w:ascii="Arial" w:eastAsia="Calibri" w:hAnsi="Arial" w:cs="Arial"/>
                <w:b/>
                <w:bCs/>
                <w:sz w:val="16"/>
                <w:szCs w:val="16"/>
                <w:lang w:eastAsia="en-US"/>
              </w:rPr>
              <w:t>91000</w:t>
            </w:r>
          </w:p>
        </w:tc>
        <w:tc>
          <w:tcPr>
            <w:tcW w:w="2579" w:type="dxa"/>
            <w:hideMark/>
          </w:tcPr>
          <w:p w:rsidR="0061215E" w:rsidRPr="0061215E" w:rsidRDefault="0061215E" w:rsidP="0061215E">
            <w:pPr>
              <w:rPr>
                <w:rFonts w:ascii="Arial" w:eastAsia="Calibri" w:hAnsi="Arial" w:cs="Arial"/>
                <w:b/>
                <w:bCs/>
                <w:sz w:val="16"/>
                <w:szCs w:val="16"/>
                <w:lang w:eastAsia="en-US"/>
              </w:rPr>
            </w:pPr>
            <w:r w:rsidRPr="0061215E">
              <w:rPr>
                <w:rFonts w:ascii="Arial" w:eastAsia="Calibri" w:hAnsi="Arial" w:cs="Arial"/>
                <w:b/>
                <w:bCs/>
                <w:sz w:val="16"/>
                <w:szCs w:val="16"/>
                <w:lang w:eastAsia="en-US"/>
              </w:rPr>
              <w:t>AMORTIZACIÓN DE LA DEUDA PÚBLICA</w:t>
            </w:r>
          </w:p>
        </w:tc>
        <w:tc>
          <w:tcPr>
            <w:tcW w:w="1134" w:type="dxa"/>
            <w:noWrap/>
            <w:vAlign w:val="center"/>
            <w:hideMark/>
          </w:tcPr>
          <w:p w:rsidR="0061215E" w:rsidRPr="0061215E" w:rsidRDefault="0061215E" w:rsidP="0061215E">
            <w:pPr>
              <w:jc w:val="right"/>
              <w:rPr>
                <w:rFonts w:ascii="Arial" w:eastAsia="Calibri" w:hAnsi="Arial" w:cs="Arial"/>
                <w:b/>
                <w:bCs/>
                <w:sz w:val="16"/>
                <w:szCs w:val="16"/>
                <w:lang w:eastAsia="en-US"/>
              </w:rPr>
            </w:pPr>
            <w:r w:rsidRPr="0061215E">
              <w:rPr>
                <w:rFonts w:ascii="Arial" w:eastAsia="Calibri" w:hAnsi="Arial" w:cs="Arial"/>
                <w:b/>
                <w:bCs/>
                <w:sz w:val="16"/>
                <w:szCs w:val="16"/>
                <w:lang w:eastAsia="en-US"/>
              </w:rPr>
              <w:t>91,315,189</w:t>
            </w:r>
          </w:p>
        </w:tc>
        <w:tc>
          <w:tcPr>
            <w:tcW w:w="1134" w:type="dxa"/>
            <w:noWrap/>
            <w:vAlign w:val="center"/>
            <w:hideMark/>
          </w:tcPr>
          <w:p w:rsidR="0061215E" w:rsidRPr="0061215E" w:rsidRDefault="0061215E" w:rsidP="0061215E">
            <w:pPr>
              <w:jc w:val="right"/>
              <w:rPr>
                <w:rFonts w:ascii="Arial" w:eastAsia="Calibri" w:hAnsi="Arial" w:cs="Arial"/>
                <w:b/>
                <w:bCs/>
                <w:sz w:val="16"/>
                <w:szCs w:val="16"/>
                <w:lang w:eastAsia="en-US"/>
              </w:rPr>
            </w:pPr>
            <w:r w:rsidRPr="0061215E">
              <w:rPr>
                <w:rFonts w:ascii="Arial" w:eastAsia="Calibri" w:hAnsi="Arial" w:cs="Arial"/>
                <w:b/>
                <w:bCs/>
                <w:sz w:val="16"/>
                <w:szCs w:val="16"/>
                <w:lang w:eastAsia="en-US"/>
              </w:rPr>
              <w:t>22,342,239</w:t>
            </w:r>
          </w:p>
        </w:tc>
        <w:tc>
          <w:tcPr>
            <w:tcW w:w="1110" w:type="dxa"/>
            <w:noWrap/>
            <w:vAlign w:val="center"/>
            <w:hideMark/>
          </w:tcPr>
          <w:p w:rsidR="0061215E" w:rsidRPr="0061215E" w:rsidRDefault="0061215E" w:rsidP="0061215E">
            <w:pPr>
              <w:jc w:val="right"/>
              <w:rPr>
                <w:rFonts w:ascii="Arial" w:eastAsia="Calibri" w:hAnsi="Arial" w:cs="Arial"/>
                <w:b/>
                <w:bCs/>
                <w:sz w:val="16"/>
                <w:szCs w:val="16"/>
                <w:lang w:eastAsia="en-US"/>
              </w:rPr>
            </w:pPr>
            <w:r w:rsidRPr="0061215E">
              <w:rPr>
                <w:rFonts w:ascii="Arial" w:eastAsia="Calibri" w:hAnsi="Arial" w:cs="Arial"/>
                <w:b/>
                <w:bCs/>
                <w:sz w:val="16"/>
                <w:szCs w:val="16"/>
                <w:lang w:eastAsia="en-US"/>
              </w:rPr>
              <w:t>22,661,199</w:t>
            </w:r>
          </w:p>
        </w:tc>
        <w:tc>
          <w:tcPr>
            <w:tcW w:w="1017" w:type="dxa"/>
            <w:noWrap/>
            <w:vAlign w:val="center"/>
            <w:hideMark/>
          </w:tcPr>
          <w:p w:rsidR="0061215E" w:rsidRPr="0061215E" w:rsidRDefault="0061215E" w:rsidP="0061215E">
            <w:pPr>
              <w:jc w:val="right"/>
              <w:rPr>
                <w:rFonts w:ascii="Arial" w:eastAsia="Calibri" w:hAnsi="Arial" w:cs="Arial"/>
                <w:b/>
                <w:bCs/>
                <w:sz w:val="16"/>
                <w:szCs w:val="16"/>
                <w:lang w:eastAsia="en-US"/>
              </w:rPr>
            </w:pPr>
            <w:r w:rsidRPr="0061215E">
              <w:rPr>
                <w:rFonts w:ascii="Arial" w:eastAsia="Calibri" w:hAnsi="Arial" w:cs="Arial"/>
                <w:b/>
                <w:bCs/>
                <w:sz w:val="16"/>
                <w:szCs w:val="16"/>
                <w:lang w:eastAsia="en-US"/>
              </w:rPr>
              <w:t>22,988,226</w:t>
            </w:r>
          </w:p>
        </w:tc>
        <w:tc>
          <w:tcPr>
            <w:tcW w:w="1036" w:type="dxa"/>
            <w:noWrap/>
            <w:vAlign w:val="center"/>
            <w:hideMark/>
          </w:tcPr>
          <w:p w:rsidR="0061215E" w:rsidRPr="0061215E" w:rsidRDefault="0061215E" w:rsidP="0061215E">
            <w:pPr>
              <w:jc w:val="right"/>
              <w:rPr>
                <w:rFonts w:ascii="Arial" w:eastAsia="Calibri" w:hAnsi="Arial" w:cs="Arial"/>
                <w:b/>
                <w:bCs/>
                <w:sz w:val="16"/>
                <w:szCs w:val="16"/>
                <w:lang w:eastAsia="en-US"/>
              </w:rPr>
            </w:pPr>
            <w:r w:rsidRPr="0061215E">
              <w:rPr>
                <w:rFonts w:ascii="Arial" w:eastAsia="Calibri" w:hAnsi="Arial" w:cs="Arial"/>
                <w:b/>
                <w:bCs/>
                <w:sz w:val="16"/>
                <w:szCs w:val="16"/>
                <w:lang w:eastAsia="en-US"/>
              </w:rPr>
              <w:t>23,323,526</w:t>
            </w:r>
          </w:p>
        </w:tc>
      </w:tr>
      <w:tr w:rsidR="0061215E" w:rsidRPr="0061215E" w:rsidTr="00D25960">
        <w:trPr>
          <w:trHeight w:val="615"/>
        </w:trPr>
        <w:tc>
          <w:tcPr>
            <w:tcW w:w="704" w:type="dxa"/>
            <w:noWrap/>
            <w:hideMark/>
          </w:tcPr>
          <w:p w:rsidR="0061215E" w:rsidRPr="0061215E" w:rsidRDefault="0061215E" w:rsidP="0061215E">
            <w:pPr>
              <w:jc w:val="center"/>
              <w:rPr>
                <w:rFonts w:ascii="Arial" w:eastAsia="Calibri" w:hAnsi="Arial" w:cs="Arial"/>
                <w:b/>
                <w:bCs/>
                <w:sz w:val="16"/>
                <w:szCs w:val="16"/>
                <w:lang w:eastAsia="en-US"/>
              </w:rPr>
            </w:pPr>
            <w:r w:rsidRPr="0061215E">
              <w:rPr>
                <w:rFonts w:ascii="Arial" w:eastAsia="Calibri" w:hAnsi="Arial" w:cs="Arial"/>
                <w:b/>
                <w:bCs/>
                <w:sz w:val="16"/>
                <w:szCs w:val="16"/>
                <w:lang w:eastAsia="en-US"/>
              </w:rPr>
              <w:t>91100</w:t>
            </w:r>
          </w:p>
        </w:tc>
        <w:tc>
          <w:tcPr>
            <w:tcW w:w="2579" w:type="dxa"/>
            <w:hideMark/>
          </w:tcPr>
          <w:p w:rsidR="0061215E" w:rsidRPr="0061215E" w:rsidRDefault="0061215E" w:rsidP="0061215E">
            <w:pPr>
              <w:rPr>
                <w:rFonts w:ascii="Arial" w:eastAsia="Calibri" w:hAnsi="Arial" w:cs="Arial"/>
                <w:b/>
                <w:bCs/>
                <w:sz w:val="16"/>
                <w:szCs w:val="16"/>
                <w:lang w:eastAsia="en-US"/>
              </w:rPr>
            </w:pPr>
            <w:r w:rsidRPr="0061215E">
              <w:rPr>
                <w:rFonts w:ascii="Arial" w:eastAsia="Calibri" w:hAnsi="Arial" w:cs="Arial"/>
                <w:b/>
                <w:bCs/>
                <w:sz w:val="16"/>
                <w:szCs w:val="16"/>
                <w:lang w:eastAsia="en-US"/>
              </w:rPr>
              <w:t>Amortización de la deuda interna con instituciones de crédito</w:t>
            </w:r>
          </w:p>
        </w:tc>
        <w:tc>
          <w:tcPr>
            <w:tcW w:w="1134" w:type="dxa"/>
            <w:noWrap/>
            <w:vAlign w:val="center"/>
            <w:hideMark/>
          </w:tcPr>
          <w:p w:rsidR="0061215E" w:rsidRPr="0061215E" w:rsidRDefault="0061215E" w:rsidP="0061215E">
            <w:pPr>
              <w:jc w:val="right"/>
              <w:rPr>
                <w:rFonts w:ascii="Arial" w:eastAsia="Calibri" w:hAnsi="Arial" w:cs="Arial"/>
                <w:b/>
                <w:bCs/>
                <w:sz w:val="16"/>
                <w:szCs w:val="16"/>
                <w:lang w:eastAsia="en-US"/>
              </w:rPr>
            </w:pPr>
            <w:r w:rsidRPr="0061215E">
              <w:rPr>
                <w:rFonts w:ascii="Arial" w:eastAsia="Calibri" w:hAnsi="Arial" w:cs="Arial"/>
                <w:b/>
                <w:bCs/>
                <w:sz w:val="16"/>
                <w:szCs w:val="16"/>
                <w:lang w:eastAsia="en-US"/>
              </w:rPr>
              <w:t>91,315,189</w:t>
            </w:r>
          </w:p>
        </w:tc>
        <w:tc>
          <w:tcPr>
            <w:tcW w:w="1134" w:type="dxa"/>
            <w:noWrap/>
            <w:vAlign w:val="center"/>
            <w:hideMark/>
          </w:tcPr>
          <w:p w:rsidR="0061215E" w:rsidRPr="0061215E" w:rsidRDefault="0061215E" w:rsidP="0061215E">
            <w:pPr>
              <w:jc w:val="right"/>
              <w:rPr>
                <w:rFonts w:ascii="Arial" w:eastAsia="Calibri" w:hAnsi="Arial" w:cs="Arial"/>
                <w:b/>
                <w:bCs/>
                <w:sz w:val="16"/>
                <w:szCs w:val="16"/>
                <w:lang w:eastAsia="en-US"/>
              </w:rPr>
            </w:pPr>
            <w:r w:rsidRPr="0061215E">
              <w:rPr>
                <w:rFonts w:ascii="Arial" w:eastAsia="Calibri" w:hAnsi="Arial" w:cs="Arial"/>
                <w:b/>
                <w:bCs/>
                <w:sz w:val="16"/>
                <w:szCs w:val="16"/>
                <w:lang w:eastAsia="en-US"/>
              </w:rPr>
              <w:t>22,342,239</w:t>
            </w:r>
          </w:p>
        </w:tc>
        <w:tc>
          <w:tcPr>
            <w:tcW w:w="1110" w:type="dxa"/>
            <w:noWrap/>
            <w:vAlign w:val="center"/>
            <w:hideMark/>
          </w:tcPr>
          <w:p w:rsidR="0061215E" w:rsidRPr="0061215E" w:rsidRDefault="0061215E" w:rsidP="0061215E">
            <w:pPr>
              <w:jc w:val="right"/>
              <w:rPr>
                <w:rFonts w:ascii="Arial" w:eastAsia="Calibri" w:hAnsi="Arial" w:cs="Arial"/>
                <w:b/>
                <w:bCs/>
                <w:sz w:val="16"/>
                <w:szCs w:val="16"/>
                <w:lang w:eastAsia="en-US"/>
              </w:rPr>
            </w:pPr>
            <w:r w:rsidRPr="0061215E">
              <w:rPr>
                <w:rFonts w:ascii="Arial" w:eastAsia="Calibri" w:hAnsi="Arial" w:cs="Arial"/>
                <w:b/>
                <w:bCs/>
                <w:sz w:val="16"/>
                <w:szCs w:val="16"/>
                <w:lang w:eastAsia="en-US"/>
              </w:rPr>
              <w:t>22,661,199</w:t>
            </w:r>
          </w:p>
        </w:tc>
        <w:tc>
          <w:tcPr>
            <w:tcW w:w="1017" w:type="dxa"/>
            <w:noWrap/>
            <w:vAlign w:val="center"/>
            <w:hideMark/>
          </w:tcPr>
          <w:p w:rsidR="0061215E" w:rsidRPr="0061215E" w:rsidRDefault="0061215E" w:rsidP="0061215E">
            <w:pPr>
              <w:jc w:val="right"/>
              <w:rPr>
                <w:rFonts w:ascii="Arial" w:eastAsia="Calibri" w:hAnsi="Arial" w:cs="Arial"/>
                <w:b/>
                <w:bCs/>
                <w:sz w:val="16"/>
                <w:szCs w:val="16"/>
                <w:lang w:eastAsia="en-US"/>
              </w:rPr>
            </w:pPr>
            <w:r w:rsidRPr="0061215E">
              <w:rPr>
                <w:rFonts w:ascii="Arial" w:eastAsia="Calibri" w:hAnsi="Arial" w:cs="Arial"/>
                <w:b/>
                <w:bCs/>
                <w:sz w:val="16"/>
                <w:szCs w:val="16"/>
                <w:lang w:eastAsia="en-US"/>
              </w:rPr>
              <w:t>22,988,226</w:t>
            </w:r>
          </w:p>
        </w:tc>
        <w:tc>
          <w:tcPr>
            <w:tcW w:w="1036" w:type="dxa"/>
            <w:noWrap/>
            <w:vAlign w:val="center"/>
            <w:hideMark/>
          </w:tcPr>
          <w:p w:rsidR="0061215E" w:rsidRPr="0061215E" w:rsidRDefault="0061215E" w:rsidP="0061215E">
            <w:pPr>
              <w:jc w:val="right"/>
              <w:rPr>
                <w:rFonts w:ascii="Arial" w:eastAsia="Calibri" w:hAnsi="Arial" w:cs="Arial"/>
                <w:b/>
                <w:bCs/>
                <w:sz w:val="16"/>
                <w:szCs w:val="16"/>
                <w:lang w:eastAsia="en-US"/>
              </w:rPr>
            </w:pPr>
            <w:r w:rsidRPr="0061215E">
              <w:rPr>
                <w:rFonts w:ascii="Arial" w:eastAsia="Calibri" w:hAnsi="Arial" w:cs="Arial"/>
                <w:b/>
                <w:bCs/>
                <w:sz w:val="16"/>
                <w:szCs w:val="16"/>
                <w:lang w:eastAsia="en-US"/>
              </w:rPr>
              <w:t>23,323,526</w:t>
            </w:r>
          </w:p>
        </w:tc>
      </w:tr>
      <w:tr w:rsidR="0061215E" w:rsidRPr="0061215E" w:rsidTr="00D25960">
        <w:trPr>
          <w:trHeight w:val="375"/>
        </w:trPr>
        <w:tc>
          <w:tcPr>
            <w:tcW w:w="704" w:type="dxa"/>
            <w:noWrap/>
            <w:hideMark/>
          </w:tcPr>
          <w:p w:rsidR="0061215E" w:rsidRPr="0061215E" w:rsidRDefault="0061215E" w:rsidP="0061215E">
            <w:pPr>
              <w:jc w:val="center"/>
              <w:rPr>
                <w:rFonts w:ascii="Arial" w:eastAsia="Calibri" w:hAnsi="Arial" w:cs="Arial"/>
                <w:sz w:val="16"/>
                <w:szCs w:val="16"/>
                <w:lang w:eastAsia="en-US"/>
              </w:rPr>
            </w:pPr>
            <w:r w:rsidRPr="0061215E">
              <w:rPr>
                <w:rFonts w:ascii="Arial" w:eastAsia="Calibri" w:hAnsi="Arial" w:cs="Arial"/>
                <w:sz w:val="16"/>
                <w:szCs w:val="16"/>
                <w:lang w:eastAsia="en-US"/>
              </w:rPr>
              <w:t>91101</w:t>
            </w:r>
          </w:p>
        </w:tc>
        <w:tc>
          <w:tcPr>
            <w:tcW w:w="2579" w:type="dxa"/>
            <w:hideMark/>
          </w:tcPr>
          <w:p w:rsidR="0061215E" w:rsidRPr="0061215E" w:rsidRDefault="0061215E" w:rsidP="0061215E">
            <w:pPr>
              <w:rPr>
                <w:rFonts w:ascii="Arial" w:eastAsia="Calibri" w:hAnsi="Arial" w:cs="Arial"/>
                <w:sz w:val="16"/>
                <w:szCs w:val="16"/>
                <w:lang w:eastAsia="en-US"/>
              </w:rPr>
            </w:pPr>
            <w:r w:rsidRPr="0061215E">
              <w:rPr>
                <w:rFonts w:ascii="Arial" w:eastAsia="Calibri" w:hAnsi="Arial" w:cs="Arial"/>
                <w:sz w:val="16"/>
                <w:szCs w:val="16"/>
                <w:lang w:eastAsia="en-US"/>
              </w:rPr>
              <w:t>Crédito Banobras 7225,7226</w:t>
            </w:r>
          </w:p>
        </w:tc>
        <w:tc>
          <w:tcPr>
            <w:tcW w:w="1134" w:type="dxa"/>
            <w:noWrap/>
            <w:vAlign w:val="center"/>
            <w:hideMark/>
          </w:tcPr>
          <w:p w:rsidR="0061215E" w:rsidRPr="0061215E" w:rsidRDefault="0061215E" w:rsidP="0061215E">
            <w:pPr>
              <w:jc w:val="right"/>
              <w:rPr>
                <w:rFonts w:ascii="Arial" w:eastAsia="Calibri" w:hAnsi="Arial" w:cs="Arial"/>
                <w:sz w:val="16"/>
                <w:szCs w:val="16"/>
                <w:lang w:eastAsia="en-US"/>
              </w:rPr>
            </w:pPr>
            <w:r w:rsidRPr="0061215E">
              <w:rPr>
                <w:rFonts w:ascii="Arial" w:eastAsia="Calibri" w:hAnsi="Arial" w:cs="Arial"/>
                <w:sz w:val="16"/>
                <w:szCs w:val="16"/>
                <w:lang w:eastAsia="en-US"/>
              </w:rPr>
              <w:t>13,040,236</w:t>
            </w:r>
          </w:p>
        </w:tc>
        <w:tc>
          <w:tcPr>
            <w:tcW w:w="1134" w:type="dxa"/>
            <w:noWrap/>
            <w:vAlign w:val="center"/>
            <w:hideMark/>
          </w:tcPr>
          <w:p w:rsidR="0061215E" w:rsidRPr="0061215E" w:rsidRDefault="0061215E" w:rsidP="0061215E">
            <w:pPr>
              <w:jc w:val="right"/>
              <w:rPr>
                <w:rFonts w:ascii="Arial" w:eastAsia="Calibri" w:hAnsi="Arial" w:cs="Arial"/>
                <w:sz w:val="16"/>
                <w:szCs w:val="16"/>
                <w:lang w:eastAsia="en-US"/>
              </w:rPr>
            </w:pPr>
            <w:r w:rsidRPr="0061215E">
              <w:rPr>
                <w:rFonts w:ascii="Arial" w:eastAsia="Calibri" w:hAnsi="Arial" w:cs="Arial"/>
                <w:sz w:val="16"/>
                <w:szCs w:val="16"/>
                <w:lang w:eastAsia="en-US"/>
              </w:rPr>
              <w:t>3,160,634</w:t>
            </w:r>
          </w:p>
        </w:tc>
        <w:tc>
          <w:tcPr>
            <w:tcW w:w="1110" w:type="dxa"/>
            <w:noWrap/>
            <w:vAlign w:val="center"/>
            <w:hideMark/>
          </w:tcPr>
          <w:p w:rsidR="0061215E" w:rsidRPr="0061215E" w:rsidRDefault="0061215E" w:rsidP="0061215E">
            <w:pPr>
              <w:jc w:val="right"/>
              <w:rPr>
                <w:rFonts w:ascii="Arial" w:eastAsia="Calibri" w:hAnsi="Arial" w:cs="Arial"/>
                <w:sz w:val="16"/>
                <w:szCs w:val="16"/>
                <w:lang w:eastAsia="en-US"/>
              </w:rPr>
            </w:pPr>
            <w:r w:rsidRPr="0061215E">
              <w:rPr>
                <w:rFonts w:ascii="Arial" w:eastAsia="Calibri" w:hAnsi="Arial" w:cs="Arial"/>
                <w:sz w:val="16"/>
                <w:szCs w:val="16"/>
                <w:lang w:eastAsia="en-US"/>
              </w:rPr>
              <w:t>3,226,011</w:t>
            </w:r>
          </w:p>
        </w:tc>
        <w:tc>
          <w:tcPr>
            <w:tcW w:w="1017" w:type="dxa"/>
            <w:noWrap/>
            <w:vAlign w:val="center"/>
            <w:hideMark/>
          </w:tcPr>
          <w:p w:rsidR="0061215E" w:rsidRPr="0061215E" w:rsidRDefault="0061215E" w:rsidP="0061215E">
            <w:pPr>
              <w:jc w:val="right"/>
              <w:rPr>
                <w:rFonts w:ascii="Arial" w:eastAsia="Calibri" w:hAnsi="Arial" w:cs="Arial"/>
                <w:sz w:val="16"/>
                <w:szCs w:val="16"/>
                <w:lang w:eastAsia="en-US"/>
              </w:rPr>
            </w:pPr>
            <w:r w:rsidRPr="0061215E">
              <w:rPr>
                <w:rFonts w:ascii="Arial" w:eastAsia="Calibri" w:hAnsi="Arial" w:cs="Arial"/>
                <w:sz w:val="16"/>
                <w:szCs w:val="16"/>
                <w:lang w:eastAsia="en-US"/>
              </w:rPr>
              <w:t>3,292,740</w:t>
            </w:r>
          </w:p>
        </w:tc>
        <w:tc>
          <w:tcPr>
            <w:tcW w:w="1036" w:type="dxa"/>
            <w:noWrap/>
            <w:vAlign w:val="center"/>
            <w:hideMark/>
          </w:tcPr>
          <w:p w:rsidR="0061215E" w:rsidRPr="0061215E" w:rsidRDefault="0061215E" w:rsidP="0061215E">
            <w:pPr>
              <w:jc w:val="right"/>
              <w:rPr>
                <w:rFonts w:ascii="Arial" w:eastAsia="Calibri" w:hAnsi="Arial" w:cs="Arial"/>
                <w:sz w:val="16"/>
                <w:szCs w:val="16"/>
                <w:lang w:eastAsia="en-US"/>
              </w:rPr>
            </w:pPr>
            <w:r w:rsidRPr="0061215E">
              <w:rPr>
                <w:rFonts w:ascii="Arial" w:eastAsia="Calibri" w:hAnsi="Arial" w:cs="Arial"/>
                <w:sz w:val="16"/>
                <w:szCs w:val="16"/>
                <w:lang w:eastAsia="en-US"/>
              </w:rPr>
              <w:t>3,360,850</w:t>
            </w:r>
          </w:p>
        </w:tc>
      </w:tr>
      <w:tr w:rsidR="0061215E" w:rsidRPr="0061215E" w:rsidTr="00D25960">
        <w:trPr>
          <w:trHeight w:val="330"/>
        </w:trPr>
        <w:tc>
          <w:tcPr>
            <w:tcW w:w="704" w:type="dxa"/>
            <w:noWrap/>
            <w:hideMark/>
          </w:tcPr>
          <w:p w:rsidR="0061215E" w:rsidRPr="0061215E" w:rsidRDefault="0061215E" w:rsidP="0061215E">
            <w:pPr>
              <w:jc w:val="center"/>
              <w:rPr>
                <w:rFonts w:ascii="Arial" w:eastAsia="Calibri" w:hAnsi="Arial" w:cs="Arial"/>
                <w:sz w:val="16"/>
                <w:szCs w:val="16"/>
                <w:lang w:eastAsia="en-US"/>
              </w:rPr>
            </w:pPr>
            <w:r w:rsidRPr="0061215E">
              <w:rPr>
                <w:rFonts w:ascii="Arial" w:eastAsia="Calibri" w:hAnsi="Arial" w:cs="Arial"/>
                <w:sz w:val="16"/>
                <w:szCs w:val="16"/>
                <w:lang w:eastAsia="en-US"/>
              </w:rPr>
              <w:t>91102</w:t>
            </w:r>
          </w:p>
        </w:tc>
        <w:tc>
          <w:tcPr>
            <w:tcW w:w="2579" w:type="dxa"/>
            <w:hideMark/>
          </w:tcPr>
          <w:p w:rsidR="0061215E" w:rsidRPr="0061215E" w:rsidRDefault="0061215E" w:rsidP="0061215E">
            <w:pPr>
              <w:rPr>
                <w:rFonts w:ascii="Arial" w:eastAsia="Calibri" w:hAnsi="Arial" w:cs="Arial"/>
                <w:sz w:val="16"/>
                <w:szCs w:val="16"/>
                <w:lang w:eastAsia="en-US"/>
              </w:rPr>
            </w:pPr>
            <w:r w:rsidRPr="0061215E">
              <w:rPr>
                <w:rFonts w:ascii="Arial" w:eastAsia="Calibri" w:hAnsi="Arial" w:cs="Arial"/>
                <w:sz w:val="16"/>
                <w:szCs w:val="16"/>
                <w:lang w:eastAsia="en-US"/>
              </w:rPr>
              <w:t>Crédito Banobras 7271,7272</w:t>
            </w:r>
          </w:p>
        </w:tc>
        <w:tc>
          <w:tcPr>
            <w:tcW w:w="1134" w:type="dxa"/>
            <w:noWrap/>
            <w:vAlign w:val="center"/>
            <w:hideMark/>
          </w:tcPr>
          <w:p w:rsidR="0061215E" w:rsidRPr="0061215E" w:rsidRDefault="0061215E" w:rsidP="0061215E">
            <w:pPr>
              <w:jc w:val="right"/>
              <w:rPr>
                <w:rFonts w:ascii="Arial" w:eastAsia="Calibri" w:hAnsi="Arial" w:cs="Arial"/>
                <w:sz w:val="16"/>
                <w:szCs w:val="16"/>
                <w:lang w:eastAsia="en-US"/>
              </w:rPr>
            </w:pPr>
            <w:r w:rsidRPr="0061215E">
              <w:rPr>
                <w:rFonts w:ascii="Arial" w:eastAsia="Calibri" w:hAnsi="Arial" w:cs="Arial"/>
                <w:sz w:val="16"/>
                <w:szCs w:val="16"/>
                <w:lang w:eastAsia="en-US"/>
              </w:rPr>
              <w:t>5,294,186</w:t>
            </w:r>
          </w:p>
        </w:tc>
        <w:tc>
          <w:tcPr>
            <w:tcW w:w="1134" w:type="dxa"/>
            <w:noWrap/>
            <w:vAlign w:val="center"/>
            <w:hideMark/>
          </w:tcPr>
          <w:p w:rsidR="0061215E" w:rsidRPr="0061215E" w:rsidRDefault="0061215E" w:rsidP="0061215E">
            <w:pPr>
              <w:jc w:val="right"/>
              <w:rPr>
                <w:rFonts w:ascii="Arial" w:eastAsia="Calibri" w:hAnsi="Arial" w:cs="Arial"/>
                <w:sz w:val="16"/>
                <w:szCs w:val="16"/>
                <w:lang w:eastAsia="en-US"/>
              </w:rPr>
            </w:pPr>
            <w:r w:rsidRPr="0061215E">
              <w:rPr>
                <w:rFonts w:ascii="Arial" w:eastAsia="Calibri" w:hAnsi="Arial" w:cs="Arial"/>
                <w:sz w:val="16"/>
                <w:szCs w:val="16"/>
                <w:lang w:eastAsia="en-US"/>
              </w:rPr>
              <w:t>1,275,457</w:t>
            </w:r>
          </w:p>
        </w:tc>
        <w:tc>
          <w:tcPr>
            <w:tcW w:w="1110" w:type="dxa"/>
            <w:noWrap/>
            <w:vAlign w:val="center"/>
            <w:hideMark/>
          </w:tcPr>
          <w:p w:rsidR="0061215E" w:rsidRPr="0061215E" w:rsidRDefault="0061215E" w:rsidP="0061215E">
            <w:pPr>
              <w:jc w:val="right"/>
              <w:rPr>
                <w:rFonts w:ascii="Arial" w:eastAsia="Calibri" w:hAnsi="Arial" w:cs="Arial"/>
                <w:sz w:val="16"/>
                <w:szCs w:val="16"/>
                <w:lang w:eastAsia="en-US"/>
              </w:rPr>
            </w:pPr>
            <w:r w:rsidRPr="0061215E">
              <w:rPr>
                <w:rFonts w:ascii="Arial" w:eastAsia="Calibri" w:hAnsi="Arial" w:cs="Arial"/>
                <w:sz w:val="16"/>
                <w:szCs w:val="16"/>
                <w:lang w:eastAsia="en-US"/>
              </w:rPr>
              <w:t>1,306,993</w:t>
            </w:r>
          </w:p>
        </w:tc>
        <w:tc>
          <w:tcPr>
            <w:tcW w:w="1017" w:type="dxa"/>
            <w:noWrap/>
            <w:vAlign w:val="center"/>
            <w:hideMark/>
          </w:tcPr>
          <w:p w:rsidR="0061215E" w:rsidRPr="0061215E" w:rsidRDefault="0061215E" w:rsidP="0061215E">
            <w:pPr>
              <w:jc w:val="right"/>
              <w:rPr>
                <w:rFonts w:ascii="Arial" w:eastAsia="Calibri" w:hAnsi="Arial" w:cs="Arial"/>
                <w:sz w:val="16"/>
                <w:szCs w:val="16"/>
                <w:lang w:eastAsia="en-US"/>
              </w:rPr>
            </w:pPr>
            <w:r w:rsidRPr="0061215E">
              <w:rPr>
                <w:rFonts w:ascii="Arial" w:eastAsia="Calibri" w:hAnsi="Arial" w:cs="Arial"/>
                <w:sz w:val="16"/>
                <w:szCs w:val="16"/>
                <w:lang w:eastAsia="en-US"/>
              </w:rPr>
              <w:t>1,339,310</w:t>
            </w:r>
          </w:p>
        </w:tc>
        <w:tc>
          <w:tcPr>
            <w:tcW w:w="1036" w:type="dxa"/>
            <w:noWrap/>
            <w:vAlign w:val="center"/>
            <w:hideMark/>
          </w:tcPr>
          <w:p w:rsidR="0061215E" w:rsidRPr="0061215E" w:rsidRDefault="0061215E" w:rsidP="0061215E">
            <w:pPr>
              <w:jc w:val="right"/>
              <w:rPr>
                <w:rFonts w:ascii="Arial" w:eastAsia="Calibri" w:hAnsi="Arial" w:cs="Arial"/>
                <w:sz w:val="16"/>
                <w:szCs w:val="16"/>
                <w:lang w:eastAsia="en-US"/>
              </w:rPr>
            </w:pPr>
            <w:r w:rsidRPr="0061215E">
              <w:rPr>
                <w:rFonts w:ascii="Arial" w:eastAsia="Calibri" w:hAnsi="Arial" w:cs="Arial"/>
                <w:sz w:val="16"/>
                <w:szCs w:val="16"/>
                <w:lang w:eastAsia="en-US"/>
              </w:rPr>
              <w:t>1,372,426</w:t>
            </w:r>
          </w:p>
        </w:tc>
      </w:tr>
      <w:tr w:rsidR="0061215E" w:rsidRPr="0061215E" w:rsidTr="00D25960">
        <w:trPr>
          <w:trHeight w:val="300"/>
        </w:trPr>
        <w:tc>
          <w:tcPr>
            <w:tcW w:w="704" w:type="dxa"/>
            <w:noWrap/>
            <w:hideMark/>
          </w:tcPr>
          <w:p w:rsidR="0061215E" w:rsidRPr="0061215E" w:rsidRDefault="0061215E" w:rsidP="0061215E">
            <w:pPr>
              <w:jc w:val="center"/>
              <w:rPr>
                <w:rFonts w:ascii="Arial" w:eastAsia="Calibri" w:hAnsi="Arial" w:cs="Arial"/>
                <w:sz w:val="16"/>
                <w:szCs w:val="16"/>
                <w:lang w:eastAsia="en-US"/>
              </w:rPr>
            </w:pPr>
            <w:r w:rsidRPr="0061215E">
              <w:rPr>
                <w:rFonts w:ascii="Arial" w:eastAsia="Calibri" w:hAnsi="Arial" w:cs="Arial"/>
                <w:sz w:val="16"/>
                <w:szCs w:val="16"/>
                <w:lang w:eastAsia="en-US"/>
              </w:rPr>
              <w:lastRenderedPageBreak/>
              <w:t>91103</w:t>
            </w:r>
          </w:p>
        </w:tc>
        <w:tc>
          <w:tcPr>
            <w:tcW w:w="2579" w:type="dxa"/>
            <w:hideMark/>
          </w:tcPr>
          <w:p w:rsidR="0061215E" w:rsidRPr="0061215E" w:rsidRDefault="0061215E" w:rsidP="0061215E">
            <w:pPr>
              <w:rPr>
                <w:rFonts w:ascii="Arial" w:eastAsia="Calibri" w:hAnsi="Arial" w:cs="Arial"/>
                <w:sz w:val="16"/>
                <w:szCs w:val="16"/>
                <w:lang w:eastAsia="en-US"/>
              </w:rPr>
            </w:pPr>
            <w:r w:rsidRPr="0061215E">
              <w:rPr>
                <w:rFonts w:ascii="Arial" w:eastAsia="Calibri" w:hAnsi="Arial" w:cs="Arial"/>
                <w:sz w:val="16"/>
                <w:szCs w:val="16"/>
                <w:lang w:eastAsia="en-US"/>
              </w:rPr>
              <w:t>Crédito Banorte 34228560</w:t>
            </w:r>
          </w:p>
        </w:tc>
        <w:tc>
          <w:tcPr>
            <w:tcW w:w="1134" w:type="dxa"/>
            <w:noWrap/>
            <w:vAlign w:val="center"/>
            <w:hideMark/>
          </w:tcPr>
          <w:p w:rsidR="0061215E" w:rsidRPr="0061215E" w:rsidRDefault="0061215E" w:rsidP="0061215E">
            <w:pPr>
              <w:jc w:val="right"/>
              <w:rPr>
                <w:rFonts w:ascii="Arial" w:eastAsia="Calibri" w:hAnsi="Arial" w:cs="Arial"/>
                <w:sz w:val="16"/>
                <w:szCs w:val="16"/>
                <w:lang w:eastAsia="en-US"/>
              </w:rPr>
            </w:pPr>
            <w:r w:rsidRPr="0061215E">
              <w:rPr>
                <w:rFonts w:ascii="Arial" w:eastAsia="Calibri" w:hAnsi="Arial" w:cs="Arial"/>
                <w:sz w:val="16"/>
                <w:szCs w:val="16"/>
                <w:lang w:eastAsia="en-US"/>
              </w:rPr>
              <w:t>10,620,000</w:t>
            </w:r>
          </w:p>
        </w:tc>
        <w:tc>
          <w:tcPr>
            <w:tcW w:w="1134" w:type="dxa"/>
            <w:noWrap/>
            <w:vAlign w:val="center"/>
            <w:hideMark/>
          </w:tcPr>
          <w:p w:rsidR="0061215E" w:rsidRPr="0061215E" w:rsidRDefault="0061215E" w:rsidP="0061215E">
            <w:pPr>
              <w:jc w:val="right"/>
              <w:rPr>
                <w:rFonts w:ascii="Arial" w:eastAsia="Calibri" w:hAnsi="Arial" w:cs="Arial"/>
                <w:sz w:val="16"/>
                <w:szCs w:val="16"/>
                <w:lang w:eastAsia="en-US"/>
              </w:rPr>
            </w:pPr>
            <w:r w:rsidRPr="0061215E">
              <w:rPr>
                <w:rFonts w:ascii="Arial" w:eastAsia="Calibri" w:hAnsi="Arial" w:cs="Arial"/>
                <w:sz w:val="16"/>
                <w:szCs w:val="16"/>
                <w:lang w:eastAsia="en-US"/>
              </w:rPr>
              <w:t>2,655,000</w:t>
            </w:r>
          </w:p>
        </w:tc>
        <w:tc>
          <w:tcPr>
            <w:tcW w:w="1110" w:type="dxa"/>
            <w:noWrap/>
            <w:vAlign w:val="center"/>
            <w:hideMark/>
          </w:tcPr>
          <w:p w:rsidR="0061215E" w:rsidRPr="0061215E" w:rsidRDefault="0061215E" w:rsidP="0061215E">
            <w:pPr>
              <w:jc w:val="right"/>
              <w:rPr>
                <w:rFonts w:ascii="Arial" w:eastAsia="Calibri" w:hAnsi="Arial" w:cs="Arial"/>
                <w:sz w:val="16"/>
                <w:szCs w:val="16"/>
                <w:lang w:eastAsia="en-US"/>
              </w:rPr>
            </w:pPr>
            <w:r w:rsidRPr="0061215E">
              <w:rPr>
                <w:rFonts w:ascii="Arial" w:eastAsia="Calibri" w:hAnsi="Arial" w:cs="Arial"/>
                <w:sz w:val="16"/>
                <w:szCs w:val="16"/>
                <w:lang w:eastAsia="en-US"/>
              </w:rPr>
              <w:t>2,655,000</w:t>
            </w:r>
          </w:p>
        </w:tc>
        <w:tc>
          <w:tcPr>
            <w:tcW w:w="1017" w:type="dxa"/>
            <w:noWrap/>
            <w:vAlign w:val="center"/>
            <w:hideMark/>
          </w:tcPr>
          <w:p w:rsidR="0061215E" w:rsidRPr="0061215E" w:rsidRDefault="0061215E" w:rsidP="0061215E">
            <w:pPr>
              <w:jc w:val="right"/>
              <w:rPr>
                <w:rFonts w:ascii="Arial" w:eastAsia="Calibri" w:hAnsi="Arial" w:cs="Arial"/>
                <w:sz w:val="16"/>
                <w:szCs w:val="16"/>
                <w:lang w:eastAsia="en-US"/>
              </w:rPr>
            </w:pPr>
            <w:r w:rsidRPr="0061215E">
              <w:rPr>
                <w:rFonts w:ascii="Arial" w:eastAsia="Calibri" w:hAnsi="Arial" w:cs="Arial"/>
                <w:sz w:val="16"/>
                <w:szCs w:val="16"/>
                <w:lang w:eastAsia="en-US"/>
              </w:rPr>
              <w:t>2,655,000</w:t>
            </w:r>
          </w:p>
        </w:tc>
        <w:tc>
          <w:tcPr>
            <w:tcW w:w="1036" w:type="dxa"/>
            <w:noWrap/>
            <w:vAlign w:val="center"/>
            <w:hideMark/>
          </w:tcPr>
          <w:p w:rsidR="0061215E" w:rsidRPr="0061215E" w:rsidRDefault="0061215E" w:rsidP="0061215E">
            <w:pPr>
              <w:jc w:val="right"/>
              <w:rPr>
                <w:rFonts w:ascii="Arial" w:eastAsia="Calibri" w:hAnsi="Arial" w:cs="Arial"/>
                <w:sz w:val="16"/>
                <w:szCs w:val="16"/>
                <w:lang w:eastAsia="en-US"/>
              </w:rPr>
            </w:pPr>
            <w:r w:rsidRPr="0061215E">
              <w:rPr>
                <w:rFonts w:ascii="Arial" w:eastAsia="Calibri" w:hAnsi="Arial" w:cs="Arial"/>
                <w:sz w:val="16"/>
                <w:szCs w:val="16"/>
                <w:lang w:eastAsia="en-US"/>
              </w:rPr>
              <w:t>2,655,000</w:t>
            </w:r>
          </w:p>
        </w:tc>
      </w:tr>
      <w:tr w:rsidR="0061215E" w:rsidRPr="0061215E" w:rsidTr="00D25960">
        <w:trPr>
          <w:trHeight w:val="300"/>
        </w:trPr>
        <w:tc>
          <w:tcPr>
            <w:tcW w:w="704" w:type="dxa"/>
            <w:noWrap/>
            <w:hideMark/>
          </w:tcPr>
          <w:p w:rsidR="0061215E" w:rsidRPr="0061215E" w:rsidRDefault="0061215E" w:rsidP="0061215E">
            <w:pPr>
              <w:jc w:val="center"/>
              <w:rPr>
                <w:rFonts w:ascii="Arial" w:eastAsia="Calibri" w:hAnsi="Arial" w:cs="Arial"/>
                <w:sz w:val="16"/>
                <w:szCs w:val="16"/>
                <w:lang w:eastAsia="en-US"/>
              </w:rPr>
            </w:pPr>
            <w:r w:rsidRPr="0061215E">
              <w:rPr>
                <w:rFonts w:ascii="Arial" w:eastAsia="Calibri" w:hAnsi="Arial" w:cs="Arial"/>
                <w:sz w:val="16"/>
                <w:szCs w:val="16"/>
                <w:lang w:eastAsia="en-US"/>
              </w:rPr>
              <w:t>91106</w:t>
            </w:r>
          </w:p>
        </w:tc>
        <w:tc>
          <w:tcPr>
            <w:tcW w:w="2579" w:type="dxa"/>
            <w:hideMark/>
          </w:tcPr>
          <w:p w:rsidR="0061215E" w:rsidRPr="0061215E" w:rsidRDefault="0061215E" w:rsidP="0061215E">
            <w:pPr>
              <w:rPr>
                <w:rFonts w:ascii="Arial" w:eastAsia="Calibri" w:hAnsi="Arial" w:cs="Arial"/>
                <w:sz w:val="16"/>
                <w:szCs w:val="16"/>
                <w:lang w:eastAsia="en-US"/>
              </w:rPr>
            </w:pPr>
            <w:r w:rsidRPr="0061215E">
              <w:rPr>
                <w:rFonts w:ascii="Arial" w:eastAsia="Calibri" w:hAnsi="Arial" w:cs="Arial"/>
                <w:sz w:val="16"/>
                <w:szCs w:val="16"/>
                <w:lang w:eastAsia="en-US"/>
              </w:rPr>
              <w:t>Crédito Banorte 45523370</w:t>
            </w:r>
          </w:p>
        </w:tc>
        <w:tc>
          <w:tcPr>
            <w:tcW w:w="1134" w:type="dxa"/>
            <w:noWrap/>
            <w:vAlign w:val="center"/>
            <w:hideMark/>
          </w:tcPr>
          <w:p w:rsidR="0061215E" w:rsidRPr="0061215E" w:rsidRDefault="0061215E" w:rsidP="0061215E">
            <w:pPr>
              <w:jc w:val="right"/>
              <w:rPr>
                <w:rFonts w:ascii="Arial" w:eastAsia="Calibri" w:hAnsi="Arial" w:cs="Arial"/>
                <w:sz w:val="16"/>
                <w:szCs w:val="16"/>
                <w:lang w:eastAsia="en-US"/>
              </w:rPr>
            </w:pPr>
            <w:r w:rsidRPr="0061215E">
              <w:rPr>
                <w:rFonts w:ascii="Arial" w:eastAsia="Calibri" w:hAnsi="Arial" w:cs="Arial"/>
                <w:sz w:val="16"/>
                <w:szCs w:val="16"/>
                <w:lang w:eastAsia="en-US"/>
              </w:rPr>
              <w:t>25,614,936</w:t>
            </w:r>
          </w:p>
        </w:tc>
        <w:tc>
          <w:tcPr>
            <w:tcW w:w="1134" w:type="dxa"/>
            <w:noWrap/>
            <w:vAlign w:val="center"/>
            <w:hideMark/>
          </w:tcPr>
          <w:p w:rsidR="0061215E" w:rsidRPr="0061215E" w:rsidRDefault="0061215E" w:rsidP="0061215E">
            <w:pPr>
              <w:jc w:val="right"/>
              <w:rPr>
                <w:rFonts w:ascii="Arial" w:eastAsia="Calibri" w:hAnsi="Arial" w:cs="Arial"/>
                <w:sz w:val="16"/>
                <w:szCs w:val="16"/>
                <w:lang w:eastAsia="en-US"/>
              </w:rPr>
            </w:pPr>
            <w:r w:rsidRPr="0061215E">
              <w:rPr>
                <w:rFonts w:ascii="Arial" w:eastAsia="Calibri" w:hAnsi="Arial" w:cs="Arial"/>
                <w:sz w:val="16"/>
                <w:szCs w:val="16"/>
                <w:lang w:eastAsia="en-US"/>
              </w:rPr>
              <w:t>6,166,813</w:t>
            </w:r>
          </w:p>
        </w:tc>
        <w:tc>
          <w:tcPr>
            <w:tcW w:w="1110" w:type="dxa"/>
            <w:noWrap/>
            <w:vAlign w:val="center"/>
            <w:hideMark/>
          </w:tcPr>
          <w:p w:rsidR="0061215E" w:rsidRPr="0061215E" w:rsidRDefault="0061215E" w:rsidP="0061215E">
            <w:pPr>
              <w:jc w:val="right"/>
              <w:rPr>
                <w:rFonts w:ascii="Arial" w:eastAsia="Calibri" w:hAnsi="Arial" w:cs="Arial"/>
                <w:sz w:val="16"/>
                <w:szCs w:val="16"/>
                <w:lang w:eastAsia="en-US"/>
              </w:rPr>
            </w:pPr>
            <w:r w:rsidRPr="0061215E">
              <w:rPr>
                <w:rFonts w:ascii="Arial" w:eastAsia="Calibri" w:hAnsi="Arial" w:cs="Arial"/>
                <w:sz w:val="16"/>
                <w:szCs w:val="16"/>
                <w:lang w:eastAsia="en-US"/>
              </w:rPr>
              <w:t>6,322,136</w:t>
            </w:r>
          </w:p>
        </w:tc>
        <w:tc>
          <w:tcPr>
            <w:tcW w:w="1017" w:type="dxa"/>
            <w:noWrap/>
            <w:vAlign w:val="center"/>
            <w:hideMark/>
          </w:tcPr>
          <w:p w:rsidR="0061215E" w:rsidRPr="0061215E" w:rsidRDefault="0061215E" w:rsidP="0061215E">
            <w:pPr>
              <w:jc w:val="right"/>
              <w:rPr>
                <w:rFonts w:ascii="Arial" w:eastAsia="Calibri" w:hAnsi="Arial" w:cs="Arial"/>
                <w:sz w:val="16"/>
                <w:szCs w:val="16"/>
                <w:lang w:eastAsia="en-US"/>
              </w:rPr>
            </w:pPr>
            <w:r w:rsidRPr="0061215E">
              <w:rPr>
                <w:rFonts w:ascii="Arial" w:eastAsia="Calibri" w:hAnsi="Arial" w:cs="Arial"/>
                <w:sz w:val="16"/>
                <w:szCs w:val="16"/>
                <w:lang w:eastAsia="en-US"/>
              </w:rPr>
              <w:t>6,481,371</w:t>
            </w:r>
          </w:p>
        </w:tc>
        <w:tc>
          <w:tcPr>
            <w:tcW w:w="1036" w:type="dxa"/>
            <w:noWrap/>
            <w:vAlign w:val="center"/>
            <w:hideMark/>
          </w:tcPr>
          <w:p w:rsidR="0061215E" w:rsidRPr="0061215E" w:rsidRDefault="0061215E" w:rsidP="0061215E">
            <w:pPr>
              <w:jc w:val="right"/>
              <w:rPr>
                <w:rFonts w:ascii="Arial" w:eastAsia="Calibri" w:hAnsi="Arial" w:cs="Arial"/>
                <w:sz w:val="16"/>
                <w:szCs w:val="16"/>
                <w:lang w:eastAsia="en-US"/>
              </w:rPr>
            </w:pPr>
            <w:r w:rsidRPr="0061215E">
              <w:rPr>
                <w:rFonts w:ascii="Arial" w:eastAsia="Calibri" w:hAnsi="Arial" w:cs="Arial"/>
                <w:sz w:val="16"/>
                <w:szCs w:val="16"/>
                <w:lang w:eastAsia="en-US"/>
              </w:rPr>
              <w:t>6,644,616</w:t>
            </w:r>
          </w:p>
        </w:tc>
      </w:tr>
      <w:tr w:rsidR="0061215E" w:rsidRPr="0061215E" w:rsidTr="00D25960">
        <w:trPr>
          <w:trHeight w:val="300"/>
        </w:trPr>
        <w:tc>
          <w:tcPr>
            <w:tcW w:w="704" w:type="dxa"/>
            <w:noWrap/>
            <w:hideMark/>
          </w:tcPr>
          <w:p w:rsidR="0061215E" w:rsidRPr="0061215E" w:rsidRDefault="0061215E" w:rsidP="0061215E">
            <w:pPr>
              <w:jc w:val="center"/>
              <w:rPr>
                <w:rFonts w:ascii="Arial" w:eastAsia="Calibri" w:hAnsi="Arial" w:cs="Arial"/>
                <w:sz w:val="16"/>
                <w:szCs w:val="16"/>
                <w:lang w:eastAsia="en-US"/>
              </w:rPr>
            </w:pPr>
            <w:r w:rsidRPr="0061215E">
              <w:rPr>
                <w:rFonts w:ascii="Arial" w:eastAsia="Calibri" w:hAnsi="Arial" w:cs="Arial"/>
                <w:sz w:val="16"/>
                <w:szCs w:val="16"/>
                <w:lang w:eastAsia="en-US"/>
              </w:rPr>
              <w:t>91107</w:t>
            </w:r>
          </w:p>
        </w:tc>
        <w:tc>
          <w:tcPr>
            <w:tcW w:w="2579" w:type="dxa"/>
            <w:hideMark/>
          </w:tcPr>
          <w:p w:rsidR="0061215E" w:rsidRPr="0061215E" w:rsidRDefault="0061215E" w:rsidP="0061215E">
            <w:pPr>
              <w:rPr>
                <w:rFonts w:ascii="Arial" w:eastAsia="Calibri" w:hAnsi="Arial" w:cs="Arial"/>
                <w:sz w:val="16"/>
                <w:szCs w:val="16"/>
                <w:lang w:eastAsia="en-US"/>
              </w:rPr>
            </w:pPr>
            <w:r w:rsidRPr="0061215E">
              <w:rPr>
                <w:rFonts w:ascii="Arial" w:eastAsia="Calibri" w:hAnsi="Arial" w:cs="Arial"/>
                <w:sz w:val="16"/>
                <w:szCs w:val="16"/>
                <w:lang w:eastAsia="en-US"/>
              </w:rPr>
              <w:t>Crédito Banobras 11149</w:t>
            </w:r>
          </w:p>
        </w:tc>
        <w:tc>
          <w:tcPr>
            <w:tcW w:w="1134" w:type="dxa"/>
            <w:noWrap/>
            <w:vAlign w:val="center"/>
            <w:hideMark/>
          </w:tcPr>
          <w:p w:rsidR="0061215E" w:rsidRPr="0061215E" w:rsidRDefault="0061215E" w:rsidP="0061215E">
            <w:pPr>
              <w:jc w:val="right"/>
              <w:rPr>
                <w:rFonts w:ascii="Arial" w:eastAsia="Calibri" w:hAnsi="Arial" w:cs="Arial"/>
                <w:sz w:val="16"/>
                <w:szCs w:val="16"/>
                <w:lang w:eastAsia="en-US"/>
              </w:rPr>
            </w:pPr>
            <w:r w:rsidRPr="0061215E">
              <w:rPr>
                <w:rFonts w:ascii="Arial" w:eastAsia="Calibri" w:hAnsi="Arial" w:cs="Arial"/>
                <w:sz w:val="16"/>
                <w:szCs w:val="16"/>
                <w:lang w:eastAsia="en-US"/>
              </w:rPr>
              <w:t>27,529,167</w:t>
            </w:r>
          </w:p>
        </w:tc>
        <w:tc>
          <w:tcPr>
            <w:tcW w:w="1134" w:type="dxa"/>
            <w:noWrap/>
            <w:vAlign w:val="center"/>
            <w:hideMark/>
          </w:tcPr>
          <w:p w:rsidR="0061215E" w:rsidRPr="0061215E" w:rsidRDefault="0061215E" w:rsidP="0061215E">
            <w:pPr>
              <w:jc w:val="right"/>
              <w:rPr>
                <w:rFonts w:ascii="Arial" w:eastAsia="Calibri" w:hAnsi="Arial" w:cs="Arial"/>
                <w:sz w:val="16"/>
                <w:szCs w:val="16"/>
                <w:lang w:eastAsia="en-US"/>
              </w:rPr>
            </w:pPr>
            <w:r w:rsidRPr="0061215E">
              <w:rPr>
                <w:rFonts w:ascii="Arial" w:eastAsia="Calibri" w:hAnsi="Arial" w:cs="Arial"/>
                <w:sz w:val="16"/>
                <w:szCs w:val="16"/>
                <w:lang w:eastAsia="en-US"/>
              </w:rPr>
              <w:t>6,882,292</w:t>
            </w:r>
          </w:p>
        </w:tc>
        <w:tc>
          <w:tcPr>
            <w:tcW w:w="1110" w:type="dxa"/>
            <w:noWrap/>
            <w:vAlign w:val="center"/>
            <w:hideMark/>
          </w:tcPr>
          <w:p w:rsidR="0061215E" w:rsidRPr="0061215E" w:rsidRDefault="0061215E" w:rsidP="0061215E">
            <w:pPr>
              <w:jc w:val="right"/>
              <w:rPr>
                <w:rFonts w:ascii="Arial" w:eastAsia="Calibri" w:hAnsi="Arial" w:cs="Arial"/>
                <w:sz w:val="16"/>
                <w:szCs w:val="16"/>
                <w:lang w:eastAsia="en-US"/>
              </w:rPr>
            </w:pPr>
            <w:r w:rsidRPr="0061215E">
              <w:rPr>
                <w:rFonts w:ascii="Arial" w:eastAsia="Calibri" w:hAnsi="Arial" w:cs="Arial"/>
                <w:sz w:val="16"/>
                <w:szCs w:val="16"/>
                <w:lang w:eastAsia="en-US"/>
              </w:rPr>
              <w:t>6,882,292</w:t>
            </w:r>
          </w:p>
        </w:tc>
        <w:tc>
          <w:tcPr>
            <w:tcW w:w="1017" w:type="dxa"/>
            <w:noWrap/>
            <w:vAlign w:val="center"/>
            <w:hideMark/>
          </w:tcPr>
          <w:p w:rsidR="0061215E" w:rsidRPr="0061215E" w:rsidRDefault="0061215E" w:rsidP="0061215E">
            <w:pPr>
              <w:jc w:val="right"/>
              <w:rPr>
                <w:rFonts w:ascii="Arial" w:eastAsia="Calibri" w:hAnsi="Arial" w:cs="Arial"/>
                <w:sz w:val="16"/>
                <w:szCs w:val="16"/>
                <w:lang w:eastAsia="en-US"/>
              </w:rPr>
            </w:pPr>
            <w:r w:rsidRPr="0061215E">
              <w:rPr>
                <w:rFonts w:ascii="Arial" w:eastAsia="Calibri" w:hAnsi="Arial" w:cs="Arial"/>
                <w:sz w:val="16"/>
                <w:szCs w:val="16"/>
                <w:lang w:eastAsia="en-US"/>
              </w:rPr>
              <w:t>6,882,292</w:t>
            </w:r>
          </w:p>
        </w:tc>
        <w:tc>
          <w:tcPr>
            <w:tcW w:w="1036" w:type="dxa"/>
            <w:noWrap/>
            <w:vAlign w:val="center"/>
            <w:hideMark/>
          </w:tcPr>
          <w:p w:rsidR="0061215E" w:rsidRPr="0061215E" w:rsidRDefault="0061215E" w:rsidP="0061215E">
            <w:pPr>
              <w:jc w:val="right"/>
              <w:rPr>
                <w:rFonts w:ascii="Arial" w:eastAsia="Calibri" w:hAnsi="Arial" w:cs="Arial"/>
                <w:sz w:val="16"/>
                <w:szCs w:val="16"/>
                <w:lang w:eastAsia="en-US"/>
              </w:rPr>
            </w:pPr>
            <w:r w:rsidRPr="0061215E">
              <w:rPr>
                <w:rFonts w:ascii="Arial" w:eastAsia="Calibri" w:hAnsi="Arial" w:cs="Arial"/>
                <w:sz w:val="16"/>
                <w:szCs w:val="16"/>
                <w:lang w:eastAsia="en-US"/>
              </w:rPr>
              <w:t>6,882,292</w:t>
            </w:r>
          </w:p>
        </w:tc>
      </w:tr>
      <w:tr w:rsidR="0061215E" w:rsidRPr="0061215E" w:rsidTr="00D25960">
        <w:trPr>
          <w:trHeight w:val="300"/>
        </w:trPr>
        <w:tc>
          <w:tcPr>
            <w:tcW w:w="704" w:type="dxa"/>
            <w:noWrap/>
            <w:hideMark/>
          </w:tcPr>
          <w:p w:rsidR="0061215E" w:rsidRPr="0061215E" w:rsidRDefault="0061215E" w:rsidP="0061215E">
            <w:pPr>
              <w:jc w:val="center"/>
              <w:rPr>
                <w:rFonts w:ascii="Arial" w:eastAsia="Calibri" w:hAnsi="Arial" w:cs="Arial"/>
                <w:sz w:val="16"/>
                <w:szCs w:val="16"/>
                <w:lang w:eastAsia="en-US"/>
              </w:rPr>
            </w:pPr>
            <w:r w:rsidRPr="0061215E">
              <w:rPr>
                <w:rFonts w:ascii="Arial" w:eastAsia="Calibri" w:hAnsi="Arial" w:cs="Arial"/>
                <w:sz w:val="16"/>
                <w:szCs w:val="16"/>
                <w:lang w:eastAsia="en-US"/>
              </w:rPr>
              <w:t>91113</w:t>
            </w:r>
          </w:p>
        </w:tc>
        <w:tc>
          <w:tcPr>
            <w:tcW w:w="2579" w:type="dxa"/>
            <w:hideMark/>
          </w:tcPr>
          <w:p w:rsidR="0061215E" w:rsidRPr="0061215E" w:rsidRDefault="0061215E" w:rsidP="0061215E">
            <w:pPr>
              <w:rPr>
                <w:rFonts w:ascii="Arial" w:eastAsia="Calibri" w:hAnsi="Arial" w:cs="Arial"/>
                <w:sz w:val="16"/>
                <w:szCs w:val="16"/>
                <w:lang w:eastAsia="en-US"/>
              </w:rPr>
            </w:pPr>
            <w:r w:rsidRPr="0061215E">
              <w:rPr>
                <w:rFonts w:ascii="Arial" w:eastAsia="Calibri" w:hAnsi="Arial" w:cs="Arial"/>
                <w:sz w:val="16"/>
                <w:szCs w:val="16"/>
                <w:lang w:eastAsia="en-US"/>
              </w:rPr>
              <w:t>Crédito Interacciones 430259</w:t>
            </w:r>
          </w:p>
        </w:tc>
        <w:tc>
          <w:tcPr>
            <w:tcW w:w="1134" w:type="dxa"/>
            <w:noWrap/>
            <w:vAlign w:val="center"/>
            <w:hideMark/>
          </w:tcPr>
          <w:p w:rsidR="0061215E" w:rsidRPr="0061215E" w:rsidRDefault="0061215E" w:rsidP="0061215E">
            <w:pPr>
              <w:jc w:val="right"/>
              <w:rPr>
                <w:rFonts w:ascii="Arial" w:eastAsia="Calibri" w:hAnsi="Arial" w:cs="Arial"/>
                <w:sz w:val="16"/>
                <w:szCs w:val="16"/>
                <w:lang w:eastAsia="en-US"/>
              </w:rPr>
            </w:pPr>
            <w:r w:rsidRPr="0061215E">
              <w:rPr>
                <w:rFonts w:ascii="Arial" w:eastAsia="Calibri" w:hAnsi="Arial" w:cs="Arial"/>
                <w:sz w:val="16"/>
                <w:szCs w:val="16"/>
                <w:lang w:eastAsia="en-US"/>
              </w:rPr>
              <w:t>9,216,665</w:t>
            </w:r>
          </w:p>
        </w:tc>
        <w:tc>
          <w:tcPr>
            <w:tcW w:w="1134" w:type="dxa"/>
            <w:noWrap/>
            <w:vAlign w:val="center"/>
            <w:hideMark/>
          </w:tcPr>
          <w:p w:rsidR="0061215E" w:rsidRPr="0061215E" w:rsidRDefault="0061215E" w:rsidP="0061215E">
            <w:pPr>
              <w:jc w:val="right"/>
              <w:rPr>
                <w:rFonts w:ascii="Arial" w:eastAsia="Calibri" w:hAnsi="Arial" w:cs="Arial"/>
                <w:sz w:val="16"/>
                <w:szCs w:val="16"/>
                <w:lang w:eastAsia="en-US"/>
              </w:rPr>
            </w:pPr>
            <w:r w:rsidRPr="0061215E">
              <w:rPr>
                <w:rFonts w:ascii="Arial" w:eastAsia="Calibri" w:hAnsi="Arial" w:cs="Arial"/>
                <w:sz w:val="16"/>
                <w:szCs w:val="16"/>
                <w:lang w:eastAsia="en-US"/>
              </w:rPr>
              <w:t>2,202,043</w:t>
            </w:r>
          </w:p>
        </w:tc>
        <w:tc>
          <w:tcPr>
            <w:tcW w:w="1110" w:type="dxa"/>
            <w:noWrap/>
            <w:vAlign w:val="center"/>
            <w:hideMark/>
          </w:tcPr>
          <w:p w:rsidR="0061215E" w:rsidRPr="0061215E" w:rsidRDefault="0061215E" w:rsidP="0061215E">
            <w:pPr>
              <w:jc w:val="right"/>
              <w:rPr>
                <w:rFonts w:ascii="Arial" w:eastAsia="Calibri" w:hAnsi="Arial" w:cs="Arial"/>
                <w:sz w:val="16"/>
                <w:szCs w:val="16"/>
                <w:lang w:eastAsia="en-US"/>
              </w:rPr>
            </w:pPr>
            <w:r w:rsidRPr="0061215E">
              <w:rPr>
                <w:rFonts w:ascii="Arial" w:eastAsia="Calibri" w:hAnsi="Arial" w:cs="Arial"/>
                <w:sz w:val="16"/>
                <w:szCs w:val="16"/>
                <w:lang w:eastAsia="en-US"/>
              </w:rPr>
              <w:t>2,268,767</w:t>
            </w:r>
          </w:p>
        </w:tc>
        <w:tc>
          <w:tcPr>
            <w:tcW w:w="1017" w:type="dxa"/>
            <w:noWrap/>
            <w:vAlign w:val="center"/>
            <w:hideMark/>
          </w:tcPr>
          <w:p w:rsidR="0061215E" w:rsidRPr="0061215E" w:rsidRDefault="0061215E" w:rsidP="0061215E">
            <w:pPr>
              <w:jc w:val="right"/>
              <w:rPr>
                <w:rFonts w:ascii="Arial" w:eastAsia="Calibri" w:hAnsi="Arial" w:cs="Arial"/>
                <w:sz w:val="16"/>
                <w:szCs w:val="16"/>
                <w:lang w:eastAsia="en-US"/>
              </w:rPr>
            </w:pPr>
            <w:r w:rsidRPr="0061215E">
              <w:rPr>
                <w:rFonts w:ascii="Arial" w:eastAsia="Calibri" w:hAnsi="Arial" w:cs="Arial"/>
                <w:sz w:val="16"/>
                <w:szCs w:val="16"/>
                <w:lang w:eastAsia="en-US"/>
              </w:rPr>
              <w:t>2,337,513</w:t>
            </w:r>
          </w:p>
        </w:tc>
        <w:tc>
          <w:tcPr>
            <w:tcW w:w="1036" w:type="dxa"/>
            <w:noWrap/>
            <w:vAlign w:val="center"/>
            <w:hideMark/>
          </w:tcPr>
          <w:p w:rsidR="0061215E" w:rsidRPr="0061215E" w:rsidRDefault="0061215E" w:rsidP="0061215E">
            <w:pPr>
              <w:jc w:val="right"/>
              <w:rPr>
                <w:rFonts w:ascii="Arial" w:eastAsia="Calibri" w:hAnsi="Arial" w:cs="Arial"/>
                <w:sz w:val="16"/>
                <w:szCs w:val="16"/>
                <w:lang w:eastAsia="en-US"/>
              </w:rPr>
            </w:pPr>
            <w:r w:rsidRPr="0061215E">
              <w:rPr>
                <w:rFonts w:ascii="Arial" w:eastAsia="Calibri" w:hAnsi="Arial" w:cs="Arial"/>
                <w:sz w:val="16"/>
                <w:szCs w:val="16"/>
                <w:lang w:eastAsia="en-US"/>
              </w:rPr>
              <w:t>2,408,342</w:t>
            </w:r>
          </w:p>
        </w:tc>
      </w:tr>
      <w:tr w:rsidR="0061215E" w:rsidRPr="0061215E" w:rsidTr="00D25960">
        <w:trPr>
          <w:trHeight w:val="300"/>
        </w:trPr>
        <w:tc>
          <w:tcPr>
            <w:tcW w:w="704" w:type="dxa"/>
            <w:noWrap/>
            <w:hideMark/>
          </w:tcPr>
          <w:p w:rsidR="0061215E" w:rsidRPr="0061215E" w:rsidRDefault="0061215E" w:rsidP="0061215E">
            <w:pPr>
              <w:jc w:val="center"/>
              <w:rPr>
                <w:rFonts w:ascii="Arial" w:eastAsia="Calibri" w:hAnsi="Arial" w:cs="Arial"/>
                <w:b/>
                <w:bCs/>
                <w:sz w:val="16"/>
                <w:szCs w:val="16"/>
                <w:lang w:eastAsia="en-US"/>
              </w:rPr>
            </w:pPr>
            <w:r w:rsidRPr="0061215E">
              <w:rPr>
                <w:rFonts w:ascii="Arial" w:eastAsia="Calibri" w:hAnsi="Arial" w:cs="Arial"/>
                <w:b/>
                <w:bCs/>
                <w:sz w:val="16"/>
                <w:szCs w:val="16"/>
                <w:lang w:eastAsia="en-US"/>
              </w:rPr>
              <w:t>92000</w:t>
            </w:r>
          </w:p>
        </w:tc>
        <w:tc>
          <w:tcPr>
            <w:tcW w:w="2579" w:type="dxa"/>
            <w:hideMark/>
          </w:tcPr>
          <w:p w:rsidR="0061215E" w:rsidRPr="0061215E" w:rsidRDefault="0061215E" w:rsidP="0061215E">
            <w:pPr>
              <w:rPr>
                <w:rFonts w:ascii="Arial" w:eastAsia="Calibri" w:hAnsi="Arial" w:cs="Arial"/>
                <w:b/>
                <w:bCs/>
                <w:sz w:val="16"/>
                <w:szCs w:val="16"/>
                <w:lang w:eastAsia="en-US"/>
              </w:rPr>
            </w:pPr>
            <w:r w:rsidRPr="0061215E">
              <w:rPr>
                <w:rFonts w:ascii="Arial" w:eastAsia="Calibri" w:hAnsi="Arial" w:cs="Arial"/>
                <w:b/>
                <w:bCs/>
                <w:sz w:val="16"/>
                <w:szCs w:val="16"/>
                <w:lang w:eastAsia="en-US"/>
              </w:rPr>
              <w:t>INTERESES DE LA DEUDA PÚBLICA</w:t>
            </w:r>
          </w:p>
        </w:tc>
        <w:tc>
          <w:tcPr>
            <w:tcW w:w="1134" w:type="dxa"/>
            <w:noWrap/>
            <w:vAlign w:val="center"/>
            <w:hideMark/>
          </w:tcPr>
          <w:p w:rsidR="0061215E" w:rsidRPr="0061215E" w:rsidRDefault="0061215E" w:rsidP="0061215E">
            <w:pPr>
              <w:jc w:val="right"/>
              <w:rPr>
                <w:rFonts w:ascii="Arial" w:eastAsia="Calibri" w:hAnsi="Arial" w:cs="Arial"/>
                <w:b/>
                <w:bCs/>
                <w:sz w:val="16"/>
                <w:szCs w:val="16"/>
                <w:lang w:eastAsia="en-US"/>
              </w:rPr>
            </w:pPr>
            <w:r w:rsidRPr="0061215E">
              <w:rPr>
                <w:rFonts w:ascii="Arial" w:eastAsia="Calibri" w:hAnsi="Arial" w:cs="Arial"/>
                <w:b/>
                <w:bCs/>
                <w:sz w:val="16"/>
                <w:szCs w:val="16"/>
                <w:lang w:eastAsia="en-US"/>
              </w:rPr>
              <w:t>261,490,481</w:t>
            </w:r>
          </w:p>
        </w:tc>
        <w:tc>
          <w:tcPr>
            <w:tcW w:w="1134" w:type="dxa"/>
            <w:noWrap/>
            <w:vAlign w:val="center"/>
            <w:hideMark/>
          </w:tcPr>
          <w:p w:rsidR="0061215E" w:rsidRPr="0061215E" w:rsidRDefault="0061215E" w:rsidP="0061215E">
            <w:pPr>
              <w:jc w:val="right"/>
              <w:rPr>
                <w:rFonts w:ascii="Arial" w:eastAsia="Calibri" w:hAnsi="Arial" w:cs="Arial"/>
                <w:b/>
                <w:bCs/>
                <w:sz w:val="16"/>
                <w:szCs w:val="16"/>
                <w:lang w:eastAsia="en-US"/>
              </w:rPr>
            </w:pPr>
            <w:r w:rsidRPr="0061215E">
              <w:rPr>
                <w:rFonts w:ascii="Arial" w:eastAsia="Calibri" w:hAnsi="Arial" w:cs="Arial"/>
                <w:b/>
                <w:bCs/>
                <w:sz w:val="16"/>
                <w:szCs w:val="16"/>
                <w:lang w:eastAsia="en-US"/>
              </w:rPr>
              <w:t>65,195,764</w:t>
            </w:r>
          </w:p>
        </w:tc>
        <w:tc>
          <w:tcPr>
            <w:tcW w:w="1110" w:type="dxa"/>
            <w:noWrap/>
            <w:vAlign w:val="center"/>
            <w:hideMark/>
          </w:tcPr>
          <w:p w:rsidR="0061215E" w:rsidRPr="0061215E" w:rsidRDefault="0061215E" w:rsidP="0061215E">
            <w:pPr>
              <w:jc w:val="right"/>
              <w:rPr>
                <w:rFonts w:ascii="Arial" w:eastAsia="Calibri" w:hAnsi="Arial" w:cs="Arial"/>
                <w:b/>
                <w:bCs/>
                <w:sz w:val="16"/>
                <w:szCs w:val="16"/>
                <w:lang w:eastAsia="en-US"/>
              </w:rPr>
            </w:pPr>
            <w:r w:rsidRPr="0061215E">
              <w:rPr>
                <w:rFonts w:ascii="Arial" w:eastAsia="Calibri" w:hAnsi="Arial" w:cs="Arial"/>
                <w:b/>
                <w:bCs/>
                <w:sz w:val="16"/>
                <w:szCs w:val="16"/>
                <w:lang w:eastAsia="en-US"/>
              </w:rPr>
              <w:t>65,830,809</w:t>
            </w:r>
          </w:p>
        </w:tc>
        <w:tc>
          <w:tcPr>
            <w:tcW w:w="1017" w:type="dxa"/>
            <w:noWrap/>
            <w:vAlign w:val="center"/>
            <w:hideMark/>
          </w:tcPr>
          <w:p w:rsidR="0061215E" w:rsidRPr="0061215E" w:rsidRDefault="0061215E" w:rsidP="0061215E">
            <w:pPr>
              <w:jc w:val="right"/>
              <w:rPr>
                <w:rFonts w:ascii="Arial" w:eastAsia="Calibri" w:hAnsi="Arial" w:cs="Arial"/>
                <w:b/>
                <w:bCs/>
                <w:sz w:val="16"/>
                <w:szCs w:val="16"/>
                <w:lang w:eastAsia="en-US"/>
              </w:rPr>
            </w:pPr>
            <w:r w:rsidRPr="0061215E">
              <w:rPr>
                <w:rFonts w:ascii="Arial" w:eastAsia="Calibri" w:hAnsi="Arial" w:cs="Arial"/>
                <w:b/>
                <w:bCs/>
                <w:sz w:val="16"/>
                <w:szCs w:val="16"/>
                <w:lang w:eastAsia="en-US"/>
              </w:rPr>
              <w:t>65,731,389</w:t>
            </w:r>
          </w:p>
        </w:tc>
        <w:tc>
          <w:tcPr>
            <w:tcW w:w="1036" w:type="dxa"/>
            <w:noWrap/>
            <w:vAlign w:val="center"/>
            <w:hideMark/>
          </w:tcPr>
          <w:p w:rsidR="0061215E" w:rsidRPr="0061215E" w:rsidRDefault="0061215E" w:rsidP="0061215E">
            <w:pPr>
              <w:jc w:val="right"/>
              <w:rPr>
                <w:rFonts w:ascii="Arial" w:eastAsia="Calibri" w:hAnsi="Arial" w:cs="Arial"/>
                <w:b/>
                <w:bCs/>
                <w:sz w:val="16"/>
                <w:szCs w:val="16"/>
                <w:lang w:eastAsia="en-US"/>
              </w:rPr>
            </w:pPr>
            <w:r w:rsidRPr="0061215E">
              <w:rPr>
                <w:rFonts w:ascii="Arial" w:eastAsia="Calibri" w:hAnsi="Arial" w:cs="Arial"/>
                <w:b/>
                <w:bCs/>
                <w:sz w:val="16"/>
                <w:szCs w:val="16"/>
                <w:lang w:eastAsia="en-US"/>
              </w:rPr>
              <w:t>64,732,519</w:t>
            </w:r>
          </w:p>
        </w:tc>
      </w:tr>
      <w:tr w:rsidR="0061215E" w:rsidRPr="0061215E" w:rsidTr="00D25960">
        <w:trPr>
          <w:trHeight w:val="300"/>
        </w:trPr>
        <w:tc>
          <w:tcPr>
            <w:tcW w:w="704" w:type="dxa"/>
            <w:noWrap/>
            <w:hideMark/>
          </w:tcPr>
          <w:p w:rsidR="0061215E" w:rsidRPr="0061215E" w:rsidRDefault="0061215E" w:rsidP="0061215E">
            <w:pPr>
              <w:jc w:val="center"/>
              <w:rPr>
                <w:rFonts w:ascii="Arial" w:eastAsia="Calibri" w:hAnsi="Arial" w:cs="Arial"/>
                <w:b/>
                <w:bCs/>
                <w:sz w:val="16"/>
                <w:szCs w:val="16"/>
                <w:lang w:eastAsia="en-US"/>
              </w:rPr>
            </w:pPr>
            <w:r w:rsidRPr="0061215E">
              <w:rPr>
                <w:rFonts w:ascii="Arial" w:eastAsia="Calibri" w:hAnsi="Arial" w:cs="Arial"/>
                <w:b/>
                <w:bCs/>
                <w:sz w:val="16"/>
                <w:szCs w:val="16"/>
                <w:lang w:eastAsia="en-US"/>
              </w:rPr>
              <w:t>92100</w:t>
            </w:r>
          </w:p>
        </w:tc>
        <w:tc>
          <w:tcPr>
            <w:tcW w:w="2579" w:type="dxa"/>
            <w:hideMark/>
          </w:tcPr>
          <w:p w:rsidR="0061215E" w:rsidRPr="0061215E" w:rsidRDefault="0061215E" w:rsidP="0061215E">
            <w:pPr>
              <w:rPr>
                <w:rFonts w:ascii="Arial" w:eastAsia="Calibri" w:hAnsi="Arial" w:cs="Arial"/>
                <w:b/>
                <w:bCs/>
                <w:sz w:val="16"/>
                <w:szCs w:val="16"/>
                <w:lang w:eastAsia="en-US"/>
              </w:rPr>
            </w:pPr>
            <w:r w:rsidRPr="0061215E">
              <w:rPr>
                <w:rFonts w:ascii="Arial" w:eastAsia="Calibri" w:hAnsi="Arial" w:cs="Arial"/>
                <w:b/>
                <w:bCs/>
                <w:sz w:val="16"/>
                <w:szCs w:val="16"/>
                <w:lang w:eastAsia="en-US"/>
              </w:rPr>
              <w:t>Intereses sin deuda pública según convenio</w:t>
            </w:r>
          </w:p>
        </w:tc>
        <w:tc>
          <w:tcPr>
            <w:tcW w:w="1134" w:type="dxa"/>
            <w:noWrap/>
            <w:vAlign w:val="center"/>
            <w:hideMark/>
          </w:tcPr>
          <w:p w:rsidR="0061215E" w:rsidRPr="0061215E" w:rsidRDefault="0061215E" w:rsidP="0061215E">
            <w:pPr>
              <w:jc w:val="right"/>
              <w:rPr>
                <w:rFonts w:ascii="Arial" w:eastAsia="Calibri" w:hAnsi="Arial" w:cs="Arial"/>
                <w:b/>
                <w:bCs/>
                <w:sz w:val="16"/>
                <w:szCs w:val="16"/>
                <w:lang w:eastAsia="en-US"/>
              </w:rPr>
            </w:pPr>
            <w:r w:rsidRPr="0061215E">
              <w:rPr>
                <w:rFonts w:ascii="Arial" w:eastAsia="Calibri" w:hAnsi="Arial" w:cs="Arial"/>
                <w:b/>
                <w:bCs/>
                <w:sz w:val="16"/>
                <w:szCs w:val="16"/>
                <w:lang w:eastAsia="en-US"/>
              </w:rPr>
              <w:t>261,490,481</w:t>
            </w:r>
          </w:p>
        </w:tc>
        <w:tc>
          <w:tcPr>
            <w:tcW w:w="1134" w:type="dxa"/>
            <w:noWrap/>
            <w:vAlign w:val="center"/>
            <w:hideMark/>
          </w:tcPr>
          <w:p w:rsidR="0061215E" w:rsidRPr="0061215E" w:rsidRDefault="0061215E" w:rsidP="0061215E">
            <w:pPr>
              <w:jc w:val="right"/>
              <w:rPr>
                <w:rFonts w:ascii="Arial" w:eastAsia="Calibri" w:hAnsi="Arial" w:cs="Arial"/>
                <w:b/>
                <w:bCs/>
                <w:sz w:val="16"/>
                <w:szCs w:val="16"/>
                <w:lang w:eastAsia="en-US"/>
              </w:rPr>
            </w:pPr>
            <w:r w:rsidRPr="0061215E">
              <w:rPr>
                <w:rFonts w:ascii="Arial" w:eastAsia="Calibri" w:hAnsi="Arial" w:cs="Arial"/>
                <w:b/>
                <w:bCs/>
                <w:sz w:val="16"/>
                <w:szCs w:val="16"/>
                <w:lang w:eastAsia="en-US"/>
              </w:rPr>
              <w:t>65,195,764</w:t>
            </w:r>
          </w:p>
        </w:tc>
        <w:tc>
          <w:tcPr>
            <w:tcW w:w="1110" w:type="dxa"/>
            <w:noWrap/>
            <w:vAlign w:val="center"/>
            <w:hideMark/>
          </w:tcPr>
          <w:p w:rsidR="0061215E" w:rsidRPr="0061215E" w:rsidRDefault="0061215E" w:rsidP="0061215E">
            <w:pPr>
              <w:jc w:val="right"/>
              <w:rPr>
                <w:rFonts w:ascii="Arial" w:eastAsia="Calibri" w:hAnsi="Arial" w:cs="Arial"/>
                <w:b/>
                <w:bCs/>
                <w:sz w:val="16"/>
                <w:szCs w:val="16"/>
                <w:lang w:eastAsia="en-US"/>
              </w:rPr>
            </w:pPr>
            <w:r w:rsidRPr="0061215E">
              <w:rPr>
                <w:rFonts w:ascii="Arial" w:eastAsia="Calibri" w:hAnsi="Arial" w:cs="Arial"/>
                <w:b/>
                <w:bCs/>
                <w:sz w:val="16"/>
                <w:szCs w:val="16"/>
                <w:lang w:eastAsia="en-US"/>
              </w:rPr>
              <w:t>65,830,809</w:t>
            </w:r>
          </w:p>
        </w:tc>
        <w:tc>
          <w:tcPr>
            <w:tcW w:w="1017" w:type="dxa"/>
            <w:noWrap/>
            <w:vAlign w:val="center"/>
            <w:hideMark/>
          </w:tcPr>
          <w:p w:rsidR="0061215E" w:rsidRPr="0061215E" w:rsidRDefault="0061215E" w:rsidP="0061215E">
            <w:pPr>
              <w:jc w:val="right"/>
              <w:rPr>
                <w:rFonts w:ascii="Arial" w:eastAsia="Calibri" w:hAnsi="Arial" w:cs="Arial"/>
                <w:b/>
                <w:bCs/>
                <w:sz w:val="16"/>
                <w:szCs w:val="16"/>
                <w:lang w:eastAsia="en-US"/>
              </w:rPr>
            </w:pPr>
            <w:r w:rsidRPr="0061215E">
              <w:rPr>
                <w:rFonts w:ascii="Arial" w:eastAsia="Calibri" w:hAnsi="Arial" w:cs="Arial"/>
                <w:b/>
                <w:bCs/>
                <w:sz w:val="16"/>
                <w:szCs w:val="16"/>
                <w:lang w:eastAsia="en-US"/>
              </w:rPr>
              <w:t>65,731,389</w:t>
            </w:r>
          </w:p>
        </w:tc>
        <w:tc>
          <w:tcPr>
            <w:tcW w:w="1036" w:type="dxa"/>
            <w:noWrap/>
            <w:vAlign w:val="center"/>
            <w:hideMark/>
          </w:tcPr>
          <w:p w:rsidR="0061215E" w:rsidRPr="0061215E" w:rsidRDefault="0061215E" w:rsidP="0061215E">
            <w:pPr>
              <w:jc w:val="right"/>
              <w:rPr>
                <w:rFonts w:ascii="Arial" w:eastAsia="Calibri" w:hAnsi="Arial" w:cs="Arial"/>
                <w:b/>
                <w:bCs/>
                <w:sz w:val="16"/>
                <w:szCs w:val="16"/>
                <w:lang w:eastAsia="en-US"/>
              </w:rPr>
            </w:pPr>
            <w:r w:rsidRPr="0061215E">
              <w:rPr>
                <w:rFonts w:ascii="Arial" w:eastAsia="Calibri" w:hAnsi="Arial" w:cs="Arial"/>
                <w:b/>
                <w:bCs/>
                <w:sz w:val="16"/>
                <w:szCs w:val="16"/>
                <w:lang w:eastAsia="en-US"/>
              </w:rPr>
              <w:t>64,732,519</w:t>
            </w:r>
          </w:p>
        </w:tc>
      </w:tr>
      <w:tr w:rsidR="0061215E" w:rsidRPr="0061215E" w:rsidTr="00D25960">
        <w:trPr>
          <w:trHeight w:val="300"/>
        </w:trPr>
        <w:tc>
          <w:tcPr>
            <w:tcW w:w="704" w:type="dxa"/>
            <w:noWrap/>
            <w:hideMark/>
          </w:tcPr>
          <w:p w:rsidR="0061215E" w:rsidRPr="0061215E" w:rsidRDefault="0061215E" w:rsidP="0061215E">
            <w:pPr>
              <w:jc w:val="center"/>
              <w:rPr>
                <w:rFonts w:ascii="Arial" w:eastAsia="Calibri" w:hAnsi="Arial" w:cs="Arial"/>
                <w:sz w:val="16"/>
                <w:szCs w:val="16"/>
                <w:lang w:eastAsia="en-US"/>
              </w:rPr>
            </w:pPr>
            <w:r w:rsidRPr="0061215E">
              <w:rPr>
                <w:rFonts w:ascii="Arial" w:eastAsia="Calibri" w:hAnsi="Arial" w:cs="Arial"/>
                <w:sz w:val="16"/>
                <w:szCs w:val="16"/>
                <w:lang w:eastAsia="en-US"/>
              </w:rPr>
              <w:t>92102</w:t>
            </w:r>
          </w:p>
        </w:tc>
        <w:tc>
          <w:tcPr>
            <w:tcW w:w="2579" w:type="dxa"/>
            <w:hideMark/>
          </w:tcPr>
          <w:p w:rsidR="0061215E" w:rsidRPr="0061215E" w:rsidRDefault="0061215E" w:rsidP="0061215E">
            <w:pPr>
              <w:rPr>
                <w:rFonts w:ascii="Arial" w:eastAsia="Calibri" w:hAnsi="Arial" w:cs="Arial"/>
                <w:sz w:val="16"/>
                <w:szCs w:val="16"/>
                <w:lang w:eastAsia="en-US"/>
              </w:rPr>
            </w:pPr>
            <w:r w:rsidRPr="0061215E">
              <w:rPr>
                <w:rFonts w:ascii="Arial" w:eastAsia="Calibri" w:hAnsi="Arial" w:cs="Arial"/>
                <w:sz w:val="16"/>
                <w:szCs w:val="16"/>
                <w:lang w:eastAsia="en-US"/>
              </w:rPr>
              <w:t>Banobras 7225,7226</w:t>
            </w:r>
          </w:p>
        </w:tc>
        <w:tc>
          <w:tcPr>
            <w:tcW w:w="1134" w:type="dxa"/>
            <w:noWrap/>
            <w:vAlign w:val="center"/>
            <w:hideMark/>
          </w:tcPr>
          <w:p w:rsidR="0061215E" w:rsidRPr="0061215E" w:rsidRDefault="0061215E" w:rsidP="0061215E">
            <w:pPr>
              <w:jc w:val="right"/>
              <w:rPr>
                <w:rFonts w:ascii="Arial" w:eastAsia="Calibri" w:hAnsi="Arial" w:cs="Arial"/>
                <w:sz w:val="16"/>
                <w:szCs w:val="16"/>
                <w:lang w:eastAsia="en-US"/>
              </w:rPr>
            </w:pPr>
            <w:r w:rsidRPr="0061215E">
              <w:rPr>
                <w:rFonts w:ascii="Arial" w:eastAsia="Calibri" w:hAnsi="Arial" w:cs="Arial"/>
                <w:sz w:val="16"/>
                <w:szCs w:val="16"/>
                <w:lang w:eastAsia="en-US"/>
              </w:rPr>
              <w:t>25,656,141</w:t>
            </w:r>
          </w:p>
        </w:tc>
        <w:tc>
          <w:tcPr>
            <w:tcW w:w="1134" w:type="dxa"/>
            <w:noWrap/>
            <w:vAlign w:val="center"/>
            <w:hideMark/>
          </w:tcPr>
          <w:p w:rsidR="0061215E" w:rsidRPr="0061215E" w:rsidRDefault="0061215E" w:rsidP="0061215E">
            <w:pPr>
              <w:jc w:val="right"/>
              <w:rPr>
                <w:rFonts w:ascii="Arial" w:eastAsia="Calibri" w:hAnsi="Arial" w:cs="Arial"/>
                <w:sz w:val="16"/>
                <w:szCs w:val="16"/>
                <w:lang w:eastAsia="en-US"/>
              </w:rPr>
            </w:pPr>
            <w:r w:rsidRPr="0061215E">
              <w:rPr>
                <w:rFonts w:ascii="Arial" w:eastAsia="Calibri" w:hAnsi="Arial" w:cs="Arial"/>
                <w:sz w:val="16"/>
                <w:szCs w:val="16"/>
                <w:lang w:eastAsia="en-US"/>
              </w:rPr>
              <w:t>6,348,808</w:t>
            </w:r>
          </w:p>
        </w:tc>
        <w:tc>
          <w:tcPr>
            <w:tcW w:w="1110" w:type="dxa"/>
            <w:noWrap/>
            <w:vAlign w:val="center"/>
            <w:hideMark/>
          </w:tcPr>
          <w:p w:rsidR="0061215E" w:rsidRPr="0061215E" w:rsidRDefault="0061215E" w:rsidP="0061215E">
            <w:pPr>
              <w:jc w:val="right"/>
              <w:rPr>
                <w:rFonts w:ascii="Arial" w:eastAsia="Calibri" w:hAnsi="Arial" w:cs="Arial"/>
                <w:sz w:val="16"/>
                <w:szCs w:val="16"/>
                <w:lang w:eastAsia="en-US"/>
              </w:rPr>
            </w:pPr>
            <w:r w:rsidRPr="0061215E">
              <w:rPr>
                <w:rFonts w:ascii="Arial" w:eastAsia="Calibri" w:hAnsi="Arial" w:cs="Arial"/>
                <w:sz w:val="16"/>
                <w:szCs w:val="16"/>
                <w:lang w:eastAsia="en-US"/>
              </w:rPr>
              <w:t>6,438,465</w:t>
            </w:r>
          </w:p>
        </w:tc>
        <w:tc>
          <w:tcPr>
            <w:tcW w:w="1017" w:type="dxa"/>
            <w:noWrap/>
            <w:vAlign w:val="center"/>
            <w:hideMark/>
          </w:tcPr>
          <w:p w:rsidR="0061215E" w:rsidRPr="0061215E" w:rsidRDefault="0061215E" w:rsidP="0061215E">
            <w:pPr>
              <w:jc w:val="right"/>
              <w:rPr>
                <w:rFonts w:ascii="Arial" w:eastAsia="Calibri" w:hAnsi="Arial" w:cs="Arial"/>
                <w:sz w:val="16"/>
                <w:szCs w:val="16"/>
                <w:lang w:eastAsia="en-US"/>
              </w:rPr>
            </w:pPr>
            <w:r w:rsidRPr="0061215E">
              <w:rPr>
                <w:rFonts w:ascii="Arial" w:eastAsia="Calibri" w:hAnsi="Arial" w:cs="Arial"/>
                <w:sz w:val="16"/>
                <w:szCs w:val="16"/>
                <w:lang w:eastAsia="en-US"/>
              </w:rPr>
              <w:t>6,527,325</w:t>
            </w:r>
          </w:p>
        </w:tc>
        <w:tc>
          <w:tcPr>
            <w:tcW w:w="1036" w:type="dxa"/>
            <w:noWrap/>
            <w:vAlign w:val="center"/>
            <w:hideMark/>
          </w:tcPr>
          <w:p w:rsidR="0061215E" w:rsidRPr="0061215E" w:rsidRDefault="0061215E" w:rsidP="0061215E">
            <w:pPr>
              <w:jc w:val="right"/>
              <w:rPr>
                <w:rFonts w:ascii="Arial" w:eastAsia="Calibri" w:hAnsi="Arial" w:cs="Arial"/>
                <w:sz w:val="16"/>
                <w:szCs w:val="16"/>
                <w:lang w:eastAsia="en-US"/>
              </w:rPr>
            </w:pPr>
            <w:r w:rsidRPr="0061215E">
              <w:rPr>
                <w:rFonts w:ascii="Arial" w:eastAsia="Calibri" w:hAnsi="Arial" w:cs="Arial"/>
                <w:sz w:val="16"/>
                <w:szCs w:val="16"/>
                <w:lang w:eastAsia="en-US"/>
              </w:rPr>
              <w:t>6,341,542</w:t>
            </w:r>
          </w:p>
        </w:tc>
      </w:tr>
      <w:tr w:rsidR="0061215E" w:rsidRPr="0061215E" w:rsidTr="00D25960">
        <w:trPr>
          <w:trHeight w:val="300"/>
        </w:trPr>
        <w:tc>
          <w:tcPr>
            <w:tcW w:w="704" w:type="dxa"/>
            <w:noWrap/>
            <w:hideMark/>
          </w:tcPr>
          <w:p w:rsidR="0061215E" w:rsidRPr="0061215E" w:rsidRDefault="0061215E" w:rsidP="0061215E">
            <w:pPr>
              <w:jc w:val="center"/>
              <w:rPr>
                <w:rFonts w:ascii="Arial" w:eastAsia="Calibri" w:hAnsi="Arial" w:cs="Arial"/>
                <w:sz w:val="16"/>
                <w:szCs w:val="16"/>
                <w:lang w:eastAsia="en-US"/>
              </w:rPr>
            </w:pPr>
            <w:r w:rsidRPr="0061215E">
              <w:rPr>
                <w:rFonts w:ascii="Arial" w:eastAsia="Calibri" w:hAnsi="Arial" w:cs="Arial"/>
                <w:sz w:val="16"/>
                <w:szCs w:val="16"/>
                <w:lang w:eastAsia="en-US"/>
              </w:rPr>
              <w:t>92103</w:t>
            </w:r>
          </w:p>
        </w:tc>
        <w:tc>
          <w:tcPr>
            <w:tcW w:w="2579" w:type="dxa"/>
            <w:hideMark/>
          </w:tcPr>
          <w:p w:rsidR="0061215E" w:rsidRPr="0061215E" w:rsidRDefault="0061215E" w:rsidP="0061215E">
            <w:pPr>
              <w:rPr>
                <w:rFonts w:ascii="Arial" w:eastAsia="Calibri" w:hAnsi="Arial" w:cs="Arial"/>
                <w:sz w:val="16"/>
                <w:szCs w:val="16"/>
                <w:lang w:eastAsia="en-US"/>
              </w:rPr>
            </w:pPr>
            <w:r w:rsidRPr="0061215E">
              <w:rPr>
                <w:rFonts w:ascii="Arial" w:eastAsia="Calibri" w:hAnsi="Arial" w:cs="Arial"/>
                <w:sz w:val="16"/>
                <w:szCs w:val="16"/>
                <w:lang w:eastAsia="en-US"/>
              </w:rPr>
              <w:t>Interés Banobras 7271,7272</w:t>
            </w:r>
          </w:p>
        </w:tc>
        <w:tc>
          <w:tcPr>
            <w:tcW w:w="1134" w:type="dxa"/>
            <w:noWrap/>
            <w:vAlign w:val="center"/>
            <w:hideMark/>
          </w:tcPr>
          <w:p w:rsidR="0061215E" w:rsidRPr="0061215E" w:rsidRDefault="0061215E" w:rsidP="0061215E">
            <w:pPr>
              <w:jc w:val="right"/>
              <w:rPr>
                <w:rFonts w:ascii="Arial" w:eastAsia="Calibri" w:hAnsi="Arial" w:cs="Arial"/>
                <w:sz w:val="16"/>
                <w:szCs w:val="16"/>
                <w:lang w:eastAsia="en-US"/>
              </w:rPr>
            </w:pPr>
            <w:r w:rsidRPr="0061215E">
              <w:rPr>
                <w:rFonts w:ascii="Arial" w:eastAsia="Calibri" w:hAnsi="Arial" w:cs="Arial"/>
                <w:sz w:val="16"/>
                <w:szCs w:val="16"/>
                <w:lang w:eastAsia="en-US"/>
              </w:rPr>
              <w:t>24,466,321</w:t>
            </w:r>
          </w:p>
        </w:tc>
        <w:tc>
          <w:tcPr>
            <w:tcW w:w="1134" w:type="dxa"/>
            <w:noWrap/>
            <w:vAlign w:val="center"/>
            <w:hideMark/>
          </w:tcPr>
          <w:p w:rsidR="0061215E" w:rsidRPr="0061215E" w:rsidRDefault="0061215E" w:rsidP="0061215E">
            <w:pPr>
              <w:jc w:val="right"/>
              <w:rPr>
                <w:rFonts w:ascii="Arial" w:eastAsia="Calibri" w:hAnsi="Arial" w:cs="Arial"/>
                <w:sz w:val="16"/>
                <w:szCs w:val="16"/>
                <w:lang w:eastAsia="en-US"/>
              </w:rPr>
            </w:pPr>
            <w:r w:rsidRPr="0061215E">
              <w:rPr>
                <w:rFonts w:ascii="Arial" w:eastAsia="Calibri" w:hAnsi="Arial" w:cs="Arial"/>
                <w:sz w:val="16"/>
                <w:szCs w:val="16"/>
                <w:lang w:eastAsia="en-US"/>
              </w:rPr>
              <w:t>6,043,618</w:t>
            </w:r>
          </w:p>
        </w:tc>
        <w:tc>
          <w:tcPr>
            <w:tcW w:w="1110" w:type="dxa"/>
            <w:noWrap/>
            <w:vAlign w:val="center"/>
            <w:hideMark/>
          </w:tcPr>
          <w:p w:rsidR="0061215E" w:rsidRPr="0061215E" w:rsidRDefault="0061215E" w:rsidP="0061215E">
            <w:pPr>
              <w:jc w:val="right"/>
              <w:rPr>
                <w:rFonts w:ascii="Arial" w:eastAsia="Calibri" w:hAnsi="Arial" w:cs="Arial"/>
                <w:sz w:val="16"/>
                <w:szCs w:val="16"/>
                <w:lang w:eastAsia="en-US"/>
              </w:rPr>
            </w:pPr>
            <w:r w:rsidRPr="0061215E">
              <w:rPr>
                <w:rFonts w:ascii="Arial" w:eastAsia="Calibri" w:hAnsi="Arial" w:cs="Arial"/>
                <w:sz w:val="16"/>
                <w:szCs w:val="16"/>
                <w:lang w:eastAsia="en-US"/>
              </w:rPr>
              <w:t>6,136,105</w:t>
            </w:r>
          </w:p>
        </w:tc>
        <w:tc>
          <w:tcPr>
            <w:tcW w:w="1017" w:type="dxa"/>
            <w:noWrap/>
            <w:vAlign w:val="center"/>
            <w:hideMark/>
          </w:tcPr>
          <w:p w:rsidR="0061215E" w:rsidRPr="0061215E" w:rsidRDefault="0061215E" w:rsidP="0061215E">
            <w:pPr>
              <w:jc w:val="right"/>
              <w:rPr>
                <w:rFonts w:ascii="Arial" w:eastAsia="Calibri" w:hAnsi="Arial" w:cs="Arial"/>
                <w:sz w:val="16"/>
                <w:szCs w:val="16"/>
                <w:lang w:eastAsia="en-US"/>
              </w:rPr>
            </w:pPr>
            <w:r w:rsidRPr="0061215E">
              <w:rPr>
                <w:rFonts w:ascii="Arial" w:eastAsia="Calibri" w:hAnsi="Arial" w:cs="Arial"/>
                <w:sz w:val="16"/>
                <w:szCs w:val="16"/>
                <w:lang w:eastAsia="en-US"/>
              </w:rPr>
              <w:t>6,228,265</w:t>
            </w:r>
          </w:p>
        </w:tc>
        <w:tc>
          <w:tcPr>
            <w:tcW w:w="1036" w:type="dxa"/>
            <w:noWrap/>
            <w:vAlign w:val="center"/>
            <w:hideMark/>
          </w:tcPr>
          <w:p w:rsidR="0061215E" w:rsidRPr="0061215E" w:rsidRDefault="0061215E" w:rsidP="0061215E">
            <w:pPr>
              <w:jc w:val="right"/>
              <w:rPr>
                <w:rFonts w:ascii="Arial" w:eastAsia="Calibri" w:hAnsi="Arial" w:cs="Arial"/>
                <w:sz w:val="16"/>
                <w:szCs w:val="16"/>
                <w:lang w:eastAsia="en-US"/>
              </w:rPr>
            </w:pPr>
            <w:r w:rsidRPr="0061215E">
              <w:rPr>
                <w:rFonts w:ascii="Arial" w:eastAsia="Calibri" w:hAnsi="Arial" w:cs="Arial"/>
                <w:sz w:val="16"/>
                <w:szCs w:val="16"/>
                <w:lang w:eastAsia="en-US"/>
              </w:rPr>
              <w:t>6,058,334</w:t>
            </w:r>
          </w:p>
        </w:tc>
      </w:tr>
      <w:tr w:rsidR="0061215E" w:rsidRPr="0061215E" w:rsidTr="00D25960">
        <w:trPr>
          <w:trHeight w:val="300"/>
        </w:trPr>
        <w:tc>
          <w:tcPr>
            <w:tcW w:w="704" w:type="dxa"/>
            <w:noWrap/>
            <w:hideMark/>
          </w:tcPr>
          <w:p w:rsidR="0061215E" w:rsidRPr="0061215E" w:rsidRDefault="0061215E" w:rsidP="0061215E">
            <w:pPr>
              <w:jc w:val="center"/>
              <w:rPr>
                <w:rFonts w:ascii="Arial" w:eastAsia="Calibri" w:hAnsi="Arial" w:cs="Arial"/>
                <w:sz w:val="16"/>
                <w:szCs w:val="16"/>
                <w:lang w:eastAsia="en-US"/>
              </w:rPr>
            </w:pPr>
            <w:r w:rsidRPr="0061215E">
              <w:rPr>
                <w:rFonts w:ascii="Arial" w:eastAsia="Calibri" w:hAnsi="Arial" w:cs="Arial"/>
                <w:sz w:val="16"/>
                <w:szCs w:val="16"/>
                <w:lang w:eastAsia="en-US"/>
              </w:rPr>
              <w:t>92104</w:t>
            </w:r>
          </w:p>
        </w:tc>
        <w:tc>
          <w:tcPr>
            <w:tcW w:w="2579" w:type="dxa"/>
            <w:hideMark/>
          </w:tcPr>
          <w:p w:rsidR="0061215E" w:rsidRPr="0061215E" w:rsidRDefault="0061215E" w:rsidP="0061215E">
            <w:pPr>
              <w:rPr>
                <w:rFonts w:ascii="Arial" w:eastAsia="Calibri" w:hAnsi="Arial" w:cs="Arial"/>
                <w:sz w:val="16"/>
                <w:szCs w:val="16"/>
                <w:lang w:eastAsia="en-US"/>
              </w:rPr>
            </w:pPr>
            <w:r w:rsidRPr="0061215E">
              <w:rPr>
                <w:rFonts w:ascii="Arial" w:eastAsia="Calibri" w:hAnsi="Arial" w:cs="Arial"/>
                <w:sz w:val="16"/>
                <w:szCs w:val="16"/>
                <w:lang w:eastAsia="en-US"/>
              </w:rPr>
              <w:t>Interés Banorte 34228560</w:t>
            </w:r>
          </w:p>
        </w:tc>
        <w:tc>
          <w:tcPr>
            <w:tcW w:w="1134" w:type="dxa"/>
            <w:noWrap/>
            <w:vAlign w:val="center"/>
            <w:hideMark/>
          </w:tcPr>
          <w:p w:rsidR="0061215E" w:rsidRPr="0061215E" w:rsidRDefault="0061215E" w:rsidP="0061215E">
            <w:pPr>
              <w:jc w:val="right"/>
              <w:rPr>
                <w:rFonts w:ascii="Arial" w:eastAsia="Calibri" w:hAnsi="Arial" w:cs="Arial"/>
                <w:sz w:val="16"/>
                <w:szCs w:val="16"/>
                <w:lang w:eastAsia="en-US"/>
              </w:rPr>
            </w:pPr>
            <w:r w:rsidRPr="0061215E">
              <w:rPr>
                <w:rFonts w:ascii="Arial" w:eastAsia="Calibri" w:hAnsi="Arial" w:cs="Arial"/>
                <w:sz w:val="16"/>
                <w:szCs w:val="16"/>
                <w:lang w:eastAsia="en-US"/>
              </w:rPr>
              <w:t>2,194,231</w:t>
            </w:r>
          </w:p>
        </w:tc>
        <w:tc>
          <w:tcPr>
            <w:tcW w:w="1134" w:type="dxa"/>
            <w:noWrap/>
            <w:vAlign w:val="center"/>
            <w:hideMark/>
          </w:tcPr>
          <w:p w:rsidR="0061215E" w:rsidRPr="0061215E" w:rsidRDefault="0061215E" w:rsidP="0061215E">
            <w:pPr>
              <w:jc w:val="right"/>
              <w:rPr>
                <w:rFonts w:ascii="Arial" w:eastAsia="Calibri" w:hAnsi="Arial" w:cs="Arial"/>
                <w:sz w:val="16"/>
                <w:szCs w:val="16"/>
                <w:lang w:eastAsia="en-US"/>
              </w:rPr>
            </w:pPr>
            <w:r w:rsidRPr="0061215E">
              <w:rPr>
                <w:rFonts w:ascii="Arial" w:eastAsia="Calibri" w:hAnsi="Arial" w:cs="Arial"/>
                <w:sz w:val="16"/>
                <w:szCs w:val="16"/>
                <w:lang w:eastAsia="en-US"/>
              </w:rPr>
              <w:t>645,506</w:t>
            </w:r>
          </w:p>
        </w:tc>
        <w:tc>
          <w:tcPr>
            <w:tcW w:w="1110" w:type="dxa"/>
            <w:noWrap/>
            <w:vAlign w:val="center"/>
            <w:hideMark/>
          </w:tcPr>
          <w:p w:rsidR="0061215E" w:rsidRPr="0061215E" w:rsidRDefault="0061215E" w:rsidP="0061215E">
            <w:pPr>
              <w:jc w:val="right"/>
              <w:rPr>
                <w:rFonts w:ascii="Arial" w:eastAsia="Calibri" w:hAnsi="Arial" w:cs="Arial"/>
                <w:sz w:val="16"/>
                <w:szCs w:val="16"/>
                <w:lang w:eastAsia="en-US"/>
              </w:rPr>
            </w:pPr>
            <w:r w:rsidRPr="0061215E">
              <w:rPr>
                <w:rFonts w:ascii="Arial" w:eastAsia="Calibri" w:hAnsi="Arial" w:cs="Arial"/>
                <w:sz w:val="16"/>
                <w:szCs w:val="16"/>
                <w:lang w:eastAsia="en-US"/>
              </w:rPr>
              <w:t>580,667</w:t>
            </w:r>
          </w:p>
        </w:tc>
        <w:tc>
          <w:tcPr>
            <w:tcW w:w="1017" w:type="dxa"/>
            <w:noWrap/>
            <w:vAlign w:val="center"/>
            <w:hideMark/>
          </w:tcPr>
          <w:p w:rsidR="0061215E" w:rsidRPr="0061215E" w:rsidRDefault="0061215E" w:rsidP="0061215E">
            <w:pPr>
              <w:jc w:val="right"/>
              <w:rPr>
                <w:rFonts w:ascii="Arial" w:eastAsia="Calibri" w:hAnsi="Arial" w:cs="Arial"/>
                <w:sz w:val="16"/>
                <w:szCs w:val="16"/>
                <w:lang w:eastAsia="en-US"/>
              </w:rPr>
            </w:pPr>
            <w:r w:rsidRPr="0061215E">
              <w:rPr>
                <w:rFonts w:ascii="Arial" w:eastAsia="Calibri" w:hAnsi="Arial" w:cs="Arial"/>
                <w:sz w:val="16"/>
                <w:szCs w:val="16"/>
                <w:lang w:eastAsia="en-US"/>
              </w:rPr>
              <w:t>516,150</w:t>
            </w:r>
          </w:p>
        </w:tc>
        <w:tc>
          <w:tcPr>
            <w:tcW w:w="1036" w:type="dxa"/>
            <w:noWrap/>
            <w:vAlign w:val="center"/>
            <w:hideMark/>
          </w:tcPr>
          <w:p w:rsidR="0061215E" w:rsidRPr="0061215E" w:rsidRDefault="0061215E" w:rsidP="0061215E">
            <w:pPr>
              <w:jc w:val="right"/>
              <w:rPr>
                <w:rFonts w:ascii="Arial" w:eastAsia="Calibri" w:hAnsi="Arial" w:cs="Arial"/>
                <w:sz w:val="16"/>
                <w:szCs w:val="16"/>
                <w:lang w:eastAsia="en-US"/>
              </w:rPr>
            </w:pPr>
            <w:r w:rsidRPr="0061215E">
              <w:rPr>
                <w:rFonts w:ascii="Arial" w:eastAsia="Calibri" w:hAnsi="Arial" w:cs="Arial"/>
                <w:sz w:val="16"/>
                <w:szCs w:val="16"/>
                <w:lang w:eastAsia="en-US"/>
              </w:rPr>
              <w:t>451,909</w:t>
            </w:r>
          </w:p>
        </w:tc>
      </w:tr>
      <w:tr w:rsidR="0061215E" w:rsidRPr="0061215E" w:rsidTr="00D25960">
        <w:trPr>
          <w:trHeight w:val="300"/>
        </w:trPr>
        <w:tc>
          <w:tcPr>
            <w:tcW w:w="704" w:type="dxa"/>
            <w:noWrap/>
            <w:hideMark/>
          </w:tcPr>
          <w:p w:rsidR="0061215E" w:rsidRPr="0061215E" w:rsidRDefault="0061215E" w:rsidP="0061215E">
            <w:pPr>
              <w:jc w:val="center"/>
              <w:rPr>
                <w:rFonts w:ascii="Arial" w:eastAsia="Calibri" w:hAnsi="Arial" w:cs="Arial"/>
                <w:sz w:val="16"/>
                <w:szCs w:val="16"/>
                <w:lang w:eastAsia="en-US"/>
              </w:rPr>
            </w:pPr>
            <w:r w:rsidRPr="0061215E">
              <w:rPr>
                <w:rFonts w:ascii="Arial" w:eastAsia="Calibri" w:hAnsi="Arial" w:cs="Arial"/>
                <w:sz w:val="16"/>
                <w:szCs w:val="16"/>
                <w:lang w:eastAsia="en-US"/>
              </w:rPr>
              <w:t>92105</w:t>
            </w:r>
          </w:p>
        </w:tc>
        <w:tc>
          <w:tcPr>
            <w:tcW w:w="2579" w:type="dxa"/>
            <w:hideMark/>
          </w:tcPr>
          <w:p w:rsidR="0061215E" w:rsidRPr="0061215E" w:rsidRDefault="0061215E" w:rsidP="0061215E">
            <w:pPr>
              <w:rPr>
                <w:rFonts w:ascii="Arial" w:eastAsia="Calibri" w:hAnsi="Arial" w:cs="Arial"/>
                <w:sz w:val="16"/>
                <w:szCs w:val="16"/>
                <w:lang w:eastAsia="en-US"/>
              </w:rPr>
            </w:pPr>
            <w:r w:rsidRPr="0061215E">
              <w:rPr>
                <w:rFonts w:ascii="Arial" w:eastAsia="Calibri" w:hAnsi="Arial" w:cs="Arial"/>
                <w:sz w:val="16"/>
                <w:szCs w:val="16"/>
                <w:lang w:eastAsia="en-US"/>
              </w:rPr>
              <w:t>Interés Banobras 10487</w:t>
            </w:r>
          </w:p>
        </w:tc>
        <w:tc>
          <w:tcPr>
            <w:tcW w:w="1134" w:type="dxa"/>
            <w:noWrap/>
            <w:vAlign w:val="center"/>
            <w:hideMark/>
          </w:tcPr>
          <w:p w:rsidR="0061215E" w:rsidRPr="0061215E" w:rsidRDefault="0061215E" w:rsidP="0061215E">
            <w:pPr>
              <w:jc w:val="right"/>
              <w:rPr>
                <w:rFonts w:ascii="Arial" w:eastAsia="Calibri" w:hAnsi="Arial" w:cs="Arial"/>
                <w:sz w:val="16"/>
                <w:szCs w:val="16"/>
                <w:lang w:eastAsia="en-US"/>
              </w:rPr>
            </w:pPr>
            <w:r w:rsidRPr="0061215E">
              <w:rPr>
                <w:rFonts w:ascii="Arial" w:eastAsia="Calibri" w:hAnsi="Arial" w:cs="Arial"/>
                <w:sz w:val="16"/>
                <w:szCs w:val="16"/>
                <w:lang w:eastAsia="en-US"/>
              </w:rPr>
              <w:t xml:space="preserve">           30,266,491 </w:t>
            </w:r>
          </w:p>
        </w:tc>
        <w:tc>
          <w:tcPr>
            <w:tcW w:w="1134" w:type="dxa"/>
            <w:noWrap/>
            <w:vAlign w:val="center"/>
            <w:hideMark/>
          </w:tcPr>
          <w:p w:rsidR="0061215E" w:rsidRPr="0061215E" w:rsidRDefault="0061215E" w:rsidP="0061215E">
            <w:pPr>
              <w:jc w:val="right"/>
              <w:rPr>
                <w:rFonts w:ascii="Arial" w:eastAsia="Calibri" w:hAnsi="Arial" w:cs="Arial"/>
                <w:sz w:val="16"/>
                <w:szCs w:val="16"/>
                <w:lang w:eastAsia="en-US"/>
              </w:rPr>
            </w:pPr>
            <w:r w:rsidRPr="0061215E">
              <w:rPr>
                <w:rFonts w:ascii="Arial" w:eastAsia="Calibri" w:hAnsi="Arial" w:cs="Arial"/>
                <w:sz w:val="16"/>
                <w:szCs w:val="16"/>
                <w:lang w:eastAsia="en-US"/>
              </w:rPr>
              <w:t xml:space="preserve">           7,318,091 </w:t>
            </w:r>
          </w:p>
        </w:tc>
        <w:tc>
          <w:tcPr>
            <w:tcW w:w="1110" w:type="dxa"/>
            <w:noWrap/>
            <w:vAlign w:val="center"/>
            <w:hideMark/>
          </w:tcPr>
          <w:p w:rsidR="0061215E" w:rsidRPr="0061215E" w:rsidRDefault="0061215E" w:rsidP="0061215E">
            <w:pPr>
              <w:jc w:val="right"/>
              <w:rPr>
                <w:rFonts w:ascii="Arial" w:eastAsia="Calibri" w:hAnsi="Arial" w:cs="Arial"/>
                <w:sz w:val="16"/>
                <w:szCs w:val="16"/>
                <w:lang w:eastAsia="en-US"/>
              </w:rPr>
            </w:pPr>
            <w:r w:rsidRPr="0061215E">
              <w:rPr>
                <w:rFonts w:ascii="Arial" w:eastAsia="Calibri" w:hAnsi="Arial" w:cs="Arial"/>
                <w:sz w:val="16"/>
                <w:szCs w:val="16"/>
                <w:lang w:eastAsia="en-US"/>
              </w:rPr>
              <w:t xml:space="preserve">                7,813,598 </w:t>
            </w:r>
          </w:p>
        </w:tc>
        <w:tc>
          <w:tcPr>
            <w:tcW w:w="1017" w:type="dxa"/>
            <w:noWrap/>
            <w:vAlign w:val="center"/>
            <w:hideMark/>
          </w:tcPr>
          <w:p w:rsidR="0061215E" w:rsidRPr="0061215E" w:rsidRDefault="0061215E" w:rsidP="0061215E">
            <w:pPr>
              <w:jc w:val="right"/>
              <w:rPr>
                <w:rFonts w:ascii="Arial" w:eastAsia="Calibri" w:hAnsi="Arial" w:cs="Arial"/>
                <w:sz w:val="16"/>
                <w:szCs w:val="16"/>
                <w:lang w:eastAsia="en-US"/>
              </w:rPr>
            </w:pPr>
            <w:r w:rsidRPr="0061215E">
              <w:rPr>
                <w:rFonts w:ascii="Arial" w:eastAsia="Calibri" w:hAnsi="Arial" w:cs="Arial"/>
                <w:sz w:val="16"/>
                <w:szCs w:val="16"/>
                <w:lang w:eastAsia="en-US"/>
              </w:rPr>
              <w:t xml:space="preserve">          7,564,747 </w:t>
            </w:r>
          </w:p>
        </w:tc>
        <w:tc>
          <w:tcPr>
            <w:tcW w:w="1036" w:type="dxa"/>
            <w:noWrap/>
            <w:vAlign w:val="center"/>
            <w:hideMark/>
          </w:tcPr>
          <w:p w:rsidR="0061215E" w:rsidRPr="0061215E" w:rsidRDefault="0061215E" w:rsidP="0061215E">
            <w:pPr>
              <w:jc w:val="right"/>
              <w:rPr>
                <w:rFonts w:ascii="Arial" w:eastAsia="Calibri" w:hAnsi="Arial" w:cs="Arial"/>
                <w:sz w:val="16"/>
                <w:szCs w:val="16"/>
                <w:lang w:eastAsia="en-US"/>
              </w:rPr>
            </w:pPr>
            <w:r w:rsidRPr="0061215E">
              <w:rPr>
                <w:rFonts w:ascii="Arial" w:eastAsia="Calibri" w:hAnsi="Arial" w:cs="Arial"/>
                <w:sz w:val="16"/>
                <w:szCs w:val="16"/>
                <w:lang w:eastAsia="en-US"/>
              </w:rPr>
              <w:t xml:space="preserve">            7,570,054 </w:t>
            </w:r>
          </w:p>
        </w:tc>
      </w:tr>
      <w:tr w:rsidR="0061215E" w:rsidRPr="0061215E" w:rsidTr="00D25960">
        <w:trPr>
          <w:trHeight w:val="330"/>
        </w:trPr>
        <w:tc>
          <w:tcPr>
            <w:tcW w:w="704" w:type="dxa"/>
            <w:noWrap/>
            <w:hideMark/>
          </w:tcPr>
          <w:p w:rsidR="0061215E" w:rsidRPr="0061215E" w:rsidRDefault="0061215E" w:rsidP="0061215E">
            <w:pPr>
              <w:jc w:val="center"/>
              <w:rPr>
                <w:rFonts w:ascii="Arial" w:eastAsia="Calibri" w:hAnsi="Arial" w:cs="Arial"/>
                <w:sz w:val="16"/>
                <w:szCs w:val="16"/>
                <w:lang w:eastAsia="en-US"/>
              </w:rPr>
            </w:pPr>
            <w:r w:rsidRPr="0061215E">
              <w:rPr>
                <w:rFonts w:ascii="Arial" w:eastAsia="Calibri" w:hAnsi="Arial" w:cs="Arial"/>
                <w:sz w:val="16"/>
                <w:szCs w:val="16"/>
                <w:lang w:eastAsia="en-US"/>
              </w:rPr>
              <w:t>92106</w:t>
            </w:r>
          </w:p>
        </w:tc>
        <w:tc>
          <w:tcPr>
            <w:tcW w:w="2579" w:type="dxa"/>
            <w:hideMark/>
          </w:tcPr>
          <w:p w:rsidR="0061215E" w:rsidRPr="0061215E" w:rsidRDefault="0061215E" w:rsidP="0061215E">
            <w:pPr>
              <w:rPr>
                <w:rFonts w:ascii="Arial" w:eastAsia="Calibri" w:hAnsi="Arial" w:cs="Arial"/>
                <w:sz w:val="16"/>
                <w:szCs w:val="16"/>
                <w:lang w:eastAsia="en-US"/>
              </w:rPr>
            </w:pPr>
            <w:r w:rsidRPr="0061215E">
              <w:rPr>
                <w:rFonts w:ascii="Arial" w:eastAsia="Calibri" w:hAnsi="Arial" w:cs="Arial"/>
                <w:sz w:val="16"/>
                <w:szCs w:val="16"/>
                <w:lang w:eastAsia="en-US"/>
              </w:rPr>
              <w:t>Interés Banorte 45523370</w:t>
            </w:r>
          </w:p>
        </w:tc>
        <w:tc>
          <w:tcPr>
            <w:tcW w:w="1134" w:type="dxa"/>
            <w:noWrap/>
            <w:vAlign w:val="center"/>
            <w:hideMark/>
          </w:tcPr>
          <w:p w:rsidR="0061215E" w:rsidRPr="0061215E" w:rsidRDefault="0061215E" w:rsidP="0061215E">
            <w:pPr>
              <w:jc w:val="right"/>
              <w:rPr>
                <w:rFonts w:ascii="Arial" w:eastAsia="Calibri" w:hAnsi="Arial" w:cs="Arial"/>
                <w:sz w:val="16"/>
                <w:szCs w:val="16"/>
                <w:lang w:eastAsia="en-US"/>
              </w:rPr>
            </w:pPr>
            <w:r w:rsidRPr="0061215E">
              <w:rPr>
                <w:rFonts w:ascii="Arial" w:eastAsia="Calibri" w:hAnsi="Arial" w:cs="Arial"/>
                <w:sz w:val="16"/>
                <w:szCs w:val="16"/>
                <w:lang w:eastAsia="en-US"/>
              </w:rPr>
              <w:t>57,954,133</w:t>
            </w:r>
          </w:p>
        </w:tc>
        <w:tc>
          <w:tcPr>
            <w:tcW w:w="1134" w:type="dxa"/>
            <w:noWrap/>
            <w:vAlign w:val="center"/>
            <w:hideMark/>
          </w:tcPr>
          <w:p w:rsidR="0061215E" w:rsidRPr="0061215E" w:rsidRDefault="0061215E" w:rsidP="0061215E">
            <w:pPr>
              <w:jc w:val="right"/>
              <w:rPr>
                <w:rFonts w:ascii="Arial" w:eastAsia="Calibri" w:hAnsi="Arial" w:cs="Arial"/>
                <w:sz w:val="16"/>
                <w:szCs w:val="16"/>
                <w:lang w:eastAsia="en-US"/>
              </w:rPr>
            </w:pPr>
            <w:r w:rsidRPr="0061215E">
              <w:rPr>
                <w:rFonts w:ascii="Arial" w:eastAsia="Calibri" w:hAnsi="Arial" w:cs="Arial"/>
                <w:sz w:val="16"/>
                <w:szCs w:val="16"/>
                <w:lang w:eastAsia="en-US"/>
              </w:rPr>
              <w:t>14,656,791</w:t>
            </w:r>
          </w:p>
        </w:tc>
        <w:tc>
          <w:tcPr>
            <w:tcW w:w="1110" w:type="dxa"/>
            <w:noWrap/>
            <w:vAlign w:val="center"/>
            <w:hideMark/>
          </w:tcPr>
          <w:p w:rsidR="0061215E" w:rsidRPr="0061215E" w:rsidRDefault="0061215E" w:rsidP="0061215E">
            <w:pPr>
              <w:jc w:val="right"/>
              <w:rPr>
                <w:rFonts w:ascii="Arial" w:eastAsia="Calibri" w:hAnsi="Arial" w:cs="Arial"/>
                <w:sz w:val="16"/>
                <w:szCs w:val="16"/>
                <w:lang w:eastAsia="en-US"/>
              </w:rPr>
            </w:pPr>
            <w:r w:rsidRPr="0061215E">
              <w:rPr>
                <w:rFonts w:ascii="Arial" w:eastAsia="Calibri" w:hAnsi="Arial" w:cs="Arial"/>
                <w:sz w:val="16"/>
                <w:szCs w:val="16"/>
                <w:lang w:eastAsia="en-US"/>
              </w:rPr>
              <w:t>14,541,222</w:t>
            </w:r>
          </w:p>
        </w:tc>
        <w:tc>
          <w:tcPr>
            <w:tcW w:w="1017" w:type="dxa"/>
            <w:noWrap/>
            <w:vAlign w:val="center"/>
            <w:hideMark/>
          </w:tcPr>
          <w:p w:rsidR="0061215E" w:rsidRPr="0061215E" w:rsidRDefault="0061215E" w:rsidP="0061215E">
            <w:pPr>
              <w:jc w:val="right"/>
              <w:rPr>
                <w:rFonts w:ascii="Arial" w:eastAsia="Calibri" w:hAnsi="Arial" w:cs="Arial"/>
                <w:sz w:val="16"/>
                <w:szCs w:val="16"/>
                <w:lang w:eastAsia="en-US"/>
              </w:rPr>
            </w:pPr>
            <w:r w:rsidRPr="0061215E">
              <w:rPr>
                <w:rFonts w:ascii="Arial" w:eastAsia="Calibri" w:hAnsi="Arial" w:cs="Arial"/>
                <w:sz w:val="16"/>
                <w:szCs w:val="16"/>
                <w:lang w:eastAsia="en-US"/>
              </w:rPr>
              <w:t>14,430,371</w:t>
            </w:r>
          </w:p>
        </w:tc>
        <w:tc>
          <w:tcPr>
            <w:tcW w:w="1036" w:type="dxa"/>
            <w:noWrap/>
            <w:vAlign w:val="center"/>
            <w:hideMark/>
          </w:tcPr>
          <w:p w:rsidR="0061215E" w:rsidRPr="0061215E" w:rsidRDefault="0061215E" w:rsidP="0061215E">
            <w:pPr>
              <w:jc w:val="right"/>
              <w:rPr>
                <w:rFonts w:ascii="Arial" w:eastAsia="Calibri" w:hAnsi="Arial" w:cs="Arial"/>
                <w:sz w:val="16"/>
                <w:szCs w:val="16"/>
                <w:lang w:eastAsia="en-US"/>
              </w:rPr>
            </w:pPr>
            <w:r w:rsidRPr="0061215E">
              <w:rPr>
                <w:rFonts w:ascii="Arial" w:eastAsia="Calibri" w:hAnsi="Arial" w:cs="Arial"/>
                <w:sz w:val="16"/>
                <w:szCs w:val="16"/>
                <w:lang w:eastAsia="en-US"/>
              </w:rPr>
              <w:t>14,325,750</w:t>
            </w:r>
          </w:p>
        </w:tc>
      </w:tr>
      <w:tr w:rsidR="0061215E" w:rsidRPr="0061215E" w:rsidTr="00D25960">
        <w:trPr>
          <w:trHeight w:val="300"/>
        </w:trPr>
        <w:tc>
          <w:tcPr>
            <w:tcW w:w="704" w:type="dxa"/>
            <w:noWrap/>
            <w:hideMark/>
          </w:tcPr>
          <w:p w:rsidR="0061215E" w:rsidRPr="0061215E" w:rsidRDefault="0061215E" w:rsidP="0061215E">
            <w:pPr>
              <w:jc w:val="center"/>
              <w:rPr>
                <w:rFonts w:ascii="Arial" w:eastAsia="Calibri" w:hAnsi="Arial" w:cs="Arial"/>
                <w:sz w:val="16"/>
                <w:szCs w:val="16"/>
                <w:lang w:eastAsia="en-US"/>
              </w:rPr>
            </w:pPr>
            <w:r w:rsidRPr="0061215E">
              <w:rPr>
                <w:rFonts w:ascii="Arial" w:eastAsia="Calibri" w:hAnsi="Arial" w:cs="Arial"/>
                <w:sz w:val="16"/>
                <w:szCs w:val="16"/>
                <w:lang w:eastAsia="en-US"/>
              </w:rPr>
              <w:t>92107</w:t>
            </w:r>
          </w:p>
        </w:tc>
        <w:tc>
          <w:tcPr>
            <w:tcW w:w="2579" w:type="dxa"/>
            <w:hideMark/>
          </w:tcPr>
          <w:p w:rsidR="0061215E" w:rsidRPr="0061215E" w:rsidRDefault="0061215E" w:rsidP="0061215E">
            <w:pPr>
              <w:rPr>
                <w:rFonts w:ascii="Arial" w:eastAsia="Calibri" w:hAnsi="Arial" w:cs="Arial"/>
                <w:sz w:val="16"/>
                <w:szCs w:val="16"/>
                <w:lang w:eastAsia="en-US"/>
              </w:rPr>
            </w:pPr>
            <w:r w:rsidRPr="0061215E">
              <w:rPr>
                <w:rFonts w:ascii="Arial" w:eastAsia="Calibri" w:hAnsi="Arial" w:cs="Arial"/>
                <w:sz w:val="16"/>
                <w:szCs w:val="16"/>
                <w:lang w:eastAsia="en-US"/>
              </w:rPr>
              <w:t>Interés Banobras 11126,11282</w:t>
            </w:r>
          </w:p>
        </w:tc>
        <w:tc>
          <w:tcPr>
            <w:tcW w:w="1134" w:type="dxa"/>
            <w:noWrap/>
            <w:vAlign w:val="center"/>
            <w:hideMark/>
          </w:tcPr>
          <w:p w:rsidR="0061215E" w:rsidRPr="0061215E" w:rsidRDefault="0061215E" w:rsidP="0061215E">
            <w:pPr>
              <w:jc w:val="right"/>
              <w:rPr>
                <w:rFonts w:ascii="Arial" w:eastAsia="Calibri" w:hAnsi="Arial" w:cs="Arial"/>
                <w:sz w:val="16"/>
                <w:szCs w:val="16"/>
                <w:lang w:eastAsia="en-US"/>
              </w:rPr>
            </w:pPr>
            <w:r w:rsidRPr="0061215E">
              <w:rPr>
                <w:rFonts w:ascii="Arial" w:eastAsia="Calibri" w:hAnsi="Arial" w:cs="Arial"/>
                <w:sz w:val="16"/>
                <w:szCs w:val="16"/>
                <w:lang w:eastAsia="en-US"/>
              </w:rPr>
              <w:t>18,192,763</w:t>
            </w:r>
          </w:p>
        </w:tc>
        <w:tc>
          <w:tcPr>
            <w:tcW w:w="1134" w:type="dxa"/>
            <w:noWrap/>
            <w:vAlign w:val="center"/>
            <w:hideMark/>
          </w:tcPr>
          <w:p w:rsidR="0061215E" w:rsidRPr="0061215E" w:rsidRDefault="0061215E" w:rsidP="0061215E">
            <w:pPr>
              <w:jc w:val="right"/>
              <w:rPr>
                <w:rFonts w:ascii="Arial" w:eastAsia="Calibri" w:hAnsi="Arial" w:cs="Arial"/>
                <w:sz w:val="16"/>
                <w:szCs w:val="16"/>
                <w:lang w:eastAsia="en-US"/>
              </w:rPr>
            </w:pPr>
            <w:r w:rsidRPr="0061215E">
              <w:rPr>
                <w:rFonts w:ascii="Arial" w:eastAsia="Calibri" w:hAnsi="Arial" w:cs="Arial"/>
                <w:sz w:val="16"/>
                <w:szCs w:val="16"/>
                <w:lang w:eastAsia="en-US"/>
              </w:rPr>
              <w:t>4,449,868</w:t>
            </w:r>
          </w:p>
        </w:tc>
        <w:tc>
          <w:tcPr>
            <w:tcW w:w="1110" w:type="dxa"/>
            <w:noWrap/>
            <w:vAlign w:val="center"/>
            <w:hideMark/>
          </w:tcPr>
          <w:p w:rsidR="0061215E" w:rsidRPr="0061215E" w:rsidRDefault="0061215E" w:rsidP="0061215E">
            <w:pPr>
              <w:jc w:val="right"/>
              <w:rPr>
                <w:rFonts w:ascii="Arial" w:eastAsia="Calibri" w:hAnsi="Arial" w:cs="Arial"/>
                <w:sz w:val="16"/>
                <w:szCs w:val="16"/>
                <w:lang w:eastAsia="en-US"/>
              </w:rPr>
            </w:pPr>
            <w:r w:rsidRPr="0061215E">
              <w:rPr>
                <w:rFonts w:ascii="Arial" w:eastAsia="Calibri" w:hAnsi="Arial" w:cs="Arial"/>
                <w:sz w:val="16"/>
                <w:szCs w:val="16"/>
                <w:lang w:eastAsia="en-US"/>
              </w:rPr>
              <w:t>4,546,744</w:t>
            </w:r>
          </w:p>
        </w:tc>
        <w:tc>
          <w:tcPr>
            <w:tcW w:w="1017" w:type="dxa"/>
            <w:noWrap/>
            <w:vAlign w:val="center"/>
            <w:hideMark/>
          </w:tcPr>
          <w:p w:rsidR="0061215E" w:rsidRPr="0061215E" w:rsidRDefault="0061215E" w:rsidP="0061215E">
            <w:pPr>
              <w:jc w:val="right"/>
              <w:rPr>
                <w:rFonts w:ascii="Arial" w:eastAsia="Calibri" w:hAnsi="Arial" w:cs="Arial"/>
                <w:sz w:val="16"/>
                <w:szCs w:val="16"/>
                <w:lang w:eastAsia="en-US"/>
              </w:rPr>
            </w:pPr>
            <w:r w:rsidRPr="0061215E">
              <w:rPr>
                <w:rFonts w:ascii="Arial" w:eastAsia="Calibri" w:hAnsi="Arial" w:cs="Arial"/>
                <w:sz w:val="16"/>
                <w:szCs w:val="16"/>
                <w:lang w:eastAsia="en-US"/>
              </w:rPr>
              <w:t>4,645,905</w:t>
            </w:r>
          </w:p>
        </w:tc>
        <w:tc>
          <w:tcPr>
            <w:tcW w:w="1036" w:type="dxa"/>
            <w:noWrap/>
            <w:vAlign w:val="center"/>
            <w:hideMark/>
          </w:tcPr>
          <w:p w:rsidR="0061215E" w:rsidRPr="0061215E" w:rsidRDefault="0061215E" w:rsidP="0061215E">
            <w:pPr>
              <w:jc w:val="right"/>
              <w:rPr>
                <w:rFonts w:ascii="Arial" w:eastAsia="Calibri" w:hAnsi="Arial" w:cs="Arial"/>
                <w:sz w:val="16"/>
                <w:szCs w:val="16"/>
                <w:lang w:eastAsia="en-US"/>
              </w:rPr>
            </w:pPr>
            <w:r w:rsidRPr="0061215E">
              <w:rPr>
                <w:rFonts w:ascii="Arial" w:eastAsia="Calibri" w:hAnsi="Arial" w:cs="Arial"/>
                <w:sz w:val="16"/>
                <w:szCs w:val="16"/>
                <w:lang w:eastAsia="en-US"/>
              </w:rPr>
              <w:t>4,550,246</w:t>
            </w:r>
          </w:p>
        </w:tc>
      </w:tr>
      <w:tr w:rsidR="0061215E" w:rsidRPr="0061215E" w:rsidTr="00D25960">
        <w:trPr>
          <w:trHeight w:val="300"/>
        </w:trPr>
        <w:tc>
          <w:tcPr>
            <w:tcW w:w="704" w:type="dxa"/>
            <w:noWrap/>
            <w:hideMark/>
          </w:tcPr>
          <w:p w:rsidR="0061215E" w:rsidRPr="0061215E" w:rsidRDefault="0061215E" w:rsidP="0061215E">
            <w:pPr>
              <w:jc w:val="center"/>
              <w:rPr>
                <w:rFonts w:ascii="Arial" w:eastAsia="Calibri" w:hAnsi="Arial" w:cs="Arial"/>
                <w:sz w:val="16"/>
                <w:szCs w:val="16"/>
                <w:lang w:eastAsia="en-US"/>
              </w:rPr>
            </w:pPr>
            <w:r w:rsidRPr="0061215E">
              <w:rPr>
                <w:rFonts w:ascii="Arial" w:eastAsia="Calibri" w:hAnsi="Arial" w:cs="Arial"/>
                <w:sz w:val="16"/>
                <w:szCs w:val="16"/>
                <w:lang w:eastAsia="en-US"/>
              </w:rPr>
              <w:t>92108</w:t>
            </w:r>
          </w:p>
        </w:tc>
        <w:tc>
          <w:tcPr>
            <w:tcW w:w="2579" w:type="dxa"/>
            <w:hideMark/>
          </w:tcPr>
          <w:p w:rsidR="0061215E" w:rsidRPr="0061215E" w:rsidRDefault="0061215E" w:rsidP="0061215E">
            <w:pPr>
              <w:rPr>
                <w:rFonts w:ascii="Arial" w:eastAsia="Calibri" w:hAnsi="Arial" w:cs="Arial"/>
                <w:sz w:val="16"/>
                <w:szCs w:val="16"/>
                <w:lang w:eastAsia="en-US"/>
              </w:rPr>
            </w:pPr>
            <w:r w:rsidRPr="0061215E">
              <w:rPr>
                <w:rFonts w:ascii="Arial" w:eastAsia="Calibri" w:hAnsi="Arial" w:cs="Arial"/>
                <w:sz w:val="16"/>
                <w:szCs w:val="16"/>
                <w:lang w:eastAsia="en-US"/>
              </w:rPr>
              <w:t>Interés Banobras 11149</w:t>
            </w:r>
          </w:p>
        </w:tc>
        <w:tc>
          <w:tcPr>
            <w:tcW w:w="1134" w:type="dxa"/>
            <w:noWrap/>
            <w:vAlign w:val="center"/>
            <w:hideMark/>
          </w:tcPr>
          <w:p w:rsidR="0061215E" w:rsidRPr="0061215E" w:rsidRDefault="0061215E" w:rsidP="0061215E">
            <w:pPr>
              <w:jc w:val="right"/>
              <w:rPr>
                <w:rFonts w:ascii="Arial" w:eastAsia="Calibri" w:hAnsi="Arial" w:cs="Arial"/>
                <w:sz w:val="16"/>
                <w:szCs w:val="16"/>
                <w:lang w:eastAsia="en-US"/>
              </w:rPr>
            </w:pPr>
            <w:r w:rsidRPr="0061215E">
              <w:rPr>
                <w:rFonts w:ascii="Arial" w:eastAsia="Calibri" w:hAnsi="Arial" w:cs="Arial"/>
                <w:sz w:val="16"/>
                <w:szCs w:val="16"/>
                <w:lang w:eastAsia="en-US"/>
              </w:rPr>
              <w:t>41,098,720</w:t>
            </w:r>
          </w:p>
        </w:tc>
        <w:tc>
          <w:tcPr>
            <w:tcW w:w="1134" w:type="dxa"/>
            <w:noWrap/>
            <w:vAlign w:val="center"/>
            <w:hideMark/>
          </w:tcPr>
          <w:p w:rsidR="0061215E" w:rsidRPr="0061215E" w:rsidRDefault="0061215E" w:rsidP="0061215E">
            <w:pPr>
              <w:jc w:val="right"/>
              <w:rPr>
                <w:rFonts w:ascii="Arial" w:eastAsia="Calibri" w:hAnsi="Arial" w:cs="Arial"/>
                <w:sz w:val="16"/>
                <w:szCs w:val="16"/>
                <w:lang w:eastAsia="en-US"/>
              </w:rPr>
            </w:pPr>
            <w:r w:rsidRPr="0061215E">
              <w:rPr>
                <w:rFonts w:ascii="Arial" w:eastAsia="Calibri" w:hAnsi="Arial" w:cs="Arial"/>
                <w:sz w:val="16"/>
                <w:szCs w:val="16"/>
                <w:lang w:eastAsia="en-US"/>
              </w:rPr>
              <w:t>10,231,897</w:t>
            </w:r>
          </w:p>
        </w:tc>
        <w:tc>
          <w:tcPr>
            <w:tcW w:w="1110" w:type="dxa"/>
            <w:noWrap/>
            <w:vAlign w:val="center"/>
            <w:hideMark/>
          </w:tcPr>
          <w:p w:rsidR="0061215E" w:rsidRPr="0061215E" w:rsidRDefault="0061215E" w:rsidP="0061215E">
            <w:pPr>
              <w:jc w:val="right"/>
              <w:rPr>
                <w:rFonts w:ascii="Arial" w:eastAsia="Calibri" w:hAnsi="Arial" w:cs="Arial"/>
                <w:sz w:val="16"/>
                <w:szCs w:val="16"/>
                <w:lang w:eastAsia="en-US"/>
              </w:rPr>
            </w:pPr>
            <w:r w:rsidRPr="0061215E">
              <w:rPr>
                <w:rFonts w:ascii="Arial" w:eastAsia="Calibri" w:hAnsi="Arial" w:cs="Arial"/>
                <w:sz w:val="16"/>
                <w:szCs w:val="16"/>
                <w:lang w:eastAsia="en-US"/>
              </w:rPr>
              <w:t>10,334,453</w:t>
            </w:r>
          </w:p>
        </w:tc>
        <w:tc>
          <w:tcPr>
            <w:tcW w:w="1017" w:type="dxa"/>
            <w:noWrap/>
            <w:vAlign w:val="center"/>
            <w:hideMark/>
          </w:tcPr>
          <w:p w:rsidR="0061215E" w:rsidRPr="0061215E" w:rsidRDefault="0061215E" w:rsidP="0061215E">
            <w:pPr>
              <w:jc w:val="right"/>
              <w:rPr>
                <w:rFonts w:ascii="Arial" w:eastAsia="Calibri" w:hAnsi="Arial" w:cs="Arial"/>
                <w:sz w:val="16"/>
                <w:szCs w:val="16"/>
                <w:lang w:eastAsia="en-US"/>
              </w:rPr>
            </w:pPr>
            <w:r w:rsidRPr="0061215E">
              <w:rPr>
                <w:rFonts w:ascii="Arial" w:eastAsia="Calibri" w:hAnsi="Arial" w:cs="Arial"/>
                <w:sz w:val="16"/>
                <w:szCs w:val="16"/>
                <w:lang w:eastAsia="en-US"/>
              </w:rPr>
              <w:t>10,434,455</w:t>
            </w:r>
          </w:p>
        </w:tc>
        <w:tc>
          <w:tcPr>
            <w:tcW w:w="1036" w:type="dxa"/>
            <w:noWrap/>
            <w:vAlign w:val="center"/>
            <w:hideMark/>
          </w:tcPr>
          <w:p w:rsidR="0061215E" w:rsidRPr="0061215E" w:rsidRDefault="0061215E" w:rsidP="0061215E">
            <w:pPr>
              <w:jc w:val="right"/>
              <w:rPr>
                <w:rFonts w:ascii="Arial" w:eastAsia="Calibri" w:hAnsi="Arial" w:cs="Arial"/>
                <w:sz w:val="16"/>
                <w:szCs w:val="16"/>
                <w:lang w:eastAsia="en-US"/>
              </w:rPr>
            </w:pPr>
            <w:r w:rsidRPr="0061215E">
              <w:rPr>
                <w:rFonts w:ascii="Arial" w:eastAsia="Calibri" w:hAnsi="Arial" w:cs="Arial"/>
                <w:sz w:val="16"/>
                <w:szCs w:val="16"/>
                <w:lang w:eastAsia="en-US"/>
              </w:rPr>
              <w:t>10,097,915</w:t>
            </w:r>
          </w:p>
        </w:tc>
      </w:tr>
      <w:tr w:rsidR="0061215E" w:rsidRPr="0061215E" w:rsidTr="00D25960">
        <w:trPr>
          <w:trHeight w:val="300"/>
        </w:trPr>
        <w:tc>
          <w:tcPr>
            <w:tcW w:w="704" w:type="dxa"/>
            <w:noWrap/>
            <w:hideMark/>
          </w:tcPr>
          <w:p w:rsidR="0061215E" w:rsidRPr="0061215E" w:rsidRDefault="0061215E" w:rsidP="0061215E">
            <w:pPr>
              <w:jc w:val="center"/>
              <w:rPr>
                <w:rFonts w:ascii="Arial" w:eastAsia="Calibri" w:hAnsi="Arial" w:cs="Arial"/>
                <w:sz w:val="16"/>
                <w:szCs w:val="16"/>
                <w:lang w:eastAsia="en-US"/>
              </w:rPr>
            </w:pPr>
            <w:r w:rsidRPr="0061215E">
              <w:rPr>
                <w:rFonts w:ascii="Arial" w:eastAsia="Calibri" w:hAnsi="Arial" w:cs="Arial"/>
                <w:sz w:val="16"/>
                <w:szCs w:val="16"/>
                <w:lang w:eastAsia="en-US"/>
              </w:rPr>
              <w:t>92113</w:t>
            </w:r>
          </w:p>
        </w:tc>
        <w:tc>
          <w:tcPr>
            <w:tcW w:w="2579" w:type="dxa"/>
            <w:hideMark/>
          </w:tcPr>
          <w:p w:rsidR="0061215E" w:rsidRPr="0061215E" w:rsidRDefault="0061215E" w:rsidP="0061215E">
            <w:pPr>
              <w:rPr>
                <w:rFonts w:ascii="Arial" w:eastAsia="Calibri" w:hAnsi="Arial" w:cs="Arial"/>
                <w:sz w:val="16"/>
                <w:szCs w:val="16"/>
                <w:lang w:eastAsia="en-US"/>
              </w:rPr>
            </w:pPr>
            <w:r w:rsidRPr="0061215E">
              <w:rPr>
                <w:rFonts w:ascii="Arial" w:eastAsia="Calibri" w:hAnsi="Arial" w:cs="Arial"/>
                <w:sz w:val="16"/>
                <w:szCs w:val="16"/>
                <w:lang w:eastAsia="en-US"/>
              </w:rPr>
              <w:t>Intereses Crédito Interacciones 430259</w:t>
            </w:r>
          </w:p>
        </w:tc>
        <w:tc>
          <w:tcPr>
            <w:tcW w:w="1134" w:type="dxa"/>
            <w:noWrap/>
            <w:vAlign w:val="center"/>
            <w:hideMark/>
          </w:tcPr>
          <w:p w:rsidR="0061215E" w:rsidRPr="0061215E" w:rsidRDefault="0061215E" w:rsidP="0061215E">
            <w:pPr>
              <w:jc w:val="right"/>
              <w:rPr>
                <w:rFonts w:ascii="Arial" w:eastAsia="Calibri" w:hAnsi="Arial" w:cs="Arial"/>
                <w:sz w:val="16"/>
                <w:szCs w:val="16"/>
                <w:lang w:eastAsia="en-US"/>
              </w:rPr>
            </w:pPr>
            <w:r w:rsidRPr="0061215E">
              <w:rPr>
                <w:rFonts w:ascii="Arial" w:eastAsia="Calibri" w:hAnsi="Arial" w:cs="Arial"/>
                <w:sz w:val="16"/>
                <w:szCs w:val="16"/>
                <w:lang w:eastAsia="en-US"/>
              </w:rPr>
              <w:t>61,661,681</w:t>
            </w:r>
          </w:p>
        </w:tc>
        <w:tc>
          <w:tcPr>
            <w:tcW w:w="1134" w:type="dxa"/>
            <w:noWrap/>
            <w:vAlign w:val="center"/>
            <w:hideMark/>
          </w:tcPr>
          <w:p w:rsidR="0061215E" w:rsidRPr="0061215E" w:rsidRDefault="0061215E" w:rsidP="0061215E">
            <w:pPr>
              <w:jc w:val="right"/>
              <w:rPr>
                <w:rFonts w:ascii="Arial" w:eastAsia="Calibri" w:hAnsi="Arial" w:cs="Arial"/>
                <w:sz w:val="16"/>
                <w:szCs w:val="16"/>
                <w:lang w:eastAsia="en-US"/>
              </w:rPr>
            </w:pPr>
            <w:r w:rsidRPr="0061215E">
              <w:rPr>
                <w:rFonts w:ascii="Arial" w:eastAsia="Calibri" w:hAnsi="Arial" w:cs="Arial"/>
                <w:sz w:val="16"/>
                <w:szCs w:val="16"/>
                <w:lang w:eastAsia="en-US"/>
              </w:rPr>
              <w:t>15,501,184</w:t>
            </w:r>
          </w:p>
        </w:tc>
        <w:tc>
          <w:tcPr>
            <w:tcW w:w="1110" w:type="dxa"/>
            <w:noWrap/>
            <w:vAlign w:val="center"/>
            <w:hideMark/>
          </w:tcPr>
          <w:p w:rsidR="0061215E" w:rsidRPr="0061215E" w:rsidRDefault="0061215E" w:rsidP="0061215E">
            <w:pPr>
              <w:jc w:val="right"/>
              <w:rPr>
                <w:rFonts w:ascii="Arial" w:eastAsia="Calibri" w:hAnsi="Arial" w:cs="Arial"/>
                <w:sz w:val="16"/>
                <w:szCs w:val="16"/>
                <w:lang w:eastAsia="en-US"/>
              </w:rPr>
            </w:pPr>
            <w:r w:rsidRPr="0061215E">
              <w:rPr>
                <w:rFonts w:ascii="Arial" w:eastAsia="Calibri" w:hAnsi="Arial" w:cs="Arial"/>
                <w:sz w:val="16"/>
                <w:szCs w:val="16"/>
                <w:lang w:eastAsia="en-US"/>
              </w:rPr>
              <w:t>15,439,555</w:t>
            </w:r>
          </w:p>
        </w:tc>
        <w:tc>
          <w:tcPr>
            <w:tcW w:w="1017" w:type="dxa"/>
            <w:noWrap/>
            <w:vAlign w:val="center"/>
            <w:hideMark/>
          </w:tcPr>
          <w:p w:rsidR="0061215E" w:rsidRPr="0061215E" w:rsidRDefault="0061215E" w:rsidP="0061215E">
            <w:pPr>
              <w:jc w:val="right"/>
              <w:rPr>
                <w:rFonts w:ascii="Arial" w:eastAsia="Calibri" w:hAnsi="Arial" w:cs="Arial"/>
                <w:sz w:val="16"/>
                <w:szCs w:val="16"/>
                <w:lang w:eastAsia="en-US"/>
              </w:rPr>
            </w:pPr>
            <w:r w:rsidRPr="0061215E">
              <w:rPr>
                <w:rFonts w:ascii="Arial" w:eastAsia="Calibri" w:hAnsi="Arial" w:cs="Arial"/>
                <w:sz w:val="16"/>
                <w:szCs w:val="16"/>
                <w:lang w:eastAsia="en-US"/>
              </w:rPr>
              <w:t>15,384,171</w:t>
            </w:r>
          </w:p>
        </w:tc>
        <w:tc>
          <w:tcPr>
            <w:tcW w:w="1036" w:type="dxa"/>
            <w:noWrap/>
            <w:vAlign w:val="center"/>
            <w:hideMark/>
          </w:tcPr>
          <w:p w:rsidR="0061215E" w:rsidRPr="0061215E" w:rsidRDefault="0061215E" w:rsidP="0061215E">
            <w:pPr>
              <w:jc w:val="right"/>
              <w:rPr>
                <w:rFonts w:ascii="Arial" w:eastAsia="Calibri" w:hAnsi="Arial" w:cs="Arial"/>
                <w:sz w:val="16"/>
                <w:szCs w:val="16"/>
                <w:lang w:eastAsia="en-US"/>
              </w:rPr>
            </w:pPr>
            <w:r w:rsidRPr="0061215E">
              <w:rPr>
                <w:rFonts w:ascii="Arial" w:eastAsia="Calibri" w:hAnsi="Arial" w:cs="Arial"/>
                <w:sz w:val="16"/>
                <w:szCs w:val="16"/>
                <w:lang w:eastAsia="en-US"/>
              </w:rPr>
              <w:t>15,336,770</w:t>
            </w:r>
          </w:p>
        </w:tc>
      </w:tr>
      <w:tr w:rsidR="0061215E" w:rsidRPr="0061215E" w:rsidTr="00D25960">
        <w:trPr>
          <w:trHeight w:val="300"/>
        </w:trPr>
        <w:tc>
          <w:tcPr>
            <w:tcW w:w="704" w:type="dxa"/>
            <w:noWrap/>
            <w:hideMark/>
          </w:tcPr>
          <w:p w:rsidR="0061215E" w:rsidRPr="0061215E" w:rsidRDefault="0061215E" w:rsidP="0061215E">
            <w:pPr>
              <w:jc w:val="center"/>
              <w:rPr>
                <w:rFonts w:ascii="Arial" w:eastAsia="Calibri" w:hAnsi="Arial" w:cs="Arial"/>
                <w:b/>
                <w:bCs/>
                <w:sz w:val="16"/>
                <w:szCs w:val="16"/>
                <w:lang w:eastAsia="en-US"/>
              </w:rPr>
            </w:pPr>
            <w:r w:rsidRPr="0061215E">
              <w:rPr>
                <w:rFonts w:ascii="Arial" w:eastAsia="Calibri" w:hAnsi="Arial" w:cs="Arial"/>
                <w:b/>
                <w:bCs/>
                <w:sz w:val="16"/>
                <w:szCs w:val="16"/>
                <w:lang w:eastAsia="en-US"/>
              </w:rPr>
              <w:t>93000</w:t>
            </w:r>
          </w:p>
        </w:tc>
        <w:tc>
          <w:tcPr>
            <w:tcW w:w="2579" w:type="dxa"/>
            <w:hideMark/>
          </w:tcPr>
          <w:p w:rsidR="0061215E" w:rsidRPr="0061215E" w:rsidRDefault="0061215E" w:rsidP="0061215E">
            <w:pPr>
              <w:rPr>
                <w:rFonts w:ascii="Arial" w:eastAsia="Calibri" w:hAnsi="Arial" w:cs="Arial"/>
                <w:b/>
                <w:bCs/>
                <w:sz w:val="16"/>
                <w:szCs w:val="16"/>
                <w:lang w:eastAsia="en-US"/>
              </w:rPr>
            </w:pPr>
            <w:r w:rsidRPr="0061215E">
              <w:rPr>
                <w:rFonts w:ascii="Arial" w:eastAsia="Calibri" w:hAnsi="Arial" w:cs="Arial"/>
                <w:b/>
                <w:bCs/>
                <w:sz w:val="16"/>
                <w:szCs w:val="16"/>
                <w:lang w:eastAsia="en-US"/>
              </w:rPr>
              <w:t>Comisiones de la Deuda Pública</w:t>
            </w:r>
          </w:p>
        </w:tc>
        <w:tc>
          <w:tcPr>
            <w:tcW w:w="1134" w:type="dxa"/>
            <w:noWrap/>
            <w:vAlign w:val="center"/>
            <w:hideMark/>
          </w:tcPr>
          <w:p w:rsidR="0061215E" w:rsidRPr="0061215E" w:rsidRDefault="0061215E" w:rsidP="0061215E">
            <w:pPr>
              <w:jc w:val="right"/>
              <w:rPr>
                <w:rFonts w:ascii="Arial" w:eastAsia="Calibri" w:hAnsi="Arial" w:cs="Arial"/>
                <w:sz w:val="16"/>
                <w:szCs w:val="16"/>
                <w:lang w:eastAsia="en-US"/>
              </w:rPr>
            </w:pPr>
            <w:r w:rsidRPr="0061215E">
              <w:rPr>
                <w:rFonts w:ascii="Arial" w:eastAsia="Calibri" w:hAnsi="Arial" w:cs="Arial"/>
                <w:sz w:val="16"/>
                <w:szCs w:val="16"/>
                <w:lang w:eastAsia="en-US"/>
              </w:rPr>
              <w:t>0</w:t>
            </w:r>
          </w:p>
        </w:tc>
        <w:tc>
          <w:tcPr>
            <w:tcW w:w="1134" w:type="dxa"/>
            <w:noWrap/>
            <w:vAlign w:val="center"/>
            <w:hideMark/>
          </w:tcPr>
          <w:p w:rsidR="0061215E" w:rsidRPr="0061215E" w:rsidRDefault="0061215E" w:rsidP="0061215E">
            <w:pPr>
              <w:jc w:val="right"/>
              <w:rPr>
                <w:rFonts w:ascii="Arial" w:eastAsia="Calibri" w:hAnsi="Arial" w:cs="Arial"/>
                <w:sz w:val="16"/>
                <w:szCs w:val="16"/>
                <w:lang w:eastAsia="en-US"/>
              </w:rPr>
            </w:pPr>
            <w:r w:rsidRPr="0061215E">
              <w:rPr>
                <w:rFonts w:ascii="Arial" w:eastAsia="Calibri" w:hAnsi="Arial" w:cs="Arial"/>
                <w:sz w:val="16"/>
                <w:szCs w:val="16"/>
                <w:lang w:eastAsia="en-US"/>
              </w:rPr>
              <w:t>0</w:t>
            </w:r>
          </w:p>
        </w:tc>
        <w:tc>
          <w:tcPr>
            <w:tcW w:w="1110" w:type="dxa"/>
            <w:noWrap/>
            <w:vAlign w:val="center"/>
            <w:hideMark/>
          </w:tcPr>
          <w:p w:rsidR="0061215E" w:rsidRPr="0061215E" w:rsidRDefault="0061215E" w:rsidP="0061215E">
            <w:pPr>
              <w:jc w:val="right"/>
              <w:rPr>
                <w:rFonts w:ascii="Arial" w:eastAsia="Calibri" w:hAnsi="Arial" w:cs="Arial"/>
                <w:sz w:val="16"/>
                <w:szCs w:val="16"/>
                <w:lang w:eastAsia="en-US"/>
              </w:rPr>
            </w:pPr>
            <w:r w:rsidRPr="0061215E">
              <w:rPr>
                <w:rFonts w:ascii="Arial" w:eastAsia="Calibri" w:hAnsi="Arial" w:cs="Arial"/>
                <w:sz w:val="16"/>
                <w:szCs w:val="16"/>
                <w:lang w:eastAsia="en-US"/>
              </w:rPr>
              <w:t>0</w:t>
            </w:r>
          </w:p>
        </w:tc>
        <w:tc>
          <w:tcPr>
            <w:tcW w:w="1017" w:type="dxa"/>
            <w:noWrap/>
            <w:vAlign w:val="center"/>
            <w:hideMark/>
          </w:tcPr>
          <w:p w:rsidR="0061215E" w:rsidRPr="0061215E" w:rsidRDefault="0061215E" w:rsidP="0061215E">
            <w:pPr>
              <w:jc w:val="right"/>
              <w:rPr>
                <w:rFonts w:ascii="Arial" w:eastAsia="Calibri" w:hAnsi="Arial" w:cs="Arial"/>
                <w:sz w:val="16"/>
                <w:szCs w:val="16"/>
                <w:lang w:eastAsia="en-US"/>
              </w:rPr>
            </w:pPr>
            <w:r w:rsidRPr="0061215E">
              <w:rPr>
                <w:rFonts w:ascii="Arial" w:eastAsia="Calibri" w:hAnsi="Arial" w:cs="Arial"/>
                <w:sz w:val="16"/>
                <w:szCs w:val="16"/>
                <w:lang w:eastAsia="en-US"/>
              </w:rPr>
              <w:t>0</w:t>
            </w:r>
          </w:p>
        </w:tc>
        <w:tc>
          <w:tcPr>
            <w:tcW w:w="1036" w:type="dxa"/>
            <w:noWrap/>
            <w:vAlign w:val="center"/>
            <w:hideMark/>
          </w:tcPr>
          <w:p w:rsidR="0061215E" w:rsidRPr="0061215E" w:rsidRDefault="0061215E" w:rsidP="0061215E">
            <w:pPr>
              <w:jc w:val="right"/>
              <w:rPr>
                <w:rFonts w:ascii="Arial" w:eastAsia="Calibri" w:hAnsi="Arial" w:cs="Arial"/>
                <w:sz w:val="16"/>
                <w:szCs w:val="16"/>
                <w:lang w:eastAsia="en-US"/>
              </w:rPr>
            </w:pPr>
            <w:r w:rsidRPr="0061215E">
              <w:rPr>
                <w:rFonts w:ascii="Arial" w:eastAsia="Calibri" w:hAnsi="Arial" w:cs="Arial"/>
                <w:sz w:val="16"/>
                <w:szCs w:val="16"/>
                <w:lang w:eastAsia="en-US"/>
              </w:rPr>
              <w:t>0</w:t>
            </w:r>
          </w:p>
        </w:tc>
      </w:tr>
      <w:tr w:rsidR="0061215E" w:rsidRPr="0061215E" w:rsidTr="00D25960">
        <w:trPr>
          <w:trHeight w:val="300"/>
        </w:trPr>
        <w:tc>
          <w:tcPr>
            <w:tcW w:w="704" w:type="dxa"/>
            <w:noWrap/>
            <w:hideMark/>
          </w:tcPr>
          <w:p w:rsidR="0061215E" w:rsidRPr="0061215E" w:rsidRDefault="0061215E" w:rsidP="0061215E">
            <w:pPr>
              <w:jc w:val="center"/>
              <w:rPr>
                <w:rFonts w:ascii="Arial" w:eastAsia="Calibri" w:hAnsi="Arial" w:cs="Arial"/>
                <w:b/>
                <w:bCs/>
                <w:sz w:val="16"/>
                <w:szCs w:val="16"/>
                <w:lang w:eastAsia="en-US"/>
              </w:rPr>
            </w:pPr>
            <w:r w:rsidRPr="0061215E">
              <w:rPr>
                <w:rFonts w:ascii="Arial" w:eastAsia="Calibri" w:hAnsi="Arial" w:cs="Arial"/>
                <w:b/>
                <w:bCs/>
                <w:sz w:val="16"/>
                <w:szCs w:val="16"/>
                <w:lang w:eastAsia="en-US"/>
              </w:rPr>
              <w:t>94000</w:t>
            </w:r>
          </w:p>
        </w:tc>
        <w:tc>
          <w:tcPr>
            <w:tcW w:w="2579" w:type="dxa"/>
            <w:hideMark/>
          </w:tcPr>
          <w:p w:rsidR="0061215E" w:rsidRPr="0061215E" w:rsidRDefault="0061215E" w:rsidP="0061215E">
            <w:pPr>
              <w:rPr>
                <w:rFonts w:ascii="Arial" w:eastAsia="Calibri" w:hAnsi="Arial" w:cs="Arial"/>
                <w:b/>
                <w:bCs/>
                <w:sz w:val="16"/>
                <w:szCs w:val="16"/>
                <w:lang w:eastAsia="en-US"/>
              </w:rPr>
            </w:pPr>
            <w:r w:rsidRPr="0061215E">
              <w:rPr>
                <w:rFonts w:ascii="Arial" w:eastAsia="Calibri" w:hAnsi="Arial" w:cs="Arial"/>
                <w:b/>
                <w:bCs/>
                <w:sz w:val="16"/>
                <w:szCs w:val="16"/>
                <w:lang w:eastAsia="en-US"/>
              </w:rPr>
              <w:t>Gastos de la Deuda Pública</w:t>
            </w:r>
          </w:p>
        </w:tc>
        <w:tc>
          <w:tcPr>
            <w:tcW w:w="1134" w:type="dxa"/>
            <w:noWrap/>
            <w:vAlign w:val="center"/>
            <w:hideMark/>
          </w:tcPr>
          <w:p w:rsidR="0061215E" w:rsidRPr="0061215E" w:rsidRDefault="0061215E" w:rsidP="0061215E">
            <w:pPr>
              <w:jc w:val="right"/>
              <w:rPr>
                <w:rFonts w:ascii="Arial" w:eastAsia="Calibri" w:hAnsi="Arial" w:cs="Arial"/>
                <w:sz w:val="16"/>
                <w:szCs w:val="16"/>
                <w:lang w:eastAsia="en-US"/>
              </w:rPr>
            </w:pPr>
            <w:r w:rsidRPr="0061215E">
              <w:rPr>
                <w:rFonts w:ascii="Arial" w:eastAsia="Calibri" w:hAnsi="Arial" w:cs="Arial"/>
                <w:sz w:val="16"/>
                <w:szCs w:val="16"/>
                <w:lang w:eastAsia="en-US"/>
              </w:rPr>
              <w:t>0</w:t>
            </w:r>
          </w:p>
        </w:tc>
        <w:tc>
          <w:tcPr>
            <w:tcW w:w="1134" w:type="dxa"/>
            <w:noWrap/>
            <w:vAlign w:val="center"/>
            <w:hideMark/>
          </w:tcPr>
          <w:p w:rsidR="0061215E" w:rsidRPr="0061215E" w:rsidRDefault="0061215E" w:rsidP="0061215E">
            <w:pPr>
              <w:jc w:val="right"/>
              <w:rPr>
                <w:rFonts w:ascii="Arial" w:eastAsia="Calibri" w:hAnsi="Arial" w:cs="Arial"/>
                <w:sz w:val="16"/>
                <w:szCs w:val="16"/>
                <w:lang w:eastAsia="en-US"/>
              </w:rPr>
            </w:pPr>
            <w:r w:rsidRPr="0061215E">
              <w:rPr>
                <w:rFonts w:ascii="Arial" w:eastAsia="Calibri" w:hAnsi="Arial" w:cs="Arial"/>
                <w:sz w:val="16"/>
                <w:szCs w:val="16"/>
                <w:lang w:eastAsia="en-US"/>
              </w:rPr>
              <w:t>0</w:t>
            </w:r>
          </w:p>
        </w:tc>
        <w:tc>
          <w:tcPr>
            <w:tcW w:w="1110" w:type="dxa"/>
            <w:noWrap/>
            <w:vAlign w:val="center"/>
            <w:hideMark/>
          </w:tcPr>
          <w:p w:rsidR="0061215E" w:rsidRPr="0061215E" w:rsidRDefault="0061215E" w:rsidP="0061215E">
            <w:pPr>
              <w:jc w:val="right"/>
              <w:rPr>
                <w:rFonts w:ascii="Arial" w:eastAsia="Calibri" w:hAnsi="Arial" w:cs="Arial"/>
                <w:sz w:val="16"/>
                <w:szCs w:val="16"/>
                <w:lang w:eastAsia="en-US"/>
              </w:rPr>
            </w:pPr>
            <w:r w:rsidRPr="0061215E">
              <w:rPr>
                <w:rFonts w:ascii="Arial" w:eastAsia="Calibri" w:hAnsi="Arial" w:cs="Arial"/>
                <w:sz w:val="16"/>
                <w:szCs w:val="16"/>
                <w:lang w:eastAsia="en-US"/>
              </w:rPr>
              <w:t>0</w:t>
            </w:r>
          </w:p>
        </w:tc>
        <w:tc>
          <w:tcPr>
            <w:tcW w:w="1017" w:type="dxa"/>
            <w:noWrap/>
            <w:vAlign w:val="center"/>
            <w:hideMark/>
          </w:tcPr>
          <w:p w:rsidR="0061215E" w:rsidRPr="0061215E" w:rsidRDefault="0061215E" w:rsidP="0061215E">
            <w:pPr>
              <w:jc w:val="right"/>
              <w:rPr>
                <w:rFonts w:ascii="Arial" w:eastAsia="Calibri" w:hAnsi="Arial" w:cs="Arial"/>
                <w:sz w:val="16"/>
                <w:szCs w:val="16"/>
                <w:lang w:eastAsia="en-US"/>
              </w:rPr>
            </w:pPr>
            <w:r w:rsidRPr="0061215E">
              <w:rPr>
                <w:rFonts w:ascii="Arial" w:eastAsia="Calibri" w:hAnsi="Arial" w:cs="Arial"/>
                <w:sz w:val="16"/>
                <w:szCs w:val="16"/>
                <w:lang w:eastAsia="en-US"/>
              </w:rPr>
              <w:t>0</w:t>
            </w:r>
          </w:p>
        </w:tc>
        <w:tc>
          <w:tcPr>
            <w:tcW w:w="1036" w:type="dxa"/>
            <w:noWrap/>
            <w:vAlign w:val="center"/>
            <w:hideMark/>
          </w:tcPr>
          <w:p w:rsidR="0061215E" w:rsidRPr="0061215E" w:rsidRDefault="0061215E" w:rsidP="0061215E">
            <w:pPr>
              <w:jc w:val="right"/>
              <w:rPr>
                <w:rFonts w:ascii="Arial" w:eastAsia="Calibri" w:hAnsi="Arial" w:cs="Arial"/>
                <w:sz w:val="16"/>
                <w:szCs w:val="16"/>
                <w:lang w:eastAsia="en-US"/>
              </w:rPr>
            </w:pPr>
            <w:r w:rsidRPr="0061215E">
              <w:rPr>
                <w:rFonts w:ascii="Arial" w:eastAsia="Calibri" w:hAnsi="Arial" w:cs="Arial"/>
                <w:sz w:val="16"/>
                <w:szCs w:val="16"/>
                <w:lang w:eastAsia="en-US"/>
              </w:rPr>
              <w:t>0</w:t>
            </w:r>
          </w:p>
        </w:tc>
      </w:tr>
      <w:tr w:rsidR="0061215E" w:rsidRPr="0061215E" w:rsidTr="00D25960">
        <w:trPr>
          <w:trHeight w:val="300"/>
        </w:trPr>
        <w:tc>
          <w:tcPr>
            <w:tcW w:w="704" w:type="dxa"/>
            <w:noWrap/>
            <w:hideMark/>
          </w:tcPr>
          <w:p w:rsidR="0061215E" w:rsidRPr="0061215E" w:rsidRDefault="0061215E" w:rsidP="0061215E">
            <w:pPr>
              <w:jc w:val="center"/>
              <w:rPr>
                <w:rFonts w:ascii="Arial" w:eastAsia="Calibri" w:hAnsi="Arial" w:cs="Arial"/>
                <w:b/>
                <w:bCs/>
                <w:sz w:val="16"/>
                <w:szCs w:val="16"/>
                <w:lang w:eastAsia="en-US"/>
              </w:rPr>
            </w:pPr>
            <w:r w:rsidRPr="0061215E">
              <w:rPr>
                <w:rFonts w:ascii="Arial" w:eastAsia="Calibri" w:hAnsi="Arial" w:cs="Arial"/>
                <w:b/>
                <w:bCs/>
                <w:sz w:val="16"/>
                <w:szCs w:val="16"/>
                <w:lang w:eastAsia="en-US"/>
              </w:rPr>
              <w:t>95000</w:t>
            </w:r>
          </w:p>
        </w:tc>
        <w:tc>
          <w:tcPr>
            <w:tcW w:w="2579" w:type="dxa"/>
            <w:hideMark/>
          </w:tcPr>
          <w:p w:rsidR="0061215E" w:rsidRPr="0061215E" w:rsidRDefault="0061215E" w:rsidP="0061215E">
            <w:pPr>
              <w:rPr>
                <w:rFonts w:ascii="Arial" w:eastAsia="Calibri" w:hAnsi="Arial" w:cs="Arial"/>
                <w:b/>
                <w:bCs/>
                <w:sz w:val="16"/>
                <w:szCs w:val="16"/>
                <w:lang w:eastAsia="en-US"/>
              </w:rPr>
            </w:pPr>
            <w:r w:rsidRPr="0061215E">
              <w:rPr>
                <w:rFonts w:ascii="Arial" w:eastAsia="Calibri" w:hAnsi="Arial" w:cs="Arial"/>
                <w:b/>
                <w:bCs/>
                <w:sz w:val="16"/>
                <w:szCs w:val="16"/>
                <w:lang w:eastAsia="en-US"/>
              </w:rPr>
              <w:t>COSTO POR COBERTURAS</w:t>
            </w:r>
          </w:p>
        </w:tc>
        <w:tc>
          <w:tcPr>
            <w:tcW w:w="1134" w:type="dxa"/>
            <w:noWrap/>
            <w:vAlign w:val="center"/>
            <w:hideMark/>
          </w:tcPr>
          <w:p w:rsidR="0061215E" w:rsidRPr="0061215E" w:rsidRDefault="0061215E" w:rsidP="0061215E">
            <w:pPr>
              <w:jc w:val="right"/>
              <w:rPr>
                <w:rFonts w:ascii="Arial" w:eastAsia="Calibri" w:hAnsi="Arial" w:cs="Arial"/>
                <w:b/>
                <w:bCs/>
                <w:sz w:val="16"/>
                <w:szCs w:val="16"/>
                <w:lang w:eastAsia="en-US"/>
              </w:rPr>
            </w:pPr>
            <w:r w:rsidRPr="0061215E">
              <w:rPr>
                <w:rFonts w:ascii="Arial" w:eastAsia="Calibri" w:hAnsi="Arial" w:cs="Arial"/>
                <w:b/>
                <w:bCs/>
                <w:sz w:val="16"/>
                <w:szCs w:val="16"/>
                <w:lang w:eastAsia="en-US"/>
              </w:rPr>
              <w:t>2,200,000</w:t>
            </w:r>
          </w:p>
        </w:tc>
        <w:tc>
          <w:tcPr>
            <w:tcW w:w="1134" w:type="dxa"/>
            <w:noWrap/>
            <w:vAlign w:val="center"/>
            <w:hideMark/>
          </w:tcPr>
          <w:p w:rsidR="0061215E" w:rsidRPr="0061215E" w:rsidRDefault="0061215E" w:rsidP="0061215E">
            <w:pPr>
              <w:jc w:val="right"/>
              <w:rPr>
                <w:rFonts w:ascii="Arial" w:eastAsia="Calibri" w:hAnsi="Arial" w:cs="Arial"/>
                <w:b/>
                <w:bCs/>
                <w:sz w:val="16"/>
                <w:szCs w:val="16"/>
                <w:lang w:eastAsia="en-US"/>
              </w:rPr>
            </w:pPr>
            <w:r w:rsidRPr="0061215E">
              <w:rPr>
                <w:rFonts w:ascii="Arial" w:eastAsia="Calibri" w:hAnsi="Arial" w:cs="Arial"/>
                <w:b/>
                <w:bCs/>
                <w:sz w:val="16"/>
                <w:szCs w:val="16"/>
                <w:lang w:eastAsia="en-US"/>
              </w:rPr>
              <w:t>600,000</w:t>
            </w:r>
          </w:p>
        </w:tc>
        <w:tc>
          <w:tcPr>
            <w:tcW w:w="1110" w:type="dxa"/>
            <w:noWrap/>
            <w:vAlign w:val="center"/>
            <w:hideMark/>
          </w:tcPr>
          <w:p w:rsidR="0061215E" w:rsidRPr="0061215E" w:rsidRDefault="0061215E" w:rsidP="0061215E">
            <w:pPr>
              <w:jc w:val="right"/>
              <w:rPr>
                <w:rFonts w:ascii="Arial" w:eastAsia="Calibri" w:hAnsi="Arial" w:cs="Arial"/>
                <w:b/>
                <w:bCs/>
                <w:sz w:val="16"/>
                <w:szCs w:val="16"/>
                <w:lang w:eastAsia="en-US"/>
              </w:rPr>
            </w:pPr>
            <w:r w:rsidRPr="0061215E">
              <w:rPr>
                <w:rFonts w:ascii="Arial" w:eastAsia="Calibri" w:hAnsi="Arial" w:cs="Arial"/>
                <w:b/>
                <w:bCs/>
                <w:sz w:val="16"/>
                <w:szCs w:val="16"/>
                <w:lang w:eastAsia="en-US"/>
              </w:rPr>
              <w:t>600,000</w:t>
            </w:r>
          </w:p>
        </w:tc>
        <w:tc>
          <w:tcPr>
            <w:tcW w:w="1017" w:type="dxa"/>
            <w:noWrap/>
            <w:vAlign w:val="center"/>
            <w:hideMark/>
          </w:tcPr>
          <w:p w:rsidR="0061215E" w:rsidRPr="0061215E" w:rsidRDefault="0061215E" w:rsidP="0061215E">
            <w:pPr>
              <w:jc w:val="right"/>
              <w:rPr>
                <w:rFonts w:ascii="Arial" w:eastAsia="Calibri" w:hAnsi="Arial" w:cs="Arial"/>
                <w:b/>
                <w:bCs/>
                <w:sz w:val="16"/>
                <w:szCs w:val="16"/>
                <w:lang w:eastAsia="en-US"/>
              </w:rPr>
            </w:pPr>
            <w:r w:rsidRPr="0061215E">
              <w:rPr>
                <w:rFonts w:ascii="Arial" w:eastAsia="Calibri" w:hAnsi="Arial" w:cs="Arial"/>
                <w:b/>
                <w:bCs/>
                <w:sz w:val="16"/>
                <w:szCs w:val="16"/>
                <w:lang w:eastAsia="en-US"/>
              </w:rPr>
              <w:t>600,000</w:t>
            </w:r>
          </w:p>
        </w:tc>
        <w:tc>
          <w:tcPr>
            <w:tcW w:w="1036" w:type="dxa"/>
            <w:noWrap/>
            <w:vAlign w:val="center"/>
            <w:hideMark/>
          </w:tcPr>
          <w:p w:rsidR="0061215E" w:rsidRPr="0061215E" w:rsidRDefault="0061215E" w:rsidP="0061215E">
            <w:pPr>
              <w:jc w:val="right"/>
              <w:rPr>
                <w:rFonts w:ascii="Arial" w:eastAsia="Calibri" w:hAnsi="Arial" w:cs="Arial"/>
                <w:b/>
                <w:bCs/>
                <w:sz w:val="16"/>
                <w:szCs w:val="16"/>
                <w:lang w:eastAsia="en-US"/>
              </w:rPr>
            </w:pPr>
            <w:r w:rsidRPr="0061215E">
              <w:rPr>
                <w:rFonts w:ascii="Arial" w:eastAsia="Calibri" w:hAnsi="Arial" w:cs="Arial"/>
                <w:b/>
                <w:bCs/>
                <w:sz w:val="16"/>
                <w:szCs w:val="16"/>
                <w:lang w:eastAsia="en-US"/>
              </w:rPr>
              <w:t>400,000</w:t>
            </w:r>
          </w:p>
        </w:tc>
      </w:tr>
      <w:tr w:rsidR="0061215E" w:rsidRPr="0061215E" w:rsidTr="00D25960">
        <w:trPr>
          <w:trHeight w:val="300"/>
        </w:trPr>
        <w:tc>
          <w:tcPr>
            <w:tcW w:w="704" w:type="dxa"/>
            <w:noWrap/>
            <w:hideMark/>
          </w:tcPr>
          <w:p w:rsidR="0061215E" w:rsidRPr="0061215E" w:rsidRDefault="0061215E" w:rsidP="0061215E">
            <w:pPr>
              <w:jc w:val="center"/>
              <w:rPr>
                <w:rFonts w:ascii="Arial" w:eastAsia="Calibri" w:hAnsi="Arial" w:cs="Arial"/>
                <w:b/>
                <w:bCs/>
                <w:sz w:val="16"/>
                <w:szCs w:val="16"/>
                <w:lang w:eastAsia="en-US"/>
              </w:rPr>
            </w:pPr>
            <w:r w:rsidRPr="0061215E">
              <w:rPr>
                <w:rFonts w:ascii="Arial" w:eastAsia="Calibri" w:hAnsi="Arial" w:cs="Arial"/>
                <w:b/>
                <w:bCs/>
                <w:sz w:val="16"/>
                <w:szCs w:val="16"/>
                <w:lang w:eastAsia="en-US"/>
              </w:rPr>
              <w:t>95100</w:t>
            </w:r>
          </w:p>
        </w:tc>
        <w:tc>
          <w:tcPr>
            <w:tcW w:w="2579" w:type="dxa"/>
            <w:hideMark/>
          </w:tcPr>
          <w:p w:rsidR="0061215E" w:rsidRPr="0061215E" w:rsidRDefault="0061215E" w:rsidP="0061215E">
            <w:pPr>
              <w:rPr>
                <w:rFonts w:ascii="Arial" w:eastAsia="Calibri" w:hAnsi="Arial" w:cs="Arial"/>
                <w:b/>
                <w:bCs/>
                <w:sz w:val="16"/>
                <w:szCs w:val="16"/>
                <w:lang w:eastAsia="en-US"/>
              </w:rPr>
            </w:pPr>
            <w:r w:rsidRPr="0061215E">
              <w:rPr>
                <w:rFonts w:ascii="Arial" w:eastAsia="Calibri" w:hAnsi="Arial" w:cs="Arial"/>
                <w:b/>
                <w:bCs/>
                <w:sz w:val="16"/>
                <w:szCs w:val="16"/>
                <w:lang w:eastAsia="en-US"/>
              </w:rPr>
              <w:t>COSTO POR COBERTURAS</w:t>
            </w:r>
          </w:p>
        </w:tc>
        <w:tc>
          <w:tcPr>
            <w:tcW w:w="1134" w:type="dxa"/>
            <w:noWrap/>
            <w:vAlign w:val="center"/>
            <w:hideMark/>
          </w:tcPr>
          <w:p w:rsidR="0061215E" w:rsidRPr="0061215E" w:rsidRDefault="0061215E" w:rsidP="0061215E">
            <w:pPr>
              <w:jc w:val="right"/>
              <w:rPr>
                <w:rFonts w:ascii="Arial" w:eastAsia="Calibri" w:hAnsi="Arial" w:cs="Arial"/>
                <w:b/>
                <w:bCs/>
                <w:sz w:val="16"/>
                <w:szCs w:val="16"/>
                <w:lang w:eastAsia="en-US"/>
              </w:rPr>
            </w:pPr>
            <w:r w:rsidRPr="0061215E">
              <w:rPr>
                <w:rFonts w:ascii="Arial" w:eastAsia="Calibri" w:hAnsi="Arial" w:cs="Arial"/>
                <w:b/>
                <w:bCs/>
                <w:sz w:val="16"/>
                <w:szCs w:val="16"/>
                <w:lang w:eastAsia="en-US"/>
              </w:rPr>
              <w:t>2,200,000</w:t>
            </w:r>
          </w:p>
        </w:tc>
        <w:tc>
          <w:tcPr>
            <w:tcW w:w="1134" w:type="dxa"/>
            <w:noWrap/>
            <w:vAlign w:val="center"/>
            <w:hideMark/>
          </w:tcPr>
          <w:p w:rsidR="0061215E" w:rsidRPr="0061215E" w:rsidRDefault="0061215E" w:rsidP="0061215E">
            <w:pPr>
              <w:jc w:val="right"/>
              <w:rPr>
                <w:rFonts w:ascii="Arial" w:eastAsia="Calibri" w:hAnsi="Arial" w:cs="Arial"/>
                <w:b/>
                <w:bCs/>
                <w:sz w:val="16"/>
                <w:szCs w:val="16"/>
                <w:lang w:eastAsia="en-US"/>
              </w:rPr>
            </w:pPr>
            <w:r w:rsidRPr="0061215E">
              <w:rPr>
                <w:rFonts w:ascii="Arial" w:eastAsia="Calibri" w:hAnsi="Arial" w:cs="Arial"/>
                <w:b/>
                <w:bCs/>
                <w:sz w:val="16"/>
                <w:szCs w:val="16"/>
                <w:lang w:eastAsia="en-US"/>
              </w:rPr>
              <w:t>600,000</w:t>
            </w:r>
          </w:p>
        </w:tc>
        <w:tc>
          <w:tcPr>
            <w:tcW w:w="1110" w:type="dxa"/>
            <w:noWrap/>
            <w:vAlign w:val="center"/>
            <w:hideMark/>
          </w:tcPr>
          <w:p w:rsidR="0061215E" w:rsidRPr="0061215E" w:rsidRDefault="0061215E" w:rsidP="0061215E">
            <w:pPr>
              <w:jc w:val="right"/>
              <w:rPr>
                <w:rFonts w:ascii="Arial" w:eastAsia="Calibri" w:hAnsi="Arial" w:cs="Arial"/>
                <w:b/>
                <w:bCs/>
                <w:sz w:val="16"/>
                <w:szCs w:val="16"/>
                <w:lang w:eastAsia="en-US"/>
              </w:rPr>
            </w:pPr>
            <w:r w:rsidRPr="0061215E">
              <w:rPr>
                <w:rFonts w:ascii="Arial" w:eastAsia="Calibri" w:hAnsi="Arial" w:cs="Arial"/>
                <w:b/>
                <w:bCs/>
                <w:sz w:val="16"/>
                <w:szCs w:val="16"/>
                <w:lang w:eastAsia="en-US"/>
              </w:rPr>
              <w:t>600,000</w:t>
            </w:r>
          </w:p>
        </w:tc>
        <w:tc>
          <w:tcPr>
            <w:tcW w:w="1017" w:type="dxa"/>
            <w:noWrap/>
            <w:vAlign w:val="center"/>
            <w:hideMark/>
          </w:tcPr>
          <w:p w:rsidR="0061215E" w:rsidRPr="0061215E" w:rsidRDefault="0061215E" w:rsidP="0061215E">
            <w:pPr>
              <w:jc w:val="right"/>
              <w:rPr>
                <w:rFonts w:ascii="Arial" w:eastAsia="Calibri" w:hAnsi="Arial" w:cs="Arial"/>
                <w:b/>
                <w:bCs/>
                <w:sz w:val="16"/>
                <w:szCs w:val="16"/>
                <w:lang w:eastAsia="en-US"/>
              </w:rPr>
            </w:pPr>
            <w:r w:rsidRPr="0061215E">
              <w:rPr>
                <w:rFonts w:ascii="Arial" w:eastAsia="Calibri" w:hAnsi="Arial" w:cs="Arial"/>
                <w:b/>
                <w:bCs/>
                <w:sz w:val="16"/>
                <w:szCs w:val="16"/>
                <w:lang w:eastAsia="en-US"/>
              </w:rPr>
              <w:t>600,000</w:t>
            </w:r>
          </w:p>
        </w:tc>
        <w:tc>
          <w:tcPr>
            <w:tcW w:w="1036" w:type="dxa"/>
            <w:noWrap/>
            <w:vAlign w:val="center"/>
            <w:hideMark/>
          </w:tcPr>
          <w:p w:rsidR="0061215E" w:rsidRPr="0061215E" w:rsidRDefault="0061215E" w:rsidP="0061215E">
            <w:pPr>
              <w:jc w:val="right"/>
              <w:rPr>
                <w:rFonts w:ascii="Arial" w:eastAsia="Calibri" w:hAnsi="Arial" w:cs="Arial"/>
                <w:b/>
                <w:bCs/>
                <w:sz w:val="16"/>
                <w:szCs w:val="16"/>
                <w:lang w:eastAsia="en-US"/>
              </w:rPr>
            </w:pPr>
            <w:r w:rsidRPr="0061215E">
              <w:rPr>
                <w:rFonts w:ascii="Arial" w:eastAsia="Calibri" w:hAnsi="Arial" w:cs="Arial"/>
                <w:b/>
                <w:bCs/>
                <w:sz w:val="16"/>
                <w:szCs w:val="16"/>
                <w:lang w:eastAsia="en-US"/>
              </w:rPr>
              <w:t>400,000</w:t>
            </w:r>
          </w:p>
        </w:tc>
      </w:tr>
      <w:tr w:rsidR="0061215E" w:rsidRPr="0061215E" w:rsidTr="00D25960">
        <w:trPr>
          <w:trHeight w:val="300"/>
        </w:trPr>
        <w:tc>
          <w:tcPr>
            <w:tcW w:w="704" w:type="dxa"/>
            <w:noWrap/>
            <w:hideMark/>
          </w:tcPr>
          <w:p w:rsidR="0061215E" w:rsidRPr="0061215E" w:rsidRDefault="0061215E" w:rsidP="0061215E">
            <w:pPr>
              <w:jc w:val="center"/>
              <w:rPr>
                <w:rFonts w:ascii="Arial" w:eastAsia="Calibri" w:hAnsi="Arial" w:cs="Arial"/>
                <w:sz w:val="16"/>
                <w:szCs w:val="16"/>
                <w:lang w:eastAsia="en-US"/>
              </w:rPr>
            </w:pPr>
            <w:r w:rsidRPr="0061215E">
              <w:rPr>
                <w:rFonts w:ascii="Arial" w:eastAsia="Calibri" w:hAnsi="Arial" w:cs="Arial"/>
                <w:sz w:val="16"/>
                <w:szCs w:val="16"/>
                <w:lang w:eastAsia="en-US"/>
              </w:rPr>
              <w:t>95101</w:t>
            </w:r>
          </w:p>
        </w:tc>
        <w:tc>
          <w:tcPr>
            <w:tcW w:w="2579" w:type="dxa"/>
            <w:hideMark/>
          </w:tcPr>
          <w:p w:rsidR="0061215E" w:rsidRPr="0061215E" w:rsidRDefault="0061215E" w:rsidP="0061215E">
            <w:pPr>
              <w:rPr>
                <w:rFonts w:ascii="Arial" w:eastAsia="Calibri" w:hAnsi="Arial" w:cs="Arial"/>
                <w:sz w:val="16"/>
                <w:szCs w:val="16"/>
                <w:lang w:eastAsia="en-US"/>
              </w:rPr>
            </w:pPr>
            <w:r w:rsidRPr="0061215E">
              <w:rPr>
                <w:rFonts w:ascii="Arial" w:eastAsia="Calibri" w:hAnsi="Arial" w:cs="Arial"/>
                <w:sz w:val="16"/>
                <w:szCs w:val="16"/>
                <w:lang w:eastAsia="en-US"/>
              </w:rPr>
              <w:t>Costos por coberturas de la deuda pública interna</w:t>
            </w:r>
          </w:p>
        </w:tc>
        <w:tc>
          <w:tcPr>
            <w:tcW w:w="1134" w:type="dxa"/>
            <w:noWrap/>
            <w:vAlign w:val="center"/>
            <w:hideMark/>
          </w:tcPr>
          <w:p w:rsidR="0061215E" w:rsidRPr="0061215E" w:rsidRDefault="0061215E" w:rsidP="0061215E">
            <w:pPr>
              <w:jc w:val="right"/>
              <w:rPr>
                <w:rFonts w:ascii="Arial" w:eastAsia="Calibri" w:hAnsi="Arial" w:cs="Arial"/>
                <w:sz w:val="16"/>
                <w:szCs w:val="16"/>
                <w:lang w:eastAsia="en-US"/>
              </w:rPr>
            </w:pPr>
            <w:r w:rsidRPr="0061215E">
              <w:rPr>
                <w:rFonts w:ascii="Arial" w:eastAsia="Calibri" w:hAnsi="Arial" w:cs="Arial"/>
                <w:sz w:val="16"/>
                <w:szCs w:val="16"/>
                <w:lang w:eastAsia="en-US"/>
              </w:rPr>
              <w:t>2,200,000</w:t>
            </w:r>
          </w:p>
        </w:tc>
        <w:tc>
          <w:tcPr>
            <w:tcW w:w="1134" w:type="dxa"/>
            <w:noWrap/>
            <w:vAlign w:val="center"/>
            <w:hideMark/>
          </w:tcPr>
          <w:p w:rsidR="0061215E" w:rsidRPr="0061215E" w:rsidRDefault="0061215E" w:rsidP="0061215E">
            <w:pPr>
              <w:jc w:val="right"/>
              <w:rPr>
                <w:rFonts w:ascii="Arial" w:eastAsia="Calibri" w:hAnsi="Arial" w:cs="Arial"/>
                <w:sz w:val="16"/>
                <w:szCs w:val="16"/>
                <w:lang w:eastAsia="en-US"/>
              </w:rPr>
            </w:pPr>
            <w:r w:rsidRPr="0061215E">
              <w:rPr>
                <w:rFonts w:ascii="Arial" w:eastAsia="Calibri" w:hAnsi="Arial" w:cs="Arial"/>
                <w:sz w:val="16"/>
                <w:szCs w:val="16"/>
                <w:lang w:eastAsia="en-US"/>
              </w:rPr>
              <w:t>600,000</w:t>
            </w:r>
          </w:p>
        </w:tc>
        <w:tc>
          <w:tcPr>
            <w:tcW w:w="1110" w:type="dxa"/>
            <w:noWrap/>
            <w:vAlign w:val="center"/>
            <w:hideMark/>
          </w:tcPr>
          <w:p w:rsidR="0061215E" w:rsidRPr="0061215E" w:rsidRDefault="0061215E" w:rsidP="0061215E">
            <w:pPr>
              <w:jc w:val="right"/>
              <w:rPr>
                <w:rFonts w:ascii="Arial" w:eastAsia="Calibri" w:hAnsi="Arial" w:cs="Arial"/>
                <w:sz w:val="16"/>
                <w:szCs w:val="16"/>
                <w:lang w:eastAsia="en-US"/>
              </w:rPr>
            </w:pPr>
            <w:r w:rsidRPr="0061215E">
              <w:rPr>
                <w:rFonts w:ascii="Arial" w:eastAsia="Calibri" w:hAnsi="Arial" w:cs="Arial"/>
                <w:sz w:val="16"/>
                <w:szCs w:val="16"/>
                <w:lang w:eastAsia="en-US"/>
              </w:rPr>
              <w:t>600,000</w:t>
            </w:r>
          </w:p>
        </w:tc>
        <w:tc>
          <w:tcPr>
            <w:tcW w:w="1017" w:type="dxa"/>
            <w:noWrap/>
            <w:vAlign w:val="center"/>
            <w:hideMark/>
          </w:tcPr>
          <w:p w:rsidR="0061215E" w:rsidRPr="0061215E" w:rsidRDefault="0061215E" w:rsidP="0061215E">
            <w:pPr>
              <w:jc w:val="right"/>
              <w:rPr>
                <w:rFonts w:ascii="Arial" w:eastAsia="Calibri" w:hAnsi="Arial" w:cs="Arial"/>
                <w:sz w:val="16"/>
                <w:szCs w:val="16"/>
                <w:lang w:eastAsia="en-US"/>
              </w:rPr>
            </w:pPr>
            <w:r w:rsidRPr="0061215E">
              <w:rPr>
                <w:rFonts w:ascii="Arial" w:eastAsia="Calibri" w:hAnsi="Arial" w:cs="Arial"/>
                <w:sz w:val="16"/>
                <w:szCs w:val="16"/>
                <w:lang w:eastAsia="en-US"/>
              </w:rPr>
              <w:t>600,000</w:t>
            </w:r>
          </w:p>
        </w:tc>
        <w:tc>
          <w:tcPr>
            <w:tcW w:w="1036" w:type="dxa"/>
            <w:noWrap/>
            <w:vAlign w:val="center"/>
            <w:hideMark/>
          </w:tcPr>
          <w:p w:rsidR="0061215E" w:rsidRPr="0061215E" w:rsidRDefault="0061215E" w:rsidP="0061215E">
            <w:pPr>
              <w:jc w:val="right"/>
              <w:rPr>
                <w:rFonts w:ascii="Arial" w:eastAsia="Calibri" w:hAnsi="Arial" w:cs="Arial"/>
                <w:sz w:val="16"/>
                <w:szCs w:val="16"/>
                <w:lang w:eastAsia="en-US"/>
              </w:rPr>
            </w:pPr>
            <w:r w:rsidRPr="0061215E">
              <w:rPr>
                <w:rFonts w:ascii="Arial" w:eastAsia="Calibri" w:hAnsi="Arial" w:cs="Arial"/>
                <w:sz w:val="16"/>
                <w:szCs w:val="16"/>
                <w:lang w:eastAsia="en-US"/>
              </w:rPr>
              <w:t>400,000</w:t>
            </w:r>
          </w:p>
        </w:tc>
      </w:tr>
      <w:tr w:rsidR="0061215E" w:rsidRPr="0061215E" w:rsidTr="00D25960">
        <w:trPr>
          <w:trHeight w:val="300"/>
        </w:trPr>
        <w:tc>
          <w:tcPr>
            <w:tcW w:w="704" w:type="dxa"/>
            <w:noWrap/>
            <w:hideMark/>
          </w:tcPr>
          <w:p w:rsidR="0061215E" w:rsidRPr="0061215E" w:rsidRDefault="0061215E" w:rsidP="0061215E">
            <w:pPr>
              <w:jc w:val="center"/>
              <w:rPr>
                <w:rFonts w:ascii="Arial" w:eastAsia="Calibri" w:hAnsi="Arial" w:cs="Arial"/>
                <w:sz w:val="16"/>
                <w:szCs w:val="16"/>
                <w:lang w:eastAsia="en-US"/>
              </w:rPr>
            </w:pPr>
            <w:r w:rsidRPr="0061215E">
              <w:rPr>
                <w:rFonts w:ascii="Arial" w:eastAsia="Calibri" w:hAnsi="Arial" w:cs="Arial"/>
                <w:sz w:val="16"/>
                <w:szCs w:val="16"/>
                <w:lang w:eastAsia="en-US"/>
              </w:rPr>
              <w:t>96000</w:t>
            </w:r>
          </w:p>
        </w:tc>
        <w:tc>
          <w:tcPr>
            <w:tcW w:w="2579" w:type="dxa"/>
            <w:hideMark/>
          </w:tcPr>
          <w:p w:rsidR="0061215E" w:rsidRPr="0061215E" w:rsidRDefault="0061215E" w:rsidP="0061215E">
            <w:pPr>
              <w:rPr>
                <w:rFonts w:ascii="Arial" w:eastAsia="Calibri" w:hAnsi="Arial" w:cs="Arial"/>
                <w:sz w:val="16"/>
                <w:szCs w:val="16"/>
                <w:lang w:eastAsia="en-US"/>
              </w:rPr>
            </w:pPr>
            <w:r w:rsidRPr="0061215E">
              <w:rPr>
                <w:rFonts w:ascii="Arial" w:eastAsia="Calibri" w:hAnsi="Arial" w:cs="Arial"/>
                <w:sz w:val="16"/>
                <w:szCs w:val="16"/>
                <w:lang w:eastAsia="en-US"/>
              </w:rPr>
              <w:t>Apoyos Financieros</w:t>
            </w:r>
          </w:p>
        </w:tc>
        <w:tc>
          <w:tcPr>
            <w:tcW w:w="1134" w:type="dxa"/>
            <w:noWrap/>
            <w:vAlign w:val="center"/>
            <w:hideMark/>
          </w:tcPr>
          <w:p w:rsidR="0061215E" w:rsidRPr="0061215E" w:rsidRDefault="0061215E" w:rsidP="0061215E">
            <w:pPr>
              <w:jc w:val="right"/>
              <w:rPr>
                <w:rFonts w:ascii="Arial" w:eastAsia="Calibri" w:hAnsi="Arial" w:cs="Arial"/>
                <w:sz w:val="16"/>
                <w:szCs w:val="16"/>
                <w:lang w:eastAsia="en-US"/>
              </w:rPr>
            </w:pPr>
            <w:r w:rsidRPr="0061215E">
              <w:rPr>
                <w:rFonts w:ascii="Arial" w:eastAsia="Calibri" w:hAnsi="Arial" w:cs="Arial"/>
                <w:sz w:val="16"/>
                <w:szCs w:val="16"/>
                <w:lang w:eastAsia="en-US"/>
              </w:rPr>
              <w:t> </w:t>
            </w:r>
          </w:p>
        </w:tc>
        <w:tc>
          <w:tcPr>
            <w:tcW w:w="1134" w:type="dxa"/>
            <w:noWrap/>
            <w:vAlign w:val="center"/>
            <w:hideMark/>
          </w:tcPr>
          <w:p w:rsidR="0061215E" w:rsidRPr="0061215E" w:rsidRDefault="0061215E" w:rsidP="0061215E">
            <w:pPr>
              <w:jc w:val="right"/>
              <w:rPr>
                <w:rFonts w:ascii="Arial" w:eastAsia="Calibri" w:hAnsi="Arial" w:cs="Arial"/>
                <w:sz w:val="16"/>
                <w:szCs w:val="16"/>
                <w:lang w:eastAsia="en-US"/>
              </w:rPr>
            </w:pPr>
            <w:r w:rsidRPr="0061215E">
              <w:rPr>
                <w:rFonts w:ascii="Arial" w:eastAsia="Calibri" w:hAnsi="Arial" w:cs="Arial"/>
                <w:sz w:val="16"/>
                <w:szCs w:val="16"/>
                <w:lang w:eastAsia="en-US"/>
              </w:rPr>
              <w:t> </w:t>
            </w:r>
          </w:p>
        </w:tc>
        <w:tc>
          <w:tcPr>
            <w:tcW w:w="1110" w:type="dxa"/>
            <w:noWrap/>
            <w:vAlign w:val="center"/>
            <w:hideMark/>
          </w:tcPr>
          <w:p w:rsidR="0061215E" w:rsidRPr="0061215E" w:rsidRDefault="0061215E" w:rsidP="0061215E">
            <w:pPr>
              <w:jc w:val="right"/>
              <w:rPr>
                <w:rFonts w:ascii="Arial" w:eastAsia="Calibri" w:hAnsi="Arial" w:cs="Arial"/>
                <w:sz w:val="16"/>
                <w:szCs w:val="16"/>
                <w:lang w:eastAsia="en-US"/>
              </w:rPr>
            </w:pPr>
            <w:r w:rsidRPr="0061215E">
              <w:rPr>
                <w:rFonts w:ascii="Arial" w:eastAsia="Calibri" w:hAnsi="Arial" w:cs="Arial"/>
                <w:sz w:val="16"/>
                <w:szCs w:val="16"/>
                <w:lang w:eastAsia="en-US"/>
              </w:rPr>
              <w:t> </w:t>
            </w:r>
          </w:p>
        </w:tc>
        <w:tc>
          <w:tcPr>
            <w:tcW w:w="1017" w:type="dxa"/>
            <w:noWrap/>
            <w:vAlign w:val="center"/>
            <w:hideMark/>
          </w:tcPr>
          <w:p w:rsidR="0061215E" w:rsidRPr="0061215E" w:rsidRDefault="0061215E" w:rsidP="0061215E">
            <w:pPr>
              <w:jc w:val="right"/>
              <w:rPr>
                <w:rFonts w:ascii="Arial" w:eastAsia="Calibri" w:hAnsi="Arial" w:cs="Arial"/>
                <w:sz w:val="16"/>
                <w:szCs w:val="16"/>
                <w:lang w:eastAsia="en-US"/>
              </w:rPr>
            </w:pPr>
            <w:r w:rsidRPr="0061215E">
              <w:rPr>
                <w:rFonts w:ascii="Arial" w:eastAsia="Calibri" w:hAnsi="Arial" w:cs="Arial"/>
                <w:sz w:val="16"/>
                <w:szCs w:val="16"/>
                <w:lang w:eastAsia="en-US"/>
              </w:rPr>
              <w:t> </w:t>
            </w:r>
          </w:p>
        </w:tc>
        <w:tc>
          <w:tcPr>
            <w:tcW w:w="1036" w:type="dxa"/>
            <w:noWrap/>
            <w:vAlign w:val="center"/>
            <w:hideMark/>
          </w:tcPr>
          <w:p w:rsidR="0061215E" w:rsidRPr="0061215E" w:rsidRDefault="0061215E" w:rsidP="0061215E">
            <w:pPr>
              <w:jc w:val="right"/>
              <w:rPr>
                <w:rFonts w:ascii="Arial" w:eastAsia="Calibri" w:hAnsi="Arial" w:cs="Arial"/>
                <w:sz w:val="16"/>
                <w:szCs w:val="16"/>
                <w:lang w:eastAsia="en-US"/>
              </w:rPr>
            </w:pPr>
            <w:r w:rsidRPr="0061215E">
              <w:rPr>
                <w:rFonts w:ascii="Arial" w:eastAsia="Calibri" w:hAnsi="Arial" w:cs="Arial"/>
                <w:sz w:val="16"/>
                <w:szCs w:val="16"/>
                <w:lang w:eastAsia="en-US"/>
              </w:rPr>
              <w:t> </w:t>
            </w:r>
          </w:p>
        </w:tc>
      </w:tr>
      <w:tr w:rsidR="0061215E" w:rsidRPr="0061215E" w:rsidTr="00D25960">
        <w:trPr>
          <w:trHeight w:val="300"/>
        </w:trPr>
        <w:tc>
          <w:tcPr>
            <w:tcW w:w="704" w:type="dxa"/>
            <w:noWrap/>
            <w:hideMark/>
          </w:tcPr>
          <w:p w:rsidR="0061215E" w:rsidRPr="0061215E" w:rsidRDefault="0061215E" w:rsidP="0061215E">
            <w:pPr>
              <w:jc w:val="center"/>
              <w:rPr>
                <w:rFonts w:ascii="Arial" w:eastAsia="Calibri" w:hAnsi="Arial" w:cs="Arial"/>
                <w:b/>
                <w:bCs/>
                <w:sz w:val="16"/>
                <w:szCs w:val="16"/>
                <w:lang w:eastAsia="en-US"/>
              </w:rPr>
            </w:pPr>
            <w:r w:rsidRPr="0061215E">
              <w:rPr>
                <w:rFonts w:ascii="Arial" w:eastAsia="Calibri" w:hAnsi="Arial" w:cs="Arial"/>
                <w:b/>
                <w:bCs/>
                <w:sz w:val="16"/>
                <w:szCs w:val="16"/>
                <w:lang w:eastAsia="en-US"/>
              </w:rPr>
              <w:t>99000</w:t>
            </w:r>
          </w:p>
        </w:tc>
        <w:tc>
          <w:tcPr>
            <w:tcW w:w="2579" w:type="dxa"/>
            <w:hideMark/>
          </w:tcPr>
          <w:p w:rsidR="0061215E" w:rsidRPr="0061215E" w:rsidRDefault="0061215E" w:rsidP="0061215E">
            <w:pPr>
              <w:rPr>
                <w:rFonts w:ascii="Arial" w:eastAsia="Calibri" w:hAnsi="Arial" w:cs="Arial"/>
                <w:b/>
                <w:bCs/>
                <w:sz w:val="16"/>
                <w:szCs w:val="16"/>
                <w:lang w:eastAsia="en-US"/>
              </w:rPr>
            </w:pPr>
            <w:r w:rsidRPr="0061215E">
              <w:rPr>
                <w:rFonts w:ascii="Arial" w:eastAsia="Calibri" w:hAnsi="Arial" w:cs="Arial"/>
                <w:b/>
                <w:bCs/>
                <w:sz w:val="16"/>
                <w:szCs w:val="16"/>
                <w:lang w:eastAsia="en-US"/>
              </w:rPr>
              <w:t>ADEUDOS DE EJERCICIOS FISCALES ANTERIORES (ADEFAS)</w:t>
            </w:r>
          </w:p>
        </w:tc>
        <w:tc>
          <w:tcPr>
            <w:tcW w:w="1134" w:type="dxa"/>
            <w:noWrap/>
            <w:vAlign w:val="center"/>
            <w:hideMark/>
          </w:tcPr>
          <w:p w:rsidR="0061215E" w:rsidRPr="0061215E" w:rsidRDefault="0061215E" w:rsidP="0061215E">
            <w:pPr>
              <w:jc w:val="right"/>
              <w:rPr>
                <w:rFonts w:ascii="Arial" w:eastAsia="Calibri" w:hAnsi="Arial" w:cs="Arial"/>
                <w:b/>
                <w:bCs/>
                <w:sz w:val="16"/>
                <w:szCs w:val="16"/>
                <w:lang w:eastAsia="en-US"/>
              </w:rPr>
            </w:pPr>
            <w:r w:rsidRPr="0061215E">
              <w:rPr>
                <w:rFonts w:ascii="Arial" w:eastAsia="Calibri" w:hAnsi="Arial" w:cs="Arial"/>
                <w:b/>
                <w:bCs/>
                <w:sz w:val="16"/>
                <w:szCs w:val="16"/>
                <w:lang w:eastAsia="en-US"/>
              </w:rPr>
              <w:t>55,000,000</w:t>
            </w:r>
          </w:p>
        </w:tc>
        <w:tc>
          <w:tcPr>
            <w:tcW w:w="1134" w:type="dxa"/>
            <w:noWrap/>
            <w:vAlign w:val="center"/>
            <w:hideMark/>
          </w:tcPr>
          <w:p w:rsidR="0061215E" w:rsidRPr="0061215E" w:rsidRDefault="0061215E" w:rsidP="0061215E">
            <w:pPr>
              <w:jc w:val="right"/>
              <w:rPr>
                <w:rFonts w:ascii="Arial" w:eastAsia="Calibri" w:hAnsi="Arial" w:cs="Arial"/>
                <w:b/>
                <w:bCs/>
                <w:sz w:val="16"/>
                <w:szCs w:val="16"/>
                <w:lang w:eastAsia="en-US"/>
              </w:rPr>
            </w:pPr>
            <w:r w:rsidRPr="0061215E">
              <w:rPr>
                <w:rFonts w:ascii="Arial" w:eastAsia="Calibri" w:hAnsi="Arial" w:cs="Arial"/>
                <w:b/>
                <w:bCs/>
                <w:sz w:val="16"/>
                <w:szCs w:val="16"/>
                <w:lang w:eastAsia="en-US"/>
              </w:rPr>
              <w:t>34,400,000</w:t>
            </w:r>
          </w:p>
        </w:tc>
        <w:tc>
          <w:tcPr>
            <w:tcW w:w="1110" w:type="dxa"/>
            <w:noWrap/>
            <w:vAlign w:val="center"/>
            <w:hideMark/>
          </w:tcPr>
          <w:p w:rsidR="0061215E" w:rsidRPr="0061215E" w:rsidRDefault="0061215E" w:rsidP="0061215E">
            <w:pPr>
              <w:jc w:val="right"/>
              <w:rPr>
                <w:rFonts w:ascii="Arial" w:eastAsia="Calibri" w:hAnsi="Arial" w:cs="Arial"/>
                <w:b/>
                <w:bCs/>
                <w:sz w:val="16"/>
                <w:szCs w:val="16"/>
                <w:lang w:eastAsia="en-US"/>
              </w:rPr>
            </w:pPr>
            <w:r w:rsidRPr="0061215E">
              <w:rPr>
                <w:rFonts w:ascii="Arial" w:eastAsia="Calibri" w:hAnsi="Arial" w:cs="Arial"/>
                <w:b/>
                <w:bCs/>
                <w:sz w:val="16"/>
                <w:szCs w:val="16"/>
                <w:lang w:eastAsia="en-US"/>
              </w:rPr>
              <w:t>20,600,000</w:t>
            </w:r>
          </w:p>
        </w:tc>
        <w:tc>
          <w:tcPr>
            <w:tcW w:w="1017" w:type="dxa"/>
            <w:noWrap/>
            <w:vAlign w:val="center"/>
            <w:hideMark/>
          </w:tcPr>
          <w:p w:rsidR="0061215E" w:rsidRPr="0061215E" w:rsidRDefault="0061215E" w:rsidP="0061215E">
            <w:pPr>
              <w:jc w:val="right"/>
              <w:rPr>
                <w:rFonts w:ascii="Arial" w:eastAsia="Calibri" w:hAnsi="Arial" w:cs="Arial"/>
                <w:b/>
                <w:bCs/>
                <w:sz w:val="16"/>
                <w:szCs w:val="16"/>
                <w:lang w:eastAsia="en-US"/>
              </w:rPr>
            </w:pPr>
            <w:r w:rsidRPr="0061215E">
              <w:rPr>
                <w:rFonts w:ascii="Arial" w:eastAsia="Calibri" w:hAnsi="Arial" w:cs="Arial"/>
                <w:b/>
                <w:bCs/>
                <w:sz w:val="16"/>
                <w:szCs w:val="16"/>
                <w:lang w:eastAsia="en-US"/>
              </w:rPr>
              <w:t>0</w:t>
            </w:r>
          </w:p>
        </w:tc>
        <w:tc>
          <w:tcPr>
            <w:tcW w:w="1036" w:type="dxa"/>
            <w:noWrap/>
            <w:vAlign w:val="center"/>
            <w:hideMark/>
          </w:tcPr>
          <w:p w:rsidR="0061215E" w:rsidRPr="0061215E" w:rsidRDefault="0061215E" w:rsidP="0061215E">
            <w:pPr>
              <w:jc w:val="right"/>
              <w:rPr>
                <w:rFonts w:ascii="Arial" w:eastAsia="Calibri" w:hAnsi="Arial" w:cs="Arial"/>
                <w:b/>
                <w:bCs/>
                <w:sz w:val="16"/>
                <w:szCs w:val="16"/>
                <w:lang w:eastAsia="en-US"/>
              </w:rPr>
            </w:pPr>
            <w:r w:rsidRPr="0061215E">
              <w:rPr>
                <w:rFonts w:ascii="Arial" w:eastAsia="Calibri" w:hAnsi="Arial" w:cs="Arial"/>
                <w:b/>
                <w:bCs/>
                <w:sz w:val="16"/>
                <w:szCs w:val="16"/>
                <w:lang w:eastAsia="en-US"/>
              </w:rPr>
              <w:t>0</w:t>
            </w:r>
          </w:p>
        </w:tc>
      </w:tr>
      <w:tr w:rsidR="0061215E" w:rsidRPr="0061215E" w:rsidTr="00D25960">
        <w:trPr>
          <w:trHeight w:val="300"/>
        </w:trPr>
        <w:tc>
          <w:tcPr>
            <w:tcW w:w="704" w:type="dxa"/>
            <w:noWrap/>
            <w:hideMark/>
          </w:tcPr>
          <w:p w:rsidR="0061215E" w:rsidRPr="0061215E" w:rsidRDefault="0061215E" w:rsidP="0061215E">
            <w:pPr>
              <w:jc w:val="center"/>
              <w:rPr>
                <w:rFonts w:ascii="Arial" w:eastAsia="Calibri" w:hAnsi="Arial" w:cs="Arial"/>
                <w:b/>
                <w:bCs/>
                <w:sz w:val="16"/>
                <w:szCs w:val="16"/>
                <w:lang w:eastAsia="en-US"/>
              </w:rPr>
            </w:pPr>
            <w:r w:rsidRPr="0061215E">
              <w:rPr>
                <w:rFonts w:ascii="Arial" w:eastAsia="Calibri" w:hAnsi="Arial" w:cs="Arial"/>
                <w:b/>
                <w:bCs/>
                <w:sz w:val="16"/>
                <w:szCs w:val="16"/>
                <w:lang w:eastAsia="en-US"/>
              </w:rPr>
              <w:t>99100</w:t>
            </w:r>
          </w:p>
        </w:tc>
        <w:tc>
          <w:tcPr>
            <w:tcW w:w="2579" w:type="dxa"/>
            <w:hideMark/>
          </w:tcPr>
          <w:p w:rsidR="0061215E" w:rsidRPr="0061215E" w:rsidRDefault="0061215E" w:rsidP="0061215E">
            <w:pPr>
              <w:rPr>
                <w:rFonts w:ascii="Arial" w:eastAsia="Calibri" w:hAnsi="Arial" w:cs="Arial"/>
                <w:b/>
                <w:bCs/>
                <w:sz w:val="16"/>
                <w:szCs w:val="16"/>
                <w:lang w:eastAsia="en-US"/>
              </w:rPr>
            </w:pPr>
            <w:r w:rsidRPr="0061215E">
              <w:rPr>
                <w:rFonts w:ascii="Arial" w:eastAsia="Calibri" w:hAnsi="Arial" w:cs="Arial"/>
                <w:b/>
                <w:bCs/>
                <w:sz w:val="16"/>
                <w:szCs w:val="16"/>
                <w:lang w:eastAsia="en-US"/>
              </w:rPr>
              <w:t>ADEFAS</w:t>
            </w:r>
          </w:p>
        </w:tc>
        <w:tc>
          <w:tcPr>
            <w:tcW w:w="1134" w:type="dxa"/>
            <w:noWrap/>
            <w:vAlign w:val="center"/>
            <w:hideMark/>
          </w:tcPr>
          <w:p w:rsidR="0061215E" w:rsidRPr="0061215E" w:rsidRDefault="0061215E" w:rsidP="0061215E">
            <w:pPr>
              <w:jc w:val="right"/>
              <w:rPr>
                <w:rFonts w:ascii="Arial" w:eastAsia="Calibri" w:hAnsi="Arial" w:cs="Arial"/>
                <w:b/>
                <w:bCs/>
                <w:sz w:val="16"/>
                <w:szCs w:val="16"/>
                <w:lang w:eastAsia="en-US"/>
              </w:rPr>
            </w:pPr>
            <w:r w:rsidRPr="0061215E">
              <w:rPr>
                <w:rFonts w:ascii="Arial" w:eastAsia="Calibri" w:hAnsi="Arial" w:cs="Arial"/>
                <w:b/>
                <w:bCs/>
                <w:sz w:val="16"/>
                <w:szCs w:val="16"/>
                <w:lang w:eastAsia="en-US"/>
              </w:rPr>
              <w:t>55,000,000</w:t>
            </w:r>
          </w:p>
        </w:tc>
        <w:tc>
          <w:tcPr>
            <w:tcW w:w="1134" w:type="dxa"/>
            <w:noWrap/>
            <w:vAlign w:val="center"/>
            <w:hideMark/>
          </w:tcPr>
          <w:p w:rsidR="0061215E" w:rsidRPr="0061215E" w:rsidRDefault="0061215E" w:rsidP="0061215E">
            <w:pPr>
              <w:jc w:val="right"/>
              <w:rPr>
                <w:rFonts w:ascii="Arial" w:eastAsia="Calibri" w:hAnsi="Arial" w:cs="Arial"/>
                <w:b/>
                <w:bCs/>
                <w:sz w:val="16"/>
                <w:szCs w:val="16"/>
                <w:lang w:eastAsia="en-US"/>
              </w:rPr>
            </w:pPr>
            <w:r w:rsidRPr="0061215E">
              <w:rPr>
                <w:rFonts w:ascii="Arial" w:eastAsia="Calibri" w:hAnsi="Arial" w:cs="Arial"/>
                <w:b/>
                <w:bCs/>
                <w:sz w:val="16"/>
                <w:szCs w:val="16"/>
                <w:lang w:eastAsia="en-US"/>
              </w:rPr>
              <w:t>34,400,000</w:t>
            </w:r>
          </w:p>
        </w:tc>
        <w:tc>
          <w:tcPr>
            <w:tcW w:w="1110" w:type="dxa"/>
            <w:noWrap/>
            <w:vAlign w:val="center"/>
            <w:hideMark/>
          </w:tcPr>
          <w:p w:rsidR="0061215E" w:rsidRPr="0061215E" w:rsidRDefault="0061215E" w:rsidP="0061215E">
            <w:pPr>
              <w:jc w:val="right"/>
              <w:rPr>
                <w:rFonts w:ascii="Arial" w:eastAsia="Calibri" w:hAnsi="Arial" w:cs="Arial"/>
                <w:b/>
                <w:bCs/>
                <w:sz w:val="16"/>
                <w:szCs w:val="16"/>
                <w:lang w:eastAsia="en-US"/>
              </w:rPr>
            </w:pPr>
            <w:r w:rsidRPr="0061215E">
              <w:rPr>
                <w:rFonts w:ascii="Arial" w:eastAsia="Calibri" w:hAnsi="Arial" w:cs="Arial"/>
                <w:b/>
                <w:bCs/>
                <w:sz w:val="16"/>
                <w:szCs w:val="16"/>
                <w:lang w:eastAsia="en-US"/>
              </w:rPr>
              <w:t>20,600,000</w:t>
            </w:r>
          </w:p>
        </w:tc>
        <w:tc>
          <w:tcPr>
            <w:tcW w:w="1017" w:type="dxa"/>
            <w:noWrap/>
            <w:vAlign w:val="center"/>
            <w:hideMark/>
          </w:tcPr>
          <w:p w:rsidR="0061215E" w:rsidRPr="0061215E" w:rsidRDefault="0061215E" w:rsidP="0061215E">
            <w:pPr>
              <w:jc w:val="right"/>
              <w:rPr>
                <w:rFonts w:ascii="Arial" w:eastAsia="Calibri" w:hAnsi="Arial" w:cs="Arial"/>
                <w:b/>
                <w:bCs/>
                <w:sz w:val="16"/>
                <w:szCs w:val="16"/>
                <w:lang w:eastAsia="en-US"/>
              </w:rPr>
            </w:pPr>
            <w:r w:rsidRPr="0061215E">
              <w:rPr>
                <w:rFonts w:ascii="Arial" w:eastAsia="Calibri" w:hAnsi="Arial" w:cs="Arial"/>
                <w:b/>
                <w:bCs/>
                <w:sz w:val="16"/>
                <w:szCs w:val="16"/>
                <w:lang w:eastAsia="en-US"/>
              </w:rPr>
              <w:t>0</w:t>
            </w:r>
          </w:p>
        </w:tc>
        <w:tc>
          <w:tcPr>
            <w:tcW w:w="1036" w:type="dxa"/>
            <w:noWrap/>
            <w:vAlign w:val="center"/>
            <w:hideMark/>
          </w:tcPr>
          <w:p w:rsidR="0061215E" w:rsidRPr="0061215E" w:rsidRDefault="0061215E" w:rsidP="0061215E">
            <w:pPr>
              <w:jc w:val="right"/>
              <w:rPr>
                <w:rFonts w:ascii="Arial" w:eastAsia="Calibri" w:hAnsi="Arial" w:cs="Arial"/>
                <w:b/>
                <w:bCs/>
                <w:sz w:val="16"/>
                <w:szCs w:val="16"/>
                <w:lang w:eastAsia="en-US"/>
              </w:rPr>
            </w:pPr>
            <w:r w:rsidRPr="0061215E">
              <w:rPr>
                <w:rFonts w:ascii="Arial" w:eastAsia="Calibri" w:hAnsi="Arial" w:cs="Arial"/>
                <w:b/>
                <w:bCs/>
                <w:sz w:val="16"/>
                <w:szCs w:val="16"/>
                <w:lang w:eastAsia="en-US"/>
              </w:rPr>
              <w:t>0</w:t>
            </w:r>
          </w:p>
        </w:tc>
      </w:tr>
      <w:tr w:rsidR="0061215E" w:rsidRPr="0061215E" w:rsidTr="00D25960">
        <w:trPr>
          <w:trHeight w:val="600"/>
        </w:trPr>
        <w:tc>
          <w:tcPr>
            <w:tcW w:w="704" w:type="dxa"/>
            <w:noWrap/>
            <w:hideMark/>
          </w:tcPr>
          <w:p w:rsidR="0061215E" w:rsidRPr="0061215E" w:rsidRDefault="0061215E" w:rsidP="0061215E">
            <w:pPr>
              <w:jc w:val="center"/>
              <w:rPr>
                <w:rFonts w:ascii="Arial" w:eastAsia="Calibri" w:hAnsi="Arial" w:cs="Arial"/>
                <w:sz w:val="16"/>
                <w:szCs w:val="16"/>
                <w:lang w:eastAsia="en-US"/>
              </w:rPr>
            </w:pPr>
            <w:r w:rsidRPr="0061215E">
              <w:rPr>
                <w:rFonts w:ascii="Arial" w:eastAsia="Calibri" w:hAnsi="Arial" w:cs="Arial"/>
                <w:sz w:val="16"/>
                <w:szCs w:val="16"/>
                <w:lang w:eastAsia="en-US"/>
              </w:rPr>
              <w:t>99101</w:t>
            </w:r>
          </w:p>
        </w:tc>
        <w:tc>
          <w:tcPr>
            <w:tcW w:w="2579" w:type="dxa"/>
            <w:hideMark/>
          </w:tcPr>
          <w:p w:rsidR="0061215E" w:rsidRPr="0061215E" w:rsidRDefault="0061215E" w:rsidP="0061215E">
            <w:pPr>
              <w:rPr>
                <w:rFonts w:ascii="Arial" w:eastAsia="Calibri" w:hAnsi="Arial" w:cs="Arial"/>
                <w:sz w:val="16"/>
                <w:szCs w:val="16"/>
                <w:lang w:eastAsia="en-US"/>
              </w:rPr>
            </w:pPr>
            <w:r w:rsidRPr="0061215E">
              <w:rPr>
                <w:rFonts w:ascii="Arial" w:eastAsia="Calibri" w:hAnsi="Arial" w:cs="Arial"/>
                <w:sz w:val="16"/>
                <w:szCs w:val="16"/>
                <w:lang w:eastAsia="en-US"/>
              </w:rPr>
              <w:t>Adeudos de ejercicios anteriores por concepto de servicios personales magisterio</w:t>
            </w:r>
          </w:p>
        </w:tc>
        <w:tc>
          <w:tcPr>
            <w:tcW w:w="1134" w:type="dxa"/>
            <w:noWrap/>
            <w:vAlign w:val="center"/>
            <w:hideMark/>
          </w:tcPr>
          <w:p w:rsidR="0061215E" w:rsidRPr="0061215E" w:rsidRDefault="0061215E" w:rsidP="0061215E">
            <w:pPr>
              <w:jc w:val="right"/>
              <w:rPr>
                <w:rFonts w:ascii="Arial" w:eastAsia="Calibri" w:hAnsi="Arial" w:cs="Arial"/>
                <w:sz w:val="16"/>
                <w:szCs w:val="16"/>
                <w:lang w:eastAsia="en-US"/>
              </w:rPr>
            </w:pPr>
            <w:r w:rsidRPr="0061215E">
              <w:rPr>
                <w:rFonts w:ascii="Arial" w:eastAsia="Calibri" w:hAnsi="Arial" w:cs="Arial"/>
                <w:sz w:val="16"/>
                <w:szCs w:val="16"/>
                <w:lang w:eastAsia="en-US"/>
              </w:rPr>
              <w:t>1,000,000</w:t>
            </w:r>
          </w:p>
        </w:tc>
        <w:tc>
          <w:tcPr>
            <w:tcW w:w="1134" w:type="dxa"/>
            <w:noWrap/>
            <w:vAlign w:val="center"/>
            <w:hideMark/>
          </w:tcPr>
          <w:p w:rsidR="0061215E" w:rsidRPr="0061215E" w:rsidRDefault="0061215E" w:rsidP="0061215E">
            <w:pPr>
              <w:jc w:val="right"/>
              <w:rPr>
                <w:rFonts w:ascii="Arial" w:eastAsia="Calibri" w:hAnsi="Arial" w:cs="Arial"/>
                <w:sz w:val="16"/>
                <w:szCs w:val="16"/>
                <w:lang w:eastAsia="en-US"/>
              </w:rPr>
            </w:pPr>
            <w:r w:rsidRPr="0061215E">
              <w:rPr>
                <w:rFonts w:ascii="Arial" w:eastAsia="Calibri" w:hAnsi="Arial" w:cs="Arial"/>
                <w:sz w:val="16"/>
                <w:szCs w:val="16"/>
                <w:lang w:eastAsia="en-US"/>
              </w:rPr>
              <w:t>600,000</w:t>
            </w:r>
          </w:p>
        </w:tc>
        <w:tc>
          <w:tcPr>
            <w:tcW w:w="1110" w:type="dxa"/>
            <w:noWrap/>
            <w:vAlign w:val="center"/>
            <w:hideMark/>
          </w:tcPr>
          <w:p w:rsidR="0061215E" w:rsidRPr="0061215E" w:rsidRDefault="0061215E" w:rsidP="0061215E">
            <w:pPr>
              <w:jc w:val="right"/>
              <w:rPr>
                <w:rFonts w:ascii="Arial" w:eastAsia="Calibri" w:hAnsi="Arial" w:cs="Arial"/>
                <w:sz w:val="16"/>
                <w:szCs w:val="16"/>
                <w:lang w:eastAsia="en-US"/>
              </w:rPr>
            </w:pPr>
            <w:r w:rsidRPr="0061215E">
              <w:rPr>
                <w:rFonts w:ascii="Arial" w:eastAsia="Calibri" w:hAnsi="Arial" w:cs="Arial"/>
                <w:sz w:val="16"/>
                <w:szCs w:val="16"/>
                <w:lang w:eastAsia="en-US"/>
              </w:rPr>
              <w:t>400,000</w:t>
            </w:r>
          </w:p>
        </w:tc>
        <w:tc>
          <w:tcPr>
            <w:tcW w:w="1017" w:type="dxa"/>
            <w:noWrap/>
            <w:vAlign w:val="center"/>
            <w:hideMark/>
          </w:tcPr>
          <w:p w:rsidR="0061215E" w:rsidRPr="0061215E" w:rsidRDefault="0061215E" w:rsidP="0061215E">
            <w:pPr>
              <w:jc w:val="right"/>
              <w:rPr>
                <w:rFonts w:ascii="Arial" w:eastAsia="Calibri" w:hAnsi="Arial" w:cs="Arial"/>
                <w:sz w:val="16"/>
                <w:szCs w:val="16"/>
                <w:lang w:eastAsia="en-US"/>
              </w:rPr>
            </w:pPr>
            <w:r w:rsidRPr="0061215E">
              <w:rPr>
                <w:rFonts w:ascii="Arial" w:eastAsia="Calibri" w:hAnsi="Arial" w:cs="Arial"/>
                <w:sz w:val="16"/>
                <w:szCs w:val="16"/>
                <w:lang w:eastAsia="en-US"/>
              </w:rPr>
              <w:t>0</w:t>
            </w:r>
          </w:p>
        </w:tc>
        <w:tc>
          <w:tcPr>
            <w:tcW w:w="1036" w:type="dxa"/>
            <w:noWrap/>
            <w:vAlign w:val="center"/>
            <w:hideMark/>
          </w:tcPr>
          <w:p w:rsidR="0061215E" w:rsidRPr="0061215E" w:rsidRDefault="0061215E" w:rsidP="0061215E">
            <w:pPr>
              <w:jc w:val="right"/>
              <w:rPr>
                <w:rFonts w:ascii="Arial" w:eastAsia="Calibri" w:hAnsi="Arial" w:cs="Arial"/>
                <w:sz w:val="16"/>
                <w:szCs w:val="16"/>
                <w:lang w:eastAsia="en-US"/>
              </w:rPr>
            </w:pPr>
            <w:r w:rsidRPr="0061215E">
              <w:rPr>
                <w:rFonts w:ascii="Arial" w:eastAsia="Calibri" w:hAnsi="Arial" w:cs="Arial"/>
                <w:sz w:val="16"/>
                <w:szCs w:val="16"/>
                <w:lang w:eastAsia="en-US"/>
              </w:rPr>
              <w:t>0</w:t>
            </w:r>
          </w:p>
        </w:tc>
      </w:tr>
      <w:tr w:rsidR="0061215E" w:rsidRPr="0061215E" w:rsidTr="00D25960">
        <w:trPr>
          <w:trHeight w:val="600"/>
        </w:trPr>
        <w:tc>
          <w:tcPr>
            <w:tcW w:w="704" w:type="dxa"/>
            <w:noWrap/>
            <w:hideMark/>
          </w:tcPr>
          <w:p w:rsidR="0061215E" w:rsidRPr="0061215E" w:rsidRDefault="0061215E" w:rsidP="0061215E">
            <w:pPr>
              <w:jc w:val="center"/>
              <w:rPr>
                <w:rFonts w:ascii="Arial" w:eastAsia="Calibri" w:hAnsi="Arial" w:cs="Arial"/>
                <w:sz w:val="16"/>
                <w:szCs w:val="16"/>
                <w:lang w:eastAsia="en-US"/>
              </w:rPr>
            </w:pPr>
            <w:r w:rsidRPr="0061215E">
              <w:rPr>
                <w:rFonts w:ascii="Arial" w:eastAsia="Calibri" w:hAnsi="Arial" w:cs="Arial"/>
                <w:sz w:val="16"/>
                <w:szCs w:val="16"/>
                <w:lang w:eastAsia="en-US"/>
              </w:rPr>
              <w:t>99103</w:t>
            </w:r>
          </w:p>
        </w:tc>
        <w:tc>
          <w:tcPr>
            <w:tcW w:w="2579" w:type="dxa"/>
            <w:hideMark/>
          </w:tcPr>
          <w:p w:rsidR="0061215E" w:rsidRPr="0061215E" w:rsidRDefault="0061215E" w:rsidP="0061215E">
            <w:pPr>
              <w:rPr>
                <w:rFonts w:ascii="Arial" w:eastAsia="Calibri" w:hAnsi="Arial" w:cs="Arial"/>
                <w:sz w:val="16"/>
                <w:szCs w:val="16"/>
                <w:lang w:eastAsia="en-US"/>
              </w:rPr>
            </w:pPr>
            <w:r w:rsidRPr="0061215E">
              <w:rPr>
                <w:rFonts w:ascii="Arial" w:eastAsia="Calibri" w:hAnsi="Arial" w:cs="Arial"/>
                <w:sz w:val="16"/>
                <w:szCs w:val="16"/>
                <w:lang w:eastAsia="en-US"/>
              </w:rPr>
              <w:t>Adeudos de ejercicios anteriores por conceptos distintos de servicios personales</w:t>
            </w:r>
          </w:p>
        </w:tc>
        <w:tc>
          <w:tcPr>
            <w:tcW w:w="1134" w:type="dxa"/>
            <w:noWrap/>
            <w:vAlign w:val="center"/>
            <w:hideMark/>
          </w:tcPr>
          <w:p w:rsidR="0061215E" w:rsidRPr="0061215E" w:rsidRDefault="0061215E" w:rsidP="0061215E">
            <w:pPr>
              <w:jc w:val="right"/>
              <w:rPr>
                <w:rFonts w:ascii="Arial" w:eastAsia="Calibri" w:hAnsi="Arial" w:cs="Arial"/>
                <w:sz w:val="16"/>
                <w:szCs w:val="16"/>
                <w:lang w:eastAsia="en-US"/>
              </w:rPr>
            </w:pPr>
            <w:r w:rsidRPr="0061215E">
              <w:rPr>
                <w:rFonts w:ascii="Arial" w:eastAsia="Calibri" w:hAnsi="Arial" w:cs="Arial"/>
                <w:sz w:val="16"/>
                <w:szCs w:val="16"/>
                <w:lang w:eastAsia="en-US"/>
              </w:rPr>
              <w:t>53,500,000</w:t>
            </w:r>
          </w:p>
        </w:tc>
        <w:tc>
          <w:tcPr>
            <w:tcW w:w="1134" w:type="dxa"/>
            <w:noWrap/>
            <w:vAlign w:val="center"/>
            <w:hideMark/>
          </w:tcPr>
          <w:p w:rsidR="0061215E" w:rsidRPr="0061215E" w:rsidRDefault="0061215E" w:rsidP="0061215E">
            <w:pPr>
              <w:jc w:val="right"/>
              <w:rPr>
                <w:rFonts w:ascii="Arial" w:eastAsia="Calibri" w:hAnsi="Arial" w:cs="Arial"/>
                <w:sz w:val="16"/>
                <w:szCs w:val="16"/>
                <w:lang w:eastAsia="en-US"/>
              </w:rPr>
            </w:pPr>
            <w:r w:rsidRPr="0061215E">
              <w:rPr>
                <w:rFonts w:ascii="Arial" w:eastAsia="Calibri" w:hAnsi="Arial" w:cs="Arial"/>
                <w:sz w:val="16"/>
                <w:szCs w:val="16"/>
                <w:lang w:eastAsia="en-US"/>
              </w:rPr>
              <w:t>33,500,000</w:t>
            </w:r>
          </w:p>
        </w:tc>
        <w:tc>
          <w:tcPr>
            <w:tcW w:w="1110" w:type="dxa"/>
            <w:noWrap/>
            <w:vAlign w:val="center"/>
            <w:hideMark/>
          </w:tcPr>
          <w:p w:rsidR="0061215E" w:rsidRPr="0061215E" w:rsidRDefault="0061215E" w:rsidP="0061215E">
            <w:pPr>
              <w:jc w:val="right"/>
              <w:rPr>
                <w:rFonts w:ascii="Arial" w:eastAsia="Calibri" w:hAnsi="Arial" w:cs="Arial"/>
                <w:sz w:val="16"/>
                <w:szCs w:val="16"/>
                <w:lang w:eastAsia="en-US"/>
              </w:rPr>
            </w:pPr>
            <w:r w:rsidRPr="0061215E">
              <w:rPr>
                <w:rFonts w:ascii="Arial" w:eastAsia="Calibri" w:hAnsi="Arial" w:cs="Arial"/>
                <w:sz w:val="16"/>
                <w:szCs w:val="16"/>
                <w:lang w:eastAsia="en-US"/>
              </w:rPr>
              <w:t>20,000,000</w:t>
            </w:r>
          </w:p>
        </w:tc>
        <w:tc>
          <w:tcPr>
            <w:tcW w:w="1017" w:type="dxa"/>
            <w:noWrap/>
            <w:vAlign w:val="center"/>
            <w:hideMark/>
          </w:tcPr>
          <w:p w:rsidR="0061215E" w:rsidRPr="0061215E" w:rsidRDefault="0061215E" w:rsidP="0061215E">
            <w:pPr>
              <w:jc w:val="right"/>
              <w:rPr>
                <w:rFonts w:ascii="Arial" w:eastAsia="Calibri" w:hAnsi="Arial" w:cs="Arial"/>
                <w:sz w:val="16"/>
                <w:szCs w:val="16"/>
                <w:lang w:eastAsia="en-US"/>
              </w:rPr>
            </w:pPr>
            <w:r w:rsidRPr="0061215E">
              <w:rPr>
                <w:rFonts w:ascii="Arial" w:eastAsia="Calibri" w:hAnsi="Arial" w:cs="Arial"/>
                <w:sz w:val="16"/>
                <w:szCs w:val="16"/>
                <w:lang w:eastAsia="en-US"/>
              </w:rPr>
              <w:t>0</w:t>
            </w:r>
          </w:p>
        </w:tc>
        <w:tc>
          <w:tcPr>
            <w:tcW w:w="1036" w:type="dxa"/>
            <w:noWrap/>
            <w:vAlign w:val="center"/>
            <w:hideMark/>
          </w:tcPr>
          <w:p w:rsidR="0061215E" w:rsidRPr="0061215E" w:rsidRDefault="0061215E" w:rsidP="0061215E">
            <w:pPr>
              <w:jc w:val="right"/>
              <w:rPr>
                <w:rFonts w:ascii="Arial" w:eastAsia="Calibri" w:hAnsi="Arial" w:cs="Arial"/>
                <w:sz w:val="16"/>
                <w:szCs w:val="16"/>
                <w:lang w:eastAsia="en-US"/>
              </w:rPr>
            </w:pPr>
            <w:r w:rsidRPr="0061215E">
              <w:rPr>
                <w:rFonts w:ascii="Arial" w:eastAsia="Calibri" w:hAnsi="Arial" w:cs="Arial"/>
                <w:sz w:val="16"/>
                <w:szCs w:val="16"/>
                <w:lang w:eastAsia="en-US"/>
              </w:rPr>
              <w:t>0</w:t>
            </w:r>
          </w:p>
        </w:tc>
      </w:tr>
      <w:tr w:rsidR="0061215E" w:rsidRPr="0061215E" w:rsidTr="00D25960">
        <w:trPr>
          <w:trHeight w:val="600"/>
        </w:trPr>
        <w:tc>
          <w:tcPr>
            <w:tcW w:w="704" w:type="dxa"/>
            <w:noWrap/>
            <w:hideMark/>
          </w:tcPr>
          <w:p w:rsidR="0061215E" w:rsidRPr="0061215E" w:rsidRDefault="0061215E" w:rsidP="0061215E">
            <w:pPr>
              <w:jc w:val="center"/>
              <w:rPr>
                <w:rFonts w:ascii="Arial" w:eastAsia="Calibri" w:hAnsi="Arial" w:cs="Arial"/>
                <w:sz w:val="16"/>
                <w:szCs w:val="16"/>
                <w:lang w:eastAsia="en-US"/>
              </w:rPr>
            </w:pPr>
            <w:r w:rsidRPr="0061215E">
              <w:rPr>
                <w:rFonts w:ascii="Arial" w:eastAsia="Calibri" w:hAnsi="Arial" w:cs="Arial"/>
                <w:sz w:val="16"/>
                <w:szCs w:val="16"/>
                <w:lang w:eastAsia="en-US"/>
              </w:rPr>
              <w:t>99104</w:t>
            </w:r>
          </w:p>
        </w:tc>
        <w:tc>
          <w:tcPr>
            <w:tcW w:w="2579" w:type="dxa"/>
            <w:hideMark/>
          </w:tcPr>
          <w:p w:rsidR="0061215E" w:rsidRPr="0061215E" w:rsidRDefault="0061215E" w:rsidP="0061215E">
            <w:pPr>
              <w:rPr>
                <w:rFonts w:ascii="Arial" w:eastAsia="Calibri" w:hAnsi="Arial" w:cs="Arial"/>
                <w:sz w:val="16"/>
                <w:szCs w:val="16"/>
                <w:lang w:eastAsia="en-US"/>
              </w:rPr>
            </w:pPr>
            <w:r w:rsidRPr="0061215E">
              <w:rPr>
                <w:rFonts w:ascii="Arial" w:eastAsia="Calibri" w:hAnsi="Arial" w:cs="Arial"/>
                <w:sz w:val="16"/>
                <w:szCs w:val="16"/>
                <w:lang w:eastAsia="en-US"/>
              </w:rPr>
              <w:t>Devolución de ingresos percibidos indebidamente en ejercicios fiscales anteriores</w:t>
            </w:r>
          </w:p>
        </w:tc>
        <w:tc>
          <w:tcPr>
            <w:tcW w:w="1134" w:type="dxa"/>
            <w:noWrap/>
            <w:vAlign w:val="center"/>
            <w:hideMark/>
          </w:tcPr>
          <w:p w:rsidR="0061215E" w:rsidRPr="0061215E" w:rsidRDefault="0061215E" w:rsidP="0061215E">
            <w:pPr>
              <w:jc w:val="right"/>
              <w:rPr>
                <w:rFonts w:ascii="Arial" w:eastAsia="Calibri" w:hAnsi="Arial" w:cs="Arial"/>
                <w:sz w:val="16"/>
                <w:szCs w:val="16"/>
                <w:lang w:eastAsia="en-US"/>
              </w:rPr>
            </w:pPr>
            <w:r w:rsidRPr="0061215E">
              <w:rPr>
                <w:rFonts w:ascii="Arial" w:eastAsia="Calibri" w:hAnsi="Arial" w:cs="Arial"/>
                <w:sz w:val="16"/>
                <w:szCs w:val="16"/>
                <w:lang w:eastAsia="en-US"/>
              </w:rPr>
              <w:t>500,000</w:t>
            </w:r>
          </w:p>
        </w:tc>
        <w:tc>
          <w:tcPr>
            <w:tcW w:w="1134" w:type="dxa"/>
            <w:noWrap/>
            <w:vAlign w:val="center"/>
            <w:hideMark/>
          </w:tcPr>
          <w:p w:rsidR="0061215E" w:rsidRPr="0061215E" w:rsidRDefault="0061215E" w:rsidP="0061215E">
            <w:pPr>
              <w:jc w:val="right"/>
              <w:rPr>
                <w:rFonts w:ascii="Arial" w:eastAsia="Calibri" w:hAnsi="Arial" w:cs="Arial"/>
                <w:sz w:val="16"/>
                <w:szCs w:val="16"/>
                <w:lang w:eastAsia="en-US"/>
              </w:rPr>
            </w:pPr>
            <w:r w:rsidRPr="0061215E">
              <w:rPr>
                <w:rFonts w:ascii="Arial" w:eastAsia="Calibri" w:hAnsi="Arial" w:cs="Arial"/>
                <w:sz w:val="16"/>
                <w:szCs w:val="16"/>
                <w:lang w:eastAsia="en-US"/>
              </w:rPr>
              <w:t>300,000</w:t>
            </w:r>
          </w:p>
        </w:tc>
        <w:tc>
          <w:tcPr>
            <w:tcW w:w="1110" w:type="dxa"/>
            <w:noWrap/>
            <w:vAlign w:val="center"/>
            <w:hideMark/>
          </w:tcPr>
          <w:p w:rsidR="0061215E" w:rsidRPr="0061215E" w:rsidRDefault="0061215E" w:rsidP="0061215E">
            <w:pPr>
              <w:jc w:val="right"/>
              <w:rPr>
                <w:rFonts w:ascii="Arial" w:eastAsia="Calibri" w:hAnsi="Arial" w:cs="Arial"/>
                <w:sz w:val="16"/>
                <w:szCs w:val="16"/>
                <w:lang w:eastAsia="en-US"/>
              </w:rPr>
            </w:pPr>
            <w:r w:rsidRPr="0061215E">
              <w:rPr>
                <w:rFonts w:ascii="Arial" w:eastAsia="Calibri" w:hAnsi="Arial" w:cs="Arial"/>
                <w:sz w:val="16"/>
                <w:szCs w:val="16"/>
                <w:lang w:eastAsia="en-US"/>
              </w:rPr>
              <w:t>200,000</w:t>
            </w:r>
          </w:p>
        </w:tc>
        <w:tc>
          <w:tcPr>
            <w:tcW w:w="1017" w:type="dxa"/>
            <w:noWrap/>
            <w:vAlign w:val="center"/>
            <w:hideMark/>
          </w:tcPr>
          <w:p w:rsidR="0061215E" w:rsidRPr="0061215E" w:rsidRDefault="0061215E" w:rsidP="0061215E">
            <w:pPr>
              <w:jc w:val="right"/>
              <w:rPr>
                <w:rFonts w:ascii="Arial" w:eastAsia="Calibri" w:hAnsi="Arial" w:cs="Arial"/>
                <w:sz w:val="16"/>
                <w:szCs w:val="16"/>
                <w:lang w:eastAsia="en-US"/>
              </w:rPr>
            </w:pPr>
            <w:r w:rsidRPr="0061215E">
              <w:rPr>
                <w:rFonts w:ascii="Arial" w:eastAsia="Calibri" w:hAnsi="Arial" w:cs="Arial"/>
                <w:sz w:val="16"/>
                <w:szCs w:val="16"/>
                <w:lang w:eastAsia="en-US"/>
              </w:rPr>
              <w:t>0</w:t>
            </w:r>
          </w:p>
        </w:tc>
        <w:tc>
          <w:tcPr>
            <w:tcW w:w="1036" w:type="dxa"/>
            <w:noWrap/>
            <w:vAlign w:val="center"/>
            <w:hideMark/>
          </w:tcPr>
          <w:p w:rsidR="0061215E" w:rsidRPr="0061215E" w:rsidRDefault="0061215E" w:rsidP="0061215E">
            <w:pPr>
              <w:jc w:val="right"/>
              <w:rPr>
                <w:rFonts w:ascii="Arial" w:eastAsia="Calibri" w:hAnsi="Arial" w:cs="Arial"/>
                <w:sz w:val="16"/>
                <w:szCs w:val="16"/>
                <w:lang w:eastAsia="en-US"/>
              </w:rPr>
            </w:pPr>
            <w:r w:rsidRPr="0061215E">
              <w:rPr>
                <w:rFonts w:ascii="Arial" w:eastAsia="Calibri" w:hAnsi="Arial" w:cs="Arial"/>
                <w:sz w:val="16"/>
                <w:szCs w:val="16"/>
                <w:lang w:eastAsia="en-US"/>
              </w:rPr>
              <w:t>0</w:t>
            </w:r>
          </w:p>
        </w:tc>
      </w:tr>
      <w:tr w:rsidR="0061215E" w:rsidRPr="0061215E" w:rsidTr="00D25960">
        <w:trPr>
          <w:trHeight w:val="300"/>
        </w:trPr>
        <w:tc>
          <w:tcPr>
            <w:tcW w:w="704" w:type="dxa"/>
            <w:noWrap/>
            <w:hideMark/>
          </w:tcPr>
          <w:p w:rsidR="0061215E" w:rsidRPr="0061215E" w:rsidRDefault="0061215E" w:rsidP="0061215E">
            <w:pPr>
              <w:jc w:val="center"/>
              <w:rPr>
                <w:rFonts w:ascii="Arial" w:eastAsia="Calibri" w:hAnsi="Arial" w:cs="Arial"/>
                <w:sz w:val="16"/>
                <w:szCs w:val="16"/>
                <w:lang w:eastAsia="en-US"/>
              </w:rPr>
            </w:pPr>
          </w:p>
        </w:tc>
        <w:tc>
          <w:tcPr>
            <w:tcW w:w="2579" w:type="dxa"/>
            <w:hideMark/>
          </w:tcPr>
          <w:p w:rsidR="0061215E" w:rsidRPr="0061215E" w:rsidRDefault="0061215E" w:rsidP="0061215E">
            <w:pPr>
              <w:rPr>
                <w:rFonts w:ascii="Arial" w:eastAsia="Calibri" w:hAnsi="Arial" w:cs="Arial"/>
                <w:b/>
                <w:bCs/>
                <w:sz w:val="16"/>
                <w:szCs w:val="16"/>
                <w:lang w:eastAsia="en-US"/>
              </w:rPr>
            </w:pPr>
            <w:r w:rsidRPr="0061215E">
              <w:rPr>
                <w:rFonts w:ascii="Arial" w:eastAsia="Calibri" w:hAnsi="Arial" w:cs="Arial"/>
                <w:b/>
                <w:bCs/>
                <w:sz w:val="16"/>
                <w:szCs w:val="16"/>
                <w:lang w:eastAsia="en-US"/>
              </w:rPr>
              <w:t xml:space="preserve">Total </w:t>
            </w:r>
          </w:p>
        </w:tc>
        <w:tc>
          <w:tcPr>
            <w:tcW w:w="1134" w:type="dxa"/>
            <w:noWrap/>
            <w:vAlign w:val="center"/>
            <w:hideMark/>
          </w:tcPr>
          <w:p w:rsidR="0061215E" w:rsidRPr="0061215E" w:rsidRDefault="0061215E" w:rsidP="0061215E">
            <w:pPr>
              <w:jc w:val="right"/>
              <w:rPr>
                <w:rFonts w:ascii="Arial" w:eastAsia="Calibri" w:hAnsi="Arial" w:cs="Arial"/>
                <w:b/>
                <w:bCs/>
                <w:sz w:val="16"/>
                <w:szCs w:val="16"/>
                <w:lang w:eastAsia="en-US"/>
              </w:rPr>
            </w:pPr>
            <w:r w:rsidRPr="0061215E">
              <w:rPr>
                <w:rFonts w:ascii="Arial" w:eastAsia="Calibri" w:hAnsi="Arial" w:cs="Arial"/>
                <w:b/>
                <w:bCs/>
                <w:sz w:val="16"/>
                <w:szCs w:val="16"/>
                <w:lang w:eastAsia="en-US"/>
              </w:rPr>
              <w:t>410,005,670</w:t>
            </w:r>
          </w:p>
        </w:tc>
        <w:tc>
          <w:tcPr>
            <w:tcW w:w="1134" w:type="dxa"/>
            <w:noWrap/>
            <w:vAlign w:val="center"/>
            <w:hideMark/>
          </w:tcPr>
          <w:p w:rsidR="0061215E" w:rsidRPr="0061215E" w:rsidRDefault="0061215E" w:rsidP="0061215E">
            <w:pPr>
              <w:jc w:val="right"/>
              <w:rPr>
                <w:rFonts w:ascii="Arial" w:eastAsia="Calibri" w:hAnsi="Arial" w:cs="Arial"/>
                <w:b/>
                <w:bCs/>
                <w:sz w:val="16"/>
                <w:szCs w:val="16"/>
                <w:lang w:eastAsia="en-US"/>
              </w:rPr>
            </w:pPr>
            <w:r w:rsidRPr="0061215E">
              <w:rPr>
                <w:rFonts w:ascii="Arial" w:eastAsia="Calibri" w:hAnsi="Arial" w:cs="Arial"/>
                <w:b/>
                <w:bCs/>
                <w:sz w:val="16"/>
                <w:szCs w:val="16"/>
                <w:lang w:eastAsia="en-US"/>
              </w:rPr>
              <w:t>123,201,413</w:t>
            </w:r>
          </w:p>
        </w:tc>
        <w:tc>
          <w:tcPr>
            <w:tcW w:w="1110" w:type="dxa"/>
            <w:noWrap/>
            <w:vAlign w:val="center"/>
            <w:hideMark/>
          </w:tcPr>
          <w:p w:rsidR="0061215E" w:rsidRPr="0061215E" w:rsidRDefault="0061215E" w:rsidP="0061215E">
            <w:pPr>
              <w:jc w:val="right"/>
              <w:rPr>
                <w:rFonts w:ascii="Arial" w:eastAsia="Calibri" w:hAnsi="Arial" w:cs="Arial"/>
                <w:b/>
                <w:bCs/>
                <w:sz w:val="16"/>
                <w:szCs w:val="16"/>
                <w:lang w:eastAsia="en-US"/>
              </w:rPr>
            </w:pPr>
            <w:r w:rsidRPr="0061215E">
              <w:rPr>
                <w:rFonts w:ascii="Arial" w:eastAsia="Calibri" w:hAnsi="Arial" w:cs="Arial"/>
                <w:b/>
                <w:bCs/>
                <w:sz w:val="16"/>
                <w:szCs w:val="16"/>
                <w:lang w:eastAsia="en-US"/>
              </w:rPr>
              <w:t>109,401,413</w:t>
            </w:r>
          </w:p>
        </w:tc>
        <w:tc>
          <w:tcPr>
            <w:tcW w:w="1017" w:type="dxa"/>
            <w:noWrap/>
            <w:vAlign w:val="center"/>
            <w:hideMark/>
          </w:tcPr>
          <w:p w:rsidR="0061215E" w:rsidRPr="0061215E" w:rsidRDefault="0061215E" w:rsidP="0061215E">
            <w:pPr>
              <w:jc w:val="right"/>
              <w:rPr>
                <w:rFonts w:ascii="Arial" w:eastAsia="Calibri" w:hAnsi="Arial" w:cs="Arial"/>
                <w:b/>
                <w:bCs/>
                <w:sz w:val="16"/>
                <w:szCs w:val="16"/>
                <w:lang w:eastAsia="en-US"/>
              </w:rPr>
            </w:pPr>
            <w:r w:rsidRPr="0061215E">
              <w:rPr>
                <w:rFonts w:ascii="Arial" w:eastAsia="Calibri" w:hAnsi="Arial" w:cs="Arial"/>
                <w:b/>
                <w:bCs/>
                <w:sz w:val="16"/>
                <w:szCs w:val="16"/>
                <w:lang w:eastAsia="en-US"/>
              </w:rPr>
              <w:t>88,801,413</w:t>
            </w:r>
          </w:p>
        </w:tc>
        <w:tc>
          <w:tcPr>
            <w:tcW w:w="1036" w:type="dxa"/>
            <w:noWrap/>
            <w:vAlign w:val="center"/>
            <w:hideMark/>
          </w:tcPr>
          <w:p w:rsidR="0061215E" w:rsidRPr="0061215E" w:rsidRDefault="0061215E" w:rsidP="0061215E">
            <w:pPr>
              <w:jc w:val="right"/>
              <w:rPr>
                <w:rFonts w:ascii="Arial" w:eastAsia="Calibri" w:hAnsi="Arial" w:cs="Arial"/>
                <w:b/>
                <w:bCs/>
                <w:sz w:val="16"/>
                <w:szCs w:val="16"/>
                <w:lang w:eastAsia="en-US"/>
              </w:rPr>
            </w:pPr>
            <w:r w:rsidRPr="0061215E">
              <w:rPr>
                <w:rFonts w:ascii="Arial" w:eastAsia="Calibri" w:hAnsi="Arial" w:cs="Arial"/>
                <w:b/>
                <w:bCs/>
                <w:sz w:val="16"/>
                <w:szCs w:val="16"/>
                <w:lang w:eastAsia="en-US"/>
              </w:rPr>
              <w:t>88,601,431</w:t>
            </w:r>
          </w:p>
        </w:tc>
      </w:tr>
    </w:tbl>
    <w:p w:rsidR="00906AFB" w:rsidRDefault="00906AFB" w:rsidP="00906AFB">
      <w:pPr>
        <w:spacing w:after="0" w:line="240" w:lineRule="auto"/>
        <w:jc w:val="both"/>
        <w:rPr>
          <w:rFonts w:ascii="Arial" w:eastAsia="Calibri" w:hAnsi="Arial" w:cs="Arial"/>
          <w:sz w:val="24"/>
          <w:szCs w:val="24"/>
          <w:lang w:val="es-ES" w:eastAsia="en-US"/>
        </w:rPr>
      </w:pPr>
    </w:p>
    <w:p w:rsidR="0061215E" w:rsidRPr="00906AFB" w:rsidRDefault="0061215E" w:rsidP="00906AFB">
      <w:pPr>
        <w:spacing w:after="0" w:line="240" w:lineRule="auto"/>
        <w:jc w:val="both"/>
        <w:rPr>
          <w:rFonts w:ascii="Arial" w:eastAsia="Calibri" w:hAnsi="Arial" w:cs="Arial"/>
          <w:sz w:val="24"/>
          <w:szCs w:val="24"/>
          <w:lang w:val="es-ES" w:eastAsia="en-US"/>
        </w:rPr>
      </w:pPr>
    </w:p>
    <w:p w:rsidR="00906AFB" w:rsidRPr="00906AFB" w:rsidRDefault="00906AFB" w:rsidP="00906AFB">
      <w:pPr>
        <w:spacing w:after="0" w:line="240" w:lineRule="auto"/>
        <w:jc w:val="both"/>
        <w:rPr>
          <w:rFonts w:ascii="Arial" w:eastAsia="Times New Roman" w:hAnsi="Arial" w:cs="Arial"/>
          <w:sz w:val="24"/>
          <w:szCs w:val="24"/>
          <w:lang w:val="es-ES" w:eastAsia="es-ES"/>
        </w:rPr>
      </w:pPr>
      <w:r w:rsidRPr="00906AFB">
        <w:rPr>
          <w:rFonts w:ascii="Arial" w:eastAsia="Times New Roman" w:hAnsi="Arial" w:cs="Arial"/>
          <w:color w:val="000000"/>
          <w:sz w:val="24"/>
          <w:szCs w:val="24"/>
          <w:lang w:val="es-ES" w:eastAsia="es-ES"/>
        </w:rPr>
        <w:t xml:space="preserve">El desglose de la Deuda Pública Indirecta por institución acreedora, monto contratado, monto dispuesto, saldo insoluto, número de crédito, tasa de interés anual, fechas de suscripción, de vencimiento y garantías </w:t>
      </w:r>
      <w:r w:rsidRPr="00906AFB">
        <w:rPr>
          <w:rFonts w:ascii="Arial" w:eastAsia="Times New Roman" w:hAnsi="Arial" w:cs="Arial"/>
          <w:sz w:val="24"/>
          <w:szCs w:val="24"/>
          <w:lang w:val="es-ES" w:eastAsia="es-ES"/>
        </w:rPr>
        <w:t>es de la siguiente forma:</w:t>
      </w:r>
    </w:p>
    <w:p w:rsidR="00FD430F" w:rsidRDefault="00FD430F">
      <w:pPr>
        <w:rPr>
          <w:rFonts w:ascii="Arial" w:eastAsia="Calibri" w:hAnsi="Arial" w:cs="Arial"/>
          <w:sz w:val="24"/>
          <w:szCs w:val="24"/>
          <w:lang w:val="es-ES" w:eastAsia="en-US"/>
        </w:rPr>
      </w:pPr>
      <w:r>
        <w:rPr>
          <w:rFonts w:ascii="Arial" w:eastAsia="Calibri" w:hAnsi="Arial" w:cs="Arial"/>
          <w:sz w:val="24"/>
          <w:szCs w:val="24"/>
          <w:lang w:val="es-ES" w:eastAsia="en-US"/>
        </w:rPr>
        <w:br w:type="page"/>
      </w:r>
    </w:p>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Pr="00906AFB" w:rsidRDefault="00906AFB" w:rsidP="00906AFB">
      <w:pPr>
        <w:keepNext/>
        <w:keepLines/>
        <w:spacing w:after="0" w:line="240" w:lineRule="auto"/>
        <w:jc w:val="center"/>
        <w:outlineLvl w:val="1"/>
        <w:rPr>
          <w:rFonts w:ascii="Arial" w:eastAsia="Times New Roman" w:hAnsi="Arial" w:cs="Times New Roman"/>
          <w:b/>
          <w:sz w:val="20"/>
          <w:szCs w:val="26"/>
          <w:lang w:val="es-ES" w:eastAsia="en-US"/>
        </w:rPr>
      </w:pPr>
      <w:r w:rsidRPr="00906AFB">
        <w:rPr>
          <w:rFonts w:ascii="Arial" w:eastAsia="Times New Roman" w:hAnsi="Arial" w:cs="Times New Roman"/>
          <w:b/>
          <w:sz w:val="20"/>
          <w:szCs w:val="26"/>
          <w:lang w:val="es-ES" w:eastAsia="en-US"/>
        </w:rPr>
        <w:t xml:space="preserve">Tabla </w:t>
      </w:r>
      <w:r w:rsidR="00CF4172">
        <w:rPr>
          <w:rFonts w:ascii="Arial" w:eastAsia="Times New Roman" w:hAnsi="Arial" w:cs="Times New Roman"/>
          <w:b/>
          <w:sz w:val="20"/>
          <w:szCs w:val="26"/>
          <w:lang w:val="es-ES" w:eastAsia="en-US"/>
        </w:rPr>
        <w:t>42</w:t>
      </w:r>
      <w:r w:rsidRPr="00906AFB">
        <w:rPr>
          <w:rFonts w:ascii="Arial" w:eastAsia="Times New Roman" w:hAnsi="Arial" w:cs="Times New Roman"/>
          <w:b/>
          <w:sz w:val="20"/>
          <w:szCs w:val="26"/>
          <w:lang w:val="es-ES" w:eastAsia="en-US"/>
        </w:rPr>
        <w:t xml:space="preserve">. </w:t>
      </w:r>
      <w:r w:rsidR="00A707F3">
        <w:rPr>
          <w:rFonts w:ascii="Arial" w:eastAsia="Times New Roman" w:hAnsi="Arial" w:cs="Times New Roman"/>
          <w:b/>
          <w:sz w:val="20"/>
          <w:szCs w:val="26"/>
          <w:lang w:val="es-ES" w:eastAsia="en-US"/>
        </w:rPr>
        <w:t>Saldos de</w:t>
      </w:r>
      <w:r w:rsidRPr="00906AFB">
        <w:rPr>
          <w:rFonts w:ascii="Arial" w:eastAsia="Times New Roman" w:hAnsi="Arial" w:cs="Times New Roman"/>
          <w:b/>
          <w:sz w:val="20"/>
          <w:szCs w:val="26"/>
          <w:lang w:val="es-ES" w:eastAsia="en-US"/>
        </w:rPr>
        <w:t xml:space="preserve"> Deuda Pública Indirecta</w:t>
      </w:r>
    </w:p>
    <w:tbl>
      <w:tblPr>
        <w:tblStyle w:val="Tablaconcuadrcula2"/>
        <w:tblW w:w="0" w:type="auto"/>
        <w:tblInd w:w="0" w:type="dxa"/>
        <w:tblLook w:val="04A0" w:firstRow="1" w:lastRow="0" w:firstColumn="1" w:lastColumn="0" w:noHBand="0" w:noVBand="1"/>
      </w:tblPr>
      <w:tblGrid>
        <w:gridCol w:w="822"/>
        <w:gridCol w:w="930"/>
        <w:gridCol w:w="976"/>
        <w:gridCol w:w="1029"/>
        <w:gridCol w:w="856"/>
        <w:gridCol w:w="937"/>
        <w:gridCol w:w="998"/>
        <w:gridCol w:w="1029"/>
        <w:gridCol w:w="1143"/>
      </w:tblGrid>
      <w:tr w:rsidR="00906AFB" w:rsidRPr="00906AFB" w:rsidTr="00906AFB">
        <w:trPr>
          <w:trHeight w:val="330"/>
        </w:trPr>
        <w:tc>
          <w:tcPr>
            <w:tcW w:w="8720" w:type="dxa"/>
            <w:gridSpan w:val="9"/>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center"/>
              <w:rPr>
                <w:rFonts w:ascii="Arial" w:hAnsi="Arial" w:cs="Arial"/>
                <w:sz w:val="18"/>
                <w:szCs w:val="16"/>
              </w:rPr>
            </w:pPr>
            <w:r w:rsidRPr="00906AFB">
              <w:rPr>
                <w:rFonts w:ascii="Arial" w:hAnsi="Arial" w:cs="Arial"/>
                <w:sz w:val="18"/>
                <w:szCs w:val="16"/>
              </w:rPr>
              <w:t>Saldos al 31 de octubre de 2016</w:t>
            </w:r>
          </w:p>
        </w:tc>
      </w:tr>
      <w:tr w:rsidR="00906AFB" w:rsidRPr="00906AFB" w:rsidTr="00906AFB">
        <w:trPr>
          <w:trHeight w:val="450"/>
        </w:trPr>
        <w:tc>
          <w:tcPr>
            <w:tcW w:w="822"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ind w:left="-142"/>
              <w:jc w:val="center"/>
              <w:rPr>
                <w:rFonts w:ascii="Arial" w:hAnsi="Arial" w:cs="Arial"/>
                <w:b/>
                <w:bCs/>
                <w:sz w:val="14"/>
                <w:szCs w:val="16"/>
              </w:rPr>
            </w:pPr>
            <w:r w:rsidRPr="00906AFB">
              <w:rPr>
                <w:rFonts w:ascii="Arial" w:hAnsi="Arial" w:cs="Arial"/>
                <w:b/>
                <w:bCs/>
                <w:sz w:val="14"/>
                <w:szCs w:val="16"/>
              </w:rPr>
              <w:t>Acreedor</w:t>
            </w:r>
          </w:p>
        </w:tc>
        <w:tc>
          <w:tcPr>
            <w:tcW w:w="93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ind w:left="-103"/>
              <w:jc w:val="center"/>
              <w:rPr>
                <w:rFonts w:ascii="Arial" w:hAnsi="Arial" w:cs="Arial"/>
                <w:b/>
                <w:bCs/>
                <w:sz w:val="14"/>
                <w:szCs w:val="16"/>
              </w:rPr>
            </w:pPr>
            <w:r w:rsidRPr="00906AFB">
              <w:rPr>
                <w:rFonts w:ascii="Arial" w:hAnsi="Arial" w:cs="Arial"/>
                <w:b/>
                <w:bCs/>
                <w:sz w:val="14"/>
                <w:szCs w:val="16"/>
              </w:rPr>
              <w:t>Acreditado</w:t>
            </w:r>
          </w:p>
        </w:tc>
        <w:tc>
          <w:tcPr>
            <w:tcW w:w="976"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bCs/>
                <w:sz w:val="14"/>
                <w:szCs w:val="16"/>
              </w:rPr>
            </w:pPr>
            <w:r w:rsidRPr="00906AFB">
              <w:rPr>
                <w:rFonts w:ascii="Arial" w:hAnsi="Arial" w:cs="Arial"/>
                <w:b/>
                <w:bCs/>
                <w:sz w:val="14"/>
                <w:szCs w:val="16"/>
              </w:rPr>
              <w:t>Monto Dispuesto</w:t>
            </w:r>
          </w:p>
        </w:tc>
        <w:tc>
          <w:tcPr>
            <w:tcW w:w="1029"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bCs/>
                <w:sz w:val="14"/>
                <w:szCs w:val="16"/>
              </w:rPr>
            </w:pPr>
            <w:r w:rsidRPr="00906AFB">
              <w:rPr>
                <w:rFonts w:ascii="Arial" w:hAnsi="Arial" w:cs="Arial"/>
                <w:b/>
                <w:bCs/>
                <w:sz w:val="14"/>
                <w:szCs w:val="16"/>
              </w:rPr>
              <w:t>Saldo Insoluto</w:t>
            </w:r>
          </w:p>
        </w:tc>
        <w:tc>
          <w:tcPr>
            <w:tcW w:w="856"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bCs/>
                <w:sz w:val="14"/>
                <w:szCs w:val="16"/>
              </w:rPr>
            </w:pPr>
            <w:r w:rsidRPr="00906AFB">
              <w:rPr>
                <w:rFonts w:ascii="Arial" w:hAnsi="Arial" w:cs="Arial"/>
                <w:b/>
                <w:bCs/>
                <w:sz w:val="14"/>
                <w:szCs w:val="16"/>
              </w:rPr>
              <w:t>Número de Crédito</w:t>
            </w:r>
          </w:p>
        </w:tc>
        <w:tc>
          <w:tcPr>
            <w:tcW w:w="93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ind w:left="-56"/>
              <w:jc w:val="center"/>
              <w:rPr>
                <w:rFonts w:ascii="Arial" w:hAnsi="Arial" w:cs="Arial"/>
                <w:b/>
                <w:bCs/>
                <w:sz w:val="14"/>
                <w:szCs w:val="16"/>
              </w:rPr>
            </w:pPr>
            <w:r w:rsidRPr="00906AFB">
              <w:rPr>
                <w:rFonts w:ascii="Arial" w:hAnsi="Arial" w:cs="Arial"/>
                <w:b/>
                <w:bCs/>
                <w:sz w:val="14"/>
                <w:szCs w:val="16"/>
              </w:rPr>
              <w:t>Tasa de Interés Contratada</w:t>
            </w:r>
          </w:p>
        </w:tc>
        <w:tc>
          <w:tcPr>
            <w:tcW w:w="99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ind w:left="-142"/>
              <w:jc w:val="center"/>
              <w:rPr>
                <w:rFonts w:ascii="Arial" w:hAnsi="Arial" w:cs="Arial"/>
                <w:b/>
                <w:bCs/>
                <w:sz w:val="14"/>
                <w:szCs w:val="16"/>
              </w:rPr>
            </w:pPr>
            <w:r w:rsidRPr="00906AFB">
              <w:rPr>
                <w:rFonts w:ascii="Arial" w:hAnsi="Arial" w:cs="Arial"/>
                <w:b/>
                <w:bCs/>
                <w:sz w:val="14"/>
                <w:szCs w:val="16"/>
              </w:rPr>
              <w:t>Fecha de Suscripción</w:t>
            </w:r>
          </w:p>
        </w:tc>
        <w:tc>
          <w:tcPr>
            <w:tcW w:w="1029"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ind w:left="-147"/>
              <w:jc w:val="center"/>
              <w:rPr>
                <w:rFonts w:ascii="Arial" w:hAnsi="Arial" w:cs="Arial"/>
                <w:b/>
                <w:bCs/>
                <w:sz w:val="14"/>
                <w:szCs w:val="16"/>
              </w:rPr>
            </w:pPr>
            <w:r w:rsidRPr="00906AFB">
              <w:rPr>
                <w:rFonts w:ascii="Arial" w:hAnsi="Arial" w:cs="Arial"/>
                <w:b/>
                <w:bCs/>
                <w:sz w:val="14"/>
                <w:szCs w:val="16"/>
              </w:rPr>
              <w:t>Fecha de Vencimiento</w:t>
            </w:r>
          </w:p>
        </w:tc>
        <w:tc>
          <w:tcPr>
            <w:tcW w:w="1143"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ind w:left="-44"/>
              <w:jc w:val="center"/>
              <w:rPr>
                <w:rFonts w:ascii="Arial" w:hAnsi="Arial" w:cs="Arial"/>
                <w:b/>
                <w:bCs/>
                <w:sz w:val="14"/>
                <w:szCs w:val="16"/>
              </w:rPr>
            </w:pPr>
            <w:r w:rsidRPr="00906AFB">
              <w:rPr>
                <w:rFonts w:ascii="Arial" w:hAnsi="Arial" w:cs="Arial"/>
                <w:b/>
                <w:bCs/>
                <w:sz w:val="14"/>
                <w:szCs w:val="16"/>
              </w:rPr>
              <w:t>Garantía y/o Fuente de Pago</w:t>
            </w:r>
          </w:p>
        </w:tc>
      </w:tr>
      <w:tr w:rsidR="00906AFB" w:rsidRPr="00906AFB" w:rsidTr="00906AFB">
        <w:trPr>
          <w:trHeight w:val="330"/>
        </w:trPr>
        <w:tc>
          <w:tcPr>
            <w:tcW w:w="822"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ind w:left="-9"/>
              <w:rPr>
                <w:rFonts w:ascii="Arial" w:hAnsi="Arial" w:cs="Arial"/>
                <w:sz w:val="14"/>
                <w:szCs w:val="16"/>
              </w:rPr>
            </w:pPr>
            <w:r w:rsidRPr="00906AFB">
              <w:rPr>
                <w:rFonts w:ascii="Arial" w:hAnsi="Arial" w:cs="Arial"/>
                <w:sz w:val="14"/>
                <w:szCs w:val="16"/>
              </w:rPr>
              <w:t>Banobras</w:t>
            </w:r>
          </w:p>
        </w:tc>
        <w:tc>
          <w:tcPr>
            <w:tcW w:w="930"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rPr>
                <w:rFonts w:ascii="Arial" w:hAnsi="Arial" w:cs="Arial"/>
                <w:sz w:val="14"/>
                <w:szCs w:val="16"/>
              </w:rPr>
            </w:pPr>
            <w:r w:rsidRPr="00906AFB">
              <w:rPr>
                <w:rFonts w:ascii="Arial" w:hAnsi="Arial" w:cs="Arial"/>
                <w:sz w:val="14"/>
                <w:szCs w:val="16"/>
              </w:rPr>
              <w:t>INSUVI</w:t>
            </w:r>
          </w:p>
        </w:tc>
        <w:tc>
          <w:tcPr>
            <w:tcW w:w="9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ind w:left="-32"/>
              <w:jc w:val="right"/>
              <w:rPr>
                <w:rFonts w:ascii="Arial" w:hAnsi="Arial" w:cs="Arial"/>
                <w:sz w:val="14"/>
                <w:szCs w:val="16"/>
              </w:rPr>
            </w:pPr>
            <w:r w:rsidRPr="00906AFB">
              <w:rPr>
                <w:rFonts w:ascii="Arial" w:hAnsi="Arial" w:cs="Arial"/>
                <w:sz w:val="14"/>
                <w:szCs w:val="16"/>
              </w:rPr>
              <w:t>150,466,713</w:t>
            </w:r>
          </w:p>
        </w:tc>
        <w:tc>
          <w:tcPr>
            <w:tcW w:w="102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4"/>
                <w:szCs w:val="16"/>
              </w:rPr>
            </w:pPr>
            <w:r w:rsidRPr="00906AFB">
              <w:rPr>
                <w:rFonts w:ascii="Arial" w:hAnsi="Arial" w:cs="Arial"/>
                <w:sz w:val="14"/>
                <w:szCs w:val="16"/>
              </w:rPr>
              <w:t>124,819,276</w:t>
            </w:r>
          </w:p>
        </w:tc>
        <w:tc>
          <w:tcPr>
            <w:tcW w:w="85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center"/>
              <w:rPr>
                <w:rFonts w:ascii="Arial" w:hAnsi="Arial" w:cs="Arial"/>
                <w:sz w:val="14"/>
                <w:szCs w:val="16"/>
              </w:rPr>
            </w:pPr>
            <w:r w:rsidRPr="00906AFB">
              <w:rPr>
                <w:rFonts w:ascii="Arial" w:hAnsi="Arial" w:cs="Arial"/>
                <w:sz w:val="14"/>
                <w:szCs w:val="16"/>
              </w:rPr>
              <w:t>7304</w:t>
            </w:r>
          </w:p>
        </w:tc>
        <w:tc>
          <w:tcPr>
            <w:tcW w:w="93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ind w:left="-99"/>
              <w:jc w:val="center"/>
              <w:rPr>
                <w:rFonts w:ascii="Arial" w:hAnsi="Arial" w:cs="Arial"/>
                <w:sz w:val="14"/>
                <w:szCs w:val="16"/>
              </w:rPr>
            </w:pPr>
            <w:r w:rsidRPr="00906AFB">
              <w:rPr>
                <w:rFonts w:ascii="Arial" w:hAnsi="Arial" w:cs="Arial"/>
                <w:sz w:val="14"/>
                <w:szCs w:val="16"/>
              </w:rPr>
              <w:t>TIIE + 0.86%</w:t>
            </w:r>
          </w:p>
        </w:tc>
        <w:tc>
          <w:tcPr>
            <w:tcW w:w="998"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center"/>
              <w:rPr>
                <w:rFonts w:ascii="Arial" w:hAnsi="Arial" w:cs="Arial"/>
                <w:sz w:val="14"/>
                <w:szCs w:val="16"/>
              </w:rPr>
            </w:pPr>
            <w:r w:rsidRPr="00906AFB">
              <w:rPr>
                <w:rFonts w:ascii="Arial" w:hAnsi="Arial" w:cs="Arial"/>
                <w:sz w:val="14"/>
                <w:szCs w:val="16"/>
              </w:rPr>
              <w:t>Jun-08</w:t>
            </w:r>
          </w:p>
        </w:tc>
        <w:tc>
          <w:tcPr>
            <w:tcW w:w="102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center"/>
              <w:rPr>
                <w:rFonts w:ascii="Arial" w:hAnsi="Arial" w:cs="Arial"/>
                <w:sz w:val="14"/>
                <w:szCs w:val="16"/>
              </w:rPr>
            </w:pPr>
            <w:r w:rsidRPr="00906AFB">
              <w:rPr>
                <w:rFonts w:ascii="Arial" w:hAnsi="Arial" w:cs="Arial"/>
                <w:sz w:val="14"/>
                <w:szCs w:val="16"/>
              </w:rPr>
              <w:t>Ago-33</w:t>
            </w:r>
          </w:p>
        </w:tc>
        <w:tc>
          <w:tcPr>
            <w:tcW w:w="1143"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ind w:left="-44"/>
              <w:jc w:val="center"/>
              <w:rPr>
                <w:rFonts w:ascii="Arial" w:hAnsi="Arial" w:cs="Arial"/>
                <w:sz w:val="14"/>
                <w:szCs w:val="16"/>
              </w:rPr>
            </w:pPr>
            <w:r w:rsidRPr="00906AFB">
              <w:rPr>
                <w:rFonts w:ascii="Arial" w:hAnsi="Arial" w:cs="Arial"/>
                <w:sz w:val="14"/>
                <w:szCs w:val="16"/>
              </w:rPr>
              <w:t>Participaciones</w:t>
            </w:r>
          </w:p>
        </w:tc>
      </w:tr>
      <w:tr w:rsidR="00906AFB" w:rsidRPr="00906AFB" w:rsidTr="00906AFB">
        <w:trPr>
          <w:trHeight w:val="330"/>
        </w:trPr>
        <w:tc>
          <w:tcPr>
            <w:tcW w:w="822"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rPr>
                <w:rFonts w:ascii="Arial" w:hAnsi="Arial" w:cs="Arial"/>
                <w:sz w:val="14"/>
                <w:szCs w:val="16"/>
              </w:rPr>
            </w:pPr>
            <w:r w:rsidRPr="00906AFB">
              <w:rPr>
                <w:rFonts w:ascii="Arial" w:hAnsi="Arial" w:cs="Arial"/>
                <w:sz w:val="14"/>
                <w:szCs w:val="16"/>
              </w:rPr>
              <w:t>Banorte</w:t>
            </w:r>
          </w:p>
        </w:tc>
        <w:tc>
          <w:tcPr>
            <w:tcW w:w="930"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ind w:left="-22"/>
              <w:rPr>
                <w:rFonts w:ascii="Arial" w:hAnsi="Arial" w:cs="Arial"/>
                <w:sz w:val="14"/>
                <w:szCs w:val="16"/>
              </w:rPr>
            </w:pPr>
            <w:r w:rsidRPr="00906AFB">
              <w:rPr>
                <w:rFonts w:ascii="Arial" w:hAnsi="Arial" w:cs="Arial"/>
                <w:sz w:val="14"/>
                <w:szCs w:val="16"/>
              </w:rPr>
              <w:t>CIAPACOV</w:t>
            </w:r>
          </w:p>
        </w:tc>
        <w:tc>
          <w:tcPr>
            <w:tcW w:w="9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4"/>
                <w:szCs w:val="16"/>
              </w:rPr>
            </w:pPr>
            <w:r w:rsidRPr="00906AFB">
              <w:rPr>
                <w:rFonts w:ascii="Arial" w:hAnsi="Arial" w:cs="Arial"/>
                <w:sz w:val="14"/>
                <w:szCs w:val="16"/>
              </w:rPr>
              <w:t>0</w:t>
            </w:r>
          </w:p>
        </w:tc>
        <w:tc>
          <w:tcPr>
            <w:tcW w:w="102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4"/>
                <w:szCs w:val="16"/>
              </w:rPr>
            </w:pPr>
            <w:r w:rsidRPr="00906AFB">
              <w:rPr>
                <w:rFonts w:ascii="Arial" w:hAnsi="Arial" w:cs="Arial"/>
                <w:sz w:val="14"/>
                <w:szCs w:val="16"/>
              </w:rPr>
              <w:t>0</w:t>
            </w:r>
          </w:p>
        </w:tc>
        <w:tc>
          <w:tcPr>
            <w:tcW w:w="85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center"/>
              <w:rPr>
                <w:rFonts w:ascii="Arial" w:hAnsi="Arial" w:cs="Arial"/>
                <w:sz w:val="14"/>
                <w:szCs w:val="16"/>
              </w:rPr>
            </w:pPr>
            <w:r w:rsidRPr="00906AFB">
              <w:rPr>
                <w:rFonts w:ascii="Arial" w:hAnsi="Arial" w:cs="Arial"/>
                <w:sz w:val="14"/>
                <w:szCs w:val="16"/>
              </w:rPr>
              <w:t>31750</w:t>
            </w:r>
          </w:p>
        </w:tc>
        <w:tc>
          <w:tcPr>
            <w:tcW w:w="93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ind w:left="-77"/>
              <w:jc w:val="center"/>
              <w:rPr>
                <w:rFonts w:ascii="Arial" w:hAnsi="Arial" w:cs="Arial"/>
                <w:sz w:val="14"/>
                <w:szCs w:val="16"/>
              </w:rPr>
            </w:pPr>
            <w:r w:rsidRPr="00906AFB">
              <w:rPr>
                <w:rFonts w:ascii="Arial" w:hAnsi="Arial" w:cs="Arial"/>
                <w:sz w:val="14"/>
                <w:szCs w:val="16"/>
              </w:rPr>
              <w:t>TIIE + 1.3 %</w:t>
            </w:r>
          </w:p>
        </w:tc>
        <w:tc>
          <w:tcPr>
            <w:tcW w:w="998"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center"/>
              <w:rPr>
                <w:rFonts w:ascii="Arial" w:hAnsi="Arial" w:cs="Arial"/>
                <w:sz w:val="14"/>
                <w:szCs w:val="16"/>
              </w:rPr>
            </w:pPr>
            <w:r w:rsidRPr="00906AFB">
              <w:rPr>
                <w:rFonts w:ascii="Arial" w:hAnsi="Arial" w:cs="Arial"/>
                <w:sz w:val="14"/>
                <w:szCs w:val="16"/>
              </w:rPr>
              <w:t>Ago-06</w:t>
            </w:r>
          </w:p>
        </w:tc>
        <w:tc>
          <w:tcPr>
            <w:tcW w:w="102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center"/>
              <w:rPr>
                <w:rFonts w:ascii="Arial" w:hAnsi="Arial" w:cs="Arial"/>
                <w:sz w:val="14"/>
                <w:szCs w:val="16"/>
              </w:rPr>
            </w:pPr>
            <w:r w:rsidRPr="00906AFB">
              <w:rPr>
                <w:rFonts w:ascii="Arial" w:hAnsi="Arial" w:cs="Arial"/>
                <w:sz w:val="14"/>
                <w:szCs w:val="16"/>
              </w:rPr>
              <w:t>Ago-26</w:t>
            </w:r>
          </w:p>
        </w:tc>
        <w:tc>
          <w:tcPr>
            <w:tcW w:w="1143"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ind w:left="-44"/>
              <w:jc w:val="center"/>
              <w:rPr>
                <w:rFonts w:ascii="Arial" w:hAnsi="Arial" w:cs="Arial"/>
                <w:sz w:val="14"/>
                <w:szCs w:val="16"/>
              </w:rPr>
            </w:pPr>
            <w:r w:rsidRPr="00906AFB">
              <w:rPr>
                <w:rFonts w:ascii="Arial" w:hAnsi="Arial" w:cs="Arial"/>
                <w:sz w:val="14"/>
                <w:szCs w:val="16"/>
              </w:rPr>
              <w:t>Participaciones</w:t>
            </w:r>
          </w:p>
        </w:tc>
      </w:tr>
      <w:tr w:rsidR="00906AFB" w:rsidRPr="00906AFB" w:rsidTr="00906AFB">
        <w:trPr>
          <w:trHeight w:val="330"/>
        </w:trPr>
        <w:tc>
          <w:tcPr>
            <w:tcW w:w="822"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bCs/>
                <w:sz w:val="14"/>
                <w:szCs w:val="16"/>
              </w:rPr>
            </w:pPr>
            <w:r w:rsidRPr="00906AFB">
              <w:rPr>
                <w:rFonts w:ascii="Arial" w:hAnsi="Arial" w:cs="Arial"/>
                <w:b/>
                <w:bCs/>
                <w:sz w:val="14"/>
                <w:szCs w:val="16"/>
              </w:rPr>
              <w:t>Total</w:t>
            </w:r>
          </w:p>
        </w:tc>
        <w:tc>
          <w:tcPr>
            <w:tcW w:w="93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before="120" w:after="120" w:line="360" w:lineRule="auto"/>
              <w:jc w:val="both"/>
              <w:rPr>
                <w:rFonts w:ascii="Arial" w:hAnsi="Arial" w:cs="Arial"/>
                <w:b/>
                <w:bCs/>
                <w:sz w:val="14"/>
                <w:szCs w:val="16"/>
              </w:rPr>
            </w:pPr>
          </w:p>
        </w:tc>
        <w:tc>
          <w:tcPr>
            <w:tcW w:w="976"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ind w:left="-32"/>
              <w:jc w:val="center"/>
              <w:rPr>
                <w:rFonts w:ascii="Arial" w:hAnsi="Arial" w:cs="Arial"/>
                <w:b/>
                <w:bCs/>
                <w:sz w:val="14"/>
                <w:szCs w:val="16"/>
              </w:rPr>
            </w:pPr>
            <w:r w:rsidRPr="00906AFB">
              <w:rPr>
                <w:rFonts w:ascii="Arial" w:hAnsi="Arial" w:cs="Arial"/>
                <w:b/>
                <w:bCs/>
                <w:sz w:val="14"/>
                <w:szCs w:val="16"/>
              </w:rPr>
              <w:t>150,466,713</w:t>
            </w:r>
          </w:p>
        </w:tc>
        <w:tc>
          <w:tcPr>
            <w:tcW w:w="1029"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bCs/>
                <w:sz w:val="14"/>
                <w:szCs w:val="16"/>
              </w:rPr>
            </w:pPr>
            <w:r w:rsidRPr="00906AFB">
              <w:rPr>
                <w:rFonts w:ascii="Arial" w:hAnsi="Arial" w:cs="Arial"/>
                <w:b/>
                <w:bCs/>
                <w:sz w:val="14"/>
                <w:szCs w:val="16"/>
              </w:rPr>
              <w:t>124,819,276</w:t>
            </w:r>
          </w:p>
        </w:tc>
        <w:tc>
          <w:tcPr>
            <w:tcW w:w="4963" w:type="dxa"/>
            <w:gridSpan w:val="5"/>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before="120" w:after="120" w:line="360" w:lineRule="auto"/>
              <w:jc w:val="both"/>
              <w:rPr>
                <w:rFonts w:ascii="Arial" w:hAnsi="Arial" w:cs="Arial"/>
                <w:b/>
                <w:bCs/>
                <w:sz w:val="14"/>
                <w:szCs w:val="16"/>
              </w:rPr>
            </w:pPr>
          </w:p>
        </w:tc>
      </w:tr>
    </w:tbl>
    <w:p w:rsidR="00906AFB" w:rsidRPr="00906AFB" w:rsidRDefault="00906AFB" w:rsidP="00906AFB">
      <w:pPr>
        <w:spacing w:after="0" w:line="240" w:lineRule="auto"/>
        <w:jc w:val="both"/>
        <w:rPr>
          <w:rFonts w:ascii="Arial" w:eastAsia="Calibri" w:hAnsi="Arial" w:cs="Arial"/>
          <w:sz w:val="24"/>
          <w:szCs w:val="24"/>
          <w:lang w:val="es-ES" w:eastAsia="en-US"/>
        </w:rPr>
      </w:pPr>
    </w:p>
    <w:p w:rsidR="00FD430F" w:rsidRDefault="00FD430F" w:rsidP="00906AFB">
      <w:pPr>
        <w:spacing w:after="0" w:line="240" w:lineRule="auto"/>
        <w:jc w:val="both"/>
        <w:rPr>
          <w:rFonts w:ascii="Arial" w:eastAsia="Calibri" w:hAnsi="Arial" w:cs="Arial"/>
          <w:b/>
          <w:sz w:val="24"/>
          <w:szCs w:val="24"/>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b/>
          <w:sz w:val="24"/>
          <w:szCs w:val="24"/>
          <w:lang w:val="es-ES" w:eastAsia="en-US"/>
        </w:rPr>
        <w:t>Artículo 38</w:t>
      </w:r>
      <w:r w:rsidRPr="00906AFB">
        <w:rPr>
          <w:rFonts w:ascii="Arial" w:eastAsia="Calibri" w:hAnsi="Arial" w:cs="Arial"/>
          <w:sz w:val="24"/>
          <w:szCs w:val="24"/>
          <w:lang w:val="es-ES" w:eastAsia="en-US"/>
        </w:rPr>
        <w:t>. Dentro del mismo capítulo correspondiente a Deuda Pública se establece por separado una asignación por un importe de $55,000,000, para el concepto denominado Adeudos de Ejercicios Fiscales Anteriores (ADEFAS). Esta asignación presupuestaria cumple con la hipótesis legal establecida en los artículos 12 y Séptimo Transitorio de la Ley de Disciplina Financiera.</w:t>
      </w:r>
      <w:r w:rsidRPr="00906AFB">
        <w:rPr>
          <w:rFonts w:ascii="Arial" w:eastAsia="Calibri" w:hAnsi="Arial" w:cs="Times New Roman"/>
          <w:lang w:val="es-ES" w:eastAsia="en-US"/>
        </w:rPr>
        <w:t xml:space="preserve"> </w:t>
      </w:r>
      <w:r w:rsidRPr="00906AFB">
        <w:rPr>
          <w:rFonts w:ascii="Arial" w:eastAsia="Calibri" w:hAnsi="Arial" w:cs="Arial"/>
          <w:sz w:val="24"/>
          <w:szCs w:val="24"/>
          <w:lang w:val="es-ES" w:eastAsia="en-US"/>
        </w:rPr>
        <w:t>Se desglosa de la siguiente forma:</w:t>
      </w:r>
    </w:p>
    <w:p w:rsidR="00906AFB" w:rsidRDefault="00906AFB" w:rsidP="00906AFB">
      <w:pPr>
        <w:spacing w:after="0" w:line="240" w:lineRule="auto"/>
        <w:jc w:val="both"/>
        <w:rPr>
          <w:rFonts w:ascii="Arial" w:eastAsia="Calibri" w:hAnsi="Arial" w:cs="Arial"/>
          <w:sz w:val="24"/>
          <w:szCs w:val="24"/>
          <w:lang w:val="es-ES" w:eastAsia="en-US"/>
        </w:rPr>
      </w:pPr>
    </w:p>
    <w:p w:rsidR="00FD430F" w:rsidRPr="00906AFB" w:rsidRDefault="00FD430F" w:rsidP="00906AFB">
      <w:pPr>
        <w:spacing w:after="0" w:line="240" w:lineRule="auto"/>
        <w:jc w:val="both"/>
        <w:rPr>
          <w:rFonts w:ascii="Arial" w:eastAsia="Calibri" w:hAnsi="Arial" w:cs="Arial"/>
          <w:sz w:val="24"/>
          <w:szCs w:val="24"/>
          <w:lang w:val="es-ES" w:eastAsia="en-US"/>
        </w:rPr>
      </w:pPr>
    </w:p>
    <w:p w:rsidR="00906AFB" w:rsidRPr="00906AFB" w:rsidRDefault="00906AFB" w:rsidP="00906AFB">
      <w:pPr>
        <w:keepNext/>
        <w:keepLines/>
        <w:spacing w:after="0" w:line="240" w:lineRule="auto"/>
        <w:jc w:val="center"/>
        <w:outlineLvl w:val="1"/>
        <w:rPr>
          <w:rFonts w:ascii="Arial" w:eastAsia="Times New Roman" w:hAnsi="Arial" w:cs="Times New Roman"/>
          <w:b/>
          <w:sz w:val="20"/>
          <w:szCs w:val="26"/>
          <w:lang w:val="es-ES" w:eastAsia="en-US"/>
        </w:rPr>
      </w:pPr>
      <w:r w:rsidRPr="00906AFB">
        <w:rPr>
          <w:rFonts w:ascii="Arial" w:eastAsia="Times New Roman" w:hAnsi="Arial" w:cs="Times New Roman"/>
          <w:b/>
          <w:sz w:val="20"/>
          <w:szCs w:val="26"/>
          <w:lang w:val="es-ES" w:eastAsia="en-US"/>
        </w:rPr>
        <w:t xml:space="preserve">Tabla </w:t>
      </w:r>
      <w:r w:rsidR="00CF4172">
        <w:rPr>
          <w:rFonts w:ascii="Arial" w:eastAsia="Times New Roman" w:hAnsi="Arial" w:cs="Times New Roman"/>
          <w:b/>
          <w:sz w:val="20"/>
          <w:szCs w:val="26"/>
          <w:lang w:val="es-ES" w:eastAsia="en-US"/>
        </w:rPr>
        <w:t>43</w:t>
      </w:r>
      <w:r w:rsidRPr="00906AFB">
        <w:rPr>
          <w:rFonts w:ascii="Arial" w:eastAsia="Times New Roman" w:hAnsi="Arial" w:cs="Times New Roman"/>
          <w:b/>
          <w:sz w:val="20"/>
          <w:szCs w:val="26"/>
          <w:lang w:val="es-ES" w:eastAsia="en-US"/>
        </w:rPr>
        <w:t>. Adeudos de Ejercicios Fiscales Anteriores (ADEFAS)</w:t>
      </w:r>
    </w:p>
    <w:tbl>
      <w:tblPr>
        <w:tblStyle w:val="Tablaconcuadrcula2"/>
        <w:tblW w:w="0" w:type="auto"/>
        <w:jc w:val="center"/>
        <w:tblInd w:w="0" w:type="dxa"/>
        <w:tblLook w:val="04A0" w:firstRow="1" w:lastRow="0" w:firstColumn="1" w:lastColumn="0" w:noHBand="0" w:noVBand="1"/>
      </w:tblPr>
      <w:tblGrid>
        <w:gridCol w:w="827"/>
        <w:gridCol w:w="6388"/>
        <w:gridCol w:w="1347"/>
      </w:tblGrid>
      <w:tr w:rsidR="00906AFB" w:rsidRPr="00906AFB" w:rsidTr="00906AFB">
        <w:trPr>
          <w:trHeight w:val="283"/>
          <w:jc w:val="center"/>
        </w:trPr>
        <w:tc>
          <w:tcPr>
            <w:tcW w:w="82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center"/>
              <w:rPr>
                <w:rFonts w:ascii="Arial" w:hAnsi="Arial" w:cs="Arial"/>
                <w:b/>
                <w:bCs/>
                <w:sz w:val="18"/>
                <w:szCs w:val="20"/>
              </w:rPr>
            </w:pPr>
            <w:r w:rsidRPr="00906AFB">
              <w:rPr>
                <w:rFonts w:ascii="Arial" w:hAnsi="Arial" w:cs="Arial"/>
                <w:b/>
                <w:bCs/>
                <w:sz w:val="18"/>
                <w:szCs w:val="20"/>
              </w:rPr>
              <w:t>Partida</w:t>
            </w:r>
          </w:p>
        </w:tc>
        <w:tc>
          <w:tcPr>
            <w:tcW w:w="6388"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center"/>
              <w:rPr>
                <w:rFonts w:ascii="Arial" w:hAnsi="Arial" w:cs="Arial"/>
                <w:b/>
                <w:bCs/>
                <w:sz w:val="18"/>
                <w:szCs w:val="20"/>
              </w:rPr>
            </w:pPr>
            <w:r w:rsidRPr="00906AFB">
              <w:rPr>
                <w:rFonts w:ascii="Arial" w:hAnsi="Arial" w:cs="Arial"/>
                <w:b/>
                <w:bCs/>
                <w:sz w:val="18"/>
                <w:szCs w:val="20"/>
              </w:rPr>
              <w:t>Denominación</w:t>
            </w:r>
          </w:p>
        </w:tc>
        <w:tc>
          <w:tcPr>
            <w:tcW w:w="126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bCs/>
                <w:sz w:val="18"/>
                <w:szCs w:val="20"/>
              </w:rPr>
            </w:pPr>
            <w:r w:rsidRPr="00906AFB">
              <w:rPr>
                <w:rFonts w:ascii="Arial" w:hAnsi="Arial" w:cs="Arial"/>
                <w:b/>
                <w:bCs/>
                <w:sz w:val="18"/>
                <w:szCs w:val="20"/>
              </w:rPr>
              <w:t>Asignación Presupuestal</w:t>
            </w:r>
          </w:p>
        </w:tc>
      </w:tr>
      <w:tr w:rsidR="00906AFB" w:rsidRPr="00906AFB" w:rsidTr="00906AFB">
        <w:trPr>
          <w:trHeight w:val="283"/>
          <w:jc w:val="center"/>
        </w:trPr>
        <w:tc>
          <w:tcPr>
            <w:tcW w:w="82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sz w:val="18"/>
                <w:szCs w:val="20"/>
              </w:rPr>
            </w:pPr>
            <w:r w:rsidRPr="00906AFB">
              <w:rPr>
                <w:rFonts w:ascii="Arial" w:hAnsi="Arial" w:cs="Arial"/>
                <w:sz w:val="18"/>
                <w:szCs w:val="20"/>
              </w:rPr>
              <w:t>99101</w:t>
            </w:r>
          </w:p>
        </w:tc>
        <w:tc>
          <w:tcPr>
            <w:tcW w:w="638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18"/>
                <w:szCs w:val="20"/>
              </w:rPr>
            </w:pPr>
            <w:r w:rsidRPr="00906AFB">
              <w:rPr>
                <w:rFonts w:ascii="Arial" w:hAnsi="Arial" w:cs="Arial"/>
                <w:sz w:val="18"/>
                <w:szCs w:val="20"/>
              </w:rPr>
              <w:t>Adeudos de ejercicios anteriores por concepto de servicios personales magisterio</w:t>
            </w:r>
          </w:p>
        </w:tc>
        <w:tc>
          <w:tcPr>
            <w:tcW w:w="1268"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20"/>
              </w:rPr>
            </w:pPr>
            <w:r w:rsidRPr="00906AFB">
              <w:rPr>
                <w:rFonts w:ascii="Arial" w:hAnsi="Arial" w:cs="Arial"/>
                <w:sz w:val="18"/>
                <w:szCs w:val="20"/>
              </w:rPr>
              <w:t>1,000,000</w:t>
            </w:r>
          </w:p>
        </w:tc>
      </w:tr>
      <w:tr w:rsidR="00906AFB" w:rsidRPr="00906AFB" w:rsidTr="00906AFB">
        <w:trPr>
          <w:trHeight w:val="283"/>
          <w:jc w:val="center"/>
        </w:trPr>
        <w:tc>
          <w:tcPr>
            <w:tcW w:w="82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sz w:val="18"/>
                <w:szCs w:val="20"/>
              </w:rPr>
            </w:pPr>
            <w:r w:rsidRPr="00906AFB">
              <w:rPr>
                <w:rFonts w:ascii="Arial" w:hAnsi="Arial" w:cs="Arial"/>
                <w:sz w:val="18"/>
                <w:szCs w:val="20"/>
              </w:rPr>
              <w:t>99103</w:t>
            </w:r>
          </w:p>
        </w:tc>
        <w:tc>
          <w:tcPr>
            <w:tcW w:w="638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18"/>
                <w:szCs w:val="20"/>
              </w:rPr>
            </w:pPr>
            <w:r w:rsidRPr="00906AFB">
              <w:rPr>
                <w:rFonts w:ascii="Arial" w:hAnsi="Arial" w:cs="Arial"/>
                <w:sz w:val="18"/>
                <w:szCs w:val="20"/>
              </w:rPr>
              <w:t>Adeudos de ejercicios anteriores por conceptos distintos de servicios personales</w:t>
            </w:r>
          </w:p>
        </w:tc>
        <w:tc>
          <w:tcPr>
            <w:tcW w:w="1268"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20"/>
              </w:rPr>
            </w:pPr>
            <w:r w:rsidRPr="00906AFB">
              <w:rPr>
                <w:rFonts w:ascii="Arial" w:hAnsi="Arial" w:cs="Arial"/>
                <w:sz w:val="18"/>
                <w:szCs w:val="20"/>
              </w:rPr>
              <w:t>53,500,000</w:t>
            </w:r>
          </w:p>
        </w:tc>
      </w:tr>
      <w:tr w:rsidR="00906AFB" w:rsidRPr="00906AFB" w:rsidTr="00906AFB">
        <w:trPr>
          <w:trHeight w:val="283"/>
          <w:jc w:val="center"/>
        </w:trPr>
        <w:tc>
          <w:tcPr>
            <w:tcW w:w="82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sz w:val="18"/>
                <w:szCs w:val="20"/>
              </w:rPr>
            </w:pPr>
            <w:r w:rsidRPr="00906AFB">
              <w:rPr>
                <w:rFonts w:ascii="Arial" w:hAnsi="Arial" w:cs="Arial"/>
                <w:sz w:val="18"/>
                <w:szCs w:val="20"/>
              </w:rPr>
              <w:t>99104</w:t>
            </w:r>
          </w:p>
        </w:tc>
        <w:tc>
          <w:tcPr>
            <w:tcW w:w="638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18"/>
                <w:szCs w:val="20"/>
              </w:rPr>
            </w:pPr>
            <w:r w:rsidRPr="00906AFB">
              <w:rPr>
                <w:rFonts w:ascii="Arial" w:hAnsi="Arial" w:cs="Arial"/>
                <w:sz w:val="18"/>
                <w:szCs w:val="20"/>
              </w:rPr>
              <w:t>Devolución de ingresos percibidos indebidamente en ejercicios fiscales anteriores</w:t>
            </w:r>
          </w:p>
        </w:tc>
        <w:tc>
          <w:tcPr>
            <w:tcW w:w="1268"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18"/>
                <w:szCs w:val="20"/>
              </w:rPr>
            </w:pPr>
            <w:r w:rsidRPr="00906AFB">
              <w:rPr>
                <w:rFonts w:ascii="Arial" w:hAnsi="Arial" w:cs="Arial"/>
                <w:sz w:val="18"/>
                <w:szCs w:val="20"/>
              </w:rPr>
              <w:t>500,000</w:t>
            </w:r>
          </w:p>
        </w:tc>
      </w:tr>
      <w:tr w:rsidR="00906AFB" w:rsidRPr="00906AFB" w:rsidTr="00906AFB">
        <w:trPr>
          <w:trHeight w:val="283"/>
          <w:jc w:val="center"/>
        </w:trPr>
        <w:tc>
          <w:tcPr>
            <w:tcW w:w="827" w:type="dxa"/>
            <w:tcBorders>
              <w:top w:val="single" w:sz="4" w:space="0" w:color="auto"/>
              <w:left w:val="single" w:sz="4" w:space="0" w:color="auto"/>
              <w:bottom w:val="single" w:sz="4" w:space="0" w:color="auto"/>
              <w:right w:val="single" w:sz="4" w:space="0" w:color="auto"/>
            </w:tcBorders>
            <w:noWrap/>
            <w:hideMark/>
          </w:tcPr>
          <w:p w:rsidR="00906AFB" w:rsidRPr="00906AFB" w:rsidRDefault="00906AFB" w:rsidP="00906AFB">
            <w:pPr>
              <w:jc w:val="both"/>
              <w:rPr>
                <w:rFonts w:ascii="Arial" w:hAnsi="Arial" w:cs="Arial"/>
                <w:sz w:val="18"/>
                <w:szCs w:val="20"/>
              </w:rPr>
            </w:pPr>
            <w:r w:rsidRPr="00906AFB">
              <w:rPr>
                <w:rFonts w:ascii="Arial" w:hAnsi="Arial" w:cs="Arial"/>
                <w:sz w:val="18"/>
                <w:szCs w:val="20"/>
              </w:rPr>
              <w:t> </w:t>
            </w:r>
          </w:p>
        </w:tc>
        <w:tc>
          <w:tcPr>
            <w:tcW w:w="6388"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center"/>
              <w:rPr>
                <w:rFonts w:ascii="Arial" w:hAnsi="Arial" w:cs="Arial"/>
                <w:b/>
                <w:bCs/>
                <w:sz w:val="18"/>
                <w:szCs w:val="20"/>
              </w:rPr>
            </w:pPr>
            <w:r w:rsidRPr="00906AFB">
              <w:rPr>
                <w:rFonts w:ascii="Arial" w:hAnsi="Arial" w:cs="Arial"/>
                <w:b/>
                <w:bCs/>
                <w:sz w:val="18"/>
                <w:szCs w:val="20"/>
              </w:rPr>
              <w:t>Total</w:t>
            </w:r>
          </w:p>
        </w:tc>
        <w:tc>
          <w:tcPr>
            <w:tcW w:w="1268"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b/>
                <w:bCs/>
                <w:sz w:val="18"/>
                <w:szCs w:val="20"/>
              </w:rPr>
            </w:pPr>
            <w:r w:rsidRPr="00906AFB">
              <w:rPr>
                <w:rFonts w:ascii="Arial" w:hAnsi="Arial" w:cs="Arial"/>
                <w:b/>
                <w:bCs/>
                <w:sz w:val="18"/>
                <w:szCs w:val="20"/>
              </w:rPr>
              <w:t>55,000,000</w:t>
            </w:r>
          </w:p>
        </w:tc>
      </w:tr>
    </w:tbl>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Pr="00906AFB" w:rsidRDefault="00906AFB" w:rsidP="0084146E">
      <w:pPr>
        <w:spacing w:after="0" w:line="240" w:lineRule="auto"/>
        <w:jc w:val="both"/>
        <w:rPr>
          <w:rFonts w:ascii="Arial" w:eastAsia="Times New Roman" w:hAnsi="Arial" w:cs="Arial"/>
          <w:color w:val="000000"/>
          <w:sz w:val="24"/>
          <w:szCs w:val="24"/>
          <w:lang w:val="es-ES" w:eastAsia="es-ES"/>
        </w:rPr>
      </w:pPr>
      <w:r w:rsidRPr="00906AFB">
        <w:rPr>
          <w:rFonts w:ascii="Arial" w:eastAsia="Calibri" w:hAnsi="Arial" w:cs="Arial"/>
          <w:b/>
          <w:sz w:val="24"/>
          <w:szCs w:val="24"/>
          <w:lang w:val="es-ES" w:eastAsia="en-US"/>
        </w:rPr>
        <w:t>Artículo 39</w:t>
      </w:r>
      <w:r w:rsidRPr="00906AFB">
        <w:rPr>
          <w:rFonts w:ascii="Arial" w:eastAsia="Calibri" w:hAnsi="Arial" w:cs="Arial"/>
          <w:sz w:val="24"/>
          <w:szCs w:val="24"/>
          <w:lang w:val="es-ES" w:eastAsia="en-US"/>
        </w:rPr>
        <w:t xml:space="preserve">. </w:t>
      </w:r>
      <w:r w:rsidRPr="00906AFB">
        <w:rPr>
          <w:rFonts w:ascii="Arial" w:eastAsia="Times New Roman" w:hAnsi="Arial" w:cs="Arial"/>
          <w:color w:val="000000"/>
          <w:sz w:val="24"/>
          <w:szCs w:val="24"/>
          <w:lang w:val="es-ES" w:eastAsia="es-ES"/>
        </w:rPr>
        <w:t>Los topes o techos de financiamiento para el Estado en el ejercicio fiscal 2017, serán los que se contemplan en el Capítulo V de la Ley de Disciplina Financiera, en relación al Sistema de Alertas, al que están obligados a atender las entidades federativas y los municipios.</w:t>
      </w:r>
    </w:p>
    <w:p w:rsidR="00FD430F" w:rsidRDefault="00FD430F">
      <w:pPr>
        <w:rPr>
          <w:rFonts w:ascii="Arial" w:eastAsia="Calibri" w:hAnsi="Arial" w:cs="Arial"/>
          <w:b/>
          <w:sz w:val="24"/>
          <w:szCs w:val="24"/>
          <w:lang w:val="es-ES" w:eastAsia="en-US"/>
        </w:rPr>
      </w:pPr>
      <w:r>
        <w:rPr>
          <w:rFonts w:ascii="Arial" w:eastAsia="Calibri" w:hAnsi="Arial" w:cs="Arial"/>
          <w:b/>
          <w:sz w:val="24"/>
          <w:szCs w:val="24"/>
          <w:lang w:val="es-ES" w:eastAsia="en-US"/>
        </w:rPr>
        <w:br w:type="page"/>
      </w:r>
    </w:p>
    <w:p w:rsidR="00906AFB" w:rsidRPr="00906AFB" w:rsidRDefault="00906AFB" w:rsidP="00906AFB">
      <w:pPr>
        <w:spacing w:after="0" w:line="240" w:lineRule="auto"/>
        <w:jc w:val="center"/>
        <w:rPr>
          <w:rFonts w:ascii="Arial" w:eastAsia="Calibri" w:hAnsi="Arial" w:cs="Arial"/>
          <w:b/>
          <w:sz w:val="24"/>
          <w:szCs w:val="24"/>
          <w:lang w:val="es-ES" w:eastAsia="en-US"/>
        </w:rPr>
      </w:pPr>
    </w:p>
    <w:p w:rsidR="00906AFB" w:rsidRPr="00906AFB" w:rsidRDefault="00906AFB" w:rsidP="00906AFB">
      <w:pPr>
        <w:spacing w:after="0" w:line="240" w:lineRule="auto"/>
        <w:jc w:val="center"/>
        <w:rPr>
          <w:rFonts w:ascii="Arial" w:eastAsia="Calibri" w:hAnsi="Arial" w:cs="Arial"/>
          <w:b/>
          <w:sz w:val="24"/>
          <w:szCs w:val="24"/>
          <w:lang w:val="es-ES" w:eastAsia="en-US"/>
        </w:rPr>
      </w:pPr>
      <w:r w:rsidRPr="00906AFB">
        <w:rPr>
          <w:rFonts w:ascii="Arial" w:eastAsia="Calibri" w:hAnsi="Arial" w:cs="Arial"/>
          <w:b/>
          <w:sz w:val="24"/>
          <w:szCs w:val="24"/>
          <w:lang w:val="es-ES" w:eastAsia="en-US"/>
        </w:rPr>
        <w:t>TÍTULO SEGUNDO</w:t>
      </w:r>
    </w:p>
    <w:p w:rsidR="00906AFB" w:rsidRDefault="00906AFB" w:rsidP="00A514C3">
      <w:pPr>
        <w:spacing w:after="0" w:line="240" w:lineRule="auto"/>
        <w:jc w:val="center"/>
        <w:rPr>
          <w:rFonts w:ascii="Arial" w:eastAsia="Calibri" w:hAnsi="Arial" w:cs="Arial"/>
          <w:b/>
          <w:sz w:val="24"/>
          <w:szCs w:val="24"/>
          <w:lang w:val="es-ES" w:eastAsia="en-US"/>
        </w:rPr>
      </w:pPr>
      <w:r w:rsidRPr="00906AFB">
        <w:rPr>
          <w:rFonts w:ascii="Arial" w:eastAsia="Calibri" w:hAnsi="Arial" w:cs="Arial"/>
          <w:b/>
          <w:sz w:val="24"/>
          <w:szCs w:val="24"/>
          <w:lang w:val="es-ES" w:eastAsia="en-US"/>
        </w:rPr>
        <w:t>DE LOS RECURSOS FEDERALES</w:t>
      </w:r>
    </w:p>
    <w:p w:rsidR="00A514C3" w:rsidRPr="00A514C3" w:rsidRDefault="00A514C3" w:rsidP="00A514C3">
      <w:pPr>
        <w:spacing w:after="0" w:line="240" w:lineRule="auto"/>
        <w:jc w:val="center"/>
        <w:rPr>
          <w:rFonts w:ascii="Arial" w:eastAsia="Calibri" w:hAnsi="Arial" w:cs="Arial"/>
          <w:b/>
          <w:sz w:val="24"/>
          <w:szCs w:val="24"/>
          <w:lang w:val="es-ES" w:eastAsia="en-US"/>
        </w:rPr>
      </w:pPr>
    </w:p>
    <w:p w:rsidR="00906AFB" w:rsidRPr="00906AFB" w:rsidRDefault="00906AFB" w:rsidP="00906AFB">
      <w:pPr>
        <w:keepNext/>
        <w:keepLines/>
        <w:spacing w:after="0" w:line="240" w:lineRule="auto"/>
        <w:jc w:val="center"/>
        <w:outlineLvl w:val="0"/>
        <w:rPr>
          <w:rFonts w:ascii="Arial" w:eastAsia="Times New Roman" w:hAnsi="Arial" w:cs="Arial"/>
          <w:b/>
          <w:sz w:val="24"/>
          <w:szCs w:val="24"/>
          <w:lang w:val="es-ES" w:eastAsia="en-US"/>
        </w:rPr>
      </w:pPr>
      <w:r w:rsidRPr="00906AFB">
        <w:rPr>
          <w:rFonts w:ascii="Arial" w:eastAsia="Times New Roman" w:hAnsi="Arial" w:cs="Arial"/>
          <w:b/>
          <w:sz w:val="24"/>
          <w:szCs w:val="24"/>
          <w:lang w:val="es-ES" w:eastAsia="en-US"/>
        </w:rPr>
        <w:t xml:space="preserve"> </w:t>
      </w:r>
      <w:bookmarkStart w:id="27" w:name="_Toc465292959"/>
      <w:bookmarkStart w:id="28" w:name="_Toc465292887"/>
      <w:r w:rsidRPr="00906AFB">
        <w:rPr>
          <w:rFonts w:ascii="Arial" w:eastAsia="Times New Roman" w:hAnsi="Arial" w:cs="Arial"/>
          <w:b/>
          <w:sz w:val="24"/>
          <w:szCs w:val="24"/>
          <w:lang w:val="es-ES" w:eastAsia="en-US"/>
        </w:rPr>
        <w:t xml:space="preserve">CAPÍTULO ÚNICO </w:t>
      </w:r>
    </w:p>
    <w:p w:rsidR="00906AFB" w:rsidRPr="00906AFB" w:rsidRDefault="00906AFB" w:rsidP="00906AFB">
      <w:pPr>
        <w:keepNext/>
        <w:keepLines/>
        <w:spacing w:after="0" w:line="240" w:lineRule="auto"/>
        <w:jc w:val="center"/>
        <w:outlineLvl w:val="0"/>
        <w:rPr>
          <w:rFonts w:ascii="Arial" w:eastAsia="Times New Roman" w:hAnsi="Arial" w:cs="Arial"/>
          <w:b/>
          <w:sz w:val="24"/>
          <w:szCs w:val="24"/>
          <w:lang w:val="es-ES" w:eastAsia="en-US"/>
        </w:rPr>
      </w:pPr>
      <w:r w:rsidRPr="00906AFB">
        <w:rPr>
          <w:rFonts w:ascii="Arial" w:eastAsia="Times New Roman" w:hAnsi="Arial" w:cs="Arial"/>
          <w:b/>
          <w:sz w:val="24"/>
          <w:szCs w:val="24"/>
          <w:lang w:val="es-ES" w:eastAsia="en-US"/>
        </w:rPr>
        <w:t>DE LOS RECURSOS FEDERALES TRANSFERIDOS AL ESTADO Y SUS MUNICIPIOS</w:t>
      </w:r>
      <w:bookmarkEnd w:id="27"/>
      <w:bookmarkEnd w:id="28"/>
    </w:p>
    <w:p w:rsidR="00906AFB" w:rsidRPr="00906AFB" w:rsidRDefault="00906AFB" w:rsidP="00906AFB">
      <w:pPr>
        <w:shd w:val="clear" w:color="auto" w:fill="FFFFFF"/>
        <w:spacing w:after="0" w:line="240" w:lineRule="auto"/>
        <w:jc w:val="both"/>
        <w:rPr>
          <w:rFonts w:ascii="Arial" w:eastAsia="Times New Roman" w:hAnsi="Arial" w:cs="Arial"/>
          <w:b/>
          <w:color w:val="000000"/>
          <w:sz w:val="24"/>
          <w:szCs w:val="24"/>
          <w:lang w:val="es-ES" w:eastAsia="es-ES"/>
        </w:rPr>
      </w:pPr>
    </w:p>
    <w:p w:rsidR="00906AFB" w:rsidRPr="00906AFB" w:rsidRDefault="00906AFB" w:rsidP="00906AFB">
      <w:pPr>
        <w:shd w:val="clear" w:color="auto" w:fill="FFFFFF"/>
        <w:spacing w:after="0" w:line="240" w:lineRule="auto"/>
        <w:jc w:val="both"/>
        <w:rPr>
          <w:rFonts w:ascii="Arial" w:eastAsia="Times New Roman" w:hAnsi="Arial" w:cs="Arial"/>
          <w:sz w:val="24"/>
          <w:szCs w:val="24"/>
          <w:lang w:val="es-ES" w:eastAsia="es-ES"/>
        </w:rPr>
      </w:pPr>
      <w:r w:rsidRPr="00906AFB">
        <w:rPr>
          <w:rFonts w:ascii="Arial" w:eastAsia="Times New Roman" w:hAnsi="Arial" w:cs="Arial"/>
          <w:b/>
          <w:color w:val="000000"/>
          <w:sz w:val="24"/>
          <w:szCs w:val="24"/>
          <w:lang w:val="es-ES" w:eastAsia="es-ES"/>
        </w:rPr>
        <w:t>Artículo 40</w:t>
      </w:r>
      <w:r w:rsidRPr="00906AFB">
        <w:rPr>
          <w:rFonts w:ascii="Arial" w:eastAsia="Times New Roman" w:hAnsi="Arial" w:cs="Arial"/>
          <w:b/>
          <w:sz w:val="24"/>
          <w:szCs w:val="24"/>
          <w:lang w:val="es-ES" w:eastAsia="es-ES"/>
        </w:rPr>
        <w:t xml:space="preserve">. </w:t>
      </w:r>
      <w:r w:rsidRPr="00906AFB">
        <w:rPr>
          <w:rFonts w:ascii="Arial" w:eastAsia="Times New Roman" w:hAnsi="Arial" w:cs="Arial"/>
          <w:sz w:val="24"/>
          <w:szCs w:val="24"/>
          <w:lang w:val="es-ES" w:eastAsia="es-ES"/>
        </w:rPr>
        <w:t xml:space="preserve">El Gasto Etiquetado, y el Gasto No Etiquetado permite identificar el origen de los ingresos que financian los egresos, y precisan la orientación específica de cada fuente a efecto de controlar su aplicación. </w:t>
      </w:r>
    </w:p>
    <w:p w:rsidR="00906AFB" w:rsidRPr="00906AFB" w:rsidRDefault="00906AFB" w:rsidP="00906AFB">
      <w:pPr>
        <w:shd w:val="clear" w:color="auto" w:fill="FFFFFF"/>
        <w:spacing w:after="0" w:line="240" w:lineRule="auto"/>
        <w:jc w:val="both"/>
        <w:rPr>
          <w:rFonts w:ascii="Arial" w:eastAsia="Times New Roman" w:hAnsi="Arial" w:cs="Arial"/>
          <w:sz w:val="24"/>
          <w:szCs w:val="24"/>
          <w:lang w:val="es-ES" w:eastAsia="es-ES"/>
        </w:rPr>
      </w:pPr>
    </w:p>
    <w:p w:rsidR="00906AFB" w:rsidRPr="00906AFB" w:rsidRDefault="00723C49" w:rsidP="00906AFB">
      <w:pPr>
        <w:keepNext/>
        <w:keepLines/>
        <w:spacing w:after="0" w:line="240" w:lineRule="auto"/>
        <w:jc w:val="center"/>
        <w:outlineLvl w:val="1"/>
        <w:rPr>
          <w:rFonts w:ascii="Arial" w:eastAsia="Times New Roman" w:hAnsi="Arial" w:cs="Times New Roman"/>
          <w:b/>
          <w:sz w:val="20"/>
          <w:szCs w:val="26"/>
          <w:lang w:val="es-ES" w:eastAsia="en-US"/>
        </w:rPr>
      </w:pPr>
      <w:r>
        <w:rPr>
          <w:rFonts w:ascii="Arial" w:eastAsia="Times New Roman" w:hAnsi="Arial" w:cs="Times New Roman"/>
          <w:b/>
          <w:sz w:val="20"/>
          <w:szCs w:val="26"/>
          <w:lang w:val="es-ES" w:eastAsia="en-US"/>
        </w:rPr>
        <w:t xml:space="preserve">Tabla </w:t>
      </w:r>
      <w:r w:rsidR="00CF4172">
        <w:rPr>
          <w:rFonts w:ascii="Arial" w:eastAsia="Times New Roman" w:hAnsi="Arial" w:cs="Times New Roman"/>
          <w:b/>
          <w:sz w:val="20"/>
          <w:szCs w:val="26"/>
          <w:lang w:val="es-ES" w:eastAsia="en-US"/>
        </w:rPr>
        <w:t>44</w:t>
      </w:r>
      <w:r w:rsidR="00906AFB" w:rsidRPr="00906AFB">
        <w:rPr>
          <w:rFonts w:ascii="Arial" w:eastAsia="Times New Roman" w:hAnsi="Arial" w:cs="Times New Roman"/>
          <w:b/>
          <w:sz w:val="20"/>
          <w:szCs w:val="26"/>
          <w:lang w:val="es-ES" w:eastAsia="en-US"/>
        </w:rPr>
        <w:t>. Gasto Etiquetado, Gasto No Etiquetado</w:t>
      </w:r>
    </w:p>
    <w:tbl>
      <w:tblPr>
        <w:tblStyle w:val="Tablaconcuadrcula2"/>
        <w:tblW w:w="0" w:type="auto"/>
        <w:jc w:val="center"/>
        <w:tblInd w:w="0" w:type="dxa"/>
        <w:tblLook w:val="04A0" w:firstRow="1" w:lastRow="0" w:firstColumn="1" w:lastColumn="0" w:noHBand="0" w:noVBand="1"/>
      </w:tblPr>
      <w:tblGrid>
        <w:gridCol w:w="964"/>
        <w:gridCol w:w="5245"/>
        <w:gridCol w:w="1729"/>
      </w:tblGrid>
      <w:tr w:rsidR="00906AFB" w:rsidRPr="00906AFB" w:rsidTr="00906AFB">
        <w:trPr>
          <w:trHeight w:val="390"/>
          <w:jc w:val="center"/>
        </w:trPr>
        <w:tc>
          <w:tcPr>
            <w:tcW w:w="964"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bCs/>
                <w:sz w:val="20"/>
                <w:szCs w:val="20"/>
                <w:lang w:eastAsia="es-ES"/>
              </w:rPr>
            </w:pPr>
            <w:r w:rsidRPr="00906AFB">
              <w:rPr>
                <w:rFonts w:ascii="Arial" w:hAnsi="Arial" w:cs="Arial"/>
                <w:b/>
                <w:bCs/>
                <w:sz w:val="20"/>
                <w:szCs w:val="20"/>
                <w:lang w:eastAsia="es-ES"/>
              </w:rPr>
              <w:t>Clave</w:t>
            </w:r>
          </w:p>
        </w:tc>
        <w:tc>
          <w:tcPr>
            <w:tcW w:w="5245"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center"/>
              <w:rPr>
                <w:rFonts w:ascii="Arial" w:hAnsi="Arial" w:cs="Arial"/>
                <w:b/>
                <w:bCs/>
                <w:sz w:val="20"/>
                <w:szCs w:val="20"/>
                <w:lang w:eastAsia="es-ES"/>
              </w:rPr>
            </w:pPr>
            <w:r w:rsidRPr="00906AFB">
              <w:rPr>
                <w:rFonts w:ascii="Arial" w:hAnsi="Arial" w:cs="Arial"/>
                <w:b/>
                <w:bCs/>
                <w:sz w:val="20"/>
                <w:szCs w:val="20"/>
                <w:lang w:eastAsia="es-ES"/>
              </w:rPr>
              <w:t>Denominación</w:t>
            </w:r>
          </w:p>
        </w:tc>
        <w:tc>
          <w:tcPr>
            <w:tcW w:w="1729"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bCs/>
                <w:sz w:val="20"/>
                <w:szCs w:val="20"/>
                <w:lang w:eastAsia="es-ES"/>
              </w:rPr>
            </w:pPr>
            <w:r w:rsidRPr="00906AFB">
              <w:rPr>
                <w:rFonts w:ascii="Arial" w:hAnsi="Arial" w:cs="Arial"/>
                <w:b/>
                <w:bCs/>
                <w:sz w:val="20"/>
                <w:szCs w:val="20"/>
                <w:lang w:eastAsia="es-ES"/>
              </w:rPr>
              <w:t>Asignación Presupuestal</w:t>
            </w:r>
          </w:p>
        </w:tc>
      </w:tr>
      <w:tr w:rsidR="0084146E" w:rsidRPr="00906AFB" w:rsidTr="0084146E">
        <w:trPr>
          <w:trHeight w:val="270"/>
          <w:jc w:val="center"/>
        </w:trPr>
        <w:tc>
          <w:tcPr>
            <w:tcW w:w="964" w:type="dxa"/>
            <w:tcBorders>
              <w:top w:val="single" w:sz="4" w:space="0" w:color="auto"/>
              <w:left w:val="single" w:sz="4" w:space="0" w:color="auto"/>
              <w:bottom w:val="single" w:sz="4" w:space="0" w:color="auto"/>
              <w:right w:val="single" w:sz="4" w:space="0" w:color="auto"/>
            </w:tcBorders>
            <w:noWrap/>
            <w:vAlign w:val="center"/>
            <w:hideMark/>
          </w:tcPr>
          <w:p w:rsidR="0084146E" w:rsidRPr="00906AFB" w:rsidRDefault="0084146E" w:rsidP="0084146E">
            <w:pPr>
              <w:jc w:val="center"/>
              <w:rPr>
                <w:rFonts w:ascii="Arial" w:hAnsi="Arial" w:cs="Arial"/>
                <w:sz w:val="20"/>
                <w:szCs w:val="20"/>
                <w:lang w:eastAsia="es-ES"/>
              </w:rPr>
            </w:pPr>
            <w:r w:rsidRPr="00906AFB">
              <w:rPr>
                <w:rFonts w:ascii="Arial" w:hAnsi="Arial" w:cs="Arial"/>
                <w:sz w:val="20"/>
                <w:szCs w:val="20"/>
                <w:lang w:eastAsia="es-ES"/>
              </w:rPr>
              <w:t>E</w:t>
            </w:r>
          </w:p>
        </w:tc>
        <w:tc>
          <w:tcPr>
            <w:tcW w:w="5245" w:type="dxa"/>
            <w:tcBorders>
              <w:top w:val="single" w:sz="4" w:space="0" w:color="auto"/>
              <w:left w:val="single" w:sz="4" w:space="0" w:color="auto"/>
              <w:bottom w:val="single" w:sz="4" w:space="0" w:color="auto"/>
              <w:right w:val="single" w:sz="4" w:space="0" w:color="auto"/>
            </w:tcBorders>
            <w:noWrap/>
            <w:vAlign w:val="center"/>
            <w:hideMark/>
          </w:tcPr>
          <w:p w:rsidR="0084146E" w:rsidRPr="00906AFB" w:rsidRDefault="0084146E" w:rsidP="0084146E">
            <w:pPr>
              <w:rPr>
                <w:rFonts w:ascii="Arial" w:hAnsi="Arial" w:cs="Arial"/>
                <w:sz w:val="20"/>
                <w:szCs w:val="20"/>
                <w:lang w:eastAsia="es-ES"/>
              </w:rPr>
            </w:pPr>
            <w:r w:rsidRPr="00906AFB">
              <w:rPr>
                <w:rFonts w:ascii="Arial" w:hAnsi="Arial" w:cs="Arial"/>
                <w:sz w:val="20"/>
                <w:szCs w:val="20"/>
              </w:rPr>
              <w:t>Gasto Etiquetado</w:t>
            </w:r>
          </w:p>
        </w:tc>
        <w:tc>
          <w:tcPr>
            <w:tcW w:w="1729" w:type="dxa"/>
            <w:tcBorders>
              <w:top w:val="single" w:sz="4" w:space="0" w:color="auto"/>
              <w:left w:val="single" w:sz="4" w:space="0" w:color="auto"/>
              <w:bottom w:val="single" w:sz="4" w:space="0" w:color="auto"/>
              <w:right w:val="single" w:sz="4" w:space="0" w:color="auto"/>
            </w:tcBorders>
            <w:noWrap/>
            <w:vAlign w:val="center"/>
            <w:hideMark/>
          </w:tcPr>
          <w:p w:rsidR="0084146E" w:rsidRPr="0084146E" w:rsidRDefault="0084146E" w:rsidP="0084146E">
            <w:pPr>
              <w:jc w:val="right"/>
              <w:rPr>
                <w:rFonts w:ascii="Arial" w:hAnsi="Arial" w:cs="Arial"/>
                <w:sz w:val="20"/>
              </w:rPr>
            </w:pPr>
            <w:r w:rsidRPr="0084146E">
              <w:rPr>
                <w:rFonts w:ascii="Arial" w:hAnsi="Arial" w:cs="Arial"/>
                <w:sz w:val="20"/>
              </w:rPr>
              <w:t>10,368,694,780</w:t>
            </w:r>
          </w:p>
        </w:tc>
      </w:tr>
      <w:tr w:rsidR="0084146E" w:rsidRPr="00906AFB" w:rsidTr="0084146E">
        <w:trPr>
          <w:trHeight w:val="270"/>
          <w:jc w:val="center"/>
        </w:trPr>
        <w:tc>
          <w:tcPr>
            <w:tcW w:w="964" w:type="dxa"/>
            <w:tcBorders>
              <w:top w:val="single" w:sz="4" w:space="0" w:color="auto"/>
              <w:left w:val="single" w:sz="4" w:space="0" w:color="auto"/>
              <w:bottom w:val="single" w:sz="4" w:space="0" w:color="auto"/>
              <w:right w:val="single" w:sz="4" w:space="0" w:color="auto"/>
            </w:tcBorders>
            <w:noWrap/>
            <w:vAlign w:val="center"/>
            <w:hideMark/>
          </w:tcPr>
          <w:p w:rsidR="0084146E" w:rsidRPr="00906AFB" w:rsidRDefault="0084146E" w:rsidP="0084146E">
            <w:pPr>
              <w:jc w:val="center"/>
              <w:rPr>
                <w:rFonts w:ascii="Arial" w:hAnsi="Arial" w:cs="Arial"/>
                <w:sz w:val="20"/>
                <w:szCs w:val="20"/>
                <w:lang w:eastAsia="es-ES"/>
              </w:rPr>
            </w:pPr>
            <w:r w:rsidRPr="00906AFB">
              <w:rPr>
                <w:rFonts w:ascii="Arial" w:hAnsi="Arial" w:cs="Arial"/>
                <w:sz w:val="20"/>
                <w:szCs w:val="20"/>
                <w:lang w:eastAsia="es-ES"/>
              </w:rPr>
              <w:t>N</w:t>
            </w:r>
          </w:p>
        </w:tc>
        <w:tc>
          <w:tcPr>
            <w:tcW w:w="5245" w:type="dxa"/>
            <w:tcBorders>
              <w:top w:val="single" w:sz="4" w:space="0" w:color="auto"/>
              <w:left w:val="single" w:sz="4" w:space="0" w:color="auto"/>
              <w:bottom w:val="single" w:sz="4" w:space="0" w:color="auto"/>
              <w:right w:val="single" w:sz="4" w:space="0" w:color="auto"/>
            </w:tcBorders>
            <w:noWrap/>
            <w:vAlign w:val="center"/>
            <w:hideMark/>
          </w:tcPr>
          <w:p w:rsidR="0084146E" w:rsidRPr="00906AFB" w:rsidRDefault="0084146E" w:rsidP="0084146E">
            <w:pPr>
              <w:rPr>
                <w:rFonts w:ascii="Arial" w:hAnsi="Arial" w:cs="Arial"/>
                <w:sz w:val="20"/>
                <w:szCs w:val="20"/>
                <w:lang w:eastAsia="es-ES"/>
              </w:rPr>
            </w:pPr>
            <w:r w:rsidRPr="00906AFB">
              <w:rPr>
                <w:rFonts w:ascii="Arial" w:hAnsi="Arial" w:cs="Arial"/>
                <w:sz w:val="20"/>
                <w:szCs w:val="20"/>
              </w:rPr>
              <w:t>Gasto No Etiquetado</w:t>
            </w:r>
          </w:p>
        </w:tc>
        <w:tc>
          <w:tcPr>
            <w:tcW w:w="1729" w:type="dxa"/>
            <w:tcBorders>
              <w:top w:val="single" w:sz="4" w:space="0" w:color="auto"/>
              <w:left w:val="single" w:sz="4" w:space="0" w:color="auto"/>
              <w:bottom w:val="single" w:sz="4" w:space="0" w:color="auto"/>
              <w:right w:val="single" w:sz="4" w:space="0" w:color="auto"/>
            </w:tcBorders>
            <w:noWrap/>
            <w:vAlign w:val="center"/>
            <w:hideMark/>
          </w:tcPr>
          <w:p w:rsidR="0084146E" w:rsidRPr="0084146E" w:rsidRDefault="0084146E" w:rsidP="0084146E">
            <w:pPr>
              <w:jc w:val="right"/>
              <w:rPr>
                <w:rFonts w:ascii="Arial" w:hAnsi="Arial" w:cs="Arial"/>
                <w:sz w:val="20"/>
              </w:rPr>
            </w:pPr>
            <w:r w:rsidRPr="0084146E">
              <w:rPr>
                <w:rFonts w:ascii="Arial" w:hAnsi="Arial" w:cs="Arial"/>
                <w:sz w:val="20"/>
              </w:rPr>
              <w:t>5,148,830,220</w:t>
            </w:r>
          </w:p>
        </w:tc>
      </w:tr>
      <w:tr w:rsidR="0084146E" w:rsidRPr="00906AFB" w:rsidTr="0084146E">
        <w:trPr>
          <w:trHeight w:val="270"/>
          <w:jc w:val="center"/>
        </w:trPr>
        <w:tc>
          <w:tcPr>
            <w:tcW w:w="964" w:type="dxa"/>
            <w:tcBorders>
              <w:top w:val="single" w:sz="4" w:space="0" w:color="auto"/>
              <w:left w:val="single" w:sz="4" w:space="0" w:color="auto"/>
              <w:bottom w:val="single" w:sz="4" w:space="0" w:color="auto"/>
              <w:right w:val="single" w:sz="4" w:space="0" w:color="auto"/>
            </w:tcBorders>
            <w:noWrap/>
          </w:tcPr>
          <w:p w:rsidR="0084146E" w:rsidRPr="00906AFB" w:rsidRDefault="0084146E" w:rsidP="0084146E">
            <w:pPr>
              <w:jc w:val="center"/>
              <w:rPr>
                <w:rFonts w:ascii="Arial" w:hAnsi="Arial" w:cs="Arial"/>
                <w:sz w:val="20"/>
                <w:szCs w:val="20"/>
                <w:lang w:eastAsia="es-ES"/>
              </w:rPr>
            </w:pPr>
          </w:p>
        </w:tc>
        <w:tc>
          <w:tcPr>
            <w:tcW w:w="5245" w:type="dxa"/>
            <w:tcBorders>
              <w:top w:val="single" w:sz="4" w:space="0" w:color="auto"/>
              <w:left w:val="single" w:sz="4" w:space="0" w:color="auto"/>
              <w:bottom w:val="single" w:sz="4" w:space="0" w:color="auto"/>
              <w:right w:val="single" w:sz="4" w:space="0" w:color="auto"/>
            </w:tcBorders>
            <w:noWrap/>
            <w:vAlign w:val="center"/>
            <w:hideMark/>
          </w:tcPr>
          <w:p w:rsidR="0084146E" w:rsidRPr="00906AFB" w:rsidRDefault="0084146E" w:rsidP="0084146E">
            <w:pPr>
              <w:jc w:val="center"/>
              <w:rPr>
                <w:rFonts w:ascii="Arial" w:hAnsi="Arial" w:cs="Arial"/>
                <w:b/>
                <w:bCs/>
                <w:sz w:val="20"/>
                <w:szCs w:val="20"/>
                <w:lang w:eastAsia="es-ES"/>
              </w:rPr>
            </w:pPr>
            <w:r w:rsidRPr="00906AFB">
              <w:rPr>
                <w:rFonts w:ascii="Arial" w:hAnsi="Arial" w:cs="Arial"/>
                <w:b/>
                <w:bCs/>
                <w:sz w:val="20"/>
                <w:szCs w:val="20"/>
                <w:lang w:eastAsia="es-ES"/>
              </w:rPr>
              <w:t>Total</w:t>
            </w:r>
          </w:p>
        </w:tc>
        <w:tc>
          <w:tcPr>
            <w:tcW w:w="1729" w:type="dxa"/>
            <w:tcBorders>
              <w:top w:val="single" w:sz="4" w:space="0" w:color="auto"/>
              <w:left w:val="single" w:sz="4" w:space="0" w:color="auto"/>
              <w:bottom w:val="single" w:sz="4" w:space="0" w:color="auto"/>
              <w:right w:val="single" w:sz="4" w:space="0" w:color="auto"/>
            </w:tcBorders>
            <w:noWrap/>
            <w:vAlign w:val="center"/>
            <w:hideMark/>
          </w:tcPr>
          <w:p w:rsidR="0084146E" w:rsidRPr="0084146E" w:rsidRDefault="0084146E" w:rsidP="0084146E">
            <w:pPr>
              <w:jc w:val="right"/>
              <w:rPr>
                <w:rFonts w:ascii="Arial" w:hAnsi="Arial" w:cs="Arial"/>
                <w:b/>
                <w:sz w:val="20"/>
              </w:rPr>
            </w:pPr>
            <w:r w:rsidRPr="0084146E">
              <w:rPr>
                <w:rFonts w:ascii="Arial" w:hAnsi="Arial" w:cs="Arial"/>
                <w:b/>
                <w:sz w:val="20"/>
              </w:rPr>
              <w:t>15,517,525,000</w:t>
            </w:r>
          </w:p>
        </w:tc>
      </w:tr>
    </w:tbl>
    <w:p w:rsidR="00906AFB" w:rsidRPr="00906AFB" w:rsidRDefault="00906AFB" w:rsidP="00906AFB">
      <w:pPr>
        <w:spacing w:after="0" w:line="240" w:lineRule="auto"/>
        <w:jc w:val="center"/>
        <w:rPr>
          <w:rFonts w:ascii="Arial" w:eastAsia="Times New Roman" w:hAnsi="Arial" w:cs="Arial"/>
          <w:sz w:val="24"/>
          <w:szCs w:val="24"/>
          <w:lang w:val="es-ES" w:eastAsia="es-E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sz w:val="24"/>
          <w:szCs w:val="24"/>
          <w:lang w:val="es-ES" w:eastAsia="en-US"/>
        </w:rPr>
        <w:t>Las ministraciones de recursos federales a que se refiere este artículo, se realizarán de conformidad con las disposiciones aplicables y los calendarios de gasto correspondientes.</w:t>
      </w:r>
    </w:p>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b/>
          <w:sz w:val="24"/>
          <w:szCs w:val="24"/>
          <w:lang w:val="es-ES" w:eastAsia="en-US"/>
        </w:rPr>
        <w:t>Artículo 41</w:t>
      </w:r>
      <w:r w:rsidRPr="00906AFB">
        <w:rPr>
          <w:rFonts w:ascii="Arial" w:eastAsia="Calibri" w:hAnsi="Arial" w:cs="Arial"/>
          <w:sz w:val="24"/>
          <w:szCs w:val="24"/>
          <w:lang w:val="es-ES" w:eastAsia="en-US"/>
        </w:rPr>
        <w:t>. Las Dependencias del Ejecutivo, Entidades del Estado y Organismos Autónomos, en el ejercicio de los recursos que les sean transferidos a través del Ramo 33 Aportaciones Federales para Entidades Federativas y Municipios, se sujetarán a las disposiciones aplicables en materia de información, rendición de cuentas, transparencia y evaluación establecidas en los artículos 134</w:t>
      </w:r>
      <w:r w:rsidRPr="00906AFB">
        <w:rPr>
          <w:rFonts w:ascii="Arial" w:eastAsia="Calibri" w:hAnsi="Arial" w:cs="Arial"/>
          <w:color w:val="FF0000"/>
          <w:sz w:val="24"/>
          <w:szCs w:val="24"/>
          <w:lang w:val="es-ES" w:eastAsia="en-US"/>
        </w:rPr>
        <w:t xml:space="preserve"> </w:t>
      </w:r>
      <w:r w:rsidRPr="00906AFB">
        <w:rPr>
          <w:rFonts w:ascii="Arial" w:eastAsia="Calibri" w:hAnsi="Arial" w:cs="Arial"/>
          <w:sz w:val="24"/>
          <w:szCs w:val="24"/>
          <w:lang w:val="es-ES" w:eastAsia="en-US"/>
        </w:rPr>
        <w:t>de la Constitución Política de los Estados Unidos Mexicanos; 48 y 49, Fracción V, de la Ley de Coordinación Fiscal, 85 y 110 de la Ley Federal de Presupuesto y Responsabilidad Hacendaria;  así como en las demás disposiciones que correspondan.</w:t>
      </w:r>
    </w:p>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Default="00906AFB" w:rsidP="00906AFB">
      <w:pPr>
        <w:shd w:val="clear" w:color="auto" w:fill="FFFFFF"/>
        <w:spacing w:after="0" w:line="240" w:lineRule="auto"/>
        <w:contextualSpacing/>
        <w:jc w:val="both"/>
        <w:rPr>
          <w:rFonts w:ascii="Arial" w:eastAsia="Times New Roman" w:hAnsi="Arial" w:cs="Arial"/>
          <w:sz w:val="24"/>
          <w:szCs w:val="24"/>
          <w:lang w:val="es-ES" w:eastAsia="es-ES"/>
        </w:rPr>
      </w:pPr>
      <w:r w:rsidRPr="00906AFB">
        <w:rPr>
          <w:rFonts w:ascii="Arial" w:eastAsia="Times New Roman" w:hAnsi="Arial" w:cs="Arial"/>
          <w:b/>
          <w:sz w:val="24"/>
          <w:szCs w:val="24"/>
          <w:lang w:val="es-ES" w:eastAsia="es-ES"/>
        </w:rPr>
        <w:t>Artículo 42</w:t>
      </w:r>
      <w:r w:rsidRPr="00906AFB">
        <w:rPr>
          <w:rFonts w:ascii="Arial" w:eastAsia="Times New Roman" w:hAnsi="Arial" w:cs="Arial"/>
          <w:sz w:val="24"/>
          <w:szCs w:val="24"/>
          <w:lang w:val="es-ES" w:eastAsia="es-ES"/>
        </w:rPr>
        <w:t>. Las Participaciones a los Municipios del Estado tendrán la siguiente distribución, de acuerdo a cada uno de los conceptos previstos en la Ley de Coordinación Fiscal del Estado de Colima:</w:t>
      </w:r>
    </w:p>
    <w:p w:rsidR="00FD430F" w:rsidRDefault="00FD430F">
      <w:pPr>
        <w:rPr>
          <w:rFonts w:ascii="Arial" w:eastAsia="Times New Roman" w:hAnsi="Arial" w:cs="Arial"/>
          <w:sz w:val="24"/>
          <w:szCs w:val="24"/>
          <w:lang w:val="es-ES" w:eastAsia="es-ES"/>
        </w:rPr>
      </w:pPr>
      <w:r>
        <w:rPr>
          <w:rFonts w:ascii="Arial" w:eastAsia="Times New Roman" w:hAnsi="Arial" w:cs="Arial"/>
          <w:sz w:val="24"/>
          <w:szCs w:val="24"/>
          <w:lang w:val="es-ES" w:eastAsia="es-ES"/>
        </w:rPr>
        <w:br w:type="page"/>
      </w:r>
    </w:p>
    <w:p w:rsidR="00FD430F" w:rsidRPr="00906AFB" w:rsidRDefault="00FD430F" w:rsidP="00906AFB">
      <w:pPr>
        <w:shd w:val="clear" w:color="auto" w:fill="FFFFFF"/>
        <w:spacing w:after="0" w:line="240" w:lineRule="auto"/>
        <w:contextualSpacing/>
        <w:jc w:val="both"/>
        <w:rPr>
          <w:rFonts w:ascii="Arial" w:eastAsia="Times New Roman" w:hAnsi="Arial" w:cs="Arial"/>
          <w:sz w:val="24"/>
          <w:szCs w:val="24"/>
          <w:lang w:val="es-ES" w:eastAsia="es-ES"/>
        </w:rPr>
      </w:pPr>
    </w:p>
    <w:p w:rsidR="00906AFB" w:rsidRPr="00906AFB" w:rsidRDefault="00906AFB" w:rsidP="00906AFB">
      <w:pPr>
        <w:keepNext/>
        <w:keepLines/>
        <w:spacing w:after="0" w:line="240" w:lineRule="auto"/>
        <w:jc w:val="center"/>
        <w:outlineLvl w:val="1"/>
        <w:rPr>
          <w:rFonts w:ascii="Arial" w:eastAsia="Times New Roman" w:hAnsi="Arial" w:cs="Times New Roman"/>
          <w:b/>
          <w:sz w:val="20"/>
          <w:szCs w:val="26"/>
          <w:lang w:val="es-ES" w:eastAsia="en-US"/>
        </w:rPr>
      </w:pPr>
      <w:r w:rsidRPr="00906AFB">
        <w:rPr>
          <w:rFonts w:ascii="Arial" w:eastAsia="Times New Roman" w:hAnsi="Arial" w:cs="Times New Roman"/>
          <w:b/>
          <w:sz w:val="20"/>
          <w:szCs w:val="26"/>
          <w:lang w:val="es-ES" w:eastAsia="en-US"/>
        </w:rPr>
        <w:t xml:space="preserve">Tabla </w:t>
      </w:r>
      <w:r w:rsidR="00CF4172">
        <w:rPr>
          <w:rFonts w:ascii="Arial" w:eastAsia="Times New Roman" w:hAnsi="Arial" w:cs="Times New Roman"/>
          <w:b/>
          <w:sz w:val="20"/>
          <w:szCs w:val="26"/>
          <w:lang w:val="es-ES" w:eastAsia="en-US"/>
        </w:rPr>
        <w:t>45</w:t>
      </w:r>
      <w:r w:rsidRPr="00906AFB">
        <w:rPr>
          <w:rFonts w:ascii="Arial" w:eastAsia="Times New Roman" w:hAnsi="Arial" w:cs="Times New Roman"/>
          <w:b/>
          <w:sz w:val="20"/>
          <w:szCs w:val="26"/>
          <w:lang w:val="es-ES" w:eastAsia="en-US"/>
        </w:rPr>
        <w:t>. Participaciones a los Municipios (Por Fuente)</w:t>
      </w:r>
    </w:p>
    <w:tbl>
      <w:tblPr>
        <w:tblStyle w:val="Tablaconcuadrcula2"/>
        <w:tblW w:w="0" w:type="auto"/>
        <w:jc w:val="center"/>
        <w:tblInd w:w="0" w:type="dxa"/>
        <w:tblLook w:val="04A0" w:firstRow="1" w:lastRow="0" w:firstColumn="1" w:lastColumn="0" w:noHBand="0" w:noVBand="1"/>
      </w:tblPr>
      <w:tblGrid>
        <w:gridCol w:w="895"/>
        <w:gridCol w:w="5623"/>
        <w:gridCol w:w="1670"/>
      </w:tblGrid>
      <w:tr w:rsidR="00906AFB" w:rsidRPr="00906AFB" w:rsidTr="00906AFB">
        <w:trPr>
          <w:trHeight w:val="283"/>
          <w:jc w:val="center"/>
        </w:trPr>
        <w:tc>
          <w:tcPr>
            <w:tcW w:w="895"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hd w:val="clear" w:color="auto" w:fill="FFFFFF"/>
              <w:jc w:val="center"/>
              <w:rPr>
                <w:rFonts w:ascii="Arial" w:hAnsi="Arial" w:cs="Arial"/>
                <w:b/>
                <w:sz w:val="20"/>
                <w:lang w:eastAsia="es-ES"/>
              </w:rPr>
            </w:pPr>
            <w:r w:rsidRPr="00906AFB">
              <w:rPr>
                <w:rFonts w:ascii="Arial" w:hAnsi="Arial" w:cs="Arial"/>
                <w:b/>
                <w:sz w:val="20"/>
                <w:lang w:eastAsia="es-ES"/>
              </w:rPr>
              <w:t>Partida</w:t>
            </w:r>
          </w:p>
        </w:tc>
        <w:tc>
          <w:tcPr>
            <w:tcW w:w="5623"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hd w:val="clear" w:color="auto" w:fill="FFFFFF"/>
              <w:jc w:val="center"/>
              <w:rPr>
                <w:rFonts w:ascii="Arial" w:hAnsi="Arial" w:cs="Arial"/>
                <w:b/>
                <w:sz w:val="20"/>
                <w:lang w:eastAsia="es-ES"/>
              </w:rPr>
            </w:pPr>
            <w:r w:rsidRPr="00906AFB">
              <w:rPr>
                <w:rFonts w:ascii="Arial" w:hAnsi="Arial" w:cs="Arial"/>
                <w:b/>
                <w:sz w:val="20"/>
                <w:lang w:eastAsia="es-ES"/>
              </w:rPr>
              <w:t>Concepto</w:t>
            </w:r>
          </w:p>
        </w:tc>
        <w:tc>
          <w:tcPr>
            <w:tcW w:w="1670"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hd w:val="clear" w:color="auto" w:fill="FFFFFF"/>
              <w:jc w:val="center"/>
              <w:rPr>
                <w:rFonts w:ascii="Arial" w:hAnsi="Arial" w:cs="Arial"/>
                <w:b/>
                <w:sz w:val="20"/>
                <w:lang w:eastAsia="es-ES"/>
              </w:rPr>
            </w:pPr>
            <w:r w:rsidRPr="00906AFB">
              <w:rPr>
                <w:rFonts w:ascii="Arial" w:hAnsi="Arial" w:cs="Arial"/>
                <w:b/>
                <w:sz w:val="20"/>
                <w:lang w:eastAsia="es-ES"/>
              </w:rPr>
              <w:t>Asignación Presupuestal</w:t>
            </w:r>
          </w:p>
        </w:tc>
      </w:tr>
      <w:tr w:rsidR="00906AFB" w:rsidRPr="00906AFB" w:rsidTr="00906AFB">
        <w:trPr>
          <w:trHeight w:val="283"/>
          <w:jc w:val="center"/>
        </w:trPr>
        <w:tc>
          <w:tcPr>
            <w:tcW w:w="895"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hd w:val="clear" w:color="auto" w:fill="FFFFFF"/>
              <w:jc w:val="center"/>
              <w:rPr>
                <w:rFonts w:ascii="Arial" w:hAnsi="Arial" w:cs="Arial"/>
                <w:sz w:val="20"/>
                <w:lang w:eastAsia="es-ES"/>
              </w:rPr>
            </w:pPr>
            <w:r w:rsidRPr="00906AFB">
              <w:rPr>
                <w:rFonts w:ascii="Arial" w:hAnsi="Arial" w:cs="Arial"/>
                <w:sz w:val="20"/>
                <w:lang w:eastAsia="es-ES"/>
              </w:rPr>
              <w:t>81101</w:t>
            </w:r>
          </w:p>
        </w:tc>
        <w:tc>
          <w:tcPr>
            <w:tcW w:w="5623"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hd w:val="clear" w:color="auto" w:fill="FFFFFF"/>
              <w:rPr>
                <w:rFonts w:ascii="Arial" w:hAnsi="Arial" w:cs="Arial"/>
                <w:sz w:val="20"/>
                <w:lang w:eastAsia="es-ES"/>
              </w:rPr>
            </w:pPr>
            <w:r w:rsidRPr="00906AFB">
              <w:rPr>
                <w:rFonts w:ascii="Arial" w:hAnsi="Arial" w:cs="Arial"/>
                <w:sz w:val="20"/>
                <w:lang w:eastAsia="es-ES"/>
              </w:rPr>
              <w:t>Fondo General de Participaciones (F.G.P.)</w:t>
            </w:r>
          </w:p>
        </w:tc>
        <w:tc>
          <w:tcPr>
            <w:tcW w:w="1670"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hd w:val="clear" w:color="auto" w:fill="FFFFFF"/>
              <w:jc w:val="right"/>
              <w:rPr>
                <w:rFonts w:ascii="Arial" w:hAnsi="Arial" w:cs="Arial"/>
                <w:sz w:val="20"/>
                <w:lang w:eastAsia="es-ES"/>
              </w:rPr>
            </w:pPr>
            <w:r w:rsidRPr="00906AFB">
              <w:rPr>
                <w:rFonts w:ascii="Arial" w:hAnsi="Arial" w:cs="Arial"/>
                <w:sz w:val="20"/>
                <w:lang w:eastAsia="es-ES"/>
              </w:rPr>
              <w:t>745,560,403</w:t>
            </w:r>
          </w:p>
        </w:tc>
      </w:tr>
      <w:tr w:rsidR="00906AFB" w:rsidRPr="00906AFB" w:rsidTr="00906AFB">
        <w:trPr>
          <w:trHeight w:val="283"/>
          <w:jc w:val="center"/>
        </w:trPr>
        <w:tc>
          <w:tcPr>
            <w:tcW w:w="895"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hd w:val="clear" w:color="auto" w:fill="FFFFFF"/>
              <w:jc w:val="center"/>
              <w:rPr>
                <w:rFonts w:ascii="Arial" w:hAnsi="Arial" w:cs="Arial"/>
                <w:sz w:val="20"/>
                <w:lang w:eastAsia="es-ES"/>
              </w:rPr>
            </w:pPr>
            <w:r w:rsidRPr="00906AFB">
              <w:rPr>
                <w:rFonts w:ascii="Arial" w:hAnsi="Arial" w:cs="Arial"/>
                <w:sz w:val="20"/>
                <w:lang w:eastAsia="es-ES"/>
              </w:rPr>
              <w:t>81201</w:t>
            </w:r>
          </w:p>
        </w:tc>
        <w:tc>
          <w:tcPr>
            <w:tcW w:w="5623"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hd w:val="clear" w:color="auto" w:fill="FFFFFF"/>
              <w:rPr>
                <w:rFonts w:ascii="Arial" w:hAnsi="Arial" w:cs="Arial"/>
                <w:sz w:val="20"/>
                <w:lang w:eastAsia="es-ES"/>
              </w:rPr>
            </w:pPr>
            <w:r w:rsidRPr="00906AFB">
              <w:rPr>
                <w:rFonts w:ascii="Arial" w:hAnsi="Arial" w:cs="Arial"/>
                <w:sz w:val="20"/>
                <w:lang w:eastAsia="es-ES"/>
              </w:rPr>
              <w:t>Fondo de Fomento Municipal (F.F.M.)</w:t>
            </w:r>
          </w:p>
        </w:tc>
        <w:tc>
          <w:tcPr>
            <w:tcW w:w="1670"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hd w:val="clear" w:color="auto" w:fill="FFFFFF"/>
              <w:jc w:val="right"/>
              <w:rPr>
                <w:rFonts w:ascii="Arial" w:hAnsi="Arial" w:cs="Arial"/>
                <w:sz w:val="20"/>
                <w:lang w:eastAsia="es-ES"/>
              </w:rPr>
            </w:pPr>
            <w:r w:rsidRPr="00906AFB">
              <w:rPr>
                <w:rFonts w:ascii="Arial" w:hAnsi="Arial" w:cs="Arial"/>
                <w:sz w:val="20"/>
                <w:lang w:eastAsia="es-ES"/>
              </w:rPr>
              <w:t>297,542,637</w:t>
            </w:r>
          </w:p>
        </w:tc>
      </w:tr>
      <w:tr w:rsidR="00906AFB" w:rsidRPr="00906AFB" w:rsidTr="00906AFB">
        <w:trPr>
          <w:trHeight w:val="283"/>
          <w:jc w:val="center"/>
        </w:trPr>
        <w:tc>
          <w:tcPr>
            <w:tcW w:w="895"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hd w:val="clear" w:color="auto" w:fill="FFFFFF"/>
              <w:jc w:val="center"/>
              <w:rPr>
                <w:rFonts w:ascii="Arial" w:hAnsi="Arial" w:cs="Arial"/>
                <w:sz w:val="20"/>
                <w:lang w:eastAsia="es-ES"/>
              </w:rPr>
            </w:pPr>
            <w:r w:rsidRPr="00906AFB">
              <w:rPr>
                <w:rFonts w:ascii="Arial" w:hAnsi="Arial" w:cs="Arial"/>
                <w:sz w:val="20"/>
                <w:lang w:eastAsia="es-ES"/>
              </w:rPr>
              <w:t>81301</w:t>
            </w:r>
          </w:p>
        </w:tc>
        <w:tc>
          <w:tcPr>
            <w:tcW w:w="5623"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hd w:val="clear" w:color="auto" w:fill="FFFFFF"/>
              <w:rPr>
                <w:rFonts w:ascii="Arial" w:hAnsi="Arial" w:cs="Arial"/>
                <w:sz w:val="20"/>
                <w:lang w:eastAsia="es-ES"/>
              </w:rPr>
            </w:pPr>
            <w:r w:rsidRPr="00906AFB">
              <w:rPr>
                <w:rFonts w:ascii="Arial" w:hAnsi="Arial" w:cs="Arial"/>
                <w:sz w:val="20"/>
                <w:lang w:eastAsia="es-ES"/>
              </w:rPr>
              <w:t>Fondo de Fiscalización y Recaudación (FOFIR)</w:t>
            </w:r>
          </w:p>
        </w:tc>
        <w:tc>
          <w:tcPr>
            <w:tcW w:w="1670"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hd w:val="clear" w:color="auto" w:fill="FFFFFF"/>
              <w:jc w:val="right"/>
              <w:rPr>
                <w:rFonts w:ascii="Arial" w:hAnsi="Arial" w:cs="Arial"/>
                <w:sz w:val="20"/>
                <w:lang w:eastAsia="es-ES"/>
              </w:rPr>
            </w:pPr>
            <w:r w:rsidRPr="00906AFB">
              <w:rPr>
                <w:rFonts w:ascii="Arial" w:hAnsi="Arial" w:cs="Arial"/>
                <w:sz w:val="20"/>
                <w:lang w:eastAsia="es-ES"/>
              </w:rPr>
              <w:t>35,755,700</w:t>
            </w:r>
          </w:p>
        </w:tc>
      </w:tr>
      <w:tr w:rsidR="00906AFB" w:rsidRPr="00906AFB" w:rsidTr="00906AFB">
        <w:trPr>
          <w:trHeight w:val="283"/>
          <w:jc w:val="center"/>
        </w:trPr>
        <w:tc>
          <w:tcPr>
            <w:tcW w:w="895"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hd w:val="clear" w:color="auto" w:fill="FFFFFF"/>
              <w:jc w:val="center"/>
              <w:rPr>
                <w:rFonts w:ascii="Arial" w:hAnsi="Arial" w:cs="Arial"/>
                <w:sz w:val="20"/>
                <w:lang w:eastAsia="es-ES"/>
              </w:rPr>
            </w:pPr>
            <w:r w:rsidRPr="00906AFB">
              <w:rPr>
                <w:rFonts w:ascii="Arial" w:hAnsi="Arial" w:cs="Arial"/>
                <w:sz w:val="20"/>
                <w:lang w:eastAsia="es-ES"/>
              </w:rPr>
              <w:t>81302</w:t>
            </w:r>
          </w:p>
        </w:tc>
        <w:tc>
          <w:tcPr>
            <w:tcW w:w="5623"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hd w:val="clear" w:color="auto" w:fill="FFFFFF"/>
              <w:rPr>
                <w:rFonts w:ascii="Arial" w:hAnsi="Arial" w:cs="Arial"/>
                <w:sz w:val="20"/>
                <w:lang w:eastAsia="es-ES"/>
              </w:rPr>
            </w:pPr>
            <w:r w:rsidRPr="00906AFB">
              <w:rPr>
                <w:rFonts w:ascii="Arial" w:hAnsi="Arial" w:cs="Arial"/>
                <w:sz w:val="20"/>
                <w:lang w:eastAsia="es-ES"/>
              </w:rPr>
              <w:t>Fondo de Compensación del ISAN (FDO. COMP. ISAN)</w:t>
            </w:r>
          </w:p>
        </w:tc>
        <w:tc>
          <w:tcPr>
            <w:tcW w:w="1670"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hd w:val="clear" w:color="auto" w:fill="FFFFFF"/>
              <w:jc w:val="right"/>
              <w:rPr>
                <w:rFonts w:ascii="Arial" w:hAnsi="Arial" w:cs="Arial"/>
                <w:sz w:val="20"/>
                <w:lang w:eastAsia="es-ES"/>
              </w:rPr>
            </w:pPr>
            <w:r w:rsidRPr="00906AFB">
              <w:rPr>
                <w:rFonts w:ascii="Arial" w:hAnsi="Arial" w:cs="Arial"/>
                <w:sz w:val="20"/>
                <w:lang w:eastAsia="es-ES"/>
              </w:rPr>
              <w:t>2,796,865</w:t>
            </w:r>
          </w:p>
        </w:tc>
      </w:tr>
      <w:tr w:rsidR="00906AFB" w:rsidRPr="00906AFB" w:rsidTr="00906AFB">
        <w:trPr>
          <w:trHeight w:val="283"/>
          <w:jc w:val="center"/>
        </w:trPr>
        <w:tc>
          <w:tcPr>
            <w:tcW w:w="895"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hd w:val="clear" w:color="auto" w:fill="FFFFFF"/>
              <w:jc w:val="center"/>
              <w:rPr>
                <w:rFonts w:ascii="Arial" w:hAnsi="Arial" w:cs="Arial"/>
                <w:sz w:val="20"/>
                <w:lang w:eastAsia="es-ES"/>
              </w:rPr>
            </w:pPr>
            <w:r w:rsidRPr="00906AFB">
              <w:rPr>
                <w:rFonts w:ascii="Arial" w:hAnsi="Arial" w:cs="Arial"/>
                <w:sz w:val="20"/>
                <w:lang w:eastAsia="es-ES"/>
              </w:rPr>
              <w:t>81303</w:t>
            </w:r>
          </w:p>
        </w:tc>
        <w:tc>
          <w:tcPr>
            <w:tcW w:w="5623"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hd w:val="clear" w:color="auto" w:fill="FFFFFF"/>
              <w:rPr>
                <w:rFonts w:ascii="Arial" w:hAnsi="Arial" w:cs="Arial"/>
                <w:sz w:val="20"/>
                <w:lang w:eastAsia="es-ES"/>
              </w:rPr>
            </w:pPr>
            <w:r w:rsidRPr="00906AFB">
              <w:rPr>
                <w:rFonts w:ascii="Arial" w:hAnsi="Arial" w:cs="Arial"/>
                <w:sz w:val="20"/>
                <w:lang w:eastAsia="es-ES"/>
              </w:rPr>
              <w:t>Participación Específica del Impuesto Especial (I.E.P.S.)</w:t>
            </w:r>
          </w:p>
        </w:tc>
        <w:tc>
          <w:tcPr>
            <w:tcW w:w="1670"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hd w:val="clear" w:color="auto" w:fill="FFFFFF"/>
              <w:jc w:val="right"/>
              <w:rPr>
                <w:rFonts w:ascii="Arial" w:hAnsi="Arial" w:cs="Arial"/>
                <w:sz w:val="20"/>
                <w:lang w:eastAsia="es-ES"/>
              </w:rPr>
            </w:pPr>
            <w:r w:rsidRPr="00906AFB">
              <w:rPr>
                <w:rFonts w:ascii="Arial" w:hAnsi="Arial" w:cs="Arial"/>
                <w:sz w:val="20"/>
                <w:lang w:eastAsia="es-ES"/>
              </w:rPr>
              <w:t>16,268,322</w:t>
            </w:r>
          </w:p>
        </w:tc>
      </w:tr>
      <w:tr w:rsidR="00906AFB" w:rsidRPr="00906AFB" w:rsidTr="00906AFB">
        <w:trPr>
          <w:trHeight w:val="283"/>
          <w:jc w:val="center"/>
        </w:trPr>
        <w:tc>
          <w:tcPr>
            <w:tcW w:w="895"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hd w:val="clear" w:color="auto" w:fill="FFFFFF"/>
              <w:jc w:val="center"/>
              <w:rPr>
                <w:rFonts w:ascii="Arial" w:hAnsi="Arial" w:cs="Arial"/>
                <w:sz w:val="20"/>
                <w:lang w:eastAsia="es-ES"/>
              </w:rPr>
            </w:pPr>
            <w:r w:rsidRPr="00906AFB">
              <w:rPr>
                <w:rFonts w:ascii="Arial" w:hAnsi="Arial" w:cs="Arial"/>
                <w:sz w:val="20"/>
                <w:lang w:eastAsia="es-ES"/>
              </w:rPr>
              <w:t>81304</w:t>
            </w:r>
          </w:p>
        </w:tc>
        <w:tc>
          <w:tcPr>
            <w:tcW w:w="5623"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hd w:val="clear" w:color="auto" w:fill="FFFFFF"/>
              <w:rPr>
                <w:rFonts w:ascii="Arial" w:hAnsi="Arial" w:cs="Arial"/>
                <w:sz w:val="20"/>
                <w:lang w:eastAsia="es-ES"/>
              </w:rPr>
            </w:pPr>
            <w:r w:rsidRPr="00906AFB">
              <w:rPr>
                <w:rFonts w:ascii="Arial" w:hAnsi="Arial" w:cs="Arial"/>
                <w:sz w:val="20"/>
                <w:lang w:eastAsia="es-ES"/>
              </w:rPr>
              <w:t>Incentivo del Impuesto sobre Automóviles Nuevos (INCENTIVO ISAN)</w:t>
            </w:r>
          </w:p>
        </w:tc>
        <w:tc>
          <w:tcPr>
            <w:tcW w:w="1670"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hd w:val="clear" w:color="auto" w:fill="FFFFFF"/>
              <w:jc w:val="right"/>
              <w:rPr>
                <w:rFonts w:ascii="Arial" w:hAnsi="Arial" w:cs="Arial"/>
                <w:sz w:val="20"/>
                <w:lang w:eastAsia="es-ES"/>
              </w:rPr>
            </w:pPr>
            <w:r w:rsidRPr="00906AFB">
              <w:rPr>
                <w:rFonts w:ascii="Arial" w:hAnsi="Arial" w:cs="Arial"/>
                <w:sz w:val="20"/>
                <w:lang w:eastAsia="es-ES"/>
              </w:rPr>
              <w:t>9,504,126</w:t>
            </w:r>
          </w:p>
        </w:tc>
      </w:tr>
      <w:tr w:rsidR="00906AFB" w:rsidRPr="00906AFB" w:rsidTr="00906AFB">
        <w:trPr>
          <w:trHeight w:val="283"/>
          <w:jc w:val="center"/>
        </w:trPr>
        <w:tc>
          <w:tcPr>
            <w:tcW w:w="895"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hd w:val="clear" w:color="auto" w:fill="FFFFFF"/>
              <w:jc w:val="center"/>
              <w:rPr>
                <w:rFonts w:ascii="Arial" w:hAnsi="Arial" w:cs="Arial"/>
                <w:sz w:val="20"/>
                <w:lang w:eastAsia="es-ES"/>
              </w:rPr>
            </w:pPr>
            <w:r w:rsidRPr="00906AFB">
              <w:rPr>
                <w:rFonts w:ascii="Arial" w:hAnsi="Arial" w:cs="Arial"/>
                <w:sz w:val="20"/>
                <w:lang w:eastAsia="es-ES"/>
              </w:rPr>
              <w:t>81305</w:t>
            </w:r>
          </w:p>
        </w:tc>
        <w:tc>
          <w:tcPr>
            <w:tcW w:w="5623"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hd w:val="clear" w:color="auto" w:fill="FFFFFF"/>
              <w:rPr>
                <w:rFonts w:ascii="Arial" w:hAnsi="Arial" w:cs="Arial"/>
                <w:sz w:val="20"/>
                <w:lang w:eastAsia="es-ES"/>
              </w:rPr>
            </w:pPr>
            <w:r w:rsidRPr="00906AFB">
              <w:rPr>
                <w:rFonts w:ascii="Arial" w:hAnsi="Arial" w:cs="Arial"/>
                <w:sz w:val="20"/>
                <w:lang w:eastAsia="es-ES"/>
              </w:rPr>
              <w:t>Fondo de Gasolina y Diesel (FDO. IEPS G. y D)</w:t>
            </w:r>
          </w:p>
        </w:tc>
        <w:tc>
          <w:tcPr>
            <w:tcW w:w="1670"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hd w:val="clear" w:color="auto" w:fill="FFFFFF"/>
              <w:jc w:val="right"/>
              <w:rPr>
                <w:rFonts w:ascii="Arial" w:hAnsi="Arial" w:cs="Arial"/>
                <w:sz w:val="20"/>
                <w:lang w:eastAsia="es-ES"/>
              </w:rPr>
            </w:pPr>
            <w:r w:rsidRPr="00906AFB">
              <w:rPr>
                <w:rFonts w:ascii="Arial" w:hAnsi="Arial" w:cs="Arial"/>
                <w:sz w:val="20"/>
                <w:lang w:eastAsia="es-ES"/>
              </w:rPr>
              <w:t>38,707,656</w:t>
            </w:r>
          </w:p>
        </w:tc>
      </w:tr>
      <w:tr w:rsidR="00906AFB" w:rsidRPr="00906AFB" w:rsidTr="00906AFB">
        <w:trPr>
          <w:trHeight w:val="283"/>
          <w:jc w:val="center"/>
        </w:trPr>
        <w:tc>
          <w:tcPr>
            <w:tcW w:w="895"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hd w:val="clear" w:color="auto" w:fill="FFFFFF"/>
              <w:jc w:val="center"/>
              <w:rPr>
                <w:rFonts w:ascii="Arial" w:hAnsi="Arial" w:cs="Arial"/>
                <w:sz w:val="20"/>
                <w:lang w:eastAsia="es-ES"/>
              </w:rPr>
            </w:pPr>
            <w:r w:rsidRPr="00906AFB">
              <w:rPr>
                <w:rFonts w:ascii="Arial" w:hAnsi="Arial" w:cs="Arial"/>
                <w:sz w:val="20"/>
                <w:lang w:eastAsia="es-ES"/>
              </w:rPr>
              <w:t>81309</w:t>
            </w:r>
          </w:p>
        </w:tc>
        <w:tc>
          <w:tcPr>
            <w:tcW w:w="5623"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hd w:val="clear" w:color="auto" w:fill="FFFFFF"/>
              <w:rPr>
                <w:rFonts w:ascii="Arial" w:hAnsi="Arial" w:cs="Arial"/>
                <w:sz w:val="20"/>
                <w:lang w:eastAsia="es-ES"/>
              </w:rPr>
            </w:pPr>
            <w:r w:rsidRPr="00906AFB">
              <w:rPr>
                <w:rFonts w:ascii="Arial" w:hAnsi="Arial" w:cs="Arial"/>
                <w:sz w:val="20"/>
                <w:lang w:eastAsia="es-ES"/>
              </w:rPr>
              <w:t>Fondo del Impuesto sobre la Renta (FONDO DE ISR)</w:t>
            </w:r>
          </w:p>
        </w:tc>
        <w:tc>
          <w:tcPr>
            <w:tcW w:w="1670"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hd w:val="clear" w:color="auto" w:fill="FFFFFF"/>
              <w:jc w:val="right"/>
              <w:rPr>
                <w:rFonts w:ascii="Arial" w:hAnsi="Arial" w:cs="Arial"/>
                <w:sz w:val="20"/>
                <w:lang w:eastAsia="es-ES"/>
              </w:rPr>
            </w:pPr>
            <w:r w:rsidRPr="00906AFB">
              <w:rPr>
                <w:rFonts w:ascii="Arial" w:hAnsi="Arial" w:cs="Arial"/>
                <w:sz w:val="20"/>
                <w:lang w:eastAsia="es-ES"/>
              </w:rPr>
              <w:t>66,578,137</w:t>
            </w:r>
          </w:p>
        </w:tc>
      </w:tr>
      <w:tr w:rsidR="00906AFB" w:rsidRPr="00906AFB" w:rsidTr="00906AFB">
        <w:trPr>
          <w:trHeight w:val="283"/>
          <w:jc w:val="center"/>
        </w:trPr>
        <w:tc>
          <w:tcPr>
            <w:tcW w:w="895" w:type="dxa"/>
            <w:tcBorders>
              <w:top w:val="single" w:sz="4" w:space="0" w:color="auto"/>
              <w:left w:val="single" w:sz="4" w:space="0" w:color="auto"/>
              <w:bottom w:val="single" w:sz="4" w:space="0" w:color="auto"/>
              <w:right w:val="single" w:sz="4" w:space="0" w:color="auto"/>
            </w:tcBorders>
            <w:noWrap/>
            <w:vAlign w:val="center"/>
          </w:tcPr>
          <w:p w:rsidR="00906AFB" w:rsidRPr="00906AFB" w:rsidRDefault="00906AFB" w:rsidP="00906AFB">
            <w:pPr>
              <w:shd w:val="clear" w:color="auto" w:fill="FFFFFF"/>
              <w:jc w:val="center"/>
              <w:rPr>
                <w:rFonts w:ascii="Arial" w:hAnsi="Arial" w:cs="Arial"/>
                <w:b/>
                <w:sz w:val="20"/>
                <w:lang w:eastAsia="es-ES"/>
              </w:rPr>
            </w:pPr>
          </w:p>
        </w:tc>
        <w:tc>
          <w:tcPr>
            <w:tcW w:w="5623"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hd w:val="clear" w:color="auto" w:fill="FFFFFF"/>
              <w:jc w:val="center"/>
              <w:rPr>
                <w:rFonts w:ascii="Arial" w:hAnsi="Arial" w:cs="Arial"/>
                <w:b/>
                <w:sz w:val="20"/>
                <w:lang w:eastAsia="es-ES"/>
              </w:rPr>
            </w:pPr>
            <w:r w:rsidRPr="00906AFB">
              <w:rPr>
                <w:rFonts w:ascii="Arial" w:hAnsi="Arial" w:cs="Arial"/>
                <w:b/>
                <w:sz w:val="20"/>
                <w:lang w:eastAsia="es-ES"/>
              </w:rPr>
              <w:t>Total</w:t>
            </w:r>
          </w:p>
        </w:tc>
        <w:tc>
          <w:tcPr>
            <w:tcW w:w="1670"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hd w:val="clear" w:color="auto" w:fill="FFFFFF"/>
              <w:jc w:val="right"/>
              <w:rPr>
                <w:rFonts w:ascii="Arial" w:hAnsi="Arial" w:cs="Arial"/>
                <w:b/>
                <w:sz w:val="20"/>
                <w:lang w:eastAsia="es-ES"/>
              </w:rPr>
            </w:pPr>
            <w:r w:rsidRPr="00906AFB">
              <w:rPr>
                <w:rFonts w:ascii="Arial" w:hAnsi="Arial" w:cs="Arial"/>
                <w:b/>
                <w:sz w:val="20"/>
                <w:lang w:eastAsia="es-ES"/>
              </w:rPr>
              <w:t>1,212,713,845</w:t>
            </w:r>
          </w:p>
        </w:tc>
      </w:tr>
    </w:tbl>
    <w:p w:rsidR="00906AFB" w:rsidRPr="00906AFB" w:rsidRDefault="00906AFB" w:rsidP="00906AFB">
      <w:pPr>
        <w:shd w:val="clear" w:color="auto" w:fill="FFFFFF"/>
        <w:spacing w:after="0" w:line="240" w:lineRule="auto"/>
        <w:jc w:val="both"/>
        <w:rPr>
          <w:rFonts w:ascii="Arial" w:eastAsia="Times New Roman" w:hAnsi="Arial" w:cs="Arial"/>
          <w:sz w:val="24"/>
          <w:szCs w:val="24"/>
          <w:lang w:val="es-ES" w:eastAsia="es-ES"/>
        </w:rPr>
      </w:pPr>
    </w:p>
    <w:p w:rsidR="00906AFB" w:rsidRPr="00906AFB" w:rsidRDefault="00906AFB" w:rsidP="00906AFB">
      <w:pPr>
        <w:keepNext/>
        <w:keepLines/>
        <w:spacing w:after="0" w:line="240" w:lineRule="auto"/>
        <w:jc w:val="center"/>
        <w:outlineLvl w:val="1"/>
        <w:rPr>
          <w:rFonts w:ascii="Arial" w:eastAsia="Times New Roman" w:hAnsi="Arial" w:cs="Times New Roman"/>
          <w:b/>
          <w:sz w:val="20"/>
          <w:szCs w:val="26"/>
          <w:lang w:val="es-ES" w:eastAsia="en-US"/>
        </w:rPr>
      </w:pPr>
      <w:r w:rsidRPr="00906AFB">
        <w:rPr>
          <w:rFonts w:ascii="Arial" w:eastAsia="Times New Roman" w:hAnsi="Arial" w:cs="Times New Roman"/>
          <w:b/>
          <w:sz w:val="20"/>
          <w:szCs w:val="26"/>
          <w:lang w:val="es-ES" w:eastAsia="en-US"/>
        </w:rPr>
        <w:t xml:space="preserve">Tabla </w:t>
      </w:r>
      <w:r w:rsidR="00CF4172">
        <w:rPr>
          <w:rFonts w:ascii="Arial" w:eastAsia="Times New Roman" w:hAnsi="Arial" w:cs="Times New Roman"/>
          <w:b/>
          <w:sz w:val="20"/>
          <w:szCs w:val="26"/>
          <w:lang w:val="es-ES" w:eastAsia="en-US"/>
        </w:rPr>
        <w:t>46</w:t>
      </w:r>
      <w:r w:rsidRPr="00906AFB">
        <w:rPr>
          <w:rFonts w:ascii="Arial" w:eastAsia="Times New Roman" w:hAnsi="Arial" w:cs="Times New Roman"/>
          <w:b/>
          <w:sz w:val="20"/>
          <w:szCs w:val="26"/>
          <w:lang w:val="es-ES" w:eastAsia="en-US"/>
        </w:rPr>
        <w:t>. Participaciones a los Municipios (Desagregado Municipio)</w:t>
      </w:r>
    </w:p>
    <w:tbl>
      <w:tblPr>
        <w:tblW w:w="8925" w:type="dxa"/>
        <w:jc w:val="center"/>
        <w:tblLayout w:type="fixed"/>
        <w:tblCellMar>
          <w:left w:w="70" w:type="dxa"/>
          <w:right w:w="70" w:type="dxa"/>
        </w:tblCellMar>
        <w:tblLook w:val="04A0" w:firstRow="1" w:lastRow="0" w:firstColumn="1" w:lastColumn="0" w:noHBand="0" w:noVBand="1"/>
      </w:tblPr>
      <w:tblGrid>
        <w:gridCol w:w="1134"/>
        <w:gridCol w:w="919"/>
        <w:gridCol w:w="919"/>
        <w:gridCol w:w="855"/>
        <w:gridCol w:w="840"/>
        <w:gridCol w:w="763"/>
        <w:gridCol w:w="840"/>
        <w:gridCol w:w="814"/>
        <w:gridCol w:w="849"/>
        <w:gridCol w:w="992"/>
      </w:tblGrid>
      <w:tr w:rsidR="00906AFB" w:rsidRPr="00906AFB" w:rsidTr="00906AFB">
        <w:trPr>
          <w:trHeight w:val="283"/>
          <w:jc w:val="center"/>
        </w:trPr>
        <w:tc>
          <w:tcPr>
            <w:tcW w:w="113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center"/>
              <w:rPr>
                <w:rFonts w:ascii="Arial" w:eastAsia="Times New Roman" w:hAnsi="Arial" w:cs="Arial"/>
                <w:b/>
                <w:bCs/>
                <w:sz w:val="14"/>
                <w:szCs w:val="16"/>
                <w:lang w:val="es-ES" w:eastAsia="es-ES"/>
              </w:rPr>
            </w:pPr>
            <w:r w:rsidRPr="00906AFB">
              <w:rPr>
                <w:rFonts w:ascii="Arial" w:eastAsia="Times New Roman" w:hAnsi="Arial" w:cs="Arial"/>
                <w:b/>
                <w:bCs/>
                <w:sz w:val="14"/>
                <w:szCs w:val="16"/>
                <w:lang w:val="es-ES" w:eastAsia="es-ES"/>
              </w:rPr>
              <w:t>Municipio</w:t>
            </w:r>
          </w:p>
        </w:tc>
        <w:tc>
          <w:tcPr>
            <w:tcW w:w="91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center"/>
              <w:rPr>
                <w:rFonts w:ascii="Arial" w:eastAsia="Times New Roman" w:hAnsi="Arial" w:cs="Arial"/>
                <w:b/>
                <w:bCs/>
                <w:sz w:val="14"/>
                <w:szCs w:val="16"/>
                <w:lang w:val="es-ES" w:eastAsia="es-ES"/>
              </w:rPr>
            </w:pPr>
            <w:r w:rsidRPr="00906AFB">
              <w:rPr>
                <w:rFonts w:ascii="Arial" w:eastAsia="Times New Roman" w:hAnsi="Arial" w:cs="Arial"/>
                <w:b/>
                <w:bCs/>
                <w:sz w:val="14"/>
                <w:szCs w:val="16"/>
                <w:lang w:val="es-ES" w:eastAsia="es-ES"/>
              </w:rPr>
              <w:t>F.G.P.</w:t>
            </w:r>
          </w:p>
        </w:tc>
        <w:tc>
          <w:tcPr>
            <w:tcW w:w="919" w:type="dxa"/>
            <w:tcBorders>
              <w:top w:val="single" w:sz="4" w:space="0" w:color="auto"/>
              <w:left w:val="nil"/>
              <w:bottom w:val="single" w:sz="4" w:space="0" w:color="auto"/>
              <w:right w:val="single" w:sz="4" w:space="0" w:color="auto"/>
            </w:tcBorders>
            <w:noWrap/>
            <w:vAlign w:val="center"/>
            <w:hideMark/>
          </w:tcPr>
          <w:p w:rsidR="00906AFB" w:rsidRPr="00906AFB" w:rsidRDefault="00906AFB" w:rsidP="00906AFB">
            <w:pPr>
              <w:spacing w:after="0" w:line="240" w:lineRule="auto"/>
              <w:jc w:val="center"/>
              <w:rPr>
                <w:rFonts w:ascii="Arial" w:eastAsia="Times New Roman" w:hAnsi="Arial" w:cs="Arial"/>
                <w:b/>
                <w:bCs/>
                <w:sz w:val="14"/>
                <w:szCs w:val="16"/>
                <w:lang w:val="es-ES" w:eastAsia="es-ES"/>
              </w:rPr>
            </w:pPr>
            <w:r w:rsidRPr="00906AFB">
              <w:rPr>
                <w:rFonts w:ascii="Arial" w:eastAsia="Times New Roman" w:hAnsi="Arial" w:cs="Arial"/>
                <w:b/>
                <w:bCs/>
                <w:sz w:val="14"/>
                <w:szCs w:val="16"/>
                <w:lang w:val="es-ES" w:eastAsia="es-ES"/>
              </w:rPr>
              <w:t>F.F.M.</w:t>
            </w:r>
          </w:p>
        </w:tc>
        <w:tc>
          <w:tcPr>
            <w:tcW w:w="856" w:type="dxa"/>
            <w:tcBorders>
              <w:top w:val="single" w:sz="4" w:space="0" w:color="auto"/>
              <w:left w:val="nil"/>
              <w:bottom w:val="single" w:sz="4" w:space="0" w:color="auto"/>
              <w:right w:val="single" w:sz="4" w:space="0" w:color="auto"/>
            </w:tcBorders>
            <w:noWrap/>
            <w:vAlign w:val="center"/>
            <w:hideMark/>
          </w:tcPr>
          <w:p w:rsidR="00906AFB" w:rsidRPr="00906AFB" w:rsidRDefault="00906AFB" w:rsidP="00906AFB">
            <w:pPr>
              <w:spacing w:after="0" w:line="240" w:lineRule="auto"/>
              <w:jc w:val="center"/>
              <w:rPr>
                <w:rFonts w:ascii="Arial" w:eastAsia="Times New Roman" w:hAnsi="Arial" w:cs="Arial"/>
                <w:b/>
                <w:bCs/>
                <w:sz w:val="14"/>
                <w:szCs w:val="16"/>
                <w:lang w:val="es-ES" w:eastAsia="es-ES"/>
              </w:rPr>
            </w:pPr>
            <w:r w:rsidRPr="00906AFB">
              <w:rPr>
                <w:rFonts w:ascii="Arial" w:eastAsia="Times New Roman" w:hAnsi="Arial" w:cs="Arial"/>
                <w:b/>
                <w:bCs/>
                <w:sz w:val="14"/>
                <w:szCs w:val="16"/>
                <w:lang w:val="es-ES" w:eastAsia="es-ES"/>
              </w:rPr>
              <w:t>FOFIR</w:t>
            </w:r>
          </w:p>
        </w:tc>
        <w:tc>
          <w:tcPr>
            <w:tcW w:w="841" w:type="dxa"/>
            <w:tcBorders>
              <w:top w:val="single" w:sz="4" w:space="0" w:color="auto"/>
              <w:left w:val="nil"/>
              <w:bottom w:val="single" w:sz="4" w:space="0" w:color="auto"/>
              <w:right w:val="single" w:sz="4" w:space="0" w:color="auto"/>
            </w:tcBorders>
            <w:noWrap/>
            <w:vAlign w:val="center"/>
            <w:hideMark/>
          </w:tcPr>
          <w:p w:rsidR="00906AFB" w:rsidRPr="00906AFB" w:rsidRDefault="00906AFB" w:rsidP="00906AFB">
            <w:pPr>
              <w:spacing w:after="0" w:line="240" w:lineRule="auto"/>
              <w:jc w:val="center"/>
              <w:rPr>
                <w:rFonts w:ascii="Arial" w:eastAsia="Times New Roman" w:hAnsi="Arial" w:cs="Arial"/>
                <w:b/>
                <w:bCs/>
                <w:sz w:val="14"/>
                <w:szCs w:val="16"/>
                <w:lang w:val="es-ES" w:eastAsia="es-ES"/>
              </w:rPr>
            </w:pPr>
            <w:r w:rsidRPr="00906AFB">
              <w:rPr>
                <w:rFonts w:ascii="Arial" w:eastAsia="Times New Roman" w:hAnsi="Arial" w:cs="Arial"/>
                <w:b/>
                <w:bCs/>
                <w:sz w:val="14"/>
                <w:szCs w:val="16"/>
                <w:lang w:val="es-ES" w:eastAsia="es-ES"/>
              </w:rPr>
              <w:t>I.E.P.S.</w:t>
            </w:r>
          </w:p>
        </w:tc>
        <w:tc>
          <w:tcPr>
            <w:tcW w:w="763" w:type="dxa"/>
            <w:tcBorders>
              <w:top w:val="single" w:sz="4" w:space="0" w:color="auto"/>
              <w:left w:val="nil"/>
              <w:bottom w:val="single" w:sz="4" w:space="0" w:color="auto"/>
              <w:right w:val="single" w:sz="4" w:space="0" w:color="auto"/>
            </w:tcBorders>
            <w:vAlign w:val="center"/>
            <w:hideMark/>
          </w:tcPr>
          <w:p w:rsidR="00906AFB" w:rsidRPr="00906AFB" w:rsidRDefault="00906AFB" w:rsidP="00906AFB">
            <w:pPr>
              <w:spacing w:after="0" w:line="240" w:lineRule="auto"/>
              <w:jc w:val="center"/>
              <w:rPr>
                <w:rFonts w:ascii="Arial" w:eastAsia="Times New Roman" w:hAnsi="Arial" w:cs="Arial"/>
                <w:b/>
                <w:bCs/>
                <w:sz w:val="14"/>
                <w:szCs w:val="16"/>
                <w:lang w:val="es-ES" w:eastAsia="es-ES"/>
              </w:rPr>
            </w:pPr>
            <w:r w:rsidRPr="00906AFB">
              <w:rPr>
                <w:rFonts w:ascii="Arial" w:eastAsia="Times New Roman" w:hAnsi="Arial" w:cs="Arial"/>
                <w:b/>
                <w:bCs/>
                <w:sz w:val="14"/>
                <w:szCs w:val="16"/>
                <w:lang w:val="es-ES" w:eastAsia="es-ES"/>
              </w:rPr>
              <w:t>FDO. COMP. ISAN</w:t>
            </w:r>
          </w:p>
        </w:tc>
        <w:tc>
          <w:tcPr>
            <w:tcW w:w="841" w:type="dxa"/>
            <w:tcBorders>
              <w:top w:val="single" w:sz="4" w:space="0" w:color="auto"/>
              <w:left w:val="nil"/>
              <w:bottom w:val="single" w:sz="4" w:space="0" w:color="auto"/>
              <w:right w:val="single" w:sz="4" w:space="0" w:color="auto"/>
            </w:tcBorders>
            <w:vAlign w:val="center"/>
            <w:hideMark/>
          </w:tcPr>
          <w:p w:rsidR="00906AFB" w:rsidRPr="00906AFB" w:rsidRDefault="00906AFB" w:rsidP="00906AFB">
            <w:pPr>
              <w:spacing w:after="0" w:line="240" w:lineRule="auto"/>
              <w:jc w:val="center"/>
              <w:rPr>
                <w:rFonts w:ascii="Arial" w:eastAsia="Times New Roman" w:hAnsi="Arial" w:cs="Arial"/>
                <w:b/>
                <w:bCs/>
                <w:sz w:val="14"/>
                <w:szCs w:val="16"/>
                <w:lang w:val="es-ES" w:eastAsia="es-ES"/>
              </w:rPr>
            </w:pPr>
            <w:r w:rsidRPr="00906AFB">
              <w:rPr>
                <w:rFonts w:ascii="Arial" w:eastAsia="Times New Roman" w:hAnsi="Arial" w:cs="Arial"/>
                <w:b/>
                <w:bCs/>
                <w:sz w:val="14"/>
                <w:szCs w:val="16"/>
                <w:lang w:val="es-ES" w:eastAsia="es-ES"/>
              </w:rPr>
              <w:t>FDO. IEPS G. y D.</w:t>
            </w:r>
          </w:p>
        </w:tc>
        <w:tc>
          <w:tcPr>
            <w:tcW w:w="815" w:type="dxa"/>
            <w:tcBorders>
              <w:top w:val="single" w:sz="4" w:space="0" w:color="auto"/>
              <w:left w:val="nil"/>
              <w:bottom w:val="single" w:sz="4" w:space="0" w:color="auto"/>
              <w:right w:val="single" w:sz="4" w:space="0" w:color="auto"/>
            </w:tcBorders>
            <w:vAlign w:val="center"/>
            <w:hideMark/>
          </w:tcPr>
          <w:p w:rsidR="00906AFB" w:rsidRPr="00906AFB" w:rsidRDefault="00906AFB" w:rsidP="00906AFB">
            <w:pPr>
              <w:spacing w:after="0" w:line="240" w:lineRule="auto"/>
              <w:jc w:val="center"/>
              <w:rPr>
                <w:rFonts w:ascii="Arial" w:eastAsia="Times New Roman" w:hAnsi="Arial" w:cs="Arial"/>
                <w:b/>
                <w:bCs/>
                <w:sz w:val="14"/>
                <w:szCs w:val="16"/>
                <w:lang w:val="es-ES" w:eastAsia="es-ES"/>
              </w:rPr>
            </w:pPr>
            <w:r w:rsidRPr="00906AFB">
              <w:rPr>
                <w:rFonts w:ascii="Arial" w:eastAsia="Times New Roman" w:hAnsi="Arial" w:cs="Arial"/>
                <w:b/>
                <w:bCs/>
                <w:sz w:val="14"/>
                <w:szCs w:val="16"/>
                <w:lang w:val="es-ES" w:eastAsia="es-ES"/>
              </w:rPr>
              <w:t>INCENTIVO ISAN</w:t>
            </w:r>
          </w:p>
        </w:tc>
        <w:tc>
          <w:tcPr>
            <w:tcW w:w="850" w:type="dxa"/>
            <w:tcBorders>
              <w:top w:val="single" w:sz="4" w:space="0" w:color="auto"/>
              <w:left w:val="nil"/>
              <w:bottom w:val="single" w:sz="4" w:space="0" w:color="auto"/>
              <w:right w:val="single" w:sz="4" w:space="0" w:color="auto"/>
            </w:tcBorders>
            <w:vAlign w:val="center"/>
            <w:hideMark/>
          </w:tcPr>
          <w:p w:rsidR="00906AFB" w:rsidRPr="00906AFB" w:rsidRDefault="00906AFB" w:rsidP="00906AFB">
            <w:pPr>
              <w:spacing w:after="0" w:line="240" w:lineRule="auto"/>
              <w:jc w:val="center"/>
              <w:rPr>
                <w:rFonts w:ascii="Arial" w:eastAsia="Times New Roman" w:hAnsi="Arial" w:cs="Arial"/>
                <w:b/>
                <w:bCs/>
                <w:sz w:val="14"/>
                <w:szCs w:val="16"/>
                <w:lang w:val="es-ES" w:eastAsia="es-ES"/>
              </w:rPr>
            </w:pPr>
            <w:r w:rsidRPr="00906AFB">
              <w:rPr>
                <w:rFonts w:ascii="Arial" w:eastAsia="Times New Roman" w:hAnsi="Arial" w:cs="Arial"/>
                <w:b/>
                <w:bCs/>
                <w:sz w:val="14"/>
                <w:szCs w:val="16"/>
                <w:lang w:val="es-ES" w:eastAsia="es-ES"/>
              </w:rPr>
              <w:t>FONDO DE ISR</w:t>
            </w:r>
          </w:p>
        </w:tc>
        <w:tc>
          <w:tcPr>
            <w:tcW w:w="993" w:type="dxa"/>
            <w:tcBorders>
              <w:top w:val="single" w:sz="4" w:space="0" w:color="auto"/>
              <w:left w:val="nil"/>
              <w:bottom w:val="single" w:sz="4" w:space="0" w:color="auto"/>
              <w:right w:val="single" w:sz="4" w:space="0" w:color="auto"/>
            </w:tcBorders>
            <w:vAlign w:val="center"/>
            <w:hideMark/>
          </w:tcPr>
          <w:p w:rsidR="00906AFB" w:rsidRPr="00906AFB" w:rsidRDefault="00906AFB" w:rsidP="00906AFB">
            <w:pPr>
              <w:spacing w:after="0" w:line="240" w:lineRule="auto"/>
              <w:jc w:val="center"/>
              <w:rPr>
                <w:rFonts w:ascii="Arial" w:eastAsia="Times New Roman" w:hAnsi="Arial" w:cs="Arial"/>
                <w:b/>
                <w:bCs/>
                <w:sz w:val="14"/>
                <w:szCs w:val="16"/>
                <w:lang w:val="es-ES" w:eastAsia="es-ES"/>
              </w:rPr>
            </w:pPr>
            <w:r w:rsidRPr="00906AFB">
              <w:rPr>
                <w:rFonts w:ascii="Arial" w:eastAsia="Times New Roman" w:hAnsi="Arial" w:cs="Arial"/>
                <w:b/>
                <w:bCs/>
                <w:sz w:val="14"/>
                <w:szCs w:val="16"/>
                <w:lang w:val="es-ES" w:eastAsia="es-ES"/>
              </w:rPr>
              <w:t>SUMAS TOTALES</w:t>
            </w:r>
          </w:p>
        </w:tc>
      </w:tr>
      <w:tr w:rsidR="00906AFB" w:rsidRPr="00906AFB" w:rsidTr="00906AFB">
        <w:trPr>
          <w:trHeight w:val="283"/>
          <w:jc w:val="center"/>
        </w:trPr>
        <w:tc>
          <w:tcPr>
            <w:tcW w:w="1134" w:type="dxa"/>
            <w:tcBorders>
              <w:top w:val="nil"/>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rPr>
                <w:rFonts w:ascii="Arial" w:eastAsia="Times New Roman" w:hAnsi="Arial" w:cs="Arial"/>
                <w:sz w:val="14"/>
                <w:szCs w:val="16"/>
                <w:lang w:val="es-ES" w:eastAsia="es-ES"/>
              </w:rPr>
            </w:pPr>
            <w:r w:rsidRPr="00906AFB">
              <w:rPr>
                <w:rFonts w:ascii="Arial" w:eastAsia="Times New Roman" w:hAnsi="Arial" w:cs="Arial"/>
                <w:sz w:val="14"/>
                <w:szCs w:val="16"/>
                <w:lang w:val="es-ES" w:eastAsia="es-ES"/>
              </w:rPr>
              <w:t>Armería</w:t>
            </w:r>
          </w:p>
        </w:tc>
        <w:tc>
          <w:tcPr>
            <w:tcW w:w="919" w:type="dxa"/>
            <w:tcBorders>
              <w:top w:val="nil"/>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sz w:val="14"/>
                <w:szCs w:val="16"/>
                <w:lang w:val="es-ES" w:eastAsia="es-ES"/>
              </w:rPr>
            </w:pPr>
            <w:r w:rsidRPr="00906AFB">
              <w:rPr>
                <w:rFonts w:ascii="Arial" w:eastAsia="Times New Roman" w:hAnsi="Arial" w:cs="Arial"/>
                <w:sz w:val="14"/>
                <w:szCs w:val="16"/>
                <w:lang w:val="es-ES" w:eastAsia="es-ES"/>
              </w:rPr>
              <w:t>36,138,498</w:t>
            </w:r>
          </w:p>
        </w:tc>
        <w:tc>
          <w:tcPr>
            <w:tcW w:w="919" w:type="dxa"/>
            <w:tcBorders>
              <w:top w:val="nil"/>
              <w:left w:val="nil"/>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sz w:val="14"/>
                <w:szCs w:val="16"/>
                <w:lang w:val="es-ES" w:eastAsia="es-ES"/>
              </w:rPr>
            </w:pPr>
            <w:r w:rsidRPr="00906AFB">
              <w:rPr>
                <w:rFonts w:ascii="Arial" w:eastAsia="Times New Roman" w:hAnsi="Arial" w:cs="Arial"/>
                <w:sz w:val="14"/>
                <w:szCs w:val="16"/>
                <w:lang w:val="es-ES" w:eastAsia="es-ES"/>
              </w:rPr>
              <w:t>14,481,138</w:t>
            </w:r>
          </w:p>
        </w:tc>
        <w:tc>
          <w:tcPr>
            <w:tcW w:w="856" w:type="dxa"/>
            <w:tcBorders>
              <w:top w:val="nil"/>
              <w:left w:val="nil"/>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sz w:val="14"/>
                <w:szCs w:val="16"/>
                <w:lang w:val="es-ES" w:eastAsia="es-ES"/>
              </w:rPr>
            </w:pPr>
            <w:r w:rsidRPr="00906AFB">
              <w:rPr>
                <w:rFonts w:ascii="Arial" w:eastAsia="Times New Roman" w:hAnsi="Arial" w:cs="Arial"/>
                <w:sz w:val="14"/>
                <w:szCs w:val="16"/>
                <w:lang w:val="es-ES" w:eastAsia="es-ES"/>
              </w:rPr>
              <w:t>1,613,691</w:t>
            </w:r>
          </w:p>
        </w:tc>
        <w:tc>
          <w:tcPr>
            <w:tcW w:w="841" w:type="dxa"/>
            <w:tcBorders>
              <w:top w:val="nil"/>
              <w:left w:val="nil"/>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sz w:val="14"/>
                <w:szCs w:val="16"/>
                <w:lang w:val="es-ES" w:eastAsia="es-ES"/>
              </w:rPr>
            </w:pPr>
            <w:r w:rsidRPr="00906AFB">
              <w:rPr>
                <w:rFonts w:ascii="Arial" w:eastAsia="Times New Roman" w:hAnsi="Arial" w:cs="Arial"/>
                <w:sz w:val="14"/>
                <w:szCs w:val="16"/>
                <w:lang w:val="es-ES" w:eastAsia="es-ES"/>
              </w:rPr>
              <w:t>740,572</w:t>
            </w:r>
          </w:p>
        </w:tc>
        <w:tc>
          <w:tcPr>
            <w:tcW w:w="763" w:type="dxa"/>
            <w:tcBorders>
              <w:top w:val="nil"/>
              <w:left w:val="nil"/>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sz w:val="14"/>
                <w:szCs w:val="16"/>
                <w:lang w:val="es-ES" w:eastAsia="es-ES"/>
              </w:rPr>
            </w:pPr>
            <w:r w:rsidRPr="00906AFB">
              <w:rPr>
                <w:rFonts w:ascii="Arial" w:eastAsia="Times New Roman" w:hAnsi="Arial" w:cs="Arial"/>
                <w:sz w:val="14"/>
                <w:szCs w:val="16"/>
                <w:lang w:val="es-ES" w:eastAsia="es-ES"/>
              </w:rPr>
              <w:t>150,035</w:t>
            </w:r>
          </w:p>
        </w:tc>
        <w:tc>
          <w:tcPr>
            <w:tcW w:w="841" w:type="dxa"/>
            <w:tcBorders>
              <w:top w:val="nil"/>
              <w:left w:val="nil"/>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sz w:val="14"/>
                <w:szCs w:val="16"/>
                <w:lang w:val="es-ES" w:eastAsia="es-ES"/>
              </w:rPr>
            </w:pPr>
            <w:r w:rsidRPr="00906AFB">
              <w:rPr>
                <w:rFonts w:ascii="Arial" w:eastAsia="Times New Roman" w:hAnsi="Arial" w:cs="Arial"/>
                <w:sz w:val="14"/>
                <w:szCs w:val="16"/>
                <w:lang w:val="es-ES" w:eastAsia="es-ES"/>
              </w:rPr>
              <w:t>1,127,610</w:t>
            </w:r>
          </w:p>
        </w:tc>
        <w:tc>
          <w:tcPr>
            <w:tcW w:w="815" w:type="dxa"/>
            <w:tcBorders>
              <w:top w:val="nil"/>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sz w:val="14"/>
                <w:szCs w:val="16"/>
                <w:lang w:val="es-ES" w:eastAsia="es-ES"/>
              </w:rPr>
            </w:pPr>
            <w:r w:rsidRPr="00906AFB">
              <w:rPr>
                <w:rFonts w:ascii="Arial" w:eastAsia="Times New Roman" w:hAnsi="Arial" w:cs="Arial"/>
                <w:sz w:val="14"/>
                <w:szCs w:val="16"/>
                <w:lang w:val="es-ES" w:eastAsia="es-ES"/>
              </w:rPr>
              <w:t>509,840</w:t>
            </w:r>
          </w:p>
        </w:tc>
        <w:tc>
          <w:tcPr>
            <w:tcW w:w="850" w:type="dxa"/>
            <w:tcBorders>
              <w:top w:val="nil"/>
              <w:left w:val="nil"/>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sz w:val="14"/>
                <w:szCs w:val="16"/>
                <w:lang w:val="es-ES" w:eastAsia="es-ES"/>
              </w:rPr>
            </w:pPr>
            <w:r w:rsidRPr="00906AFB">
              <w:rPr>
                <w:rFonts w:ascii="Arial" w:eastAsia="Times New Roman" w:hAnsi="Arial" w:cs="Arial"/>
                <w:sz w:val="14"/>
                <w:szCs w:val="16"/>
                <w:lang w:val="es-ES" w:eastAsia="es-ES"/>
              </w:rPr>
              <w:t>2,779,277</w:t>
            </w:r>
          </w:p>
        </w:tc>
        <w:tc>
          <w:tcPr>
            <w:tcW w:w="993" w:type="dxa"/>
            <w:tcBorders>
              <w:top w:val="nil"/>
              <w:left w:val="nil"/>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sz w:val="14"/>
                <w:szCs w:val="16"/>
                <w:lang w:val="es-ES" w:eastAsia="es-ES"/>
              </w:rPr>
            </w:pPr>
            <w:r w:rsidRPr="00906AFB">
              <w:rPr>
                <w:rFonts w:ascii="Arial" w:eastAsia="Times New Roman" w:hAnsi="Arial" w:cs="Arial"/>
                <w:sz w:val="14"/>
                <w:szCs w:val="16"/>
                <w:lang w:val="es-ES" w:eastAsia="es-ES"/>
              </w:rPr>
              <w:t>57,540,662</w:t>
            </w:r>
          </w:p>
        </w:tc>
      </w:tr>
      <w:tr w:rsidR="00906AFB" w:rsidRPr="00906AFB" w:rsidTr="00906AFB">
        <w:trPr>
          <w:trHeight w:val="283"/>
          <w:jc w:val="center"/>
        </w:trPr>
        <w:tc>
          <w:tcPr>
            <w:tcW w:w="1134" w:type="dxa"/>
            <w:tcBorders>
              <w:top w:val="nil"/>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rPr>
                <w:rFonts w:ascii="Arial" w:eastAsia="Times New Roman" w:hAnsi="Arial" w:cs="Arial"/>
                <w:sz w:val="14"/>
                <w:szCs w:val="16"/>
                <w:lang w:val="es-ES" w:eastAsia="es-ES"/>
              </w:rPr>
            </w:pPr>
            <w:r w:rsidRPr="00906AFB">
              <w:rPr>
                <w:rFonts w:ascii="Arial" w:eastAsia="Times New Roman" w:hAnsi="Arial" w:cs="Arial"/>
                <w:sz w:val="14"/>
                <w:szCs w:val="16"/>
                <w:lang w:val="es-ES" w:eastAsia="es-ES"/>
              </w:rPr>
              <w:t>Colima</w:t>
            </w:r>
          </w:p>
        </w:tc>
        <w:tc>
          <w:tcPr>
            <w:tcW w:w="919" w:type="dxa"/>
            <w:tcBorders>
              <w:top w:val="nil"/>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sz w:val="14"/>
                <w:szCs w:val="16"/>
                <w:lang w:val="es-ES" w:eastAsia="es-ES"/>
              </w:rPr>
            </w:pPr>
            <w:r w:rsidRPr="00906AFB">
              <w:rPr>
                <w:rFonts w:ascii="Arial" w:eastAsia="Times New Roman" w:hAnsi="Arial" w:cs="Arial"/>
                <w:sz w:val="14"/>
                <w:szCs w:val="16"/>
                <w:lang w:val="es-ES" w:eastAsia="es-ES"/>
              </w:rPr>
              <w:t>154,314,131</w:t>
            </w:r>
          </w:p>
        </w:tc>
        <w:tc>
          <w:tcPr>
            <w:tcW w:w="919" w:type="dxa"/>
            <w:tcBorders>
              <w:top w:val="nil"/>
              <w:left w:val="nil"/>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sz w:val="14"/>
                <w:szCs w:val="16"/>
                <w:lang w:val="es-ES" w:eastAsia="es-ES"/>
              </w:rPr>
            </w:pPr>
            <w:r w:rsidRPr="00906AFB">
              <w:rPr>
                <w:rFonts w:ascii="Arial" w:eastAsia="Times New Roman" w:hAnsi="Arial" w:cs="Arial"/>
                <w:sz w:val="14"/>
                <w:szCs w:val="16"/>
                <w:lang w:val="es-ES" w:eastAsia="es-ES"/>
              </w:rPr>
              <w:t>64,464,127</w:t>
            </w:r>
          </w:p>
        </w:tc>
        <w:tc>
          <w:tcPr>
            <w:tcW w:w="856" w:type="dxa"/>
            <w:tcBorders>
              <w:top w:val="nil"/>
              <w:left w:val="nil"/>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sz w:val="14"/>
                <w:szCs w:val="16"/>
                <w:lang w:val="es-ES" w:eastAsia="es-ES"/>
              </w:rPr>
            </w:pPr>
            <w:r w:rsidRPr="00906AFB">
              <w:rPr>
                <w:rFonts w:ascii="Arial" w:eastAsia="Times New Roman" w:hAnsi="Arial" w:cs="Arial"/>
                <w:sz w:val="14"/>
                <w:szCs w:val="16"/>
                <w:lang w:val="es-ES" w:eastAsia="es-ES"/>
              </w:rPr>
              <w:t>7,139,367</w:t>
            </w:r>
          </w:p>
        </w:tc>
        <w:tc>
          <w:tcPr>
            <w:tcW w:w="841" w:type="dxa"/>
            <w:tcBorders>
              <w:top w:val="nil"/>
              <w:left w:val="nil"/>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sz w:val="14"/>
                <w:szCs w:val="16"/>
                <w:lang w:val="es-ES" w:eastAsia="es-ES"/>
              </w:rPr>
            </w:pPr>
            <w:r w:rsidRPr="00906AFB">
              <w:rPr>
                <w:rFonts w:ascii="Arial" w:eastAsia="Times New Roman" w:hAnsi="Arial" w:cs="Arial"/>
                <w:sz w:val="14"/>
                <w:szCs w:val="16"/>
                <w:lang w:val="es-ES" w:eastAsia="es-ES"/>
              </w:rPr>
              <w:t>2,803,226</w:t>
            </w:r>
          </w:p>
        </w:tc>
        <w:tc>
          <w:tcPr>
            <w:tcW w:w="763" w:type="dxa"/>
            <w:tcBorders>
              <w:top w:val="nil"/>
              <w:left w:val="nil"/>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sz w:val="14"/>
                <w:szCs w:val="16"/>
                <w:lang w:val="es-ES" w:eastAsia="es-ES"/>
              </w:rPr>
            </w:pPr>
            <w:r w:rsidRPr="00906AFB">
              <w:rPr>
                <w:rFonts w:ascii="Arial" w:eastAsia="Times New Roman" w:hAnsi="Arial" w:cs="Arial"/>
                <w:sz w:val="14"/>
                <w:szCs w:val="16"/>
                <w:lang w:val="es-ES" w:eastAsia="es-ES"/>
              </w:rPr>
              <w:t>567,092</w:t>
            </w:r>
          </w:p>
        </w:tc>
        <w:tc>
          <w:tcPr>
            <w:tcW w:w="841" w:type="dxa"/>
            <w:tcBorders>
              <w:top w:val="nil"/>
              <w:left w:val="nil"/>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sz w:val="14"/>
                <w:szCs w:val="16"/>
                <w:lang w:val="es-ES" w:eastAsia="es-ES"/>
              </w:rPr>
            </w:pPr>
            <w:r w:rsidRPr="00906AFB">
              <w:rPr>
                <w:rFonts w:ascii="Arial" w:eastAsia="Times New Roman" w:hAnsi="Arial" w:cs="Arial"/>
                <w:sz w:val="14"/>
                <w:szCs w:val="16"/>
                <w:lang w:val="es-ES" w:eastAsia="es-ES"/>
              </w:rPr>
              <w:t>6,127,235</w:t>
            </w:r>
          </w:p>
        </w:tc>
        <w:tc>
          <w:tcPr>
            <w:tcW w:w="815" w:type="dxa"/>
            <w:tcBorders>
              <w:top w:val="nil"/>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sz w:val="14"/>
                <w:szCs w:val="16"/>
                <w:lang w:val="es-ES" w:eastAsia="es-ES"/>
              </w:rPr>
            </w:pPr>
            <w:r w:rsidRPr="00906AFB">
              <w:rPr>
                <w:rFonts w:ascii="Arial" w:eastAsia="Times New Roman" w:hAnsi="Arial" w:cs="Arial"/>
                <w:sz w:val="14"/>
                <w:szCs w:val="16"/>
                <w:lang w:val="es-ES" w:eastAsia="es-ES"/>
              </w:rPr>
              <w:t>1,927,056</w:t>
            </w:r>
          </w:p>
        </w:tc>
        <w:tc>
          <w:tcPr>
            <w:tcW w:w="850" w:type="dxa"/>
            <w:tcBorders>
              <w:top w:val="nil"/>
              <w:left w:val="nil"/>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sz w:val="14"/>
                <w:szCs w:val="16"/>
                <w:lang w:val="es-ES" w:eastAsia="es-ES"/>
              </w:rPr>
            </w:pPr>
            <w:r w:rsidRPr="00906AFB">
              <w:rPr>
                <w:rFonts w:ascii="Arial" w:eastAsia="Times New Roman" w:hAnsi="Arial" w:cs="Arial"/>
                <w:sz w:val="14"/>
                <w:szCs w:val="16"/>
                <w:lang w:val="es-ES" w:eastAsia="es-ES"/>
              </w:rPr>
              <w:t>11,664,796</w:t>
            </w:r>
          </w:p>
        </w:tc>
        <w:tc>
          <w:tcPr>
            <w:tcW w:w="993" w:type="dxa"/>
            <w:tcBorders>
              <w:top w:val="nil"/>
              <w:left w:val="nil"/>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sz w:val="14"/>
                <w:szCs w:val="16"/>
                <w:lang w:val="es-ES" w:eastAsia="es-ES"/>
              </w:rPr>
            </w:pPr>
            <w:r w:rsidRPr="00906AFB">
              <w:rPr>
                <w:rFonts w:ascii="Arial" w:eastAsia="Times New Roman" w:hAnsi="Arial" w:cs="Arial"/>
                <w:sz w:val="14"/>
                <w:szCs w:val="16"/>
                <w:lang w:val="es-ES" w:eastAsia="es-ES"/>
              </w:rPr>
              <w:t>249,007,030</w:t>
            </w:r>
          </w:p>
        </w:tc>
      </w:tr>
      <w:tr w:rsidR="00906AFB" w:rsidRPr="00906AFB" w:rsidTr="00906AFB">
        <w:trPr>
          <w:trHeight w:val="283"/>
          <w:jc w:val="center"/>
        </w:trPr>
        <w:tc>
          <w:tcPr>
            <w:tcW w:w="1134" w:type="dxa"/>
            <w:tcBorders>
              <w:top w:val="nil"/>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rPr>
                <w:rFonts w:ascii="Arial" w:eastAsia="Times New Roman" w:hAnsi="Arial" w:cs="Arial"/>
                <w:sz w:val="14"/>
                <w:szCs w:val="16"/>
                <w:lang w:val="es-ES" w:eastAsia="es-ES"/>
              </w:rPr>
            </w:pPr>
            <w:r w:rsidRPr="00906AFB">
              <w:rPr>
                <w:rFonts w:ascii="Arial" w:eastAsia="Times New Roman" w:hAnsi="Arial" w:cs="Arial"/>
                <w:sz w:val="14"/>
                <w:szCs w:val="16"/>
                <w:lang w:val="es-ES" w:eastAsia="es-ES"/>
              </w:rPr>
              <w:t>Comala</w:t>
            </w:r>
          </w:p>
        </w:tc>
        <w:tc>
          <w:tcPr>
            <w:tcW w:w="919" w:type="dxa"/>
            <w:tcBorders>
              <w:top w:val="nil"/>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sz w:val="14"/>
                <w:szCs w:val="16"/>
                <w:lang w:val="es-ES" w:eastAsia="es-ES"/>
              </w:rPr>
            </w:pPr>
            <w:r w:rsidRPr="00906AFB">
              <w:rPr>
                <w:rFonts w:ascii="Arial" w:eastAsia="Times New Roman" w:hAnsi="Arial" w:cs="Arial"/>
                <w:sz w:val="14"/>
                <w:szCs w:val="16"/>
                <w:lang w:val="es-ES" w:eastAsia="es-ES"/>
              </w:rPr>
              <w:t>34,760,330</w:t>
            </w:r>
          </w:p>
        </w:tc>
        <w:tc>
          <w:tcPr>
            <w:tcW w:w="919" w:type="dxa"/>
            <w:tcBorders>
              <w:top w:val="nil"/>
              <w:left w:val="nil"/>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sz w:val="14"/>
                <w:szCs w:val="16"/>
                <w:lang w:val="es-ES" w:eastAsia="es-ES"/>
              </w:rPr>
            </w:pPr>
            <w:r w:rsidRPr="00906AFB">
              <w:rPr>
                <w:rFonts w:ascii="Arial" w:eastAsia="Times New Roman" w:hAnsi="Arial" w:cs="Arial"/>
                <w:sz w:val="14"/>
                <w:szCs w:val="16"/>
                <w:lang w:val="es-ES" w:eastAsia="es-ES"/>
              </w:rPr>
              <w:t>12,569,323</w:t>
            </w:r>
          </w:p>
        </w:tc>
        <w:tc>
          <w:tcPr>
            <w:tcW w:w="856" w:type="dxa"/>
            <w:tcBorders>
              <w:top w:val="nil"/>
              <w:left w:val="nil"/>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sz w:val="14"/>
                <w:szCs w:val="16"/>
                <w:lang w:val="es-ES" w:eastAsia="es-ES"/>
              </w:rPr>
            </w:pPr>
            <w:r w:rsidRPr="00906AFB">
              <w:rPr>
                <w:rFonts w:ascii="Arial" w:eastAsia="Times New Roman" w:hAnsi="Arial" w:cs="Arial"/>
                <w:sz w:val="14"/>
                <w:szCs w:val="16"/>
                <w:lang w:val="es-ES" w:eastAsia="es-ES"/>
              </w:rPr>
              <w:t>2,198,903</w:t>
            </w:r>
          </w:p>
        </w:tc>
        <w:tc>
          <w:tcPr>
            <w:tcW w:w="841" w:type="dxa"/>
            <w:tcBorders>
              <w:top w:val="nil"/>
              <w:left w:val="nil"/>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sz w:val="14"/>
                <w:szCs w:val="16"/>
                <w:lang w:val="es-ES" w:eastAsia="es-ES"/>
              </w:rPr>
            </w:pPr>
            <w:r w:rsidRPr="00906AFB">
              <w:rPr>
                <w:rFonts w:ascii="Arial" w:eastAsia="Times New Roman" w:hAnsi="Arial" w:cs="Arial"/>
                <w:sz w:val="14"/>
                <w:szCs w:val="16"/>
                <w:lang w:val="es-ES" w:eastAsia="es-ES"/>
              </w:rPr>
              <w:t>1,062,345</w:t>
            </w:r>
          </w:p>
        </w:tc>
        <w:tc>
          <w:tcPr>
            <w:tcW w:w="763" w:type="dxa"/>
            <w:tcBorders>
              <w:top w:val="nil"/>
              <w:left w:val="nil"/>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sz w:val="14"/>
                <w:szCs w:val="16"/>
                <w:lang w:val="es-ES" w:eastAsia="es-ES"/>
              </w:rPr>
            </w:pPr>
            <w:r w:rsidRPr="00906AFB">
              <w:rPr>
                <w:rFonts w:ascii="Arial" w:eastAsia="Times New Roman" w:hAnsi="Arial" w:cs="Arial"/>
                <w:sz w:val="14"/>
                <w:szCs w:val="16"/>
                <w:lang w:val="es-ES" w:eastAsia="es-ES"/>
              </w:rPr>
              <w:t>155,752</w:t>
            </w:r>
          </w:p>
        </w:tc>
        <w:tc>
          <w:tcPr>
            <w:tcW w:w="841" w:type="dxa"/>
            <w:tcBorders>
              <w:top w:val="nil"/>
              <w:left w:val="nil"/>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sz w:val="14"/>
                <w:szCs w:val="16"/>
                <w:lang w:val="es-ES" w:eastAsia="es-ES"/>
              </w:rPr>
            </w:pPr>
            <w:r w:rsidRPr="00906AFB">
              <w:rPr>
                <w:rFonts w:ascii="Arial" w:eastAsia="Times New Roman" w:hAnsi="Arial" w:cs="Arial"/>
                <w:sz w:val="14"/>
                <w:szCs w:val="16"/>
                <w:lang w:val="es-ES" w:eastAsia="es-ES"/>
              </w:rPr>
              <w:t>850,644</w:t>
            </w:r>
          </w:p>
        </w:tc>
        <w:tc>
          <w:tcPr>
            <w:tcW w:w="815" w:type="dxa"/>
            <w:tcBorders>
              <w:top w:val="nil"/>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sz w:val="14"/>
                <w:szCs w:val="16"/>
                <w:lang w:val="es-ES" w:eastAsia="es-ES"/>
              </w:rPr>
            </w:pPr>
            <w:r w:rsidRPr="00906AFB">
              <w:rPr>
                <w:rFonts w:ascii="Arial" w:eastAsia="Times New Roman" w:hAnsi="Arial" w:cs="Arial"/>
                <w:sz w:val="14"/>
                <w:szCs w:val="16"/>
                <w:lang w:val="es-ES" w:eastAsia="es-ES"/>
              </w:rPr>
              <w:t>529,265</w:t>
            </w:r>
          </w:p>
        </w:tc>
        <w:tc>
          <w:tcPr>
            <w:tcW w:w="850" w:type="dxa"/>
            <w:tcBorders>
              <w:top w:val="nil"/>
              <w:left w:val="nil"/>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sz w:val="14"/>
                <w:szCs w:val="16"/>
                <w:lang w:val="es-ES" w:eastAsia="es-ES"/>
              </w:rPr>
            </w:pPr>
            <w:r w:rsidRPr="00906AFB">
              <w:rPr>
                <w:rFonts w:ascii="Arial" w:eastAsia="Times New Roman" w:hAnsi="Arial" w:cs="Arial"/>
                <w:sz w:val="14"/>
                <w:szCs w:val="16"/>
                <w:lang w:val="es-ES" w:eastAsia="es-ES"/>
              </w:rPr>
              <w:t>2,850,000</w:t>
            </w:r>
          </w:p>
        </w:tc>
        <w:tc>
          <w:tcPr>
            <w:tcW w:w="993" w:type="dxa"/>
            <w:tcBorders>
              <w:top w:val="nil"/>
              <w:left w:val="nil"/>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sz w:val="14"/>
                <w:szCs w:val="16"/>
                <w:lang w:val="es-ES" w:eastAsia="es-ES"/>
              </w:rPr>
            </w:pPr>
            <w:r w:rsidRPr="00906AFB">
              <w:rPr>
                <w:rFonts w:ascii="Arial" w:eastAsia="Times New Roman" w:hAnsi="Arial" w:cs="Arial"/>
                <w:sz w:val="14"/>
                <w:szCs w:val="16"/>
                <w:lang w:val="es-ES" w:eastAsia="es-ES"/>
              </w:rPr>
              <w:t>54,976,561</w:t>
            </w:r>
          </w:p>
        </w:tc>
      </w:tr>
      <w:tr w:rsidR="00906AFB" w:rsidRPr="00906AFB" w:rsidTr="00906AFB">
        <w:trPr>
          <w:trHeight w:val="283"/>
          <w:jc w:val="center"/>
        </w:trPr>
        <w:tc>
          <w:tcPr>
            <w:tcW w:w="1134" w:type="dxa"/>
            <w:tcBorders>
              <w:top w:val="nil"/>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rPr>
                <w:rFonts w:ascii="Arial" w:eastAsia="Times New Roman" w:hAnsi="Arial" w:cs="Arial"/>
                <w:sz w:val="14"/>
                <w:szCs w:val="16"/>
                <w:lang w:val="es-ES" w:eastAsia="es-ES"/>
              </w:rPr>
            </w:pPr>
            <w:r w:rsidRPr="00906AFB">
              <w:rPr>
                <w:rFonts w:ascii="Arial" w:eastAsia="Times New Roman" w:hAnsi="Arial" w:cs="Arial"/>
                <w:sz w:val="14"/>
                <w:szCs w:val="16"/>
                <w:lang w:val="es-ES" w:eastAsia="es-ES"/>
              </w:rPr>
              <w:t>Coquimatlán</w:t>
            </w:r>
          </w:p>
        </w:tc>
        <w:tc>
          <w:tcPr>
            <w:tcW w:w="919" w:type="dxa"/>
            <w:tcBorders>
              <w:top w:val="nil"/>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sz w:val="14"/>
                <w:szCs w:val="16"/>
                <w:lang w:val="es-ES" w:eastAsia="es-ES"/>
              </w:rPr>
            </w:pPr>
            <w:r w:rsidRPr="00906AFB">
              <w:rPr>
                <w:rFonts w:ascii="Arial" w:eastAsia="Times New Roman" w:hAnsi="Arial" w:cs="Arial"/>
                <w:sz w:val="14"/>
                <w:szCs w:val="16"/>
                <w:lang w:val="es-ES" w:eastAsia="es-ES"/>
              </w:rPr>
              <w:t>30,970,639</w:t>
            </w:r>
          </w:p>
        </w:tc>
        <w:tc>
          <w:tcPr>
            <w:tcW w:w="919" w:type="dxa"/>
            <w:tcBorders>
              <w:top w:val="nil"/>
              <w:left w:val="nil"/>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sz w:val="14"/>
                <w:szCs w:val="16"/>
                <w:lang w:val="es-ES" w:eastAsia="es-ES"/>
              </w:rPr>
            </w:pPr>
            <w:r w:rsidRPr="00906AFB">
              <w:rPr>
                <w:rFonts w:ascii="Arial" w:eastAsia="Times New Roman" w:hAnsi="Arial" w:cs="Arial"/>
                <w:sz w:val="14"/>
                <w:szCs w:val="16"/>
                <w:lang w:val="es-ES" w:eastAsia="es-ES"/>
              </w:rPr>
              <w:t>12,876,482</w:t>
            </w:r>
          </w:p>
        </w:tc>
        <w:tc>
          <w:tcPr>
            <w:tcW w:w="856" w:type="dxa"/>
            <w:tcBorders>
              <w:top w:val="nil"/>
              <w:left w:val="nil"/>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sz w:val="14"/>
                <w:szCs w:val="16"/>
                <w:lang w:val="es-ES" w:eastAsia="es-ES"/>
              </w:rPr>
            </w:pPr>
            <w:r w:rsidRPr="00906AFB">
              <w:rPr>
                <w:rFonts w:ascii="Arial" w:eastAsia="Times New Roman" w:hAnsi="Arial" w:cs="Arial"/>
                <w:sz w:val="14"/>
                <w:szCs w:val="16"/>
                <w:lang w:val="es-ES" w:eastAsia="es-ES"/>
              </w:rPr>
              <w:t>1,541,078</w:t>
            </w:r>
          </w:p>
        </w:tc>
        <w:tc>
          <w:tcPr>
            <w:tcW w:w="841" w:type="dxa"/>
            <w:tcBorders>
              <w:top w:val="nil"/>
              <w:left w:val="nil"/>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sz w:val="14"/>
                <w:szCs w:val="16"/>
                <w:lang w:val="es-ES" w:eastAsia="es-ES"/>
              </w:rPr>
            </w:pPr>
            <w:r w:rsidRPr="00906AFB">
              <w:rPr>
                <w:rFonts w:ascii="Arial" w:eastAsia="Times New Roman" w:hAnsi="Arial" w:cs="Arial"/>
                <w:sz w:val="14"/>
                <w:szCs w:val="16"/>
                <w:lang w:val="es-ES" w:eastAsia="es-ES"/>
              </w:rPr>
              <w:t>812,303</w:t>
            </w:r>
          </w:p>
        </w:tc>
        <w:tc>
          <w:tcPr>
            <w:tcW w:w="763" w:type="dxa"/>
            <w:tcBorders>
              <w:top w:val="nil"/>
              <w:left w:val="nil"/>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sz w:val="14"/>
                <w:szCs w:val="16"/>
                <w:lang w:val="es-ES" w:eastAsia="es-ES"/>
              </w:rPr>
            </w:pPr>
            <w:r w:rsidRPr="00906AFB">
              <w:rPr>
                <w:rFonts w:ascii="Arial" w:eastAsia="Times New Roman" w:hAnsi="Arial" w:cs="Arial"/>
                <w:sz w:val="14"/>
                <w:szCs w:val="16"/>
                <w:lang w:val="es-ES" w:eastAsia="es-ES"/>
              </w:rPr>
              <w:t>131,899</w:t>
            </w:r>
          </w:p>
        </w:tc>
        <w:tc>
          <w:tcPr>
            <w:tcW w:w="841" w:type="dxa"/>
            <w:tcBorders>
              <w:top w:val="nil"/>
              <w:left w:val="nil"/>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sz w:val="14"/>
                <w:szCs w:val="16"/>
                <w:lang w:val="es-ES" w:eastAsia="es-ES"/>
              </w:rPr>
            </w:pPr>
            <w:r w:rsidRPr="00906AFB">
              <w:rPr>
                <w:rFonts w:ascii="Arial" w:eastAsia="Times New Roman" w:hAnsi="Arial" w:cs="Arial"/>
                <w:sz w:val="14"/>
                <w:szCs w:val="16"/>
                <w:lang w:val="es-ES" w:eastAsia="es-ES"/>
              </w:rPr>
              <w:t>769,467</w:t>
            </w:r>
          </w:p>
        </w:tc>
        <w:tc>
          <w:tcPr>
            <w:tcW w:w="815" w:type="dxa"/>
            <w:tcBorders>
              <w:top w:val="nil"/>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sz w:val="14"/>
                <w:szCs w:val="16"/>
                <w:lang w:val="es-ES" w:eastAsia="es-ES"/>
              </w:rPr>
            </w:pPr>
            <w:r w:rsidRPr="00906AFB">
              <w:rPr>
                <w:rFonts w:ascii="Arial" w:eastAsia="Times New Roman" w:hAnsi="Arial" w:cs="Arial"/>
                <w:sz w:val="14"/>
                <w:szCs w:val="16"/>
                <w:lang w:val="es-ES" w:eastAsia="es-ES"/>
              </w:rPr>
              <w:t>448,211</w:t>
            </w:r>
          </w:p>
        </w:tc>
        <w:tc>
          <w:tcPr>
            <w:tcW w:w="850" w:type="dxa"/>
            <w:tcBorders>
              <w:top w:val="nil"/>
              <w:left w:val="nil"/>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sz w:val="14"/>
                <w:szCs w:val="16"/>
                <w:lang w:val="es-ES" w:eastAsia="es-ES"/>
              </w:rPr>
            </w:pPr>
            <w:r w:rsidRPr="00906AFB">
              <w:rPr>
                <w:rFonts w:ascii="Arial" w:eastAsia="Times New Roman" w:hAnsi="Arial" w:cs="Arial"/>
                <w:sz w:val="14"/>
                <w:szCs w:val="16"/>
                <w:lang w:val="es-ES" w:eastAsia="es-ES"/>
              </w:rPr>
              <w:t>2,047,971</w:t>
            </w:r>
          </w:p>
        </w:tc>
        <w:tc>
          <w:tcPr>
            <w:tcW w:w="993" w:type="dxa"/>
            <w:tcBorders>
              <w:top w:val="nil"/>
              <w:left w:val="nil"/>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sz w:val="14"/>
                <w:szCs w:val="16"/>
                <w:lang w:val="es-ES" w:eastAsia="es-ES"/>
              </w:rPr>
            </w:pPr>
            <w:r w:rsidRPr="00906AFB">
              <w:rPr>
                <w:rFonts w:ascii="Arial" w:eastAsia="Times New Roman" w:hAnsi="Arial" w:cs="Arial"/>
                <w:sz w:val="14"/>
                <w:szCs w:val="16"/>
                <w:lang w:val="es-ES" w:eastAsia="es-ES"/>
              </w:rPr>
              <w:t>49,598,050</w:t>
            </w:r>
          </w:p>
        </w:tc>
      </w:tr>
      <w:tr w:rsidR="00906AFB" w:rsidRPr="00906AFB" w:rsidTr="00906AFB">
        <w:trPr>
          <w:trHeight w:val="283"/>
          <w:jc w:val="center"/>
        </w:trPr>
        <w:tc>
          <w:tcPr>
            <w:tcW w:w="1134" w:type="dxa"/>
            <w:tcBorders>
              <w:top w:val="nil"/>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rPr>
                <w:rFonts w:ascii="Arial" w:eastAsia="Times New Roman" w:hAnsi="Arial" w:cs="Arial"/>
                <w:sz w:val="14"/>
                <w:szCs w:val="16"/>
                <w:lang w:val="es-ES" w:eastAsia="es-ES"/>
              </w:rPr>
            </w:pPr>
            <w:r w:rsidRPr="00906AFB">
              <w:rPr>
                <w:rFonts w:ascii="Arial" w:eastAsia="Times New Roman" w:hAnsi="Arial" w:cs="Arial"/>
                <w:sz w:val="14"/>
                <w:szCs w:val="16"/>
                <w:lang w:val="es-ES" w:eastAsia="es-ES"/>
              </w:rPr>
              <w:t>Cuauhtémoc</w:t>
            </w:r>
          </w:p>
        </w:tc>
        <w:tc>
          <w:tcPr>
            <w:tcW w:w="919" w:type="dxa"/>
            <w:tcBorders>
              <w:top w:val="nil"/>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sz w:val="14"/>
                <w:szCs w:val="16"/>
                <w:lang w:val="es-ES" w:eastAsia="es-ES"/>
              </w:rPr>
            </w:pPr>
            <w:r w:rsidRPr="00906AFB">
              <w:rPr>
                <w:rFonts w:ascii="Arial" w:eastAsia="Times New Roman" w:hAnsi="Arial" w:cs="Arial"/>
                <w:sz w:val="14"/>
                <w:szCs w:val="16"/>
                <w:lang w:val="es-ES" w:eastAsia="es-ES"/>
              </w:rPr>
              <w:t>37,723,396</w:t>
            </w:r>
          </w:p>
        </w:tc>
        <w:tc>
          <w:tcPr>
            <w:tcW w:w="919" w:type="dxa"/>
            <w:tcBorders>
              <w:top w:val="nil"/>
              <w:left w:val="nil"/>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sz w:val="14"/>
                <w:szCs w:val="16"/>
                <w:lang w:val="es-ES" w:eastAsia="es-ES"/>
              </w:rPr>
            </w:pPr>
            <w:r w:rsidRPr="00906AFB">
              <w:rPr>
                <w:rFonts w:ascii="Arial" w:eastAsia="Times New Roman" w:hAnsi="Arial" w:cs="Arial"/>
                <w:sz w:val="14"/>
                <w:szCs w:val="16"/>
                <w:lang w:val="es-ES" w:eastAsia="es-ES"/>
              </w:rPr>
              <w:t>14,018,995</w:t>
            </w:r>
          </w:p>
        </w:tc>
        <w:tc>
          <w:tcPr>
            <w:tcW w:w="856" w:type="dxa"/>
            <w:tcBorders>
              <w:top w:val="nil"/>
              <w:left w:val="nil"/>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sz w:val="14"/>
                <w:szCs w:val="16"/>
                <w:lang w:val="es-ES" w:eastAsia="es-ES"/>
              </w:rPr>
            </w:pPr>
            <w:r w:rsidRPr="00906AFB">
              <w:rPr>
                <w:rFonts w:ascii="Arial" w:eastAsia="Times New Roman" w:hAnsi="Arial" w:cs="Arial"/>
                <w:sz w:val="14"/>
                <w:szCs w:val="16"/>
                <w:lang w:val="es-ES" w:eastAsia="es-ES"/>
              </w:rPr>
              <w:t>1,708,600</w:t>
            </w:r>
          </w:p>
        </w:tc>
        <w:tc>
          <w:tcPr>
            <w:tcW w:w="841" w:type="dxa"/>
            <w:tcBorders>
              <w:top w:val="nil"/>
              <w:left w:val="nil"/>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sz w:val="14"/>
                <w:szCs w:val="16"/>
                <w:lang w:val="es-ES" w:eastAsia="es-ES"/>
              </w:rPr>
            </w:pPr>
            <w:r w:rsidRPr="00906AFB">
              <w:rPr>
                <w:rFonts w:ascii="Arial" w:eastAsia="Times New Roman" w:hAnsi="Arial" w:cs="Arial"/>
                <w:sz w:val="14"/>
                <w:szCs w:val="16"/>
                <w:lang w:val="es-ES" w:eastAsia="es-ES"/>
              </w:rPr>
              <w:t>895,121</w:t>
            </w:r>
          </w:p>
        </w:tc>
        <w:tc>
          <w:tcPr>
            <w:tcW w:w="763" w:type="dxa"/>
            <w:tcBorders>
              <w:top w:val="nil"/>
              <w:left w:val="nil"/>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sz w:val="14"/>
                <w:szCs w:val="16"/>
                <w:lang w:val="es-ES" w:eastAsia="es-ES"/>
              </w:rPr>
            </w:pPr>
            <w:r w:rsidRPr="00906AFB">
              <w:rPr>
                <w:rFonts w:ascii="Arial" w:eastAsia="Times New Roman" w:hAnsi="Arial" w:cs="Arial"/>
                <w:sz w:val="14"/>
                <w:szCs w:val="16"/>
                <w:lang w:val="es-ES" w:eastAsia="es-ES"/>
              </w:rPr>
              <w:t>127,390</w:t>
            </w:r>
          </w:p>
        </w:tc>
        <w:tc>
          <w:tcPr>
            <w:tcW w:w="841" w:type="dxa"/>
            <w:tcBorders>
              <w:top w:val="nil"/>
              <w:left w:val="nil"/>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sz w:val="14"/>
                <w:szCs w:val="16"/>
                <w:lang w:val="es-ES" w:eastAsia="es-ES"/>
              </w:rPr>
            </w:pPr>
            <w:r w:rsidRPr="00906AFB">
              <w:rPr>
                <w:rFonts w:ascii="Arial" w:eastAsia="Times New Roman" w:hAnsi="Arial" w:cs="Arial"/>
                <w:sz w:val="14"/>
                <w:szCs w:val="16"/>
                <w:lang w:val="es-ES" w:eastAsia="es-ES"/>
              </w:rPr>
              <w:t>1,150,429</w:t>
            </w:r>
          </w:p>
        </w:tc>
        <w:tc>
          <w:tcPr>
            <w:tcW w:w="815" w:type="dxa"/>
            <w:tcBorders>
              <w:top w:val="nil"/>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sz w:val="14"/>
                <w:szCs w:val="16"/>
                <w:lang w:val="es-ES" w:eastAsia="es-ES"/>
              </w:rPr>
            </w:pPr>
            <w:r w:rsidRPr="00906AFB">
              <w:rPr>
                <w:rFonts w:ascii="Arial" w:eastAsia="Times New Roman" w:hAnsi="Arial" w:cs="Arial"/>
                <w:sz w:val="14"/>
                <w:szCs w:val="16"/>
                <w:lang w:val="es-ES" w:eastAsia="es-ES"/>
              </w:rPr>
              <w:t>432,889</w:t>
            </w:r>
          </w:p>
        </w:tc>
        <w:tc>
          <w:tcPr>
            <w:tcW w:w="850" w:type="dxa"/>
            <w:tcBorders>
              <w:top w:val="nil"/>
              <w:left w:val="nil"/>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sz w:val="14"/>
                <w:szCs w:val="16"/>
                <w:lang w:val="es-ES" w:eastAsia="es-ES"/>
              </w:rPr>
            </w:pPr>
            <w:r w:rsidRPr="00906AFB">
              <w:rPr>
                <w:rFonts w:ascii="Arial" w:eastAsia="Times New Roman" w:hAnsi="Arial" w:cs="Arial"/>
                <w:sz w:val="14"/>
                <w:szCs w:val="16"/>
                <w:lang w:val="es-ES" w:eastAsia="es-ES"/>
              </w:rPr>
              <w:t>2,750,100</w:t>
            </w:r>
          </w:p>
        </w:tc>
        <w:tc>
          <w:tcPr>
            <w:tcW w:w="993" w:type="dxa"/>
            <w:tcBorders>
              <w:top w:val="nil"/>
              <w:left w:val="nil"/>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sz w:val="14"/>
                <w:szCs w:val="16"/>
                <w:lang w:val="es-ES" w:eastAsia="es-ES"/>
              </w:rPr>
            </w:pPr>
            <w:r w:rsidRPr="00906AFB">
              <w:rPr>
                <w:rFonts w:ascii="Arial" w:eastAsia="Times New Roman" w:hAnsi="Arial" w:cs="Arial"/>
                <w:sz w:val="14"/>
                <w:szCs w:val="16"/>
                <w:lang w:val="es-ES" w:eastAsia="es-ES"/>
              </w:rPr>
              <w:t>58,806,920</w:t>
            </w:r>
          </w:p>
        </w:tc>
      </w:tr>
      <w:tr w:rsidR="00906AFB" w:rsidRPr="00906AFB" w:rsidTr="00906AFB">
        <w:trPr>
          <w:trHeight w:val="283"/>
          <w:jc w:val="center"/>
        </w:trPr>
        <w:tc>
          <w:tcPr>
            <w:tcW w:w="1134" w:type="dxa"/>
            <w:tcBorders>
              <w:top w:val="nil"/>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rPr>
                <w:rFonts w:ascii="Arial" w:eastAsia="Times New Roman" w:hAnsi="Arial" w:cs="Arial"/>
                <w:sz w:val="14"/>
                <w:szCs w:val="16"/>
                <w:lang w:val="es-ES" w:eastAsia="es-ES"/>
              </w:rPr>
            </w:pPr>
            <w:r w:rsidRPr="00906AFB">
              <w:rPr>
                <w:rFonts w:ascii="Arial" w:eastAsia="Times New Roman" w:hAnsi="Arial" w:cs="Arial"/>
                <w:sz w:val="14"/>
                <w:szCs w:val="16"/>
                <w:lang w:val="es-ES" w:eastAsia="es-ES"/>
              </w:rPr>
              <w:t>Ixtlahuacán</w:t>
            </w:r>
          </w:p>
        </w:tc>
        <w:tc>
          <w:tcPr>
            <w:tcW w:w="919" w:type="dxa"/>
            <w:tcBorders>
              <w:top w:val="nil"/>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sz w:val="14"/>
                <w:szCs w:val="16"/>
                <w:lang w:val="es-ES" w:eastAsia="es-ES"/>
              </w:rPr>
            </w:pPr>
            <w:r w:rsidRPr="00906AFB">
              <w:rPr>
                <w:rFonts w:ascii="Arial" w:eastAsia="Times New Roman" w:hAnsi="Arial" w:cs="Arial"/>
                <w:sz w:val="14"/>
                <w:szCs w:val="16"/>
                <w:lang w:val="es-ES" w:eastAsia="es-ES"/>
              </w:rPr>
              <w:t>45,082,450</w:t>
            </w:r>
          </w:p>
        </w:tc>
        <w:tc>
          <w:tcPr>
            <w:tcW w:w="919" w:type="dxa"/>
            <w:tcBorders>
              <w:top w:val="nil"/>
              <w:left w:val="nil"/>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sz w:val="14"/>
                <w:szCs w:val="16"/>
                <w:lang w:val="es-ES" w:eastAsia="es-ES"/>
              </w:rPr>
            </w:pPr>
            <w:r w:rsidRPr="00906AFB">
              <w:rPr>
                <w:rFonts w:ascii="Arial" w:eastAsia="Times New Roman" w:hAnsi="Arial" w:cs="Arial"/>
                <w:sz w:val="14"/>
                <w:szCs w:val="16"/>
                <w:lang w:val="es-ES" w:eastAsia="es-ES"/>
              </w:rPr>
              <w:t>17,135,968</w:t>
            </w:r>
          </w:p>
        </w:tc>
        <w:tc>
          <w:tcPr>
            <w:tcW w:w="856" w:type="dxa"/>
            <w:tcBorders>
              <w:top w:val="nil"/>
              <w:left w:val="nil"/>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sz w:val="14"/>
                <w:szCs w:val="16"/>
                <w:lang w:val="es-ES" w:eastAsia="es-ES"/>
              </w:rPr>
            </w:pPr>
            <w:r w:rsidRPr="00906AFB">
              <w:rPr>
                <w:rFonts w:ascii="Arial" w:eastAsia="Times New Roman" w:hAnsi="Arial" w:cs="Arial"/>
                <w:sz w:val="14"/>
                <w:szCs w:val="16"/>
                <w:lang w:val="es-ES" w:eastAsia="es-ES"/>
              </w:rPr>
              <w:t>2,562,264</w:t>
            </w:r>
          </w:p>
        </w:tc>
        <w:tc>
          <w:tcPr>
            <w:tcW w:w="841" w:type="dxa"/>
            <w:tcBorders>
              <w:top w:val="nil"/>
              <w:left w:val="nil"/>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sz w:val="14"/>
                <w:szCs w:val="16"/>
                <w:lang w:val="es-ES" w:eastAsia="es-ES"/>
              </w:rPr>
            </w:pPr>
            <w:r w:rsidRPr="00906AFB">
              <w:rPr>
                <w:rFonts w:ascii="Arial" w:eastAsia="Times New Roman" w:hAnsi="Arial" w:cs="Arial"/>
                <w:sz w:val="14"/>
                <w:szCs w:val="16"/>
                <w:lang w:val="es-ES" w:eastAsia="es-ES"/>
              </w:rPr>
              <w:t>1,341,253</w:t>
            </w:r>
          </w:p>
        </w:tc>
        <w:tc>
          <w:tcPr>
            <w:tcW w:w="763" w:type="dxa"/>
            <w:tcBorders>
              <w:top w:val="nil"/>
              <w:left w:val="nil"/>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sz w:val="14"/>
                <w:szCs w:val="16"/>
                <w:lang w:val="es-ES" w:eastAsia="es-ES"/>
              </w:rPr>
            </w:pPr>
            <w:r w:rsidRPr="00906AFB">
              <w:rPr>
                <w:rFonts w:ascii="Arial" w:eastAsia="Times New Roman" w:hAnsi="Arial" w:cs="Arial"/>
                <w:sz w:val="14"/>
                <w:szCs w:val="16"/>
                <w:lang w:val="es-ES" w:eastAsia="es-ES"/>
              </w:rPr>
              <w:t>177,979</w:t>
            </w:r>
          </w:p>
        </w:tc>
        <w:tc>
          <w:tcPr>
            <w:tcW w:w="841" w:type="dxa"/>
            <w:tcBorders>
              <w:top w:val="nil"/>
              <w:left w:val="nil"/>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sz w:val="14"/>
                <w:szCs w:val="16"/>
                <w:lang w:val="es-ES" w:eastAsia="es-ES"/>
              </w:rPr>
            </w:pPr>
            <w:r w:rsidRPr="00906AFB">
              <w:rPr>
                <w:rFonts w:ascii="Arial" w:eastAsia="Times New Roman" w:hAnsi="Arial" w:cs="Arial"/>
                <w:sz w:val="14"/>
                <w:szCs w:val="16"/>
                <w:lang w:val="es-ES" w:eastAsia="es-ES"/>
              </w:rPr>
              <w:t>3,028,502</w:t>
            </w:r>
          </w:p>
        </w:tc>
        <w:tc>
          <w:tcPr>
            <w:tcW w:w="815" w:type="dxa"/>
            <w:tcBorders>
              <w:top w:val="nil"/>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sz w:val="14"/>
                <w:szCs w:val="16"/>
                <w:lang w:val="es-ES" w:eastAsia="es-ES"/>
              </w:rPr>
            </w:pPr>
            <w:r w:rsidRPr="00906AFB">
              <w:rPr>
                <w:rFonts w:ascii="Arial" w:eastAsia="Times New Roman" w:hAnsi="Arial" w:cs="Arial"/>
                <w:sz w:val="14"/>
                <w:szCs w:val="16"/>
                <w:lang w:val="es-ES" w:eastAsia="es-ES"/>
              </w:rPr>
              <w:t>604,798</w:t>
            </w:r>
          </w:p>
        </w:tc>
        <w:tc>
          <w:tcPr>
            <w:tcW w:w="850" w:type="dxa"/>
            <w:tcBorders>
              <w:top w:val="nil"/>
              <w:left w:val="nil"/>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sz w:val="14"/>
                <w:szCs w:val="16"/>
                <w:lang w:val="es-ES" w:eastAsia="es-ES"/>
              </w:rPr>
            </w:pPr>
            <w:r w:rsidRPr="00906AFB">
              <w:rPr>
                <w:rFonts w:ascii="Arial" w:eastAsia="Times New Roman" w:hAnsi="Arial" w:cs="Arial"/>
                <w:sz w:val="14"/>
                <w:szCs w:val="16"/>
                <w:lang w:val="es-ES" w:eastAsia="es-ES"/>
              </w:rPr>
              <w:t>1,250,000</w:t>
            </w:r>
          </w:p>
        </w:tc>
        <w:tc>
          <w:tcPr>
            <w:tcW w:w="993" w:type="dxa"/>
            <w:tcBorders>
              <w:top w:val="nil"/>
              <w:left w:val="nil"/>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sz w:val="14"/>
                <w:szCs w:val="16"/>
                <w:lang w:val="es-ES" w:eastAsia="es-ES"/>
              </w:rPr>
            </w:pPr>
            <w:r w:rsidRPr="00906AFB">
              <w:rPr>
                <w:rFonts w:ascii="Arial" w:eastAsia="Times New Roman" w:hAnsi="Arial" w:cs="Arial"/>
                <w:sz w:val="14"/>
                <w:szCs w:val="16"/>
                <w:lang w:val="es-ES" w:eastAsia="es-ES"/>
              </w:rPr>
              <w:t>71,183,214</w:t>
            </w:r>
          </w:p>
        </w:tc>
      </w:tr>
      <w:tr w:rsidR="00906AFB" w:rsidRPr="00906AFB" w:rsidTr="00906AFB">
        <w:trPr>
          <w:trHeight w:val="283"/>
          <w:jc w:val="center"/>
        </w:trPr>
        <w:tc>
          <w:tcPr>
            <w:tcW w:w="1134" w:type="dxa"/>
            <w:tcBorders>
              <w:top w:val="nil"/>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rPr>
                <w:rFonts w:ascii="Arial" w:eastAsia="Times New Roman" w:hAnsi="Arial" w:cs="Arial"/>
                <w:sz w:val="14"/>
                <w:szCs w:val="16"/>
                <w:lang w:val="es-ES" w:eastAsia="es-ES"/>
              </w:rPr>
            </w:pPr>
            <w:r w:rsidRPr="00906AFB">
              <w:rPr>
                <w:rFonts w:ascii="Arial" w:eastAsia="Times New Roman" w:hAnsi="Arial" w:cs="Arial"/>
                <w:sz w:val="14"/>
                <w:szCs w:val="16"/>
                <w:lang w:val="es-ES" w:eastAsia="es-ES"/>
              </w:rPr>
              <w:t>Manzanillo</w:t>
            </w:r>
          </w:p>
        </w:tc>
        <w:tc>
          <w:tcPr>
            <w:tcW w:w="919" w:type="dxa"/>
            <w:tcBorders>
              <w:top w:val="nil"/>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sz w:val="14"/>
                <w:szCs w:val="16"/>
                <w:lang w:val="es-ES" w:eastAsia="es-ES"/>
              </w:rPr>
            </w:pPr>
            <w:r w:rsidRPr="00906AFB">
              <w:rPr>
                <w:rFonts w:ascii="Arial" w:eastAsia="Times New Roman" w:hAnsi="Arial" w:cs="Arial"/>
                <w:sz w:val="14"/>
                <w:szCs w:val="16"/>
                <w:lang w:val="es-ES" w:eastAsia="es-ES"/>
              </w:rPr>
              <w:t>168,561,388</w:t>
            </w:r>
          </w:p>
        </w:tc>
        <w:tc>
          <w:tcPr>
            <w:tcW w:w="919" w:type="dxa"/>
            <w:tcBorders>
              <w:top w:val="nil"/>
              <w:left w:val="nil"/>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sz w:val="14"/>
                <w:szCs w:val="16"/>
                <w:lang w:val="es-ES" w:eastAsia="es-ES"/>
              </w:rPr>
            </w:pPr>
            <w:r w:rsidRPr="00906AFB">
              <w:rPr>
                <w:rFonts w:ascii="Arial" w:eastAsia="Times New Roman" w:hAnsi="Arial" w:cs="Arial"/>
                <w:sz w:val="14"/>
                <w:szCs w:val="16"/>
                <w:lang w:val="es-ES" w:eastAsia="es-ES"/>
              </w:rPr>
              <w:t>70,230,610</w:t>
            </w:r>
          </w:p>
        </w:tc>
        <w:tc>
          <w:tcPr>
            <w:tcW w:w="856" w:type="dxa"/>
            <w:tcBorders>
              <w:top w:val="nil"/>
              <w:left w:val="nil"/>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sz w:val="14"/>
                <w:szCs w:val="16"/>
                <w:lang w:val="es-ES" w:eastAsia="es-ES"/>
              </w:rPr>
            </w:pPr>
            <w:r w:rsidRPr="00906AFB">
              <w:rPr>
                <w:rFonts w:ascii="Arial" w:eastAsia="Times New Roman" w:hAnsi="Arial" w:cs="Arial"/>
                <w:sz w:val="14"/>
                <w:szCs w:val="16"/>
                <w:lang w:val="es-ES" w:eastAsia="es-ES"/>
              </w:rPr>
              <w:t>7,605,792</w:t>
            </w:r>
          </w:p>
        </w:tc>
        <w:tc>
          <w:tcPr>
            <w:tcW w:w="841" w:type="dxa"/>
            <w:tcBorders>
              <w:top w:val="nil"/>
              <w:left w:val="nil"/>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sz w:val="14"/>
                <w:szCs w:val="16"/>
                <w:lang w:val="es-ES" w:eastAsia="es-ES"/>
              </w:rPr>
            </w:pPr>
            <w:r w:rsidRPr="00906AFB">
              <w:rPr>
                <w:rFonts w:ascii="Arial" w:eastAsia="Times New Roman" w:hAnsi="Arial" w:cs="Arial"/>
                <w:sz w:val="14"/>
                <w:szCs w:val="16"/>
                <w:lang w:val="es-ES" w:eastAsia="es-ES"/>
              </w:rPr>
              <w:t>3,014,967</w:t>
            </w:r>
          </w:p>
        </w:tc>
        <w:tc>
          <w:tcPr>
            <w:tcW w:w="763" w:type="dxa"/>
            <w:tcBorders>
              <w:top w:val="nil"/>
              <w:left w:val="nil"/>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sz w:val="14"/>
                <w:szCs w:val="16"/>
                <w:lang w:val="es-ES" w:eastAsia="es-ES"/>
              </w:rPr>
            </w:pPr>
            <w:r w:rsidRPr="00906AFB">
              <w:rPr>
                <w:rFonts w:ascii="Arial" w:eastAsia="Times New Roman" w:hAnsi="Arial" w:cs="Arial"/>
                <w:sz w:val="14"/>
                <w:szCs w:val="16"/>
                <w:lang w:val="es-ES" w:eastAsia="es-ES"/>
              </w:rPr>
              <w:t>600,273</w:t>
            </w:r>
          </w:p>
        </w:tc>
        <w:tc>
          <w:tcPr>
            <w:tcW w:w="841" w:type="dxa"/>
            <w:tcBorders>
              <w:top w:val="nil"/>
              <w:left w:val="nil"/>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sz w:val="14"/>
                <w:szCs w:val="16"/>
                <w:lang w:val="es-ES" w:eastAsia="es-ES"/>
              </w:rPr>
            </w:pPr>
            <w:r w:rsidRPr="00906AFB">
              <w:rPr>
                <w:rFonts w:ascii="Arial" w:eastAsia="Times New Roman" w:hAnsi="Arial" w:cs="Arial"/>
                <w:sz w:val="14"/>
                <w:szCs w:val="16"/>
                <w:lang w:val="es-ES" w:eastAsia="es-ES"/>
              </w:rPr>
              <w:t>11,441,923</w:t>
            </w:r>
          </w:p>
        </w:tc>
        <w:tc>
          <w:tcPr>
            <w:tcW w:w="815" w:type="dxa"/>
            <w:tcBorders>
              <w:top w:val="nil"/>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sz w:val="14"/>
                <w:szCs w:val="16"/>
                <w:lang w:val="es-ES" w:eastAsia="es-ES"/>
              </w:rPr>
            </w:pPr>
            <w:r w:rsidRPr="00906AFB">
              <w:rPr>
                <w:rFonts w:ascii="Arial" w:eastAsia="Times New Roman" w:hAnsi="Arial" w:cs="Arial"/>
                <w:sz w:val="14"/>
                <w:szCs w:val="16"/>
                <w:lang w:val="es-ES" w:eastAsia="es-ES"/>
              </w:rPr>
              <w:t>2,039,808</w:t>
            </w:r>
          </w:p>
        </w:tc>
        <w:tc>
          <w:tcPr>
            <w:tcW w:w="850" w:type="dxa"/>
            <w:tcBorders>
              <w:top w:val="nil"/>
              <w:left w:val="nil"/>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sz w:val="14"/>
                <w:szCs w:val="16"/>
                <w:lang w:val="es-ES" w:eastAsia="es-ES"/>
              </w:rPr>
            </w:pPr>
            <w:r w:rsidRPr="00906AFB">
              <w:rPr>
                <w:rFonts w:ascii="Arial" w:eastAsia="Times New Roman" w:hAnsi="Arial" w:cs="Arial"/>
                <w:sz w:val="14"/>
                <w:szCs w:val="16"/>
                <w:lang w:val="es-ES" w:eastAsia="es-ES"/>
              </w:rPr>
              <w:t>26,634,716</w:t>
            </w:r>
          </w:p>
        </w:tc>
        <w:tc>
          <w:tcPr>
            <w:tcW w:w="993" w:type="dxa"/>
            <w:tcBorders>
              <w:top w:val="nil"/>
              <w:left w:val="nil"/>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sz w:val="14"/>
                <w:szCs w:val="16"/>
                <w:lang w:val="es-ES" w:eastAsia="es-ES"/>
              </w:rPr>
            </w:pPr>
            <w:r w:rsidRPr="00906AFB">
              <w:rPr>
                <w:rFonts w:ascii="Arial" w:eastAsia="Times New Roman" w:hAnsi="Arial" w:cs="Arial"/>
                <w:sz w:val="14"/>
                <w:szCs w:val="16"/>
                <w:lang w:val="es-ES" w:eastAsia="es-ES"/>
              </w:rPr>
              <w:t>290,129,477</w:t>
            </w:r>
          </w:p>
        </w:tc>
      </w:tr>
      <w:tr w:rsidR="00906AFB" w:rsidRPr="00906AFB" w:rsidTr="00906AFB">
        <w:trPr>
          <w:trHeight w:val="283"/>
          <w:jc w:val="center"/>
        </w:trPr>
        <w:tc>
          <w:tcPr>
            <w:tcW w:w="1134" w:type="dxa"/>
            <w:tcBorders>
              <w:top w:val="nil"/>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rPr>
                <w:rFonts w:ascii="Arial" w:eastAsia="Times New Roman" w:hAnsi="Arial" w:cs="Arial"/>
                <w:sz w:val="14"/>
                <w:szCs w:val="16"/>
                <w:lang w:val="es-ES" w:eastAsia="es-ES"/>
              </w:rPr>
            </w:pPr>
            <w:r w:rsidRPr="00906AFB">
              <w:rPr>
                <w:rFonts w:ascii="Arial" w:eastAsia="Times New Roman" w:hAnsi="Arial" w:cs="Arial"/>
                <w:sz w:val="14"/>
                <w:szCs w:val="16"/>
                <w:lang w:val="es-ES" w:eastAsia="es-ES"/>
              </w:rPr>
              <w:t>Minatitlán</w:t>
            </w:r>
          </w:p>
        </w:tc>
        <w:tc>
          <w:tcPr>
            <w:tcW w:w="919" w:type="dxa"/>
            <w:tcBorders>
              <w:top w:val="nil"/>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sz w:val="14"/>
                <w:szCs w:val="16"/>
                <w:lang w:val="es-ES" w:eastAsia="es-ES"/>
              </w:rPr>
            </w:pPr>
            <w:r w:rsidRPr="00906AFB">
              <w:rPr>
                <w:rFonts w:ascii="Arial" w:eastAsia="Times New Roman" w:hAnsi="Arial" w:cs="Arial"/>
                <w:sz w:val="14"/>
                <w:szCs w:val="16"/>
                <w:lang w:val="es-ES" w:eastAsia="es-ES"/>
              </w:rPr>
              <w:t>39,770,242</w:t>
            </w:r>
          </w:p>
        </w:tc>
        <w:tc>
          <w:tcPr>
            <w:tcW w:w="919" w:type="dxa"/>
            <w:tcBorders>
              <w:top w:val="nil"/>
              <w:left w:val="nil"/>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sz w:val="14"/>
                <w:szCs w:val="16"/>
                <w:lang w:val="es-ES" w:eastAsia="es-ES"/>
              </w:rPr>
            </w:pPr>
            <w:r w:rsidRPr="00906AFB">
              <w:rPr>
                <w:rFonts w:ascii="Arial" w:eastAsia="Times New Roman" w:hAnsi="Arial" w:cs="Arial"/>
                <w:sz w:val="14"/>
                <w:szCs w:val="16"/>
                <w:lang w:val="es-ES" w:eastAsia="es-ES"/>
              </w:rPr>
              <w:t>10,826,425</w:t>
            </w:r>
          </w:p>
        </w:tc>
        <w:tc>
          <w:tcPr>
            <w:tcW w:w="856" w:type="dxa"/>
            <w:tcBorders>
              <w:top w:val="nil"/>
              <w:left w:val="nil"/>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sz w:val="14"/>
                <w:szCs w:val="16"/>
                <w:lang w:val="es-ES" w:eastAsia="es-ES"/>
              </w:rPr>
            </w:pPr>
            <w:r w:rsidRPr="00906AFB">
              <w:rPr>
                <w:rFonts w:ascii="Arial" w:eastAsia="Times New Roman" w:hAnsi="Arial" w:cs="Arial"/>
                <w:sz w:val="14"/>
                <w:szCs w:val="16"/>
                <w:lang w:val="es-ES" w:eastAsia="es-ES"/>
              </w:rPr>
              <w:t>1,887,502</w:t>
            </w:r>
          </w:p>
        </w:tc>
        <w:tc>
          <w:tcPr>
            <w:tcW w:w="841" w:type="dxa"/>
            <w:tcBorders>
              <w:top w:val="nil"/>
              <w:left w:val="nil"/>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sz w:val="14"/>
                <w:szCs w:val="16"/>
                <w:lang w:val="es-ES" w:eastAsia="es-ES"/>
              </w:rPr>
            </w:pPr>
            <w:r w:rsidRPr="00906AFB">
              <w:rPr>
                <w:rFonts w:ascii="Arial" w:eastAsia="Times New Roman" w:hAnsi="Arial" w:cs="Arial"/>
                <w:sz w:val="14"/>
                <w:szCs w:val="16"/>
                <w:lang w:val="es-ES" w:eastAsia="es-ES"/>
              </w:rPr>
              <w:t>1,236,574</w:t>
            </w:r>
          </w:p>
        </w:tc>
        <w:tc>
          <w:tcPr>
            <w:tcW w:w="763" w:type="dxa"/>
            <w:tcBorders>
              <w:top w:val="nil"/>
              <w:left w:val="nil"/>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sz w:val="14"/>
                <w:szCs w:val="16"/>
                <w:lang w:val="es-ES" w:eastAsia="es-ES"/>
              </w:rPr>
            </w:pPr>
            <w:r w:rsidRPr="00906AFB">
              <w:rPr>
                <w:rFonts w:ascii="Arial" w:eastAsia="Times New Roman" w:hAnsi="Arial" w:cs="Arial"/>
                <w:sz w:val="14"/>
                <w:szCs w:val="16"/>
                <w:lang w:val="es-ES" w:eastAsia="es-ES"/>
              </w:rPr>
              <w:t>167,934</w:t>
            </w:r>
          </w:p>
        </w:tc>
        <w:tc>
          <w:tcPr>
            <w:tcW w:w="841" w:type="dxa"/>
            <w:tcBorders>
              <w:top w:val="nil"/>
              <w:left w:val="nil"/>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sz w:val="14"/>
                <w:szCs w:val="16"/>
                <w:lang w:val="es-ES" w:eastAsia="es-ES"/>
              </w:rPr>
            </w:pPr>
            <w:r w:rsidRPr="00906AFB">
              <w:rPr>
                <w:rFonts w:ascii="Arial" w:eastAsia="Times New Roman" w:hAnsi="Arial" w:cs="Arial"/>
                <w:sz w:val="14"/>
                <w:szCs w:val="16"/>
                <w:lang w:val="es-ES" w:eastAsia="es-ES"/>
              </w:rPr>
              <w:t>342,295</w:t>
            </w:r>
          </w:p>
        </w:tc>
        <w:tc>
          <w:tcPr>
            <w:tcW w:w="815" w:type="dxa"/>
            <w:tcBorders>
              <w:top w:val="nil"/>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sz w:val="14"/>
                <w:szCs w:val="16"/>
                <w:lang w:val="es-ES" w:eastAsia="es-ES"/>
              </w:rPr>
            </w:pPr>
            <w:r w:rsidRPr="00906AFB">
              <w:rPr>
                <w:rFonts w:ascii="Arial" w:eastAsia="Times New Roman" w:hAnsi="Arial" w:cs="Arial"/>
                <w:sz w:val="14"/>
                <w:szCs w:val="16"/>
                <w:lang w:val="es-ES" w:eastAsia="es-ES"/>
              </w:rPr>
              <w:t>570,662</w:t>
            </w:r>
          </w:p>
        </w:tc>
        <w:tc>
          <w:tcPr>
            <w:tcW w:w="850" w:type="dxa"/>
            <w:tcBorders>
              <w:top w:val="nil"/>
              <w:left w:val="nil"/>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sz w:val="14"/>
                <w:szCs w:val="16"/>
                <w:lang w:val="es-ES" w:eastAsia="es-ES"/>
              </w:rPr>
            </w:pPr>
            <w:r w:rsidRPr="00906AFB">
              <w:rPr>
                <w:rFonts w:ascii="Arial" w:eastAsia="Times New Roman" w:hAnsi="Arial" w:cs="Arial"/>
                <w:sz w:val="14"/>
                <w:szCs w:val="16"/>
                <w:lang w:val="es-ES" w:eastAsia="es-ES"/>
              </w:rPr>
              <w:t>1,740,000</w:t>
            </w:r>
          </w:p>
        </w:tc>
        <w:tc>
          <w:tcPr>
            <w:tcW w:w="993" w:type="dxa"/>
            <w:tcBorders>
              <w:top w:val="nil"/>
              <w:left w:val="nil"/>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sz w:val="14"/>
                <w:szCs w:val="16"/>
                <w:lang w:val="es-ES" w:eastAsia="es-ES"/>
              </w:rPr>
            </w:pPr>
            <w:r w:rsidRPr="00906AFB">
              <w:rPr>
                <w:rFonts w:ascii="Arial" w:eastAsia="Times New Roman" w:hAnsi="Arial" w:cs="Arial"/>
                <w:sz w:val="14"/>
                <w:szCs w:val="16"/>
                <w:lang w:val="es-ES" w:eastAsia="es-ES"/>
              </w:rPr>
              <w:t>56,541,634</w:t>
            </w:r>
          </w:p>
        </w:tc>
      </w:tr>
      <w:tr w:rsidR="00906AFB" w:rsidRPr="00906AFB" w:rsidTr="00906AFB">
        <w:trPr>
          <w:trHeight w:val="283"/>
          <w:jc w:val="center"/>
        </w:trPr>
        <w:tc>
          <w:tcPr>
            <w:tcW w:w="1134" w:type="dxa"/>
            <w:tcBorders>
              <w:top w:val="nil"/>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rPr>
                <w:rFonts w:ascii="Arial" w:eastAsia="Times New Roman" w:hAnsi="Arial" w:cs="Arial"/>
                <w:sz w:val="14"/>
                <w:szCs w:val="16"/>
                <w:lang w:val="es-ES" w:eastAsia="es-ES"/>
              </w:rPr>
            </w:pPr>
            <w:r w:rsidRPr="00906AFB">
              <w:rPr>
                <w:rFonts w:ascii="Arial" w:eastAsia="Times New Roman" w:hAnsi="Arial" w:cs="Arial"/>
                <w:sz w:val="14"/>
                <w:szCs w:val="16"/>
                <w:lang w:val="es-ES" w:eastAsia="es-ES"/>
              </w:rPr>
              <w:t>Tecomán</w:t>
            </w:r>
          </w:p>
        </w:tc>
        <w:tc>
          <w:tcPr>
            <w:tcW w:w="919" w:type="dxa"/>
            <w:tcBorders>
              <w:top w:val="nil"/>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sz w:val="14"/>
                <w:szCs w:val="16"/>
                <w:lang w:val="es-ES" w:eastAsia="es-ES"/>
              </w:rPr>
            </w:pPr>
            <w:r w:rsidRPr="00906AFB">
              <w:rPr>
                <w:rFonts w:ascii="Arial" w:eastAsia="Times New Roman" w:hAnsi="Arial" w:cs="Arial"/>
                <w:sz w:val="14"/>
                <w:szCs w:val="16"/>
                <w:lang w:val="es-ES" w:eastAsia="es-ES"/>
              </w:rPr>
              <w:t>101,495,665</w:t>
            </w:r>
          </w:p>
        </w:tc>
        <w:tc>
          <w:tcPr>
            <w:tcW w:w="919" w:type="dxa"/>
            <w:tcBorders>
              <w:top w:val="nil"/>
              <w:left w:val="nil"/>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sz w:val="14"/>
                <w:szCs w:val="16"/>
                <w:lang w:val="es-ES" w:eastAsia="es-ES"/>
              </w:rPr>
            </w:pPr>
            <w:r w:rsidRPr="00906AFB">
              <w:rPr>
                <w:rFonts w:ascii="Arial" w:eastAsia="Times New Roman" w:hAnsi="Arial" w:cs="Arial"/>
                <w:sz w:val="14"/>
                <w:szCs w:val="16"/>
                <w:lang w:val="es-ES" w:eastAsia="es-ES"/>
              </w:rPr>
              <w:t>42,572,186</w:t>
            </w:r>
          </w:p>
        </w:tc>
        <w:tc>
          <w:tcPr>
            <w:tcW w:w="856" w:type="dxa"/>
            <w:tcBorders>
              <w:top w:val="nil"/>
              <w:left w:val="nil"/>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sz w:val="14"/>
                <w:szCs w:val="16"/>
                <w:lang w:val="es-ES" w:eastAsia="es-ES"/>
              </w:rPr>
            </w:pPr>
            <w:r w:rsidRPr="00906AFB">
              <w:rPr>
                <w:rFonts w:ascii="Arial" w:eastAsia="Times New Roman" w:hAnsi="Arial" w:cs="Arial"/>
                <w:sz w:val="14"/>
                <w:szCs w:val="16"/>
                <w:lang w:val="es-ES" w:eastAsia="es-ES"/>
              </w:rPr>
              <w:t>4,543,851</w:t>
            </w:r>
          </w:p>
        </w:tc>
        <w:tc>
          <w:tcPr>
            <w:tcW w:w="841" w:type="dxa"/>
            <w:tcBorders>
              <w:top w:val="nil"/>
              <w:left w:val="nil"/>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sz w:val="14"/>
                <w:szCs w:val="16"/>
                <w:lang w:val="es-ES" w:eastAsia="es-ES"/>
              </w:rPr>
            </w:pPr>
            <w:r w:rsidRPr="00906AFB">
              <w:rPr>
                <w:rFonts w:ascii="Arial" w:eastAsia="Times New Roman" w:hAnsi="Arial" w:cs="Arial"/>
                <w:sz w:val="14"/>
                <w:szCs w:val="16"/>
                <w:lang w:val="es-ES" w:eastAsia="es-ES"/>
              </w:rPr>
              <w:t>1,825,946</w:t>
            </w:r>
          </w:p>
        </w:tc>
        <w:tc>
          <w:tcPr>
            <w:tcW w:w="763" w:type="dxa"/>
            <w:tcBorders>
              <w:top w:val="nil"/>
              <w:left w:val="nil"/>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sz w:val="14"/>
                <w:szCs w:val="16"/>
                <w:lang w:val="es-ES" w:eastAsia="es-ES"/>
              </w:rPr>
            </w:pPr>
            <w:r w:rsidRPr="00906AFB">
              <w:rPr>
                <w:rFonts w:ascii="Arial" w:eastAsia="Times New Roman" w:hAnsi="Arial" w:cs="Arial"/>
                <w:sz w:val="14"/>
                <w:szCs w:val="16"/>
                <w:lang w:val="es-ES" w:eastAsia="es-ES"/>
              </w:rPr>
              <w:t>374,889</w:t>
            </w:r>
          </w:p>
        </w:tc>
        <w:tc>
          <w:tcPr>
            <w:tcW w:w="841" w:type="dxa"/>
            <w:tcBorders>
              <w:top w:val="nil"/>
              <w:left w:val="nil"/>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sz w:val="14"/>
                <w:szCs w:val="16"/>
                <w:lang w:val="es-ES" w:eastAsia="es-ES"/>
              </w:rPr>
            </w:pPr>
            <w:r w:rsidRPr="00906AFB">
              <w:rPr>
                <w:rFonts w:ascii="Arial" w:eastAsia="Times New Roman" w:hAnsi="Arial" w:cs="Arial"/>
                <w:sz w:val="14"/>
                <w:szCs w:val="16"/>
                <w:lang w:val="es-ES" w:eastAsia="es-ES"/>
              </w:rPr>
              <w:t>5,286,541</w:t>
            </w:r>
          </w:p>
        </w:tc>
        <w:tc>
          <w:tcPr>
            <w:tcW w:w="815" w:type="dxa"/>
            <w:tcBorders>
              <w:top w:val="nil"/>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sz w:val="14"/>
                <w:szCs w:val="16"/>
                <w:lang w:val="es-ES" w:eastAsia="es-ES"/>
              </w:rPr>
            </w:pPr>
            <w:r w:rsidRPr="00906AFB">
              <w:rPr>
                <w:rFonts w:ascii="Arial" w:eastAsia="Times New Roman" w:hAnsi="Arial" w:cs="Arial"/>
                <w:sz w:val="14"/>
                <w:szCs w:val="16"/>
                <w:lang w:val="es-ES" w:eastAsia="es-ES"/>
              </w:rPr>
              <w:t>1,273,925</w:t>
            </w:r>
          </w:p>
        </w:tc>
        <w:tc>
          <w:tcPr>
            <w:tcW w:w="850" w:type="dxa"/>
            <w:tcBorders>
              <w:top w:val="nil"/>
              <w:left w:val="nil"/>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sz w:val="14"/>
                <w:szCs w:val="16"/>
                <w:lang w:val="es-ES" w:eastAsia="es-ES"/>
              </w:rPr>
            </w:pPr>
            <w:r w:rsidRPr="00906AFB">
              <w:rPr>
                <w:rFonts w:ascii="Arial" w:eastAsia="Times New Roman" w:hAnsi="Arial" w:cs="Arial"/>
                <w:sz w:val="14"/>
                <w:szCs w:val="16"/>
                <w:lang w:val="es-ES" w:eastAsia="es-ES"/>
              </w:rPr>
              <w:t>4,926,691</w:t>
            </w:r>
          </w:p>
        </w:tc>
        <w:tc>
          <w:tcPr>
            <w:tcW w:w="993" w:type="dxa"/>
            <w:tcBorders>
              <w:top w:val="nil"/>
              <w:left w:val="nil"/>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sz w:val="14"/>
                <w:szCs w:val="16"/>
                <w:lang w:val="es-ES" w:eastAsia="es-ES"/>
              </w:rPr>
            </w:pPr>
            <w:r w:rsidRPr="00906AFB">
              <w:rPr>
                <w:rFonts w:ascii="Arial" w:eastAsia="Times New Roman" w:hAnsi="Arial" w:cs="Arial"/>
                <w:sz w:val="14"/>
                <w:szCs w:val="16"/>
                <w:lang w:val="es-ES" w:eastAsia="es-ES"/>
              </w:rPr>
              <w:t>162,299,695</w:t>
            </w:r>
          </w:p>
        </w:tc>
      </w:tr>
      <w:tr w:rsidR="00906AFB" w:rsidRPr="00906AFB" w:rsidTr="00906AFB">
        <w:trPr>
          <w:trHeight w:val="283"/>
          <w:jc w:val="center"/>
        </w:trPr>
        <w:tc>
          <w:tcPr>
            <w:tcW w:w="1134" w:type="dxa"/>
            <w:tcBorders>
              <w:top w:val="nil"/>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rPr>
                <w:rFonts w:ascii="Arial" w:eastAsia="Times New Roman" w:hAnsi="Arial" w:cs="Arial"/>
                <w:sz w:val="14"/>
                <w:szCs w:val="16"/>
                <w:lang w:val="es-ES" w:eastAsia="es-ES"/>
              </w:rPr>
            </w:pPr>
            <w:r w:rsidRPr="00906AFB">
              <w:rPr>
                <w:rFonts w:ascii="Arial" w:eastAsia="Times New Roman" w:hAnsi="Arial" w:cs="Arial"/>
                <w:sz w:val="14"/>
                <w:szCs w:val="16"/>
                <w:lang w:val="es-ES" w:eastAsia="es-ES"/>
              </w:rPr>
              <w:t>Villa de Álvarez</w:t>
            </w:r>
          </w:p>
        </w:tc>
        <w:tc>
          <w:tcPr>
            <w:tcW w:w="919" w:type="dxa"/>
            <w:tcBorders>
              <w:top w:val="nil"/>
              <w:left w:val="single" w:sz="4" w:space="0" w:color="auto"/>
              <w:bottom w:val="nil"/>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sz w:val="14"/>
                <w:szCs w:val="16"/>
                <w:lang w:val="es-ES" w:eastAsia="es-ES"/>
              </w:rPr>
            </w:pPr>
            <w:r w:rsidRPr="00906AFB">
              <w:rPr>
                <w:rFonts w:ascii="Arial" w:eastAsia="Times New Roman" w:hAnsi="Arial" w:cs="Arial"/>
                <w:sz w:val="14"/>
                <w:szCs w:val="16"/>
                <w:lang w:val="es-ES" w:eastAsia="es-ES"/>
              </w:rPr>
              <w:t>96,743,664</w:t>
            </w:r>
          </w:p>
        </w:tc>
        <w:tc>
          <w:tcPr>
            <w:tcW w:w="919" w:type="dxa"/>
            <w:tcBorders>
              <w:top w:val="nil"/>
              <w:left w:val="nil"/>
              <w:bottom w:val="nil"/>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sz w:val="14"/>
                <w:szCs w:val="16"/>
                <w:lang w:val="es-ES" w:eastAsia="es-ES"/>
              </w:rPr>
            </w:pPr>
            <w:r w:rsidRPr="00906AFB">
              <w:rPr>
                <w:rFonts w:ascii="Arial" w:eastAsia="Times New Roman" w:hAnsi="Arial" w:cs="Arial"/>
                <w:sz w:val="14"/>
                <w:szCs w:val="16"/>
                <w:lang w:val="es-ES" w:eastAsia="es-ES"/>
              </w:rPr>
              <w:t>38,367,382</w:t>
            </w:r>
          </w:p>
        </w:tc>
        <w:tc>
          <w:tcPr>
            <w:tcW w:w="856" w:type="dxa"/>
            <w:tcBorders>
              <w:top w:val="nil"/>
              <w:left w:val="nil"/>
              <w:bottom w:val="nil"/>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sz w:val="14"/>
                <w:szCs w:val="16"/>
                <w:lang w:val="es-ES" w:eastAsia="es-ES"/>
              </w:rPr>
            </w:pPr>
            <w:r w:rsidRPr="00906AFB">
              <w:rPr>
                <w:rFonts w:ascii="Arial" w:eastAsia="Times New Roman" w:hAnsi="Arial" w:cs="Arial"/>
                <w:sz w:val="14"/>
                <w:szCs w:val="16"/>
                <w:lang w:val="es-ES" w:eastAsia="es-ES"/>
              </w:rPr>
              <w:t>4,954,651</w:t>
            </w:r>
          </w:p>
        </w:tc>
        <w:tc>
          <w:tcPr>
            <w:tcW w:w="841" w:type="dxa"/>
            <w:tcBorders>
              <w:top w:val="nil"/>
              <w:left w:val="nil"/>
              <w:bottom w:val="nil"/>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sz w:val="14"/>
                <w:szCs w:val="16"/>
                <w:lang w:val="es-ES" w:eastAsia="es-ES"/>
              </w:rPr>
            </w:pPr>
            <w:r w:rsidRPr="00906AFB">
              <w:rPr>
                <w:rFonts w:ascii="Arial" w:eastAsia="Times New Roman" w:hAnsi="Arial" w:cs="Arial"/>
                <w:sz w:val="14"/>
                <w:szCs w:val="16"/>
                <w:lang w:val="es-ES" w:eastAsia="es-ES"/>
              </w:rPr>
              <w:t>2,536,016</w:t>
            </w:r>
          </w:p>
        </w:tc>
        <w:tc>
          <w:tcPr>
            <w:tcW w:w="763" w:type="dxa"/>
            <w:tcBorders>
              <w:top w:val="nil"/>
              <w:left w:val="nil"/>
              <w:bottom w:val="nil"/>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sz w:val="14"/>
                <w:szCs w:val="16"/>
                <w:lang w:val="es-ES" w:eastAsia="es-ES"/>
              </w:rPr>
            </w:pPr>
            <w:r w:rsidRPr="00906AFB">
              <w:rPr>
                <w:rFonts w:ascii="Arial" w:eastAsia="Times New Roman" w:hAnsi="Arial" w:cs="Arial"/>
                <w:sz w:val="14"/>
                <w:szCs w:val="16"/>
                <w:lang w:val="es-ES" w:eastAsia="es-ES"/>
              </w:rPr>
              <w:t>343,621</w:t>
            </w:r>
          </w:p>
        </w:tc>
        <w:tc>
          <w:tcPr>
            <w:tcW w:w="841" w:type="dxa"/>
            <w:tcBorders>
              <w:top w:val="nil"/>
              <w:left w:val="nil"/>
              <w:bottom w:val="nil"/>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sz w:val="14"/>
                <w:szCs w:val="16"/>
                <w:lang w:val="es-ES" w:eastAsia="es-ES"/>
              </w:rPr>
            </w:pPr>
            <w:r w:rsidRPr="00906AFB">
              <w:rPr>
                <w:rFonts w:ascii="Arial" w:eastAsia="Times New Roman" w:hAnsi="Arial" w:cs="Arial"/>
                <w:sz w:val="14"/>
                <w:szCs w:val="16"/>
                <w:lang w:val="es-ES" w:eastAsia="es-ES"/>
              </w:rPr>
              <w:t>8,583,010</w:t>
            </w:r>
          </w:p>
        </w:tc>
        <w:tc>
          <w:tcPr>
            <w:tcW w:w="815" w:type="dxa"/>
            <w:tcBorders>
              <w:top w:val="nil"/>
              <w:left w:val="single" w:sz="4" w:space="0" w:color="auto"/>
              <w:bottom w:val="nil"/>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sz w:val="14"/>
                <w:szCs w:val="16"/>
                <w:lang w:val="es-ES" w:eastAsia="es-ES"/>
              </w:rPr>
            </w:pPr>
            <w:r w:rsidRPr="00906AFB">
              <w:rPr>
                <w:rFonts w:ascii="Arial" w:eastAsia="Times New Roman" w:hAnsi="Arial" w:cs="Arial"/>
                <w:sz w:val="14"/>
                <w:szCs w:val="16"/>
                <w:lang w:val="es-ES" w:eastAsia="es-ES"/>
              </w:rPr>
              <w:t>1,167,672</w:t>
            </w:r>
          </w:p>
        </w:tc>
        <w:tc>
          <w:tcPr>
            <w:tcW w:w="850" w:type="dxa"/>
            <w:tcBorders>
              <w:top w:val="nil"/>
              <w:left w:val="nil"/>
              <w:bottom w:val="nil"/>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sz w:val="14"/>
                <w:szCs w:val="16"/>
                <w:lang w:val="es-ES" w:eastAsia="es-ES"/>
              </w:rPr>
            </w:pPr>
            <w:r w:rsidRPr="00906AFB">
              <w:rPr>
                <w:rFonts w:ascii="Arial" w:eastAsia="Times New Roman" w:hAnsi="Arial" w:cs="Arial"/>
                <w:sz w:val="14"/>
                <w:szCs w:val="16"/>
                <w:lang w:val="es-ES" w:eastAsia="es-ES"/>
              </w:rPr>
              <w:t>9,934,586</w:t>
            </w:r>
          </w:p>
        </w:tc>
        <w:tc>
          <w:tcPr>
            <w:tcW w:w="993" w:type="dxa"/>
            <w:tcBorders>
              <w:top w:val="nil"/>
              <w:left w:val="nil"/>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sz w:val="14"/>
                <w:szCs w:val="16"/>
                <w:lang w:val="es-ES" w:eastAsia="es-ES"/>
              </w:rPr>
            </w:pPr>
            <w:r w:rsidRPr="00906AFB">
              <w:rPr>
                <w:rFonts w:ascii="Arial" w:eastAsia="Times New Roman" w:hAnsi="Arial" w:cs="Arial"/>
                <w:sz w:val="14"/>
                <w:szCs w:val="16"/>
                <w:lang w:val="es-ES" w:eastAsia="es-ES"/>
              </w:rPr>
              <w:t>162,630,602</w:t>
            </w:r>
          </w:p>
        </w:tc>
      </w:tr>
      <w:tr w:rsidR="00906AFB" w:rsidRPr="00906AFB" w:rsidTr="00906AFB">
        <w:trPr>
          <w:trHeight w:val="283"/>
          <w:jc w:val="center"/>
        </w:trPr>
        <w:tc>
          <w:tcPr>
            <w:tcW w:w="1134" w:type="dxa"/>
            <w:tcBorders>
              <w:top w:val="nil"/>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rPr>
                <w:rFonts w:ascii="Arial" w:eastAsia="Times New Roman" w:hAnsi="Arial" w:cs="Arial"/>
                <w:b/>
                <w:sz w:val="14"/>
                <w:szCs w:val="16"/>
                <w:lang w:val="es-ES" w:eastAsia="es-ES"/>
              </w:rPr>
            </w:pPr>
            <w:r w:rsidRPr="00906AFB">
              <w:rPr>
                <w:rFonts w:ascii="Arial" w:eastAsia="Times New Roman" w:hAnsi="Arial" w:cs="Arial"/>
                <w:b/>
                <w:sz w:val="14"/>
                <w:szCs w:val="16"/>
                <w:lang w:val="es-ES" w:eastAsia="es-ES"/>
              </w:rPr>
              <w:t>Sumas Totales</w:t>
            </w:r>
          </w:p>
        </w:tc>
        <w:tc>
          <w:tcPr>
            <w:tcW w:w="919" w:type="dxa"/>
            <w:tcBorders>
              <w:top w:val="single" w:sz="4" w:space="0" w:color="auto"/>
              <w:left w:val="nil"/>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b/>
                <w:bCs/>
                <w:sz w:val="14"/>
                <w:szCs w:val="16"/>
                <w:lang w:val="es-ES" w:eastAsia="es-ES"/>
              </w:rPr>
            </w:pPr>
            <w:r w:rsidRPr="00906AFB">
              <w:rPr>
                <w:rFonts w:ascii="Arial" w:eastAsia="Times New Roman" w:hAnsi="Arial" w:cs="Arial"/>
                <w:b/>
                <w:bCs/>
                <w:sz w:val="14"/>
                <w:szCs w:val="16"/>
                <w:lang w:val="es-ES" w:eastAsia="es-ES"/>
              </w:rPr>
              <w:t>745,560,403</w:t>
            </w:r>
          </w:p>
        </w:tc>
        <w:tc>
          <w:tcPr>
            <w:tcW w:w="919" w:type="dxa"/>
            <w:tcBorders>
              <w:top w:val="single" w:sz="4" w:space="0" w:color="auto"/>
              <w:left w:val="nil"/>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b/>
                <w:bCs/>
                <w:sz w:val="14"/>
                <w:szCs w:val="16"/>
                <w:lang w:val="es-ES" w:eastAsia="es-ES"/>
              </w:rPr>
            </w:pPr>
            <w:r w:rsidRPr="00906AFB">
              <w:rPr>
                <w:rFonts w:ascii="Arial" w:eastAsia="Times New Roman" w:hAnsi="Arial" w:cs="Arial"/>
                <w:b/>
                <w:bCs/>
                <w:sz w:val="14"/>
                <w:szCs w:val="16"/>
                <w:lang w:val="es-ES" w:eastAsia="es-ES"/>
              </w:rPr>
              <w:t>297,542,637</w:t>
            </w:r>
          </w:p>
        </w:tc>
        <w:tc>
          <w:tcPr>
            <w:tcW w:w="856" w:type="dxa"/>
            <w:tcBorders>
              <w:top w:val="single" w:sz="4" w:space="0" w:color="auto"/>
              <w:left w:val="nil"/>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b/>
                <w:bCs/>
                <w:sz w:val="14"/>
                <w:szCs w:val="16"/>
                <w:lang w:val="es-ES" w:eastAsia="es-ES"/>
              </w:rPr>
            </w:pPr>
            <w:r w:rsidRPr="00906AFB">
              <w:rPr>
                <w:rFonts w:ascii="Arial" w:eastAsia="Times New Roman" w:hAnsi="Arial" w:cs="Arial"/>
                <w:b/>
                <w:bCs/>
                <w:sz w:val="14"/>
                <w:szCs w:val="16"/>
                <w:lang w:val="es-ES" w:eastAsia="es-ES"/>
              </w:rPr>
              <w:t>35,755,699</w:t>
            </w:r>
          </w:p>
        </w:tc>
        <w:tc>
          <w:tcPr>
            <w:tcW w:w="841" w:type="dxa"/>
            <w:tcBorders>
              <w:top w:val="single" w:sz="4" w:space="0" w:color="auto"/>
              <w:left w:val="nil"/>
              <w:bottom w:val="single" w:sz="4" w:space="0" w:color="auto"/>
              <w:right w:val="single" w:sz="4" w:space="0" w:color="auto"/>
            </w:tcBorders>
            <w:noWrap/>
            <w:vAlign w:val="center"/>
            <w:hideMark/>
          </w:tcPr>
          <w:p w:rsidR="00906AFB" w:rsidRPr="00906AFB" w:rsidRDefault="00906AFB" w:rsidP="00FD430F">
            <w:pPr>
              <w:spacing w:after="0" w:line="240" w:lineRule="auto"/>
              <w:ind w:left="-74"/>
              <w:jc w:val="right"/>
              <w:rPr>
                <w:rFonts w:ascii="Arial" w:eastAsia="Times New Roman" w:hAnsi="Arial" w:cs="Arial"/>
                <w:b/>
                <w:bCs/>
                <w:sz w:val="14"/>
                <w:szCs w:val="16"/>
                <w:lang w:val="es-ES" w:eastAsia="es-ES"/>
              </w:rPr>
            </w:pPr>
            <w:r w:rsidRPr="00906AFB">
              <w:rPr>
                <w:rFonts w:ascii="Arial" w:eastAsia="Times New Roman" w:hAnsi="Arial" w:cs="Arial"/>
                <w:b/>
                <w:bCs/>
                <w:sz w:val="14"/>
                <w:szCs w:val="16"/>
                <w:lang w:val="es-ES" w:eastAsia="es-ES"/>
              </w:rPr>
              <w:t>16,268,322</w:t>
            </w:r>
          </w:p>
        </w:tc>
        <w:tc>
          <w:tcPr>
            <w:tcW w:w="763" w:type="dxa"/>
            <w:tcBorders>
              <w:top w:val="single" w:sz="4" w:space="0" w:color="auto"/>
              <w:left w:val="nil"/>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b/>
                <w:bCs/>
                <w:sz w:val="14"/>
                <w:szCs w:val="16"/>
                <w:lang w:val="es-ES" w:eastAsia="es-ES"/>
              </w:rPr>
            </w:pPr>
            <w:r w:rsidRPr="00906AFB">
              <w:rPr>
                <w:rFonts w:ascii="Arial" w:eastAsia="Times New Roman" w:hAnsi="Arial" w:cs="Arial"/>
                <w:b/>
                <w:bCs/>
                <w:sz w:val="14"/>
                <w:szCs w:val="16"/>
                <w:lang w:val="es-ES" w:eastAsia="es-ES"/>
              </w:rPr>
              <w:t>2,796,865</w:t>
            </w:r>
          </w:p>
        </w:tc>
        <w:tc>
          <w:tcPr>
            <w:tcW w:w="841" w:type="dxa"/>
            <w:tcBorders>
              <w:top w:val="single" w:sz="4" w:space="0" w:color="auto"/>
              <w:left w:val="nil"/>
              <w:bottom w:val="single" w:sz="4" w:space="0" w:color="auto"/>
              <w:right w:val="single" w:sz="4" w:space="0" w:color="auto"/>
            </w:tcBorders>
            <w:noWrap/>
            <w:vAlign w:val="center"/>
            <w:hideMark/>
          </w:tcPr>
          <w:p w:rsidR="00906AFB" w:rsidRPr="00906AFB" w:rsidRDefault="00906AFB" w:rsidP="00FD430F">
            <w:pPr>
              <w:spacing w:after="0" w:line="240" w:lineRule="auto"/>
              <w:ind w:left="-118"/>
              <w:jc w:val="right"/>
              <w:rPr>
                <w:rFonts w:ascii="Arial" w:eastAsia="Times New Roman" w:hAnsi="Arial" w:cs="Arial"/>
                <w:b/>
                <w:bCs/>
                <w:sz w:val="14"/>
                <w:szCs w:val="16"/>
                <w:lang w:val="es-ES" w:eastAsia="es-ES"/>
              </w:rPr>
            </w:pPr>
            <w:r w:rsidRPr="00906AFB">
              <w:rPr>
                <w:rFonts w:ascii="Arial" w:eastAsia="Times New Roman" w:hAnsi="Arial" w:cs="Arial"/>
                <w:b/>
                <w:bCs/>
                <w:sz w:val="14"/>
                <w:szCs w:val="16"/>
                <w:lang w:val="es-ES" w:eastAsia="es-ES"/>
              </w:rPr>
              <w:t>38,707,656</w:t>
            </w:r>
          </w:p>
        </w:tc>
        <w:tc>
          <w:tcPr>
            <w:tcW w:w="815" w:type="dxa"/>
            <w:tcBorders>
              <w:top w:val="single" w:sz="4" w:space="0" w:color="auto"/>
              <w:left w:val="nil"/>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b/>
                <w:bCs/>
                <w:sz w:val="14"/>
                <w:szCs w:val="16"/>
                <w:lang w:val="es-ES" w:eastAsia="es-ES"/>
              </w:rPr>
            </w:pPr>
            <w:r w:rsidRPr="00906AFB">
              <w:rPr>
                <w:rFonts w:ascii="Arial" w:eastAsia="Times New Roman" w:hAnsi="Arial" w:cs="Arial"/>
                <w:b/>
                <w:bCs/>
                <w:sz w:val="14"/>
                <w:szCs w:val="16"/>
                <w:lang w:val="es-ES" w:eastAsia="es-ES"/>
              </w:rPr>
              <w:t>9,504,126</w:t>
            </w:r>
          </w:p>
        </w:tc>
        <w:tc>
          <w:tcPr>
            <w:tcW w:w="850" w:type="dxa"/>
            <w:tcBorders>
              <w:top w:val="single" w:sz="4" w:space="0" w:color="auto"/>
              <w:left w:val="nil"/>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b/>
                <w:bCs/>
                <w:sz w:val="14"/>
                <w:szCs w:val="16"/>
                <w:lang w:val="es-ES" w:eastAsia="es-ES"/>
              </w:rPr>
            </w:pPr>
            <w:r w:rsidRPr="00906AFB">
              <w:rPr>
                <w:rFonts w:ascii="Arial" w:eastAsia="Times New Roman" w:hAnsi="Arial" w:cs="Arial"/>
                <w:b/>
                <w:bCs/>
                <w:sz w:val="14"/>
                <w:szCs w:val="16"/>
                <w:lang w:val="es-ES" w:eastAsia="es-ES"/>
              </w:rPr>
              <w:t>66,578,137</w:t>
            </w:r>
          </w:p>
        </w:tc>
        <w:tc>
          <w:tcPr>
            <w:tcW w:w="993" w:type="dxa"/>
            <w:tcBorders>
              <w:top w:val="nil"/>
              <w:left w:val="nil"/>
              <w:bottom w:val="single" w:sz="4" w:space="0" w:color="auto"/>
              <w:right w:val="single" w:sz="4" w:space="0" w:color="auto"/>
            </w:tcBorders>
            <w:noWrap/>
            <w:vAlign w:val="center"/>
            <w:hideMark/>
          </w:tcPr>
          <w:p w:rsidR="00906AFB" w:rsidRPr="00906AFB" w:rsidRDefault="00906AFB" w:rsidP="00906AFB">
            <w:pPr>
              <w:spacing w:after="0" w:line="240" w:lineRule="auto"/>
              <w:ind w:left="-69"/>
              <w:jc w:val="right"/>
              <w:rPr>
                <w:rFonts w:ascii="Arial" w:eastAsia="Times New Roman" w:hAnsi="Arial" w:cs="Arial"/>
                <w:b/>
                <w:bCs/>
                <w:sz w:val="14"/>
                <w:szCs w:val="16"/>
                <w:lang w:val="es-ES" w:eastAsia="es-ES"/>
              </w:rPr>
            </w:pPr>
            <w:r w:rsidRPr="00906AFB">
              <w:rPr>
                <w:rFonts w:ascii="Arial" w:eastAsia="Times New Roman" w:hAnsi="Arial" w:cs="Arial"/>
                <w:b/>
                <w:bCs/>
                <w:sz w:val="14"/>
                <w:szCs w:val="16"/>
                <w:lang w:val="es-ES" w:eastAsia="es-ES"/>
              </w:rPr>
              <w:t>1,212,713,845</w:t>
            </w:r>
          </w:p>
        </w:tc>
      </w:tr>
    </w:tbl>
    <w:p w:rsidR="00FD430F" w:rsidRDefault="00FD430F" w:rsidP="00906AFB">
      <w:pPr>
        <w:spacing w:after="0" w:line="240" w:lineRule="auto"/>
        <w:jc w:val="both"/>
        <w:rPr>
          <w:rFonts w:ascii="Arial" w:eastAsia="Calibri" w:hAnsi="Arial" w:cs="Arial"/>
          <w:b/>
          <w:sz w:val="24"/>
          <w:szCs w:val="24"/>
          <w:lang w:val="es-ES" w:eastAsia="en-US"/>
        </w:rPr>
      </w:pPr>
    </w:p>
    <w:p w:rsidR="00FD430F" w:rsidRDefault="00FD430F" w:rsidP="00906AFB">
      <w:pPr>
        <w:spacing w:after="0" w:line="240" w:lineRule="auto"/>
        <w:jc w:val="both"/>
        <w:rPr>
          <w:rFonts w:ascii="Arial" w:eastAsia="Calibri" w:hAnsi="Arial" w:cs="Arial"/>
          <w:b/>
          <w:sz w:val="24"/>
          <w:szCs w:val="24"/>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b/>
          <w:sz w:val="24"/>
          <w:szCs w:val="24"/>
          <w:lang w:val="es-ES" w:eastAsia="en-US"/>
        </w:rPr>
        <w:t>Artículo 43</w:t>
      </w:r>
      <w:r w:rsidRPr="00906AFB">
        <w:rPr>
          <w:rFonts w:ascii="Arial" w:eastAsia="Calibri" w:hAnsi="Arial" w:cs="Arial"/>
          <w:sz w:val="24"/>
          <w:szCs w:val="24"/>
          <w:lang w:val="es-ES" w:eastAsia="en-US"/>
        </w:rPr>
        <w:t>. Los recursos provenientes del Ramo 33 Aportaciones Federales para Entidades Federativas y Municipios, que ejercerán los municipios del Estado, tendrán la siguiente distribución de acuerdo a los conceptos previstos en la Ley de Coordinación Fiscal:</w:t>
      </w:r>
    </w:p>
    <w:p w:rsidR="00FD430F" w:rsidRDefault="00FD430F">
      <w:pPr>
        <w:rPr>
          <w:rFonts w:ascii="Arial" w:eastAsia="Calibri" w:hAnsi="Arial" w:cs="Arial"/>
          <w:sz w:val="24"/>
          <w:szCs w:val="24"/>
          <w:lang w:val="es-ES" w:eastAsia="en-US"/>
        </w:rPr>
      </w:pPr>
      <w:r>
        <w:rPr>
          <w:rFonts w:ascii="Arial" w:eastAsia="Calibri" w:hAnsi="Arial" w:cs="Arial"/>
          <w:sz w:val="24"/>
          <w:szCs w:val="24"/>
          <w:lang w:val="es-ES" w:eastAsia="en-US"/>
        </w:rPr>
        <w:br w:type="page"/>
      </w:r>
    </w:p>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Pr="00906AFB" w:rsidRDefault="00723C49" w:rsidP="00906AFB">
      <w:pPr>
        <w:keepNext/>
        <w:keepLines/>
        <w:spacing w:after="0" w:line="240" w:lineRule="auto"/>
        <w:jc w:val="center"/>
        <w:outlineLvl w:val="1"/>
        <w:rPr>
          <w:rFonts w:ascii="Arial" w:eastAsia="Times New Roman" w:hAnsi="Arial" w:cs="Times New Roman"/>
          <w:b/>
          <w:sz w:val="20"/>
          <w:szCs w:val="26"/>
          <w:lang w:val="es-ES" w:eastAsia="es-ES"/>
        </w:rPr>
      </w:pPr>
      <w:r>
        <w:rPr>
          <w:rFonts w:ascii="Arial" w:eastAsia="Times New Roman" w:hAnsi="Arial" w:cs="Times New Roman"/>
          <w:b/>
          <w:sz w:val="20"/>
          <w:szCs w:val="26"/>
          <w:lang w:val="es-ES" w:eastAsia="en-US"/>
        </w:rPr>
        <w:t xml:space="preserve">Tabla </w:t>
      </w:r>
      <w:r w:rsidR="00CF4172">
        <w:rPr>
          <w:rFonts w:ascii="Arial" w:eastAsia="Times New Roman" w:hAnsi="Arial" w:cs="Times New Roman"/>
          <w:b/>
          <w:sz w:val="20"/>
          <w:szCs w:val="26"/>
          <w:lang w:val="es-ES" w:eastAsia="en-US"/>
        </w:rPr>
        <w:t>47</w:t>
      </w:r>
      <w:r w:rsidR="00906AFB" w:rsidRPr="00906AFB">
        <w:rPr>
          <w:rFonts w:ascii="Arial" w:eastAsia="Times New Roman" w:hAnsi="Arial" w:cs="Times New Roman"/>
          <w:b/>
          <w:sz w:val="20"/>
          <w:szCs w:val="26"/>
          <w:lang w:val="es-ES" w:eastAsia="en-US"/>
        </w:rPr>
        <w:t xml:space="preserve">. Aportaciones Federales (Ramo 33) </w:t>
      </w:r>
      <w:r w:rsidR="00906AFB" w:rsidRPr="00906AFB">
        <w:rPr>
          <w:rFonts w:ascii="Arial" w:eastAsia="Times New Roman" w:hAnsi="Arial" w:cs="Times New Roman"/>
          <w:b/>
          <w:sz w:val="20"/>
          <w:szCs w:val="26"/>
          <w:lang w:val="es-ES" w:eastAsia="es-ES"/>
        </w:rPr>
        <w:t>a los Municipios (Agregado)</w:t>
      </w:r>
    </w:p>
    <w:tbl>
      <w:tblPr>
        <w:tblStyle w:val="Tablaconcuadrcula2"/>
        <w:tblW w:w="7825" w:type="dxa"/>
        <w:jc w:val="center"/>
        <w:tblInd w:w="0" w:type="dxa"/>
        <w:tblLook w:val="04A0" w:firstRow="1" w:lastRow="0" w:firstColumn="1" w:lastColumn="0" w:noHBand="0" w:noVBand="1"/>
      </w:tblPr>
      <w:tblGrid>
        <w:gridCol w:w="895"/>
        <w:gridCol w:w="5417"/>
        <w:gridCol w:w="1513"/>
      </w:tblGrid>
      <w:tr w:rsidR="00906AFB" w:rsidRPr="00906AFB" w:rsidTr="00906AFB">
        <w:trPr>
          <w:trHeight w:val="283"/>
          <w:jc w:val="center"/>
        </w:trPr>
        <w:tc>
          <w:tcPr>
            <w:tcW w:w="895"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hd w:val="clear" w:color="auto" w:fill="FFFFFF"/>
              <w:jc w:val="center"/>
              <w:rPr>
                <w:rFonts w:ascii="Arial" w:hAnsi="Arial" w:cs="Arial"/>
                <w:b/>
                <w:bCs/>
                <w:sz w:val="20"/>
                <w:szCs w:val="20"/>
                <w:lang w:eastAsia="es-ES"/>
              </w:rPr>
            </w:pPr>
            <w:r w:rsidRPr="00906AFB">
              <w:rPr>
                <w:rFonts w:ascii="Arial" w:hAnsi="Arial" w:cs="Arial"/>
                <w:b/>
                <w:bCs/>
                <w:sz w:val="20"/>
                <w:szCs w:val="20"/>
                <w:lang w:eastAsia="es-ES"/>
              </w:rPr>
              <w:t>Partida</w:t>
            </w:r>
          </w:p>
        </w:tc>
        <w:tc>
          <w:tcPr>
            <w:tcW w:w="541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hd w:val="clear" w:color="auto" w:fill="FFFFFF"/>
              <w:jc w:val="center"/>
              <w:rPr>
                <w:rFonts w:ascii="Arial" w:hAnsi="Arial" w:cs="Arial"/>
                <w:b/>
                <w:bCs/>
                <w:sz w:val="20"/>
                <w:szCs w:val="20"/>
                <w:lang w:eastAsia="es-ES"/>
              </w:rPr>
            </w:pPr>
            <w:r w:rsidRPr="00906AFB">
              <w:rPr>
                <w:rFonts w:ascii="Arial" w:hAnsi="Arial" w:cs="Arial"/>
                <w:b/>
                <w:bCs/>
                <w:sz w:val="20"/>
                <w:szCs w:val="20"/>
                <w:lang w:eastAsia="es-ES"/>
              </w:rPr>
              <w:t>Concepto</w:t>
            </w:r>
          </w:p>
        </w:tc>
        <w:tc>
          <w:tcPr>
            <w:tcW w:w="1513"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hd w:val="clear" w:color="auto" w:fill="FFFFFF"/>
              <w:jc w:val="center"/>
              <w:rPr>
                <w:rFonts w:ascii="Arial" w:hAnsi="Arial" w:cs="Arial"/>
                <w:b/>
                <w:bCs/>
                <w:sz w:val="20"/>
                <w:szCs w:val="20"/>
                <w:lang w:eastAsia="es-ES"/>
              </w:rPr>
            </w:pPr>
            <w:r w:rsidRPr="00906AFB">
              <w:rPr>
                <w:rFonts w:ascii="Arial" w:hAnsi="Arial" w:cs="Arial"/>
                <w:b/>
                <w:bCs/>
                <w:sz w:val="20"/>
                <w:szCs w:val="20"/>
                <w:lang w:eastAsia="es-ES"/>
              </w:rPr>
              <w:t>Asignación Presupuestal</w:t>
            </w:r>
          </w:p>
        </w:tc>
      </w:tr>
      <w:tr w:rsidR="00906AFB" w:rsidRPr="00906AFB" w:rsidTr="00906AFB">
        <w:trPr>
          <w:trHeight w:val="283"/>
          <w:jc w:val="center"/>
        </w:trPr>
        <w:tc>
          <w:tcPr>
            <w:tcW w:w="895"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hd w:val="clear" w:color="auto" w:fill="FFFFFF"/>
              <w:jc w:val="center"/>
              <w:rPr>
                <w:rFonts w:ascii="Arial" w:hAnsi="Arial" w:cs="Arial"/>
                <w:sz w:val="20"/>
                <w:szCs w:val="20"/>
                <w:lang w:eastAsia="es-ES"/>
              </w:rPr>
            </w:pPr>
            <w:r w:rsidRPr="00906AFB">
              <w:rPr>
                <w:rFonts w:ascii="Arial" w:hAnsi="Arial" w:cs="Arial"/>
                <w:sz w:val="20"/>
                <w:szCs w:val="20"/>
                <w:lang w:eastAsia="es-ES"/>
              </w:rPr>
              <w:t>83201</w:t>
            </w:r>
          </w:p>
        </w:tc>
        <w:tc>
          <w:tcPr>
            <w:tcW w:w="541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hd w:val="clear" w:color="auto" w:fill="FFFFFF"/>
              <w:rPr>
                <w:rFonts w:ascii="Arial" w:hAnsi="Arial" w:cs="Arial"/>
                <w:sz w:val="20"/>
                <w:szCs w:val="20"/>
                <w:lang w:eastAsia="es-ES"/>
              </w:rPr>
            </w:pPr>
            <w:r w:rsidRPr="00906AFB">
              <w:rPr>
                <w:rFonts w:ascii="Arial" w:hAnsi="Arial" w:cs="Arial"/>
                <w:sz w:val="20"/>
                <w:szCs w:val="20"/>
                <w:lang w:eastAsia="es-ES"/>
              </w:rPr>
              <w:t>Fondo de Aportaciones para la Infraestructura Social Municipal (FISM)</w:t>
            </w:r>
          </w:p>
        </w:tc>
        <w:tc>
          <w:tcPr>
            <w:tcW w:w="1513"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hd w:val="clear" w:color="auto" w:fill="FFFFFF"/>
              <w:jc w:val="right"/>
              <w:rPr>
                <w:rFonts w:ascii="Arial" w:hAnsi="Arial" w:cs="Arial"/>
                <w:sz w:val="20"/>
                <w:szCs w:val="20"/>
                <w:lang w:eastAsia="es-ES"/>
              </w:rPr>
            </w:pPr>
            <w:r w:rsidRPr="00906AFB">
              <w:rPr>
                <w:rFonts w:ascii="Arial" w:hAnsi="Arial" w:cs="Arial"/>
                <w:sz w:val="20"/>
                <w:szCs w:val="20"/>
                <w:lang w:eastAsia="es-ES"/>
              </w:rPr>
              <w:t>166,922,000</w:t>
            </w:r>
          </w:p>
        </w:tc>
      </w:tr>
      <w:tr w:rsidR="00906AFB" w:rsidRPr="00906AFB" w:rsidTr="00906AFB">
        <w:trPr>
          <w:trHeight w:val="283"/>
          <w:jc w:val="center"/>
        </w:trPr>
        <w:tc>
          <w:tcPr>
            <w:tcW w:w="895"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hd w:val="clear" w:color="auto" w:fill="FFFFFF"/>
              <w:jc w:val="center"/>
              <w:rPr>
                <w:rFonts w:ascii="Arial" w:hAnsi="Arial" w:cs="Arial"/>
                <w:sz w:val="20"/>
                <w:szCs w:val="20"/>
                <w:lang w:eastAsia="es-ES"/>
              </w:rPr>
            </w:pPr>
            <w:r w:rsidRPr="00906AFB">
              <w:rPr>
                <w:rFonts w:ascii="Arial" w:hAnsi="Arial" w:cs="Arial"/>
                <w:sz w:val="20"/>
                <w:szCs w:val="20"/>
                <w:lang w:eastAsia="es-ES"/>
              </w:rPr>
              <w:t>83202</w:t>
            </w:r>
          </w:p>
        </w:tc>
        <w:tc>
          <w:tcPr>
            <w:tcW w:w="541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hd w:val="clear" w:color="auto" w:fill="FFFFFF"/>
              <w:rPr>
                <w:rFonts w:ascii="Arial" w:hAnsi="Arial" w:cs="Arial"/>
                <w:sz w:val="20"/>
                <w:szCs w:val="20"/>
                <w:lang w:eastAsia="es-ES"/>
              </w:rPr>
            </w:pPr>
            <w:r w:rsidRPr="00906AFB">
              <w:rPr>
                <w:rFonts w:ascii="Arial" w:hAnsi="Arial" w:cs="Arial"/>
                <w:sz w:val="20"/>
                <w:szCs w:val="20"/>
                <w:lang w:eastAsia="es-ES"/>
              </w:rPr>
              <w:t>Fondo de Aportaciones para el Fortalecimiento de los Municipios y de las Demarcaciones Territoriales del Distrito Federal (FAFM)</w:t>
            </w:r>
          </w:p>
        </w:tc>
        <w:tc>
          <w:tcPr>
            <w:tcW w:w="1513"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hd w:val="clear" w:color="auto" w:fill="FFFFFF"/>
              <w:jc w:val="right"/>
              <w:rPr>
                <w:rFonts w:ascii="Arial" w:hAnsi="Arial" w:cs="Arial"/>
                <w:sz w:val="20"/>
                <w:szCs w:val="20"/>
                <w:lang w:eastAsia="es-ES"/>
              </w:rPr>
            </w:pPr>
            <w:r w:rsidRPr="00906AFB">
              <w:rPr>
                <w:rFonts w:ascii="Arial" w:hAnsi="Arial" w:cs="Arial"/>
                <w:sz w:val="20"/>
                <w:szCs w:val="20"/>
                <w:lang w:eastAsia="es-ES"/>
              </w:rPr>
              <w:t>403,291,000</w:t>
            </w:r>
          </w:p>
        </w:tc>
      </w:tr>
      <w:tr w:rsidR="00906AFB" w:rsidRPr="00906AFB" w:rsidTr="00906AFB">
        <w:trPr>
          <w:trHeight w:val="283"/>
          <w:jc w:val="center"/>
        </w:trPr>
        <w:tc>
          <w:tcPr>
            <w:tcW w:w="895" w:type="dxa"/>
            <w:tcBorders>
              <w:top w:val="single" w:sz="4" w:space="0" w:color="auto"/>
              <w:left w:val="single" w:sz="4" w:space="0" w:color="auto"/>
              <w:bottom w:val="single" w:sz="4" w:space="0" w:color="auto"/>
              <w:right w:val="single" w:sz="4" w:space="0" w:color="auto"/>
            </w:tcBorders>
            <w:noWrap/>
            <w:vAlign w:val="center"/>
          </w:tcPr>
          <w:p w:rsidR="00906AFB" w:rsidRPr="00906AFB" w:rsidRDefault="00906AFB" w:rsidP="00906AFB">
            <w:pPr>
              <w:shd w:val="clear" w:color="auto" w:fill="FFFFFF"/>
              <w:jc w:val="center"/>
              <w:rPr>
                <w:rFonts w:ascii="Arial" w:hAnsi="Arial" w:cs="Arial"/>
                <w:b/>
                <w:sz w:val="20"/>
                <w:szCs w:val="20"/>
                <w:lang w:eastAsia="es-ES"/>
              </w:rPr>
            </w:pPr>
          </w:p>
        </w:tc>
        <w:tc>
          <w:tcPr>
            <w:tcW w:w="541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hd w:val="clear" w:color="auto" w:fill="FFFFFF"/>
              <w:jc w:val="center"/>
              <w:rPr>
                <w:rFonts w:ascii="Arial" w:hAnsi="Arial" w:cs="Arial"/>
                <w:b/>
                <w:sz w:val="20"/>
                <w:szCs w:val="20"/>
                <w:lang w:eastAsia="es-ES"/>
              </w:rPr>
            </w:pPr>
            <w:r w:rsidRPr="00906AFB">
              <w:rPr>
                <w:rFonts w:ascii="Arial" w:hAnsi="Arial" w:cs="Arial"/>
                <w:b/>
                <w:sz w:val="20"/>
                <w:szCs w:val="20"/>
                <w:lang w:eastAsia="es-ES"/>
              </w:rPr>
              <w:t>Total</w:t>
            </w:r>
          </w:p>
        </w:tc>
        <w:tc>
          <w:tcPr>
            <w:tcW w:w="1513"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hd w:val="clear" w:color="auto" w:fill="FFFFFF"/>
              <w:jc w:val="right"/>
              <w:rPr>
                <w:rFonts w:ascii="Arial" w:hAnsi="Arial" w:cs="Arial"/>
                <w:b/>
                <w:sz w:val="20"/>
                <w:szCs w:val="20"/>
                <w:lang w:eastAsia="es-ES"/>
              </w:rPr>
            </w:pPr>
            <w:r w:rsidRPr="00906AFB">
              <w:rPr>
                <w:rFonts w:ascii="Arial" w:hAnsi="Arial" w:cs="Arial"/>
                <w:b/>
                <w:sz w:val="20"/>
                <w:szCs w:val="20"/>
                <w:lang w:eastAsia="es-ES"/>
              </w:rPr>
              <w:t>570,213,000</w:t>
            </w:r>
          </w:p>
        </w:tc>
      </w:tr>
    </w:tbl>
    <w:p w:rsidR="00906AFB" w:rsidRDefault="00906AFB" w:rsidP="00906AFB">
      <w:pPr>
        <w:shd w:val="clear" w:color="auto" w:fill="FFFFFF"/>
        <w:spacing w:after="0" w:line="240" w:lineRule="auto"/>
        <w:jc w:val="center"/>
        <w:rPr>
          <w:rFonts w:ascii="Arial" w:eastAsia="Times New Roman" w:hAnsi="Arial" w:cs="Arial"/>
          <w:b/>
          <w:sz w:val="20"/>
          <w:szCs w:val="20"/>
          <w:lang w:val="es-ES" w:eastAsia="es-ES"/>
        </w:rPr>
      </w:pPr>
    </w:p>
    <w:p w:rsidR="00FD430F" w:rsidRPr="00906AFB" w:rsidRDefault="00FD430F" w:rsidP="00906AFB">
      <w:pPr>
        <w:shd w:val="clear" w:color="auto" w:fill="FFFFFF"/>
        <w:spacing w:after="0" w:line="240" w:lineRule="auto"/>
        <w:jc w:val="center"/>
        <w:rPr>
          <w:rFonts w:ascii="Arial" w:eastAsia="Times New Roman" w:hAnsi="Arial" w:cs="Arial"/>
          <w:b/>
          <w:sz w:val="20"/>
          <w:szCs w:val="20"/>
          <w:lang w:val="es-ES" w:eastAsia="es-ES"/>
        </w:rPr>
      </w:pPr>
    </w:p>
    <w:p w:rsidR="00906AFB" w:rsidRPr="00906AFB" w:rsidRDefault="00723C49" w:rsidP="00906AFB">
      <w:pPr>
        <w:keepNext/>
        <w:keepLines/>
        <w:spacing w:after="0" w:line="240" w:lineRule="auto"/>
        <w:jc w:val="center"/>
        <w:outlineLvl w:val="1"/>
        <w:rPr>
          <w:rFonts w:ascii="Arial" w:eastAsia="Times New Roman" w:hAnsi="Arial" w:cs="Times New Roman"/>
          <w:b/>
          <w:sz w:val="20"/>
          <w:szCs w:val="26"/>
          <w:lang w:val="es-ES" w:eastAsia="es-ES"/>
        </w:rPr>
      </w:pPr>
      <w:r>
        <w:rPr>
          <w:rFonts w:ascii="Arial" w:eastAsia="Times New Roman" w:hAnsi="Arial" w:cs="Times New Roman"/>
          <w:b/>
          <w:sz w:val="20"/>
          <w:szCs w:val="26"/>
          <w:lang w:val="es-ES" w:eastAsia="en-US"/>
        </w:rPr>
        <w:t xml:space="preserve">Tabla </w:t>
      </w:r>
      <w:r w:rsidR="00CF4172">
        <w:rPr>
          <w:rFonts w:ascii="Arial" w:eastAsia="Times New Roman" w:hAnsi="Arial" w:cs="Times New Roman"/>
          <w:b/>
          <w:sz w:val="20"/>
          <w:szCs w:val="26"/>
          <w:lang w:val="es-ES" w:eastAsia="en-US"/>
        </w:rPr>
        <w:t>48</w:t>
      </w:r>
      <w:r w:rsidR="00906AFB" w:rsidRPr="00906AFB">
        <w:rPr>
          <w:rFonts w:ascii="Arial" w:eastAsia="Times New Roman" w:hAnsi="Arial" w:cs="Times New Roman"/>
          <w:b/>
          <w:sz w:val="20"/>
          <w:szCs w:val="26"/>
          <w:lang w:val="es-ES" w:eastAsia="en-US"/>
        </w:rPr>
        <w:t xml:space="preserve">. Aportaciones Federales (Ramo 33) </w:t>
      </w:r>
      <w:r w:rsidR="00906AFB" w:rsidRPr="00906AFB">
        <w:rPr>
          <w:rFonts w:ascii="Arial" w:eastAsia="Times New Roman" w:hAnsi="Arial" w:cs="Times New Roman"/>
          <w:b/>
          <w:sz w:val="20"/>
          <w:szCs w:val="26"/>
          <w:lang w:val="es-ES" w:eastAsia="es-ES"/>
        </w:rPr>
        <w:t>a los Municipios</w:t>
      </w:r>
    </w:p>
    <w:tbl>
      <w:tblPr>
        <w:tblStyle w:val="Tablaconcuadrcula2"/>
        <w:tblW w:w="0" w:type="auto"/>
        <w:jc w:val="center"/>
        <w:tblInd w:w="0" w:type="dxa"/>
        <w:tblLook w:val="04A0" w:firstRow="1" w:lastRow="0" w:firstColumn="1" w:lastColumn="0" w:noHBand="0" w:noVBand="1"/>
      </w:tblPr>
      <w:tblGrid>
        <w:gridCol w:w="1902"/>
        <w:gridCol w:w="2090"/>
        <w:gridCol w:w="2267"/>
        <w:gridCol w:w="1455"/>
      </w:tblGrid>
      <w:tr w:rsidR="00906AFB" w:rsidRPr="00906AFB" w:rsidTr="00906AFB">
        <w:trPr>
          <w:trHeight w:val="283"/>
          <w:jc w:val="center"/>
        </w:trPr>
        <w:tc>
          <w:tcPr>
            <w:tcW w:w="1902"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bCs/>
                <w:sz w:val="16"/>
                <w:szCs w:val="18"/>
              </w:rPr>
            </w:pPr>
            <w:r w:rsidRPr="00906AFB">
              <w:rPr>
                <w:rFonts w:ascii="Arial" w:hAnsi="Arial" w:cs="Arial"/>
                <w:b/>
                <w:bCs/>
                <w:sz w:val="16"/>
                <w:szCs w:val="18"/>
              </w:rPr>
              <w:t>Municipios</w:t>
            </w:r>
          </w:p>
        </w:tc>
        <w:tc>
          <w:tcPr>
            <w:tcW w:w="209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sz w:val="16"/>
                <w:szCs w:val="18"/>
              </w:rPr>
            </w:pPr>
            <w:r w:rsidRPr="00906AFB">
              <w:rPr>
                <w:rFonts w:ascii="Arial" w:hAnsi="Arial" w:cs="Arial"/>
                <w:b/>
                <w:sz w:val="16"/>
                <w:szCs w:val="18"/>
              </w:rPr>
              <w:t>Fondo de Aportaciones para el Fortalecimiento de los Municipios y de las Demarcaciones Territoriales del Distrito Federal (FAFM)</w:t>
            </w:r>
          </w:p>
        </w:tc>
        <w:tc>
          <w:tcPr>
            <w:tcW w:w="226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sz w:val="16"/>
                <w:szCs w:val="18"/>
              </w:rPr>
            </w:pPr>
            <w:r w:rsidRPr="00906AFB">
              <w:rPr>
                <w:rFonts w:ascii="Arial" w:hAnsi="Arial" w:cs="Arial"/>
                <w:b/>
                <w:sz w:val="16"/>
                <w:szCs w:val="18"/>
              </w:rPr>
              <w:t>Fondo de Aportaciones para la Infraestructura Social Municipal (FISM)</w:t>
            </w:r>
          </w:p>
        </w:tc>
        <w:tc>
          <w:tcPr>
            <w:tcW w:w="1455"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b/>
                <w:sz w:val="16"/>
                <w:szCs w:val="18"/>
              </w:rPr>
            </w:pPr>
            <w:r w:rsidRPr="00906AFB">
              <w:rPr>
                <w:rFonts w:ascii="Arial" w:hAnsi="Arial"/>
                <w:b/>
                <w:sz w:val="16"/>
                <w:szCs w:val="18"/>
              </w:rPr>
              <w:t>Sumas Totales</w:t>
            </w:r>
          </w:p>
        </w:tc>
      </w:tr>
      <w:tr w:rsidR="00906AFB" w:rsidRPr="00906AFB" w:rsidTr="00906AFB">
        <w:trPr>
          <w:trHeight w:val="283"/>
          <w:jc w:val="center"/>
        </w:trPr>
        <w:tc>
          <w:tcPr>
            <w:tcW w:w="1902"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18"/>
                <w:szCs w:val="18"/>
              </w:rPr>
            </w:pPr>
            <w:r w:rsidRPr="00906AFB">
              <w:rPr>
                <w:rFonts w:ascii="Arial" w:hAnsi="Arial" w:cs="Arial"/>
                <w:sz w:val="18"/>
                <w:szCs w:val="18"/>
              </w:rPr>
              <w:t>Armería</w:t>
            </w:r>
          </w:p>
        </w:tc>
        <w:tc>
          <w:tcPr>
            <w:tcW w:w="209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sz w:val="18"/>
                <w:szCs w:val="18"/>
              </w:rPr>
            </w:pPr>
            <w:r w:rsidRPr="00906AFB">
              <w:rPr>
                <w:rFonts w:ascii="Arial" w:hAnsi="Arial"/>
                <w:sz w:val="18"/>
                <w:szCs w:val="18"/>
              </w:rPr>
              <w:t>17,788,557</w:t>
            </w:r>
          </w:p>
        </w:tc>
        <w:tc>
          <w:tcPr>
            <w:tcW w:w="226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sz w:val="18"/>
                <w:szCs w:val="18"/>
              </w:rPr>
            </w:pPr>
            <w:r w:rsidRPr="00906AFB">
              <w:rPr>
                <w:rFonts w:ascii="Arial" w:hAnsi="Arial"/>
                <w:sz w:val="18"/>
                <w:szCs w:val="18"/>
              </w:rPr>
              <w:t>13,039,856</w:t>
            </w:r>
          </w:p>
        </w:tc>
        <w:tc>
          <w:tcPr>
            <w:tcW w:w="1455"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sz w:val="18"/>
              </w:rPr>
            </w:pPr>
            <w:r w:rsidRPr="00906AFB">
              <w:rPr>
                <w:rFonts w:ascii="Arial" w:hAnsi="Arial"/>
                <w:sz w:val="18"/>
              </w:rPr>
              <w:t>30,828,413</w:t>
            </w:r>
          </w:p>
        </w:tc>
      </w:tr>
      <w:tr w:rsidR="00906AFB" w:rsidRPr="00906AFB" w:rsidTr="00906AFB">
        <w:trPr>
          <w:trHeight w:val="283"/>
          <w:jc w:val="center"/>
        </w:trPr>
        <w:tc>
          <w:tcPr>
            <w:tcW w:w="1902"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18"/>
                <w:szCs w:val="18"/>
              </w:rPr>
            </w:pPr>
            <w:r w:rsidRPr="00906AFB">
              <w:rPr>
                <w:rFonts w:ascii="Arial" w:hAnsi="Arial" w:cs="Arial"/>
                <w:sz w:val="18"/>
                <w:szCs w:val="18"/>
              </w:rPr>
              <w:t>Colima</w:t>
            </w:r>
          </w:p>
        </w:tc>
        <w:tc>
          <w:tcPr>
            <w:tcW w:w="209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sz w:val="18"/>
                <w:szCs w:val="18"/>
              </w:rPr>
            </w:pPr>
            <w:r w:rsidRPr="00906AFB">
              <w:rPr>
                <w:rFonts w:ascii="Arial" w:hAnsi="Arial"/>
                <w:sz w:val="18"/>
                <w:szCs w:val="18"/>
              </w:rPr>
              <w:t>91,068,490</w:t>
            </w:r>
          </w:p>
        </w:tc>
        <w:tc>
          <w:tcPr>
            <w:tcW w:w="226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sz w:val="18"/>
                <w:szCs w:val="18"/>
              </w:rPr>
            </w:pPr>
            <w:r w:rsidRPr="00906AFB">
              <w:rPr>
                <w:rFonts w:ascii="Arial" w:hAnsi="Arial"/>
                <w:sz w:val="18"/>
                <w:szCs w:val="18"/>
              </w:rPr>
              <w:t>24,852,384</w:t>
            </w:r>
          </w:p>
        </w:tc>
        <w:tc>
          <w:tcPr>
            <w:tcW w:w="1455"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sz w:val="18"/>
              </w:rPr>
            </w:pPr>
            <w:r w:rsidRPr="00906AFB">
              <w:rPr>
                <w:rFonts w:ascii="Arial" w:hAnsi="Arial"/>
                <w:sz w:val="18"/>
              </w:rPr>
              <w:t>115,920,875</w:t>
            </w:r>
          </w:p>
        </w:tc>
      </w:tr>
      <w:tr w:rsidR="00906AFB" w:rsidRPr="00906AFB" w:rsidTr="00906AFB">
        <w:trPr>
          <w:trHeight w:val="283"/>
          <w:jc w:val="center"/>
        </w:trPr>
        <w:tc>
          <w:tcPr>
            <w:tcW w:w="1902"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18"/>
                <w:szCs w:val="18"/>
              </w:rPr>
            </w:pPr>
            <w:r w:rsidRPr="00906AFB">
              <w:rPr>
                <w:rFonts w:ascii="Arial" w:hAnsi="Arial" w:cs="Arial"/>
                <w:sz w:val="18"/>
                <w:szCs w:val="18"/>
              </w:rPr>
              <w:t>Comala</w:t>
            </w:r>
          </w:p>
        </w:tc>
        <w:tc>
          <w:tcPr>
            <w:tcW w:w="209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sz w:val="18"/>
                <w:szCs w:val="18"/>
              </w:rPr>
            </w:pPr>
            <w:r w:rsidRPr="00906AFB">
              <w:rPr>
                <w:rFonts w:ascii="Arial" w:hAnsi="Arial"/>
                <w:sz w:val="18"/>
                <w:szCs w:val="18"/>
              </w:rPr>
              <w:t>12,948,854</w:t>
            </w:r>
          </w:p>
        </w:tc>
        <w:tc>
          <w:tcPr>
            <w:tcW w:w="226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sz w:val="18"/>
                <w:szCs w:val="18"/>
              </w:rPr>
            </w:pPr>
            <w:r w:rsidRPr="00906AFB">
              <w:rPr>
                <w:rFonts w:ascii="Arial" w:hAnsi="Arial"/>
                <w:sz w:val="18"/>
                <w:szCs w:val="18"/>
              </w:rPr>
              <w:t>11,981,815</w:t>
            </w:r>
          </w:p>
        </w:tc>
        <w:tc>
          <w:tcPr>
            <w:tcW w:w="1455"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sz w:val="18"/>
              </w:rPr>
            </w:pPr>
            <w:r w:rsidRPr="00906AFB">
              <w:rPr>
                <w:rFonts w:ascii="Arial" w:hAnsi="Arial"/>
                <w:sz w:val="18"/>
              </w:rPr>
              <w:t>24,930,670</w:t>
            </w:r>
          </w:p>
        </w:tc>
      </w:tr>
      <w:tr w:rsidR="00906AFB" w:rsidRPr="00906AFB" w:rsidTr="00906AFB">
        <w:trPr>
          <w:trHeight w:val="283"/>
          <w:jc w:val="center"/>
        </w:trPr>
        <w:tc>
          <w:tcPr>
            <w:tcW w:w="1902"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18"/>
                <w:szCs w:val="18"/>
              </w:rPr>
            </w:pPr>
            <w:r w:rsidRPr="00906AFB">
              <w:rPr>
                <w:rFonts w:ascii="Arial" w:hAnsi="Arial" w:cs="Arial"/>
                <w:sz w:val="18"/>
                <w:szCs w:val="18"/>
              </w:rPr>
              <w:t>Coquimatlán</w:t>
            </w:r>
          </w:p>
        </w:tc>
        <w:tc>
          <w:tcPr>
            <w:tcW w:w="209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sz w:val="18"/>
                <w:szCs w:val="18"/>
              </w:rPr>
            </w:pPr>
            <w:r w:rsidRPr="00906AFB">
              <w:rPr>
                <w:rFonts w:ascii="Arial" w:hAnsi="Arial"/>
                <w:sz w:val="18"/>
                <w:szCs w:val="18"/>
              </w:rPr>
              <w:t>12,017,119</w:t>
            </w:r>
          </w:p>
        </w:tc>
        <w:tc>
          <w:tcPr>
            <w:tcW w:w="226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sz w:val="18"/>
                <w:szCs w:val="18"/>
              </w:rPr>
            </w:pPr>
            <w:r w:rsidRPr="00906AFB">
              <w:rPr>
                <w:rFonts w:ascii="Arial" w:hAnsi="Arial"/>
                <w:sz w:val="18"/>
                <w:szCs w:val="18"/>
              </w:rPr>
              <w:t>7,621,889</w:t>
            </w:r>
          </w:p>
        </w:tc>
        <w:tc>
          <w:tcPr>
            <w:tcW w:w="1455"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sz w:val="18"/>
              </w:rPr>
            </w:pPr>
            <w:r w:rsidRPr="00906AFB">
              <w:rPr>
                <w:rFonts w:ascii="Arial" w:hAnsi="Arial"/>
                <w:sz w:val="18"/>
              </w:rPr>
              <w:t>19,639,008</w:t>
            </w:r>
          </w:p>
        </w:tc>
      </w:tr>
      <w:tr w:rsidR="00906AFB" w:rsidRPr="00906AFB" w:rsidTr="00906AFB">
        <w:trPr>
          <w:trHeight w:val="283"/>
          <w:jc w:val="center"/>
        </w:trPr>
        <w:tc>
          <w:tcPr>
            <w:tcW w:w="1902"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18"/>
                <w:szCs w:val="18"/>
              </w:rPr>
            </w:pPr>
            <w:r w:rsidRPr="00906AFB">
              <w:rPr>
                <w:rFonts w:ascii="Arial" w:hAnsi="Arial" w:cs="Arial"/>
                <w:sz w:val="18"/>
                <w:szCs w:val="18"/>
              </w:rPr>
              <w:t>Cuauhtémoc</w:t>
            </w:r>
          </w:p>
        </w:tc>
        <w:tc>
          <w:tcPr>
            <w:tcW w:w="209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sz w:val="18"/>
                <w:szCs w:val="18"/>
              </w:rPr>
            </w:pPr>
            <w:r w:rsidRPr="00906AFB">
              <w:rPr>
                <w:rFonts w:ascii="Arial" w:hAnsi="Arial"/>
                <w:sz w:val="18"/>
                <w:szCs w:val="18"/>
              </w:rPr>
              <w:t>16,804,122</w:t>
            </w:r>
          </w:p>
        </w:tc>
        <w:tc>
          <w:tcPr>
            <w:tcW w:w="226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sz w:val="18"/>
                <w:szCs w:val="18"/>
              </w:rPr>
            </w:pPr>
            <w:r w:rsidRPr="00906AFB">
              <w:rPr>
                <w:rFonts w:ascii="Arial" w:hAnsi="Arial"/>
                <w:sz w:val="18"/>
                <w:szCs w:val="18"/>
              </w:rPr>
              <w:t>5,755,148</w:t>
            </w:r>
          </w:p>
        </w:tc>
        <w:tc>
          <w:tcPr>
            <w:tcW w:w="1455"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sz w:val="18"/>
              </w:rPr>
            </w:pPr>
            <w:r w:rsidRPr="00906AFB">
              <w:rPr>
                <w:rFonts w:ascii="Arial" w:hAnsi="Arial"/>
                <w:sz w:val="18"/>
              </w:rPr>
              <w:t>22,559,270</w:t>
            </w:r>
          </w:p>
        </w:tc>
      </w:tr>
      <w:tr w:rsidR="00906AFB" w:rsidRPr="00906AFB" w:rsidTr="00906AFB">
        <w:trPr>
          <w:trHeight w:val="283"/>
          <w:jc w:val="center"/>
        </w:trPr>
        <w:tc>
          <w:tcPr>
            <w:tcW w:w="1902"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18"/>
                <w:szCs w:val="18"/>
              </w:rPr>
            </w:pPr>
            <w:r w:rsidRPr="00906AFB">
              <w:rPr>
                <w:rFonts w:ascii="Arial" w:hAnsi="Arial" w:cs="Arial"/>
                <w:sz w:val="18"/>
                <w:szCs w:val="18"/>
              </w:rPr>
              <w:t>Ixtlahuacán</w:t>
            </w:r>
          </w:p>
        </w:tc>
        <w:tc>
          <w:tcPr>
            <w:tcW w:w="209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sz w:val="18"/>
                <w:szCs w:val="18"/>
              </w:rPr>
            </w:pPr>
            <w:r w:rsidRPr="00906AFB">
              <w:rPr>
                <w:rFonts w:ascii="Arial" w:hAnsi="Arial"/>
                <w:sz w:val="18"/>
                <w:szCs w:val="18"/>
              </w:rPr>
              <w:t>3,285,571</w:t>
            </w:r>
          </w:p>
        </w:tc>
        <w:tc>
          <w:tcPr>
            <w:tcW w:w="226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sz w:val="18"/>
                <w:szCs w:val="18"/>
              </w:rPr>
            </w:pPr>
            <w:r w:rsidRPr="00906AFB">
              <w:rPr>
                <w:rFonts w:ascii="Arial" w:hAnsi="Arial"/>
                <w:sz w:val="18"/>
                <w:szCs w:val="18"/>
              </w:rPr>
              <w:t>4,801,067</w:t>
            </w:r>
          </w:p>
        </w:tc>
        <w:tc>
          <w:tcPr>
            <w:tcW w:w="1455"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sz w:val="18"/>
              </w:rPr>
            </w:pPr>
            <w:r w:rsidRPr="00906AFB">
              <w:rPr>
                <w:rFonts w:ascii="Arial" w:hAnsi="Arial"/>
                <w:sz w:val="18"/>
              </w:rPr>
              <w:t>8,086,638</w:t>
            </w:r>
          </w:p>
        </w:tc>
      </w:tr>
      <w:tr w:rsidR="00906AFB" w:rsidRPr="00906AFB" w:rsidTr="00906AFB">
        <w:trPr>
          <w:trHeight w:val="283"/>
          <w:jc w:val="center"/>
        </w:trPr>
        <w:tc>
          <w:tcPr>
            <w:tcW w:w="1902"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18"/>
                <w:szCs w:val="18"/>
              </w:rPr>
            </w:pPr>
            <w:r w:rsidRPr="00906AFB">
              <w:rPr>
                <w:rFonts w:ascii="Arial" w:hAnsi="Arial" w:cs="Arial"/>
                <w:sz w:val="18"/>
                <w:szCs w:val="18"/>
              </w:rPr>
              <w:t>Manzanillo</w:t>
            </w:r>
          </w:p>
        </w:tc>
        <w:tc>
          <w:tcPr>
            <w:tcW w:w="209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sz w:val="18"/>
                <w:szCs w:val="18"/>
              </w:rPr>
            </w:pPr>
            <w:r w:rsidRPr="00906AFB">
              <w:rPr>
                <w:rFonts w:ascii="Arial" w:hAnsi="Arial"/>
                <w:sz w:val="18"/>
                <w:szCs w:val="18"/>
              </w:rPr>
              <w:t>100,067,228</w:t>
            </w:r>
          </w:p>
        </w:tc>
        <w:tc>
          <w:tcPr>
            <w:tcW w:w="226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sz w:val="18"/>
                <w:szCs w:val="18"/>
              </w:rPr>
            </w:pPr>
            <w:r w:rsidRPr="00906AFB">
              <w:rPr>
                <w:rFonts w:ascii="Arial" w:hAnsi="Arial"/>
                <w:sz w:val="18"/>
                <w:szCs w:val="18"/>
              </w:rPr>
              <w:t>41,089,541</w:t>
            </w:r>
          </w:p>
        </w:tc>
        <w:tc>
          <w:tcPr>
            <w:tcW w:w="1455"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sz w:val="18"/>
              </w:rPr>
            </w:pPr>
            <w:r w:rsidRPr="00906AFB">
              <w:rPr>
                <w:rFonts w:ascii="Arial" w:hAnsi="Arial"/>
                <w:sz w:val="18"/>
              </w:rPr>
              <w:t>141,156,769</w:t>
            </w:r>
          </w:p>
        </w:tc>
      </w:tr>
      <w:tr w:rsidR="00906AFB" w:rsidRPr="00906AFB" w:rsidTr="00906AFB">
        <w:trPr>
          <w:trHeight w:val="283"/>
          <w:jc w:val="center"/>
        </w:trPr>
        <w:tc>
          <w:tcPr>
            <w:tcW w:w="1902"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18"/>
                <w:szCs w:val="18"/>
              </w:rPr>
            </w:pPr>
            <w:r w:rsidRPr="00906AFB">
              <w:rPr>
                <w:rFonts w:ascii="Arial" w:hAnsi="Arial" w:cs="Arial"/>
                <w:sz w:val="18"/>
                <w:szCs w:val="18"/>
              </w:rPr>
              <w:t>Minatitlán</w:t>
            </w:r>
          </w:p>
        </w:tc>
        <w:tc>
          <w:tcPr>
            <w:tcW w:w="209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sz w:val="18"/>
                <w:szCs w:val="18"/>
              </w:rPr>
            </w:pPr>
            <w:r w:rsidRPr="00906AFB">
              <w:rPr>
                <w:rFonts w:ascii="Arial" w:hAnsi="Arial"/>
                <w:sz w:val="18"/>
                <w:szCs w:val="18"/>
              </w:rPr>
              <w:t>5,067,213</w:t>
            </w:r>
          </w:p>
        </w:tc>
        <w:tc>
          <w:tcPr>
            <w:tcW w:w="226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sz w:val="18"/>
                <w:szCs w:val="18"/>
              </w:rPr>
            </w:pPr>
            <w:r w:rsidRPr="00906AFB">
              <w:rPr>
                <w:rFonts w:ascii="Arial" w:hAnsi="Arial"/>
                <w:sz w:val="18"/>
                <w:szCs w:val="18"/>
              </w:rPr>
              <w:t>6,020,166</w:t>
            </w:r>
          </w:p>
        </w:tc>
        <w:tc>
          <w:tcPr>
            <w:tcW w:w="1455"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sz w:val="18"/>
              </w:rPr>
            </w:pPr>
            <w:r w:rsidRPr="00906AFB">
              <w:rPr>
                <w:rFonts w:ascii="Arial" w:hAnsi="Arial"/>
                <w:sz w:val="18"/>
              </w:rPr>
              <w:t>11,087,378</w:t>
            </w:r>
          </w:p>
        </w:tc>
      </w:tr>
      <w:tr w:rsidR="00906AFB" w:rsidRPr="00906AFB" w:rsidTr="00906AFB">
        <w:trPr>
          <w:trHeight w:val="283"/>
          <w:jc w:val="center"/>
        </w:trPr>
        <w:tc>
          <w:tcPr>
            <w:tcW w:w="1902"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18"/>
                <w:szCs w:val="18"/>
              </w:rPr>
            </w:pPr>
            <w:r w:rsidRPr="00906AFB">
              <w:rPr>
                <w:rFonts w:ascii="Arial" w:hAnsi="Arial" w:cs="Arial"/>
                <w:sz w:val="18"/>
                <w:szCs w:val="18"/>
              </w:rPr>
              <w:t>Tecomán</w:t>
            </w:r>
          </w:p>
        </w:tc>
        <w:tc>
          <w:tcPr>
            <w:tcW w:w="209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sz w:val="18"/>
                <w:szCs w:val="18"/>
              </w:rPr>
            </w:pPr>
            <w:r w:rsidRPr="00906AFB">
              <w:rPr>
                <w:rFonts w:ascii="Arial" w:hAnsi="Arial"/>
                <w:sz w:val="18"/>
                <w:szCs w:val="18"/>
              </w:rPr>
              <w:t>69,880,923</w:t>
            </w:r>
          </w:p>
        </w:tc>
        <w:tc>
          <w:tcPr>
            <w:tcW w:w="226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sz w:val="18"/>
                <w:szCs w:val="18"/>
              </w:rPr>
            </w:pPr>
            <w:r w:rsidRPr="00906AFB">
              <w:rPr>
                <w:rFonts w:ascii="Arial" w:hAnsi="Arial"/>
                <w:sz w:val="18"/>
                <w:szCs w:val="18"/>
              </w:rPr>
              <w:t>42,104,664</w:t>
            </w:r>
          </w:p>
        </w:tc>
        <w:tc>
          <w:tcPr>
            <w:tcW w:w="1455"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sz w:val="18"/>
              </w:rPr>
            </w:pPr>
            <w:r w:rsidRPr="00906AFB">
              <w:rPr>
                <w:rFonts w:ascii="Arial" w:hAnsi="Arial"/>
                <w:sz w:val="18"/>
              </w:rPr>
              <w:t>111,985,587</w:t>
            </w:r>
          </w:p>
        </w:tc>
      </w:tr>
      <w:tr w:rsidR="00906AFB" w:rsidRPr="00906AFB" w:rsidTr="00906AFB">
        <w:trPr>
          <w:trHeight w:val="283"/>
          <w:jc w:val="center"/>
        </w:trPr>
        <w:tc>
          <w:tcPr>
            <w:tcW w:w="1902"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18"/>
                <w:szCs w:val="18"/>
              </w:rPr>
            </w:pPr>
            <w:r w:rsidRPr="00906AFB">
              <w:rPr>
                <w:rFonts w:ascii="Arial" w:hAnsi="Arial" w:cs="Arial"/>
                <w:sz w:val="18"/>
                <w:szCs w:val="18"/>
              </w:rPr>
              <w:t>Villa de Álvarez</w:t>
            </w:r>
          </w:p>
        </w:tc>
        <w:tc>
          <w:tcPr>
            <w:tcW w:w="209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sz w:val="18"/>
                <w:szCs w:val="18"/>
              </w:rPr>
            </w:pPr>
            <w:r w:rsidRPr="00906AFB">
              <w:rPr>
                <w:rFonts w:ascii="Arial" w:hAnsi="Arial"/>
                <w:sz w:val="18"/>
                <w:szCs w:val="18"/>
              </w:rPr>
              <w:t>74,362,923</w:t>
            </w:r>
          </w:p>
        </w:tc>
        <w:tc>
          <w:tcPr>
            <w:tcW w:w="226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sz w:val="18"/>
                <w:szCs w:val="18"/>
              </w:rPr>
            </w:pPr>
            <w:r w:rsidRPr="00906AFB">
              <w:rPr>
                <w:rFonts w:ascii="Arial" w:hAnsi="Arial"/>
                <w:sz w:val="18"/>
                <w:szCs w:val="18"/>
              </w:rPr>
              <w:t>9,655,469</w:t>
            </w:r>
          </w:p>
        </w:tc>
        <w:tc>
          <w:tcPr>
            <w:tcW w:w="1455"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sz w:val="18"/>
              </w:rPr>
            </w:pPr>
            <w:r w:rsidRPr="00906AFB">
              <w:rPr>
                <w:rFonts w:ascii="Arial" w:hAnsi="Arial"/>
                <w:sz w:val="18"/>
              </w:rPr>
              <w:t>84,018,392</w:t>
            </w:r>
          </w:p>
        </w:tc>
      </w:tr>
      <w:tr w:rsidR="00906AFB" w:rsidRPr="00906AFB" w:rsidTr="00906AFB">
        <w:trPr>
          <w:trHeight w:val="283"/>
          <w:jc w:val="center"/>
        </w:trPr>
        <w:tc>
          <w:tcPr>
            <w:tcW w:w="1902"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bCs/>
                <w:sz w:val="18"/>
                <w:szCs w:val="18"/>
              </w:rPr>
            </w:pPr>
            <w:r w:rsidRPr="00906AFB">
              <w:rPr>
                <w:rFonts w:ascii="Arial" w:hAnsi="Arial" w:cs="Arial"/>
                <w:b/>
                <w:bCs/>
                <w:sz w:val="18"/>
                <w:szCs w:val="18"/>
              </w:rPr>
              <w:t>Total</w:t>
            </w:r>
          </w:p>
        </w:tc>
        <w:tc>
          <w:tcPr>
            <w:tcW w:w="2090"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b/>
                <w:sz w:val="18"/>
                <w:szCs w:val="18"/>
              </w:rPr>
            </w:pPr>
            <w:r w:rsidRPr="00906AFB">
              <w:rPr>
                <w:rFonts w:ascii="Arial" w:hAnsi="Arial"/>
                <w:b/>
                <w:sz w:val="18"/>
                <w:szCs w:val="18"/>
              </w:rPr>
              <w:t>403,291,000</w:t>
            </w:r>
          </w:p>
        </w:tc>
        <w:tc>
          <w:tcPr>
            <w:tcW w:w="226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b/>
                <w:sz w:val="18"/>
                <w:szCs w:val="18"/>
              </w:rPr>
            </w:pPr>
            <w:r w:rsidRPr="00906AFB">
              <w:rPr>
                <w:rFonts w:ascii="Arial" w:hAnsi="Arial"/>
                <w:b/>
                <w:sz w:val="18"/>
                <w:szCs w:val="18"/>
              </w:rPr>
              <w:t>166,922,000</w:t>
            </w:r>
          </w:p>
        </w:tc>
        <w:tc>
          <w:tcPr>
            <w:tcW w:w="1455"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b/>
                <w:sz w:val="18"/>
              </w:rPr>
            </w:pPr>
            <w:r w:rsidRPr="00906AFB">
              <w:rPr>
                <w:rFonts w:ascii="Arial" w:hAnsi="Arial"/>
                <w:b/>
                <w:sz w:val="18"/>
              </w:rPr>
              <w:t>570,213,000</w:t>
            </w:r>
          </w:p>
        </w:tc>
      </w:tr>
    </w:tbl>
    <w:p w:rsidR="00906AFB" w:rsidRPr="00906AFB" w:rsidRDefault="00906AFB" w:rsidP="00906AFB">
      <w:pPr>
        <w:spacing w:after="0" w:line="240" w:lineRule="auto"/>
        <w:jc w:val="both"/>
        <w:rPr>
          <w:rFonts w:ascii="Arial" w:eastAsia="Calibri" w:hAnsi="Arial" w:cs="Arial"/>
          <w:b/>
          <w:sz w:val="24"/>
          <w:szCs w:val="24"/>
          <w:lang w:val="es-ES" w:eastAsia="en-US"/>
        </w:rPr>
      </w:pPr>
    </w:p>
    <w:p w:rsidR="00FD430F" w:rsidRDefault="00FD430F" w:rsidP="00906AFB">
      <w:pPr>
        <w:spacing w:after="0" w:line="240" w:lineRule="auto"/>
        <w:jc w:val="both"/>
        <w:rPr>
          <w:rFonts w:ascii="Arial" w:eastAsia="Calibri" w:hAnsi="Arial" w:cs="Arial"/>
          <w:b/>
          <w:sz w:val="24"/>
          <w:szCs w:val="24"/>
          <w:lang w:val="es-ES" w:eastAsia="en-US"/>
        </w:rPr>
      </w:pPr>
    </w:p>
    <w:p w:rsid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b/>
          <w:sz w:val="24"/>
          <w:szCs w:val="24"/>
          <w:lang w:val="es-ES" w:eastAsia="en-US"/>
        </w:rPr>
        <w:t>Artículo 44</w:t>
      </w:r>
      <w:r w:rsidRPr="00906AFB">
        <w:rPr>
          <w:rFonts w:ascii="Arial" w:eastAsia="Calibri" w:hAnsi="Arial" w:cs="Arial"/>
          <w:sz w:val="24"/>
          <w:szCs w:val="24"/>
          <w:lang w:val="es-ES" w:eastAsia="en-US"/>
        </w:rPr>
        <w:t>. Los recursos provenientes del Ramo 33 Aportaciones Federales para Entidades Federativas y Municipios, que ejercerá el Gobierno Estatal se estiman en $5,512,183,000 y se desglosan a continuación:</w:t>
      </w:r>
    </w:p>
    <w:p w:rsidR="00FD430F" w:rsidRDefault="00FD430F">
      <w:pPr>
        <w:rPr>
          <w:rFonts w:ascii="Arial" w:eastAsia="Calibri" w:hAnsi="Arial" w:cs="Arial"/>
          <w:sz w:val="24"/>
          <w:szCs w:val="24"/>
          <w:lang w:val="es-ES" w:eastAsia="en-US"/>
        </w:rPr>
      </w:pPr>
      <w:r>
        <w:rPr>
          <w:rFonts w:ascii="Arial" w:eastAsia="Calibri" w:hAnsi="Arial" w:cs="Arial"/>
          <w:sz w:val="24"/>
          <w:szCs w:val="24"/>
          <w:lang w:val="es-ES" w:eastAsia="en-US"/>
        </w:rPr>
        <w:br w:type="page"/>
      </w:r>
    </w:p>
    <w:p w:rsidR="00FD430F" w:rsidRPr="00906AFB" w:rsidRDefault="00FD430F" w:rsidP="00906AFB">
      <w:pPr>
        <w:spacing w:after="0" w:line="240" w:lineRule="auto"/>
        <w:jc w:val="both"/>
        <w:rPr>
          <w:rFonts w:ascii="Arial" w:eastAsia="Calibri" w:hAnsi="Arial" w:cs="Arial"/>
          <w:sz w:val="24"/>
          <w:szCs w:val="24"/>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Pr="00906AFB" w:rsidRDefault="00723C49" w:rsidP="00906AFB">
      <w:pPr>
        <w:keepNext/>
        <w:keepLines/>
        <w:spacing w:after="0" w:line="240" w:lineRule="auto"/>
        <w:jc w:val="center"/>
        <w:outlineLvl w:val="1"/>
        <w:rPr>
          <w:rFonts w:ascii="Arial" w:eastAsia="Times New Roman" w:hAnsi="Arial" w:cs="Times New Roman"/>
          <w:b/>
          <w:sz w:val="20"/>
          <w:szCs w:val="26"/>
          <w:lang w:val="es-ES" w:eastAsia="en-US"/>
        </w:rPr>
      </w:pPr>
      <w:r>
        <w:rPr>
          <w:rFonts w:ascii="Arial" w:eastAsia="Times New Roman" w:hAnsi="Arial" w:cs="Times New Roman"/>
          <w:b/>
          <w:sz w:val="20"/>
          <w:szCs w:val="26"/>
          <w:lang w:val="es-ES" w:eastAsia="en-US"/>
        </w:rPr>
        <w:t xml:space="preserve">Tabla </w:t>
      </w:r>
      <w:r w:rsidR="00CF4172">
        <w:rPr>
          <w:rFonts w:ascii="Arial" w:eastAsia="Times New Roman" w:hAnsi="Arial" w:cs="Times New Roman"/>
          <w:b/>
          <w:sz w:val="20"/>
          <w:szCs w:val="26"/>
          <w:lang w:val="es-ES" w:eastAsia="en-US"/>
        </w:rPr>
        <w:t>49</w:t>
      </w:r>
      <w:r w:rsidR="00906AFB" w:rsidRPr="00906AFB">
        <w:rPr>
          <w:rFonts w:ascii="Arial" w:eastAsia="Times New Roman" w:hAnsi="Arial" w:cs="Times New Roman"/>
          <w:b/>
          <w:sz w:val="20"/>
          <w:szCs w:val="26"/>
          <w:lang w:val="es-ES" w:eastAsia="en-US"/>
        </w:rPr>
        <w:t>. Aportaciones Federales (Ramo 33) al Gobierno del Estado</w:t>
      </w:r>
    </w:p>
    <w:tbl>
      <w:tblPr>
        <w:tblStyle w:val="Tablaconcuadrcula2"/>
        <w:tblW w:w="0" w:type="auto"/>
        <w:tblInd w:w="250" w:type="dxa"/>
        <w:tblLayout w:type="fixed"/>
        <w:tblLook w:val="04A0" w:firstRow="1" w:lastRow="0" w:firstColumn="1" w:lastColumn="0" w:noHBand="0" w:noVBand="1"/>
      </w:tblPr>
      <w:tblGrid>
        <w:gridCol w:w="284"/>
        <w:gridCol w:w="567"/>
        <w:gridCol w:w="4706"/>
        <w:gridCol w:w="1389"/>
        <w:gridCol w:w="1417"/>
      </w:tblGrid>
      <w:tr w:rsidR="00906AFB" w:rsidRPr="00906AFB" w:rsidTr="00906AFB">
        <w:trPr>
          <w:trHeight w:val="283"/>
        </w:trPr>
        <w:tc>
          <w:tcPr>
            <w:tcW w:w="5557" w:type="dxa"/>
            <w:gridSpan w:val="3"/>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sz w:val="18"/>
                <w:szCs w:val="18"/>
              </w:rPr>
            </w:pPr>
            <w:r w:rsidRPr="00906AFB">
              <w:rPr>
                <w:rFonts w:ascii="Arial" w:hAnsi="Arial" w:cs="Arial"/>
                <w:b/>
                <w:sz w:val="18"/>
                <w:szCs w:val="18"/>
              </w:rPr>
              <w:t>Partida</w:t>
            </w:r>
          </w:p>
        </w:tc>
        <w:tc>
          <w:tcPr>
            <w:tcW w:w="2806" w:type="dxa"/>
            <w:gridSpan w:val="2"/>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sz w:val="18"/>
                <w:szCs w:val="18"/>
              </w:rPr>
            </w:pPr>
            <w:r w:rsidRPr="00906AFB">
              <w:rPr>
                <w:rFonts w:ascii="Arial" w:hAnsi="Arial" w:cs="Arial"/>
                <w:b/>
                <w:sz w:val="18"/>
                <w:szCs w:val="18"/>
              </w:rPr>
              <w:t>Asignación Presupuestal</w:t>
            </w:r>
          </w:p>
        </w:tc>
      </w:tr>
      <w:tr w:rsidR="00906AFB" w:rsidRPr="00906AFB" w:rsidTr="00906AFB">
        <w:trPr>
          <w:trHeight w:val="283"/>
        </w:trPr>
        <w:tc>
          <w:tcPr>
            <w:tcW w:w="284"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b/>
                <w:sz w:val="18"/>
                <w:szCs w:val="18"/>
              </w:rPr>
            </w:pPr>
            <w:r w:rsidRPr="00906AFB">
              <w:rPr>
                <w:rFonts w:ascii="Arial" w:hAnsi="Arial" w:cs="Arial"/>
                <w:b/>
                <w:sz w:val="18"/>
                <w:szCs w:val="18"/>
              </w:rPr>
              <w:t>1</w:t>
            </w:r>
          </w:p>
        </w:tc>
        <w:tc>
          <w:tcPr>
            <w:tcW w:w="5273" w:type="dxa"/>
            <w:gridSpan w:val="2"/>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b/>
                <w:sz w:val="18"/>
                <w:szCs w:val="18"/>
              </w:rPr>
            </w:pPr>
            <w:r w:rsidRPr="00906AFB">
              <w:rPr>
                <w:rFonts w:ascii="Arial" w:hAnsi="Arial" w:cs="Arial"/>
                <w:b/>
                <w:sz w:val="18"/>
                <w:szCs w:val="18"/>
              </w:rPr>
              <w:t>Fondo de Aportaciones para la Nómina y el Gasto Operativo (FONE)</w:t>
            </w:r>
          </w:p>
        </w:tc>
        <w:tc>
          <w:tcPr>
            <w:tcW w:w="1389" w:type="dxa"/>
            <w:tcBorders>
              <w:top w:val="single" w:sz="4" w:space="0" w:color="auto"/>
              <w:left w:val="single" w:sz="4" w:space="0" w:color="auto"/>
              <w:bottom w:val="single" w:sz="4" w:space="0" w:color="auto"/>
              <w:right w:val="single" w:sz="4" w:space="0" w:color="auto"/>
            </w:tcBorders>
            <w:vAlign w:val="center"/>
          </w:tcPr>
          <w:p w:rsidR="00906AFB" w:rsidRPr="00906AFB" w:rsidRDefault="00906AFB" w:rsidP="00906AFB">
            <w:pPr>
              <w:jc w:val="right"/>
              <w:rPr>
                <w:rFonts w:ascii="Arial" w:hAnsi="Arial" w:cs="Arial"/>
                <w:b/>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b/>
                <w:sz w:val="18"/>
                <w:szCs w:val="18"/>
              </w:rPr>
            </w:pPr>
            <w:r w:rsidRPr="00906AFB">
              <w:rPr>
                <w:rFonts w:ascii="Arial" w:hAnsi="Arial" w:cs="Arial"/>
                <w:b/>
                <w:sz w:val="18"/>
                <w:szCs w:val="18"/>
              </w:rPr>
              <w:t>3,027,365,000</w:t>
            </w:r>
          </w:p>
        </w:tc>
      </w:tr>
      <w:tr w:rsidR="00906AFB" w:rsidRPr="00906AFB" w:rsidTr="00906AFB">
        <w:trPr>
          <w:trHeight w:val="283"/>
        </w:trPr>
        <w:tc>
          <w:tcPr>
            <w:tcW w:w="284" w:type="dxa"/>
            <w:tcBorders>
              <w:top w:val="single" w:sz="4" w:space="0" w:color="auto"/>
              <w:left w:val="single" w:sz="4" w:space="0" w:color="auto"/>
              <w:bottom w:val="single" w:sz="4" w:space="0" w:color="auto"/>
              <w:right w:val="single" w:sz="4" w:space="0" w:color="auto"/>
            </w:tcBorders>
            <w:vAlign w:val="center"/>
          </w:tcPr>
          <w:p w:rsidR="00906AFB" w:rsidRPr="00906AFB" w:rsidRDefault="00906AFB" w:rsidP="00906AFB">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sz w:val="18"/>
                <w:szCs w:val="18"/>
              </w:rPr>
            </w:pPr>
            <w:r w:rsidRPr="00906AFB">
              <w:rPr>
                <w:rFonts w:ascii="Arial" w:hAnsi="Arial" w:cs="Arial"/>
                <w:sz w:val="18"/>
                <w:szCs w:val="18"/>
              </w:rPr>
              <w:t>1.1</w:t>
            </w:r>
          </w:p>
        </w:tc>
        <w:tc>
          <w:tcPr>
            <w:tcW w:w="4706"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18"/>
                <w:szCs w:val="18"/>
              </w:rPr>
            </w:pPr>
            <w:r w:rsidRPr="00906AFB">
              <w:rPr>
                <w:rFonts w:ascii="Arial" w:hAnsi="Arial" w:cs="Arial"/>
                <w:sz w:val="18"/>
                <w:szCs w:val="18"/>
              </w:rPr>
              <w:t>Servicios Personales</w:t>
            </w:r>
          </w:p>
        </w:tc>
        <w:tc>
          <w:tcPr>
            <w:tcW w:w="1389"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2,862,545,000</w:t>
            </w:r>
          </w:p>
        </w:tc>
        <w:tc>
          <w:tcPr>
            <w:tcW w:w="1417" w:type="dxa"/>
            <w:tcBorders>
              <w:top w:val="single" w:sz="4" w:space="0" w:color="auto"/>
              <w:left w:val="single" w:sz="4" w:space="0" w:color="auto"/>
              <w:bottom w:val="single" w:sz="4" w:space="0" w:color="auto"/>
              <w:right w:val="single" w:sz="4" w:space="0" w:color="auto"/>
            </w:tcBorders>
            <w:vAlign w:val="center"/>
          </w:tcPr>
          <w:p w:rsidR="00906AFB" w:rsidRPr="00906AFB" w:rsidRDefault="00906AFB" w:rsidP="00906AFB">
            <w:pPr>
              <w:jc w:val="right"/>
              <w:rPr>
                <w:rFonts w:ascii="Arial" w:hAnsi="Arial" w:cs="Arial"/>
                <w:sz w:val="18"/>
                <w:szCs w:val="18"/>
              </w:rPr>
            </w:pPr>
          </w:p>
        </w:tc>
      </w:tr>
      <w:tr w:rsidR="00906AFB" w:rsidRPr="00906AFB" w:rsidTr="00906AFB">
        <w:trPr>
          <w:trHeight w:val="283"/>
        </w:trPr>
        <w:tc>
          <w:tcPr>
            <w:tcW w:w="284" w:type="dxa"/>
            <w:tcBorders>
              <w:top w:val="single" w:sz="4" w:space="0" w:color="auto"/>
              <w:left w:val="single" w:sz="4" w:space="0" w:color="auto"/>
              <w:bottom w:val="single" w:sz="4" w:space="0" w:color="auto"/>
              <w:right w:val="single" w:sz="4" w:space="0" w:color="auto"/>
            </w:tcBorders>
            <w:vAlign w:val="center"/>
          </w:tcPr>
          <w:p w:rsidR="00906AFB" w:rsidRPr="00906AFB" w:rsidRDefault="00906AFB" w:rsidP="00906AFB">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sz w:val="18"/>
                <w:szCs w:val="18"/>
              </w:rPr>
            </w:pPr>
            <w:r w:rsidRPr="00906AFB">
              <w:rPr>
                <w:rFonts w:ascii="Arial" w:hAnsi="Arial" w:cs="Arial"/>
                <w:sz w:val="18"/>
                <w:szCs w:val="18"/>
              </w:rPr>
              <w:t>1.2</w:t>
            </w:r>
          </w:p>
        </w:tc>
        <w:tc>
          <w:tcPr>
            <w:tcW w:w="4706"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18"/>
                <w:szCs w:val="18"/>
              </w:rPr>
            </w:pPr>
            <w:r w:rsidRPr="00906AFB">
              <w:rPr>
                <w:rFonts w:ascii="Arial" w:hAnsi="Arial" w:cs="Arial"/>
                <w:sz w:val="18"/>
                <w:szCs w:val="18"/>
              </w:rPr>
              <w:t>Otros de Gasto Corriente</w:t>
            </w:r>
          </w:p>
        </w:tc>
        <w:tc>
          <w:tcPr>
            <w:tcW w:w="1389"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42,499,000</w:t>
            </w:r>
          </w:p>
        </w:tc>
        <w:tc>
          <w:tcPr>
            <w:tcW w:w="1417" w:type="dxa"/>
            <w:tcBorders>
              <w:top w:val="single" w:sz="4" w:space="0" w:color="auto"/>
              <w:left w:val="single" w:sz="4" w:space="0" w:color="auto"/>
              <w:bottom w:val="single" w:sz="4" w:space="0" w:color="auto"/>
              <w:right w:val="single" w:sz="4" w:space="0" w:color="auto"/>
            </w:tcBorders>
            <w:vAlign w:val="center"/>
          </w:tcPr>
          <w:p w:rsidR="00906AFB" w:rsidRPr="00906AFB" w:rsidRDefault="00906AFB" w:rsidP="00906AFB">
            <w:pPr>
              <w:jc w:val="right"/>
              <w:rPr>
                <w:rFonts w:ascii="Arial" w:hAnsi="Arial" w:cs="Arial"/>
                <w:sz w:val="18"/>
                <w:szCs w:val="18"/>
              </w:rPr>
            </w:pPr>
          </w:p>
        </w:tc>
      </w:tr>
      <w:tr w:rsidR="00906AFB" w:rsidRPr="00906AFB" w:rsidTr="00906AFB">
        <w:trPr>
          <w:trHeight w:val="283"/>
        </w:trPr>
        <w:tc>
          <w:tcPr>
            <w:tcW w:w="284" w:type="dxa"/>
            <w:tcBorders>
              <w:top w:val="single" w:sz="4" w:space="0" w:color="auto"/>
              <w:left w:val="single" w:sz="4" w:space="0" w:color="auto"/>
              <w:bottom w:val="single" w:sz="4" w:space="0" w:color="auto"/>
              <w:right w:val="single" w:sz="4" w:space="0" w:color="auto"/>
            </w:tcBorders>
            <w:vAlign w:val="center"/>
          </w:tcPr>
          <w:p w:rsidR="00906AFB" w:rsidRPr="00906AFB" w:rsidRDefault="00906AFB" w:rsidP="00906AFB">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sz w:val="18"/>
                <w:szCs w:val="18"/>
              </w:rPr>
            </w:pPr>
            <w:r w:rsidRPr="00906AFB">
              <w:rPr>
                <w:rFonts w:ascii="Arial" w:hAnsi="Arial" w:cs="Arial"/>
                <w:sz w:val="18"/>
                <w:szCs w:val="18"/>
              </w:rPr>
              <w:t>1.3</w:t>
            </w:r>
          </w:p>
        </w:tc>
        <w:tc>
          <w:tcPr>
            <w:tcW w:w="4706"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18"/>
                <w:szCs w:val="18"/>
              </w:rPr>
            </w:pPr>
            <w:r w:rsidRPr="00906AFB">
              <w:rPr>
                <w:rFonts w:ascii="Arial" w:hAnsi="Arial" w:cs="Arial"/>
                <w:sz w:val="18"/>
                <w:szCs w:val="18"/>
              </w:rPr>
              <w:t>Gastos de Operación</w:t>
            </w:r>
          </w:p>
        </w:tc>
        <w:tc>
          <w:tcPr>
            <w:tcW w:w="1389"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122,321,000</w:t>
            </w:r>
          </w:p>
        </w:tc>
        <w:tc>
          <w:tcPr>
            <w:tcW w:w="1417" w:type="dxa"/>
            <w:tcBorders>
              <w:top w:val="single" w:sz="4" w:space="0" w:color="auto"/>
              <w:left w:val="single" w:sz="4" w:space="0" w:color="auto"/>
              <w:bottom w:val="single" w:sz="4" w:space="0" w:color="auto"/>
              <w:right w:val="single" w:sz="4" w:space="0" w:color="auto"/>
            </w:tcBorders>
            <w:vAlign w:val="center"/>
          </w:tcPr>
          <w:p w:rsidR="00906AFB" w:rsidRPr="00906AFB" w:rsidRDefault="00906AFB" w:rsidP="00906AFB">
            <w:pPr>
              <w:jc w:val="right"/>
              <w:rPr>
                <w:rFonts w:ascii="Arial" w:hAnsi="Arial" w:cs="Arial"/>
                <w:sz w:val="18"/>
                <w:szCs w:val="18"/>
              </w:rPr>
            </w:pPr>
          </w:p>
        </w:tc>
      </w:tr>
      <w:tr w:rsidR="00906AFB" w:rsidRPr="00906AFB" w:rsidTr="00906AFB">
        <w:trPr>
          <w:trHeight w:val="283"/>
        </w:trPr>
        <w:tc>
          <w:tcPr>
            <w:tcW w:w="284" w:type="dxa"/>
            <w:tcBorders>
              <w:top w:val="single" w:sz="4" w:space="0" w:color="auto"/>
              <w:left w:val="single" w:sz="4" w:space="0" w:color="auto"/>
              <w:bottom w:val="single" w:sz="4" w:space="0" w:color="auto"/>
              <w:right w:val="single" w:sz="4" w:space="0" w:color="auto"/>
            </w:tcBorders>
            <w:vAlign w:val="center"/>
          </w:tcPr>
          <w:p w:rsidR="00906AFB" w:rsidRPr="00906AFB" w:rsidRDefault="00906AFB" w:rsidP="00906AFB">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sz w:val="18"/>
                <w:szCs w:val="18"/>
              </w:rPr>
            </w:pPr>
            <w:r w:rsidRPr="00906AFB">
              <w:rPr>
                <w:rFonts w:ascii="Arial" w:hAnsi="Arial" w:cs="Arial"/>
                <w:sz w:val="18"/>
                <w:szCs w:val="18"/>
              </w:rPr>
              <w:t>1.4</w:t>
            </w:r>
          </w:p>
        </w:tc>
        <w:tc>
          <w:tcPr>
            <w:tcW w:w="4706"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18"/>
                <w:szCs w:val="18"/>
              </w:rPr>
            </w:pPr>
            <w:r w:rsidRPr="00906AFB">
              <w:rPr>
                <w:rFonts w:ascii="Arial" w:hAnsi="Arial" w:cs="Arial"/>
                <w:sz w:val="18"/>
                <w:szCs w:val="18"/>
              </w:rPr>
              <w:t>Fondo de Compensación</w:t>
            </w:r>
          </w:p>
        </w:tc>
        <w:tc>
          <w:tcPr>
            <w:tcW w:w="1389"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0</w:t>
            </w:r>
          </w:p>
        </w:tc>
        <w:tc>
          <w:tcPr>
            <w:tcW w:w="1417" w:type="dxa"/>
            <w:tcBorders>
              <w:top w:val="single" w:sz="4" w:space="0" w:color="auto"/>
              <w:left w:val="single" w:sz="4" w:space="0" w:color="auto"/>
              <w:bottom w:val="single" w:sz="4" w:space="0" w:color="auto"/>
              <w:right w:val="single" w:sz="4" w:space="0" w:color="auto"/>
            </w:tcBorders>
            <w:vAlign w:val="center"/>
          </w:tcPr>
          <w:p w:rsidR="00906AFB" w:rsidRPr="00906AFB" w:rsidRDefault="00906AFB" w:rsidP="00906AFB">
            <w:pPr>
              <w:jc w:val="right"/>
              <w:rPr>
                <w:rFonts w:ascii="Arial" w:hAnsi="Arial" w:cs="Arial"/>
                <w:sz w:val="18"/>
                <w:szCs w:val="18"/>
              </w:rPr>
            </w:pPr>
          </w:p>
        </w:tc>
      </w:tr>
      <w:tr w:rsidR="00906AFB" w:rsidRPr="00906AFB" w:rsidTr="00906AFB">
        <w:trPr>
          <w:trHeight w:val="283"/>
        </w:trPr>
        <w:tc>
          <w:tcPr>
            <w:tcW w:w="284"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b/>
                <w:sz w:val="18"/>
                <w:szCs w:val="18"/>
              </w:rPr>
            </w:pPr>
            <w:r w:rsidRPr="00906AFB">
              <w:rPr>
                <w:rFonts w:ascii="Arial" w:hAnsi="Arial" w:cs="Arial"/>
                <w:b/>
                <w:sz w:val="18"/>
                <w:szCs w:val="18"/>
              </w:rPr>
              <w:t>2</w:t>
            </w:r>
          </w:p>
        </w:tc>
        <w:tc>
          <w:tcPr>
            <w:tcW w:w="5273" w:type="dxa"/>
            <w:gridSpan w:val="2"/>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b/>
                <w:sz w:val="18"/>
                <w:szCs w:val="18"/>
              </w:rPr>
            </w:pPr>
            <w:r w:rsidRPr="00906AFB">
              <w:rPr>
                <w:rFonts w:ascii="Arial" w:hAnsi="Arial" w:cs="Arial"/>
                <w:b/>
                <w:sz w:val="18"/>
                <w:szCs w:val="18"/>
              </w:rPr>
              <w:t>Fondo de Aportaciones para los Servicios de Salud (FASSA)</w:t>
            </w:r>
          </w:p>
        </w:tc>
        <w:tc>
          <w:tcPr>
            <w:tcW w:w="1389" w:type="dxa"/>
            <w:tcBorders>
              <w:top w:val="single" w:sz="4" w:space="0" w:color="auto"/>
              <w:left w:val="single" w:sz="4" w:space="0" w:color="auto"/>
              <w:bottom w:val="single" w:sz="4" w:space="0" w:color="auto"/>
              <w:right w:val="single" w:sz="4" w:space="0" w:color="auto"/>
            </w:tcBorders>
            <w:vAlign w:val="center"/>
          </w:tcPr>
          <w:p w:rsidR="00906AFB" w:rsidRPr="00906AFB" w:rsidRDefault="00906AFB" w:rsidP="00906AFB">
            <w:pPr>
              <w:jc w:val="right"/>
              <w:rPr>
                <w:rFonts w:ascii="Arial" w:hAnsi="Arial" w:cs="Arial"/>
                <w:b/>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b/>
                <w:sz w:val="18"/>
                <w:szCs w:val="18"/>
              </w:rPr>
            </w:pPr>
            <w:r w:rsidRPr="00906AFB">
              <w:rPr>
                <w:rFonts w:ascii="Arial" w:hAnsi="Arial" w:cs="Arial"/>
                <w:b/>
                <w:sz w:val="18"/>
                <w:szCs w:val="18"/>
              </w:rPr>
              <w:t>1,269,831,000</w:t>
            </w:r>
          </w:p>
        </w:tc>
      </w:tr>
      <w:tr w:rsidR="00906AFB" w:rsidRPr="00906AFB" w:rsidTr="00906AFB">
        <w:trPr>
          <w:trHeight w:val="283"/>
        </w:trPr>
        <w:tc>
          <w:tcPr>
            <w:tcW w:w="284"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b/>
                <w:sz w:val="18"/>
                <w:szCs w:val="18"/>
              </w:rPr>
            </w:pPr>
            <w:r w:rsidRPr="00906AFB">
              <w:rPr>
                <w:rFonts w:ascii="Arial" w:hAnsi="Arial" w:cs="Arial"/>
                <w:b/>
                <w:sz w:val="18"/>
                <w:szCs w:val="18"/>
              </w:rPr>
              <w:t>3</w:t>
            </w:r>
          </w:p>
        </w:tc>
        <w:tc>
          <w:tcPr>
            <w:tcW w:w="5273" w:type="dxa"/>
            <w:gridSpan w:val="2"/>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b/>
                <w:sz w:val="18"/>
                <w:szCs w:val="18"/>
              </w:rPr>
            </w:pPr>
            <w:r w:rsidRPr="00906AFB">
              <w:rPr>
                <w:rFonts w:ascii="Arial" w:hAnsi="Arial" w:cs="Arial"/>
                <w:b/>
                <w:sz w:val="18"/>
                <w:szCs w:val="18"/>
              </w:rPr>
              <w:t>Fondo de Aportaciones para la Infraestructura Social (FAIS)</w:t>
            </w:r>
          </w:p>
        </w:tc>
        <w:tc>
          <w:tcPr>
            <w:tcW w:w="1389" w:type="dxa"/>
            <w:tcBorders>
              <w:top w:val="single" w:sz="4" w:space="0" w:color="auto"/>
              <w:left w:val="single" w:sz="4" w:space="0" w:color="auto"/>
              <w:bottom w:val="single" w:sz="4" w:space="0" w:color="auto"/>
              <w:right w:val="single" w:sz="4" w:space="0" w:color="auto"/>
            </w:tcBorders>
            <w:vAlign w:val="center"/>
          </w:tcPr>
          <w:p w:rsidR="00906AFB" w:rsidRPr="00906AFB" w:rsidRDefault="00906AFB" w:rsidP="00906AFB">
            <w:pPr>
              <w:jc w:val="right"/>
              <w:rPr>
                <w:rFonts w:ascii="Arial" w:hAnsi="Arial" w:cs="Arial"/>
                <w:b/>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b/>
                <w:sz w:val="18"/>
                <w:szCs w:val="18"/>
              </w:rPr>
            </w:pPr>
            <w:r w:rsidRPr="00906AFB">
              <w:rPr>
                <w:rFonts w:ascii="Arial" w:hAnsi="Arial" w:cs="Arial"/>
                <w:b/>
                <w:sz w:val="18"/>
                <w:szCs w:val="18"/>
              </w:rPr>
              <w:t>189,946,000</w:t>
            </w:r>
          </w:p>
        </w:tc>
      </w:tr>
      <w:tr w:rsidR="00906AFB" w:rsidRPr="00906AFB" w:rsidTr="00906AFB">
        <w:trPr>
          <w:trHeight w:val="283"/>
        </w:trPr>
        <w:tc>
          <w:tcPr>
            <w:tcW w:w="284" w:type="dxa"/>
            <w:tcBorders>
              <w:top w:val="single" w:sz="4" w:space="0" w:color="auto"/>
              <w:left w:val="single" w:sz="4" w:space="0" w:color="auto"/>
              <w:bottom w:val="single" w:sz="4" w:space="0" w:color="auto"/>
              <w:right w:val="single" w:sz="4" w:space="0" w:color="auto"/>
            </w:tcBorders>
            <w:vAlign w:val="center"/>
          </w:tcPr>
          <w:p w:rsidR="00906AFB" w:rsidRPr="00906AFB" w:rsidRDefault="00906AFB" w:rsidP="00906AFB">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sz w:val="18"/>
                <w:szCs w:val="18"/>
              </w:rPr>
            </w:pPr>
            <w:r w:rsidRPr="00906AFB">
              <w:rPr>
                <w:rFonts w:ascii="Arial" w:hAnsi="Arial" w:cs="Arial"/>
                <w:sz w:val="18"/>
                <w:szCs w:val="18"/>
              </w:rPr>
              <w:t>3.1</w:t>
            </w:r>
          </w:p>
        </w:tc>
        <w:tc>
          <w:tcPr>
            <w:tcW w:w="4706"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18"/>
                <w:szCs w:val="18"/>
              </w:rPr>
            </w:pPr>
            <w:r w:rsidRPr="00906AFB">
              <w:rPr>
                <w:rFonts w:ascii="Arial" w:hAnsi="Arial" w:cs="Arial"/>
                <w:sz w:val="18"/>
                <w:szCs w:val="18"/>
              </w:rPr>
              <w:t>Fondo de Aportaciones para la Infraestructura Social Estatal (FISE)</w:t>
            </w:r>
          </w:p>
        </w:tc>
        <w:tc>
          <w:tcPr>
            <w:tcW w:w="1389"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23,024,000</w:t>
            </w:r>
          </w:p>
        </w:tc>
        <w:tc>
          <w:tcPr>
            <w:tcW w:w="1417" w:type="dxa"/>
            <w:tcBorders>
              <w:top w:val="single" w:sz="4" w:space="0" w:color="auto"/>
              <w:left w:val="single" w:sz="4" w:space="0" w:color="auto"/>
              <w:bottom w:val="single" w:sz="4" w:space="0" w:color="auto"/>
              <w:right w:val="single" w:sz="4" w:space="0" w:color="auto"/>
            </w:tcBorders>
            <w:vAlign w:val="center"/>
          </w:tcPr>
          <w:p w:rsidR="00906AFB" w:rsidRPr="00906AFB" w:rsidRDefault="00906AFB" w:rsidP="00906AFB">
            <w:pPr>
              <w:jc w:val="right"/>
              <w:rPr>
                <w:rFonts w:ascii="Arial" w:hAnsi="Arial" w:cs="Arial"/>
                <w:sz w:val="18"/>
                <w:szCs w:val="18"/>
              </w:rPr>
            </w:pPr>
          </w:p>
        </w:tc>
      </w:tr>
      <w:tr w:rsidR="00906AFB" w:rsidRPr="00906AFB" w:rsidTr="00906AFB">
        <w:trPr>
          <w:trHeight w:val="283"/>
        </w:trPr>
        <w:tc>
          <w:tcPr>
            <w:tcW w:w="284" w:type="dxa"/>
            <w:tcBorders>
              <w:top w:val="single" w:sz="4" w:space="0" w:color="auto"/>
              <w:left w:val="single" w:sz="4" w:space="0" w:color="auto"/>
              <w:bottom w:val="single" w:sz="4" w:space="0" w:color="auto"/>
              <w:right w:val="single" w:sz="4" w:space="0" w:color="auto"/>
            </w:tcBorders>
            <w:vAlign w:val="center"/>
          </w:tcPr>
          <w:p w:rsidR="00906AFB" w:rsidRPr="00906AFB" w:rsidRDefault="00906AFB" w:rsidP="00906AFB">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sz w:val="18"/>
                <w:szCs w:val="18"/>
              </w:rPr>
            </w:pPr>
            <w:r w:rsidRPr="00906AFB">
              <w:rPr>
                <w:rFonts w:ascii="Arial" w:hAnsi="Arial" w:cs="Arial"/>
                <w:sz w:val="18"/>
                <w:szCs w:val="18"/>
              </w:rPr>
              <w:t>3.2</w:t>
            </w:r>
          </w:p>
        </w:tc>
        <w:tc>
          <w:tcPr>
            <w:tcW w:w="4706"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18"/>
                <w:szCs w:val="18"/>
              </w:rPr>
            </w:pPr>
            <w:r w:rsidRPr="00906AFB">
              <w:rPr>
                <w:rFonts w:ascii="Arial" w:hAnsi="Arial" w:cs="Arial"/>
                <w:sz w:val="18"/>
                <w:szCs w:val="18"/>
              </w:rPr>
              <w:t>Fondo de Aportaciones para la Infraestructura Social Municipal (FISM)</w:t>
            </w:r>
          </w:p>
        </w:tc>
        <w:tc>
          <w:tcPr>
            <w:tcW w:w="1389"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166,922,000</w:t>
            </w:r>
          </w:p>
        </w:tc>
        <w:tc>
          <w:tcPr>
            <w:tcW w:w="1417" w:type="dxa"/>
            <w:tcBorders>
              <w:top w:val="single" w:sz="4" w:space="0" w:color="auto"/>
              <w:left w:val="single" w:sz="4" w:space="0" w:color="auto"/>
              <w:bottom w:val="single" w:sz="4" w:space="0" w:color="auto"/>
              <w:right w:val="single" w:sz="4" w:space="0" w:color="auto"/>
            </w:tcBorders>
            <w:vAlign w:val="center"/>
          </w:tcPr>
          <w:p w:rsidR="00906AFB" w:rsidRPr="00906AFB" w:rsidRDefault="00906AFB" w:rsidP="00906AFB">
            <w:pPr>
              <w:jc w:val="right"/>
              <w:rPr>
                <w:rFonts w:ascii="Arial" w:hAnsi="Arial" w:cs="Arial"/>
                <w:sz w:val="18"/>
                <w:szCs w:val="18"/>
              </w:rPr>
            </w:pPr>
          </w:p>
        </w:tc>
      </w:tr>
      <w:tr w:rsidR="00906AFB" w:rsidRPr="00906AFB" w:rsidTr="00906AFB">
        <w:trPr>
          <w:trHeight w:val="283"/>
        </w:trPr>
        <w:tc>
          <w:tcPr>
            <w:tcW w:w="284"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b/>
                <w:sz w:val="18"/>
                <w:szCs w:val="18"/>
              </w:rPr>
            </w:pPr>
            <w:r w:rsidRPr="00906AFB">
              <w:rPr>
                <w:rFonts w:ascii="Arial" w:hAnsi="Arial" w:cs="Arial"/>
                <w:b/>
                <w:sz w:val="18"/>
                <w:szCs w:val="18"/>
              </w:rPr>
              <w:t>4</w:t>
            </w:r>
          </w:p>
        </w:tc>
        <w:tc>
          <w:tcPr>
            <w:tcW w:w="5273" w:type="dxa"/>
            <w:gridSpan w:val="2"/>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b/>
                <w:sz w:val="18"/>
                <w:szCs w:val="18"/>
              </w:rPr>
            </w:pPr>
            <w:r w:rsidRPr="00906AFB">
              <w:rPr>
                <w:rFonts w:ascii="Arial" w:hAnsi="Arial" w:cs="Arial"/>
                <w:b/>
                <w:sz w:val="18"/>
                <w:szCs w:val="18"/>
              </w:rPr>
              <w:t>Fondo de Aportaciones para el Fortalecimiento de los Municipios y de las Demarcaciones Territoriales del Distrito Federal (FAFM)</w:t>
            </w:r>
          </w:p>
        </w:tc>
        <w:tc>
          <w:tcPr>
            <w:tcW w:w="1389" w:type="dxa"/>
            <w:tcBorders>
              <w:top w:val="single" w:sz="4" w:space="0" w:color="auto"/>
              <w:left w:val="single" w:sz="4" w:space="0" w:color="auto"/>
              <w:bottom w:val="single" w:sz="4" w:space="0" w:color="auto"/>
              <w:right w:val="single" w:sz="4" w:space="0" w:color="auto"/>
            </w:tcBorders>
            <w:vAlign w:val="center"/>
          </w:tcPr>
          <w:p w:rsidR="00906AFB" w:rsidRPr="00906AFB" w:rsidRDefault="00906AFB" w:rsidP="00906AFB">
            <w:pPr>
              <w:jc w:val="right"/>
              <w:rPr>
                <w:rFonts w:ascii="Arial" w:hAnsi="Arial" w:cs="Arial"/>
                <w:b/>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b/>
                <w:sz w:val="18"/>
                <w:szCs w:val="18"/>
              </w:rPr>
            </w:pPr>
            <w:r w:rsidRPr="00906AFB">
              <w:rPr>
                <w:rFonts w:ascii="Arial" w:hAnsi="Arial" w:cs="Arial"/>
                <w:b/>
                <w:sz w:val="18"/>
                <w:szCs w:val="18"/>
              </w:rPr>
              <w:t>403,291,000</w:t>
            </w:r>
          </w:p>
        </w:tc>
      </w:tr>
      <w:tr w:rsidR="00906AFB" w:rsidRPr="00906AFB" w:rsidTr="00906AFB">
        <w:trPr>
          <w:trHeight w:val="283"/>
        </w:trPr>
        <w:tc>
          <w:tcPr>
            <w:tcW w:w="284"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b/>
                <w:sz w:val="18"/>
                <w:szCs w:val="18"/>
              </w:rPr>
            </w:pPr>
            <w:r w:rsidRPr="00906AFB">
              <w:rPr>
                <w:rFonts w:ascii="Arial" w:hAnsi="Arial" w:cs="Arial"/>
                <w:b/>
                <w:sz w:val="18"/>
                <w:szCs w:val="18"/>
              </w:rPr>
              <w:t>5</w:t>
            </w:r>
          </w:p>
        </w:tc>
        <w:tc>
          <w:tcPr>
            <w:tcW w:w="5273" w:type="dxa"/>
            <w:gridSpan w:val="2"/>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b/>
                <w:sz w:val="18"/>
                <w:szCs w:val="18"/>
              </w:rPr>
            </w:pPr>
            <w:r w:rsidRPr="00906AFB">
              <w:rPr>
                <w:rFonts w:ascii="Arial" w:hAnsi="Arial" w:cs="Arial"/>
                <w:b/>
                <w:sz w:val="18"/>
                <w:szCs w:val="18"/>
              </w:rPr>
              <w:t>Fondo de Aportaciones Múltiples (FAM)</w:t>
            </w:r>
          </w:p>
        </w:tc>
        <w:tc>
          <w:tcPr>
            <w:tcW w:w="1389" w:type="dxa"/>
            <w:tcBorders>
              <w:top w:val="single" w:sz="4" w:space="0" w:color="auto"/>
              <w:left w:val="single" w:sz="4" w:space="0" w:color="auto"/>
              <w:bottom w:val="single" w:sz="4" w:space="0" w:color="auto"/>
              <w:right w:val="single" w:sz="4" w:space="0" w:color="auto"/>
            </w:tcBorders>
            <w:vAlign w:val="center"/>
          </w:tcPr>
          <w:p w:rsidR="00906AFB" w:rsidRPr="00906AFB" w:rsidRDefault="00906AFB" w:rsidP="00906AFB">
            <w:pPr>
              <w:jc w:val="right"/>
              <w:rPr>
                <w:rFonts w:ascii="Arial" w:hAnsi="Arial" w:cs="Arial"/>
                <w:b/>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b/>
                <w:sz w:val="18"/>
                <w:szCs w:val="18"/>
              </w:rPr>
            </w:pPr>
            <w:r w:rsidRPr="00906AFB">
              <w:rPr>
                <w:rFonts w:ascii="Arial" w:hAnsi="Arial" w:cs="Arial"/>
                <w:b/>
                <w:sz w:val="18"/>
                <w:szCs w:val="18"/>
              </w:rPr>
              <w:t>181,108,000</w:t>
            </w:r>
          </w:p>
        </w:tc>
      </w:tr>
      <w:tr w:rsidR="00906AFB" w:rsidRPr="00906AFB" w:rsidTr="00906AFB">
        <w:trPr>
          <w:trHeight w:val="283"/>
        </w:trPr>
        <w:tc>
          <w:tcPr>
            <w:tcW w:w="284" w:type="dxa"/>
            <w:tcBorders>
              <w:top w:val="single" w:sz="4" w:space="0" w:color="auto"/>
              <w:left w:val="single" w:sz="4" w:space="0" w:color="auto"/>
              <w:bottom w:val="single" w:sz="4" w:space="0" w:color="auto"/>
              <w:right w:val="single" w:sz="4" w:space="0" w:color="auto"/>
            </w:tcBorders>
            <w:vAlign w:val="center"/>
          </w:tcPr>
          <w:p w:rsidR="00906AFB" w:rsidRPr="00906AFB" w:rsidRDefault="00906AFB" w:rsidP="00906AFB">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sz w:val="18"/>
                <w:szCs w:val="18"/>
              </w:rPr>
            </w:pPr>
            <w:r w:rsidRPr="00906AFB">
              <w:rPr>
                <w:rFonts w:ascii="Arial" w:hAnsi="Arial" w:cs="Arial"/>
                <w:sz w:val="18"/>
                <w:szCs w:val="18"/>
              </w:rPr>
              <w:t>5.1</w:t>
            </w:r>
          </w:p>
        </w:tc>
        <w:tc>
          <w:tcPr>
            <w:tcW w:w="4706"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18"/>
                <w:szCs w:val="18"/>
              </w:rPr>
            </w:pPr>
            <w:r w:rsidRPr="00906AFB">
              <w:rPr>
                <w:rFonts w:ascii="Arial" w:hAnsi="Arial" w:cs="Arial"/>
                <w:sz w:val="18"/>
                <w:szCs w:val="18"/>
              </w:rPr>
              <w:t>Asistencia Social</w:t>
            </w:r>
          </w:p>
        </w:tc>
        <w:tc>
          <w:tcPr>
            <w:tcW w:w="1389"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51,344,000</w:t>
            </w:r>
          </w:p>
        </w:tc>
        <w:tc>
          <w:tcPr>
            <w:tcW w:w="1417" w:type="dxa"/>
            <w:tcBorders>
              <w:top w:val="single" w:sz="4" w:space="0" w:color="auto"/>
              <w:left w:val="single" w:sz="4" w:space="0" w:color="auto"/>
              <w:bottom w:val="single" w:sz="4" w:space="0" w:color="auto"/>
              <w:right w:val="single" w:sz="4" w:space="0" w:color="auto"/>
            </w:tcBorders>
            <w:vAlign w:val="center"/>
          </w:tcPr>
          <w:p w:rsidR="00906AFB" w:rsidRPr="00906AFB" w:rsidRDefault="00906AFB" w:rsidP="00906AFB">
            <w:pPr>
              <w:jc w:val="right"/>
              <w:rPr>
                <w:rFonts w:ascii="Arial" w:hAnsi="Arial" w:cs="Arial"/>
                <w:sz w:val="18"/>
                <w:szCs w:val="18"/>
              </w:rPr>
            </w:pPr>
          </w:p>
        </w:tc>
      </w:tr>
      <w:tr w:rsidR="00906AFB" w:rsidRPr="00906AFB" w:rsidTr="00906AFB">
        <w:trPr>
          <w:trHeight w:val="283"/>
        </w:trPr>
        <w:tc>
          <w:tcPr>
            <w:tcW w:w="284" w:type="dxa"/>
            <w:tcBorders>
              <w:top w:val="single" w:sz="4" w:space="0" w:color="auto"/>
              <w:left w:val="single" w:sz="4" w:space="0" w:color="auto"/>
              <w:bottom w:val="single" w:sz="4" w:space="0" w:color="auto"/>
              <w:right w:val="single" w:sz="4" w:space="0" w:color="auto"/>
            </w:tcBorders>
            <w:vAlign w:val="center"/>
          </w:tcPr>
          <w:p w:rsidR="00906AFB" w:rsidRPr="00906AFB" w:rsidRDefault="00906AFB" w:rsidP="00906AFB">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sz w:val="18"/>
                <w:szCs w:val="18"/>
              </w:rPr>
            </w:pPr>
            <w:r w:rsidRPr="00906AFB">
              <w:rPr>
                <w:rFonts w:ascii="Arial" w:hAnsi="Arial" w:cs="Arial"/>
                <w:sz w:val="18"/>
                <w:szCs w:val="18"/>
              </w:rPr>
              <w:t>5.2</w:t>
            </w:r>
          </w:p>
        </w:tc>
        <w:tc>
          <w:tcPr>
            <w:tcW w:w="4706"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18"/>
                <w:szCs w:val="18"/>
              </w:rPr>
            </w:pPr>
            <w:r w:rsidRPr="00906AFB">
              <w:rPr>
                <w:rFonts w:ascii="Arial" w:hAnsi="Arial" w:cs="Arial"/>
                <w:sz w:val="18"/>
                <w:szCs w:val="18"/>
              </w:rPr>
              <w:t>Infraestructura Educativa Básica</w:t>
            </w:r>
          </w:p>
        </w:tc>
        <w:tc>
          <w:tcPr>
            <w:tcW w:w="1389"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82,567,000</w:t>
            </w:r>
          </w:p>
        </w:tc>
        <w:tc>
          <w:tcPr>
            <w:tcW w:w="1417" w:type="dxa"/>
            <w:tcBorders>
              <w:top w:val="single" w:sz="4" w:space="0" w:color="auto"/>
              <w:left w:val="single" w:sz="4" w:space="0" w:color="auto"/>
              <w:bottom w:val="single" w:sz="4" w:space="0" w:color="auto"/>
              <w:right w:val="single" w:sz="4" w:space="0" w:color="auto"/>
            </w:tcBorders>
            <w:vAlign w:val="center"/>
          </w:tcPr>
          <w:p w:rsidR="00906AFB" w:rsidRPr="00906AFB" w:rsidRDefault="00906AFB" w:rsidP="00906AFB">
            <w:pPr>
              <w:jc w:val="right"/>
              <w:rPr>
                <w:rFonts w:ascii="Arial" w:hAnsi="Arial" w:cs="Arial"/>
                <w:sz w:val="18"/>
                <w:szCs w:val="18"/>
              </w:rPr>
            </w:pPr>
          </w:p>
        </w:tc>
      </w:tr>
      <w:tr w:rsidR="00906AFB" w:rsidRPr="00906AFB" w:rsidTr="00906AFB">
        <w:trPr>
          <w:trHeight w:val="283"/>
        </w:trPr>
        <w:tc>
          <w:tcPr>
            <w:tcW w:w="284" w:type="dxa"/>
            <w:tcBorders>
              <w:top w:val="single" w:sz="4" w:space="0" w:color="auto"/>
              <w:left w:val="single" w:sz="4" w:space="0" w:color="auto"/>
              <w:bottom w:val="single" w:sz="4" w:space="0" w:color="auto"/>
              <w:right w:val="single" w:sz="4" w:space="0" w:color="auto"/>
            </w:tcBorders>
            <w:vAlign w:val="center"/>
          </w:tcPr>
          <w:p w:rsidR="00906AFB" w:rsidRPr="00906AFB" w:rsidRDefault="00906AFB" w:rsidP="00906AFB">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sz w:val="18"/>
                <w:szCs w:val="18"/>
              </w:rPr>
            </w:pPr>
            <w:r w:rsidRPr="00906AFB">
              <w:rPr>
                <w:rFonts w:ascii="Arial" w:hAnsi="Arial" w:cs="Arial"/>
                <w:sz w:val="18"/>
                <w:szCs w:val="18"/>
              </w:rPr>
              <w:t>5.3</w:t>
            </w:r>
          </w:p>
        </w:tc>
        <w:tc>
          <w:tcPr>
            <w:tcW w:w="4706"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18"/>
                <w:szCs w:val="18"/>
              </w:rPr>
            </w:pPr>
            <w:r w:rsidRPr="00906AFB">
              <w:rPr>
                <w:rFonts w:ascii="Arial" w:hAnsi="Arial" w:cs="Arial"/>
                <w:sz w:val="18"/>
                <w:szCs w:val="18"/>
              </w:rPr>
              <w:t>Infraestructura Educativa Media Superior y Superior</w:t>
            </w:r>
          </w:p>
        </w:tc>
        <w:tc>
          <w:tcPr>
            <w:tcW w:w="1389"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47,197,000</w:t>
            </w:r>
          </w:p>
        </w:tc>
        <w:tc>
          <w:tcPr>
            <w:tcW w:w="1417" w:type="dxa"/>
            <w:tcBorders>
              <w:top w:val="single" w:sz="4" w:space="0" w:color="auto"/>
              <w:left w:val="single" w:sz="4" w:space="0" w:color="auto"/>
              <w:bottom w:val="single" w:sz="4" w:space="0" w:color="auto"/>
              <w:right w:val="single" w:sz="4" w:space="0" w:color="auto"/>
            </w:tcBorders>
            <w:vAlign w:val="center"/>
          </w:tcPr>
          <w:p w:rsidR="00906AFB" w:rsidRPr="00906AFB" w:rsidRDefault="00906AFB" w:rsidP="00906AFB">
            <w:pPr>
              <w:jc w:val="right"/>
              <w:rPr>
                <w:rFonts w:ascii="Arial" w:hAnsi="Arial" w:cs="Arial"/>
                <w:sz w:val="18"/>
                <w:szCs w:val="18"/>
              </w:rPr>
            </w:pPr>
          </w:p>
        </w:tc>
      </w:tr>
      <w:tr w:rsidR="00906AFB" w:rsidRPr="00906AFB" w:rsidTr="00906AFB">
        <w:trPr>
          <w:trHeight w:val="283"/>
        </w:trPr>
        <w:tc>
          <w:tcPr>
            <w:tcW w:w="284"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b/>
                <w:sz w:val="18"/>
                <w:szCs w:val="18"/>
              </w:rPr>
            </w:pPr>
            <w:r w:rsidRPr="00906AFB">
              <w:rPr>
                <w:rFonts w:ascii="Arial" w:hAnsi="Arial" w:cs="Arial"/>
                <w:b/>
                <w:sz w:val="18"/>
                <w:szCs w:val="18"/>
              </w:rPr>
              <w:t>6</w:t>
            </w:r>
          </w:p>
        </w:tc>
        <w:tc>
          <w:tcPr>
            <w:tcW w:w="5273" w:type="dxa"/>
            <w:gridSpan w:val="2"/>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b/>
                <w:sz w:val="18"/>
                <w:szCs w:val="18"/>
              </w:rPr>
            </w:pPr>
            <w:r w:rsidRPr="00906AFB">
              <w:rPr>
                <w:rFonts w:ascii="Arial" w:hAnsi="Arial" w:cs="Arial"/>
                <w:b/>
                <w:sz w:val="18"/>
                <w:szCs w:val="18"/>
              </w:rPr>
              <w:t>Fondo de Aportaciones para la Educación Tecnológica y de Adultos (FAETA)</w:t>
            </w:r>
          </w:p>
        </w:tc>
        <w:tc>
          <w:tcPr>
            <w:tcW w:w="1389" w:type="dxa"/>
            <w:tcBorders>
              <w:top w:val="single" w:sz="4" w:space="0" w:color="auto"/>
              <w:left w:val="single" w:sz="4" w:space="0" w:color="auto"/>
              <w:bottom w:val="single" w:sz="4" w:space="0" w:color="auto"/>
              <w:right w:val="single" w:sz="4" w:space="0" w:color="auto"/>
            </w:tcBorders>
            <w:vAlign w:val="center"/>
          </w:tcPr>
          <w:p w:rsidR="00906AFB" w:rsidRPr="00906AFB" w:rsidRDefault="00906AFB" w:rsidP="00906AFB">
            <w:pPr>
              <w:jc w:val="right"/>
              <w:rPr>
                <w:rFonts w:ascii="Arial" w:hAnsi="Arial" w:cs="Arial"/>
                <w:b/>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b/>
                <w:sz w:val="18"/>
                <w:szCs w:val="18"/>
              </w:rPr>
            </w:pPr>
            <w:r w:rsidRPr="00906AFB">
              <w:rPr>
                <w:rFonts w:ascii="Arial" w:hAnsi="Arial" w:cs="Arial"/>
                <w:b/>
                <w:sz w:val="18"/>
                <w:szCs w:val="18"/>
              </w:rPr>
              <w:t>72,523,000</w:t>
            </w:r>
          </w:p>
        </w:tc>
      </w:tr>
      <w:tr w:rsidR="00906AFB" w:rsidRPr="00906AFB" w:rsidTr="00906AFB">
        <w:trPr>
          <w:trHeight w:val="283"/>
        </w:trPr>
        <w:tc>
          <w:tcPr>
            <w:tcW w:w="284" w:type="dxa"/>
            <w:tcBorders>
              <w:top w:val="single" w:sz="4" w:space="0" w:color="auto"/>
              <w:left w:val="single" w:sz="4" w:space="0" w:color="auto"/>
              <w:bottom w:val="single" w:sz="4" w:space="0" w:color="auto"/>
              <w:right w:val="single" w:sz="4" w:space="0" w:color="auto"/>
            </w:tcBorders>
            <w:vAlign w:val="center"/>
          </w:tcPr>
          <w:p w:rsidR="00906AFB" w:rsidRPr="00906AFB" w:rsidRDefault="00906AFB" w:rsidP="00906AFB">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sz w:val="18"/>
                <w:szCs w:val="18"/>
              </w:rPr>
            </w:pPr>
            <w:r w:rsidRPr="00906AFB">
              <w:rPr>
                <w:rFonts w:ascii="Arial" w:hAnsi="Arial" w:cs="Arial"/>
                <w:sz w:val="18"/>
                <w:szCs w:val="18"/>
              </w:rPr>
              <w:t>6.1</w:t>
            </w:r>
          </w:p>
        </w:tc>
        <w:tc>
          <w:tcPr>
            <w:tcW w:w="4706"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18"/>
                <w:szCs w:val="18"/>
              </w:rPr>
            </w:pPr>
            <w:r w:rsidRPr="00906AFB">
              <w:rPr>
                <w:rFonts w:ascii="Arial" w:hAnsi="Arial" w:cs="Arial"/>
                <w:sz w:val="18"/>
                <w:szCs w:val="18"/>
              </w:rPr>
              <w:t>Educación Tecnológica</w:t>
            </w:r>
          </w:p>
        </w:tc>
        <w:tc>
          <w:tcPr>
            <w:tcW w:w="1389"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39,932,000</w:t>
            </w:r>
          </w:p>
        </w:tc>
        <w:tc>
          <w:tcPr>
            <w:tcW w:w="1417" w:type="dxa"/>
            <w:tcBorders>
              <w:top w:val="single" w:sz="4" w:space="0" w:color="auto"/>
              <w:left w:val="single" w:sz="4" w:space="0" w:color="auto"/>
              <w:bottom w:val="single" w:sz="4" w:space="0" w:color="auto"/>
              <w:right w:val="single" w:sz="4" w:space="0" w:color="auto"/>
            </w:tcBorders>
            <w:vAlign w:val="center"/>
          </w:tcPr>
          <w:p w:rsidR="00906AFB" w:rsidRPr="00906AFB" w:rsidRDefault="00906AFB" w:rsidP="00906AFB">
            <w:pPr>
              <w:jc w:val="right"/>
              <w:rPr>
                <w:rFonts w:ascii="Arial" w:hAnsi="Arial" w:cs="Arial"/>
                <w:sz w:val="18"/>
                <w:szCs w:val="18"/>
              </w:rPr>
            </w:pPr>
          </w:p>
        </w:tc>
      </w:tr>
      <w:tr w:rsidR="00906AFB" w:rsidRPr="00906AFB" w:rsidTr="00906AFB">
        <w:trPr>
          <w:trHeight w:val="283"/>
        </w:trPr>
        <w:tc>
          <w:tcPr>
            <w:tcW w:w="284" w:type="dxa"/>
            <w:tcBorders>
              <w:top w:val="single" w:sz="4" w:space="0" w:color="auto"/>
              <w:left w:val="single" w:sz="4" w:space="0" w:color="auto"/>
              <w:bottom w:val="single" w:sz="4" w:space="0" w:color="auto"/>
              <w:right w:val="single" w:sz="4" w:space="0" w:color="auto"/>
            </w:tcBorders>
            <w:vAlign w:val="center"/>
          </w:tcPr>
          <w:p w:rsidR="00906AFB" w:rsidRPr="00906AFB" w:rsidRDefault="00906AFB" w:rsidP="00906AFB">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sz w:val="18"/>
                <w:szCs w:val="18"/>
              </w:rPr>
            </w:pPr>
            <w:r w:rsidRPr="00906AFB">
              <w:rPr>
                <w:rFonts w:ascii="Arial" w:hAnsi="Arial" w:cs="Arial"/>
                <w:sz w:val="18"/>
                <w:szCs w:val="18"/>
              </w:rPr>
              <w:t>6.2</w:t>
            </w:r>
          </w:p>
        </w:tc>
        <w:tc>
          <w:tcPr>
            <w:tcW w:w="4706"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18"/>
                <w:szCs w:val="18"/>
              </w:rPr>
            </w:pPr>
            <w:r w:rsidRPr="00906AFB">
              <w:rPr>
                <w:rFonts w:ascii="Arial" w:hAnsi="Arial" w:cs="Arial"/>
                <w:sz w:val="18"/>
                <w:szCs w:val="18"/>
              </w:rPr>
              <w:t>Educación de Adultos</w:t>
            </w:r>
          </w:p>
        </w:tc>
        <w:tc>
          <w:tcPr>
            <w:tcW w:w="1389"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32,591,000</w:t>
            </w:r>
          </w:p>
        </w:tc>
        <w:tc>
          <w:tcPr>
            <w:tcW w:w="1417" w:type="dxa"/>
            <w:tcBorders>
              <w:top w:val="single" w:sz="4" w:space="0" w:color="auto"/>
              <w:left w:val="single" w:sz="4" w:space="0" w:color="auto"/>
              <w:bottom w:val="single" w:sz="4" w:space="0" w:color="auto"/>
              <w:right w:val="single" w:sz="4" w:space="0" w:color="auto"/>
            </w:tcBorders>
            <w:vAlign w:val="center"/>
          </w:tcPr>
          <w:p w:rsidR="00906AFB" w:rsidRPr="00906AFB" w:rsidRDefault="00906AFB" w:rsidP="00906AFB">
            <w:pPr>
              <w:jc w:val="right"/>
              <w:rPr>
                <w:rFonts w:ascii="Arial" w:hAnsi="Arial" w:cs="Arial"/>
                <w:sz w:val="18"/>
                <w:szCs w:val="18"/>
              </w:rPr>
            </w:pPr>
          </w:p>
        </w:tc>
      </w:tr>
      <w:tr w:rsidR="00906AFB" w:rsidRPr="00906AFB" w:rsidTr="00906AFB">
        <w:trPr>
          <w:trHeight w:val="283"/>
        </w:trPr>
        <w:tc>
          <w:tcPr>
            <w:tcW w:w="284"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b/>
                <w:sz w:val="18"/>
                <w:szCs w:val="18"/>
              </w:rPr>
            </w:pPr>
            <w:r w:rsidRPr="00906AFB">
              <w:rPr>
                <w:rFonts w:ascii="Arial" w:hAnsi="Arial" w:cs="Arial"/>
                <w:b/>
                <w:sz w:val="18"/>
                <w:szCs w:val="18"/>
              </w:rPr>
              <w:t>7</w:t>
            </w:r>
          </w:p>
        </w:tc>
        <w:tc>
          <w:tcPr>
            <w:tcW w:w="5273" w:type="dxa"/>
            <w:gridSpan w:val="2"/>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b/>
                <w:sz w:val="18"/>
                <w:szCs w:val="18"/>
              </w:rPr>
            </w:pPr>
            <w:r w:rsidRPr="00906AFB">
              <w:rPr>
                <w:rFonts w:ascii="Arial" w:hAnsi="Arial" w:cs="Arial"/>
                <w:b/>
                <w:sz w:val="18"/>
                <w:szCs w:val="18"/>
              </w:rPr>
              <w:t>Fondo de Aportaciones para la Seguridad Pública de los Estados y del Distrito Federal (FASP)</w:t>
            </w:r>
          </w:p>
        </w:tc>
        <w:tc>
          <w:tcPr>
            <w:tcW w:w="1389" w:type="dxa"/>
            <w:tcBorders>
              <w:top w:val="single" w:sz="4" w:space="0" w:color="auto"/>
              <w:left w:val="single" w:sz="4" w:space="0" w:color="auto"/>
              <w:bottom w:val="single" w:sz="4" w:space="0" w:color="auto"/>
              <w:right w:val="single" w:sz="4" w:space="0" w:color="auto"/>
            </w:tcBorders>
            <w:vAlign w:val="center"/>
          </w:tcPr>
          <w:p w:rsidR="00906AFB" w:rsidRPr="00906AFB" w:rsidRDefault="00906AFB" w:rsidP="00906AFB">
            <w:pPr>
              <w:jc w:val="right"/>
              <w:rPr>
                <w:rFonts w:ascii="Arial" w:hAnsi="Arial" w:cs="Arial"/>
                <w:b/>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b/>
                <w:sz w:val="18"/>
                <w:szCs w:val="18"/>
              </w:rPr>
            </w:pPr>
            <w:r w:rsidRPr="00906AFB">
              <w:rPr>
                <w:rFonts w:ascii="Arial" w:hAnsi="Arial" w:cs="Arial"/>
                <w:b/>
                <w:sz w:val="18"/>
                <w:szCs w:val="18"/>
              </w:rPr>
              <w:t>135,106,000</w:t>
            </w:r>
          </w:p>
        </w:tc>
      </w:tr>
      <w:tr w:rsidR="00906AFB" w:rsidRPr="00906AFB" w:rsidTr="00906AFB">
        <w:trPr>
          <w:trHeight w:val="283"/>
        </w:trPr>
        <w:tc>
          <w:tcPr>
            <w:tcW w:w="284"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b/>
                <w:sz w:val="18"/>
                <w:szCs w:val="18"/>
              </w:rPr>
            </w:pPr>
            <w:r w:rsidRPr="00906AFB">
              <w:rPr>
                <w:rFonts w:ascii="Arial" w:hAnsi="Arial" w:cs="Arial"/>
                <w:b/>
                <w:sz w:val="18"/>
                <w:szCs w:val="18"/>
              </w:rPr>
              <w:t>8</w:t>
            </w:r>
          </w:p>
        </w:tc>
        <w:tc>
          <w:tcPr>
            <w:tcW w:w="5273" w:type="dxa"/>
            <w:gridSpan w:val="2"/>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b/>
                <w:sz w:val="18"/>
                <w:szCs w:val="18"/>
              </w:rPr>
            </w:pPr>
            <w:r w:rsidRPr="00906AFB">
              <w:rPr>
                <w:rFonts w:ascii="Arial" w:hAnsi="Arial" w:cs="Arial"/>
                <w:b/>
                <w:sz w:val="18"/>
                <w:szCs w:val="18"/>
              </w:rPr>
              <w:t>Fondo de Aportaciones para el Fortalecimiento de las Entidades Federativas (FAFEF)</w:t>
            </w:r>
          </w:p>
        </w:tc>
        <w:tc>
          <w:tcPr>
            <w:tcW w:w="1389" w:type="dxa"/>
            <w:tcBorders>
              <w:top w:val="single" w:sz="4" w:space="0" w:color="auto"/>
              <w:left w:val="single" w:sz="4" w:space="0" w:color="auto"/>
              <w:bottom w:val="single" w:sz="4" w:space="0" w:color="auto"/>
              <w:right w:val="single" w:sz="4" w:space="0" w:color="auto"/>
            </w:tcBorders>
            <w:vAlign w:val="center"/>
          </w:tcPr>
          <w:p w:rsidR="00906AFB" w:rsidRPr="00906AFB" w:rsidRDefault="00906AFB" w:rsidP="00906AFB">
            <w:pPr>
              <w:jc w:val="right"/>
              <w:rPr>
                <w:rFonts w:ascii="Arial" w:hAnsi="Arial" w:cs="Arial"/>
                <w:b/>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b/>
                <w:sz w:val="18"/>
                <w:szCs w:val="18"/>
              </w:rPr>
            </w:pPr>
            <w:r w:rsidRPr="00906AFB">
              <w:rPr>
                <w:rFonts w:ascii="Arial" w:hAnsi="Arial" w:cs="Arial"/>
                <w:b/>
                <w:sz w:val="18"/>
                <w:szCs w:val="18"/>
              </w:rPr>
              <w:t>233,013,000</w:t>
            </w:r>
          </w:p>
        </w:tc>
      </w:tr>
      <w:tr w:rsidR="00906AFB" w:rsidRPr="00906AFB" w:rsidTr="00906AFB">
        <w:trPr>
          <w:trHeight w:val="283"/>
        </w:trPr>
        <w:tc>
          <w:tcPr>
            <w:tcW w:w="6946" w:type="dxa"/>
            <w:gridSpan w:val="4"/>
            <w:tcBorders>
              <w:top w:val="single" w:sz="4" w:space="0" w:color="auto"/>
              <w:left w:val="single" w:sz="4" w:space="0" w:color="auto"/>
              <w:bottom w:val="single" w:sz="4" w:space="0" w:color="auto"/>
              <w:right w:val="single" w:sz="4" w:space="0" w:color="auto"/>
            </w:tcBorders>
            <w:hideMark/>
          </w:tcPr>
          <w:p w:rsidR="00906AFB" w:rsidRPr="00906AFB" w:rsidRDefault="00906AFB" w:rsidP="00906AFB">
            <w:pPr>
              <w:jc w:val="center"/>
              <w:rPr>
                <w:rFonts w:ascii="Arial" w:hAnsi="Arial" w:cs="Arial"/>
                <w:b/>
                <w:sz w:val="18"/>
                <w:szCs w:val="18"/>
              </w:rPr>
            </w:pPr>
            <w:r w:rsidRPr="00906AFB">
              <w:rPr>
                <w:rFonts w:ascii="Arial" w:hAnsi="Arial" w:cs="Arial"/>
                <w:b/>
                <w:sz w:val="18"/>
                <w:szCs w:val="18"/>
              </w:rPr>
              <w:t>Total</w:t>
            </w:r>
          </w:p>
        </w:tc>
        <w:tc>
          <w:tcPr>
            <w:tcW w:w="141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b/>
                <w:sz w:val="18"/>
                <w:szCs w:val="18"/>
              </w:rPr>
            </w:pPr>
            <w:r w:rsidRPr="00906AFB">
              <w:rPr>
                <w:rFonts w:ascii="Arial" w:hAnsi="Arial" w:cs="Arial"/>
                <w:b/>
                <w:sz w:val="18"/>
                <w:szCs w:val="18"/>
              </w:rPr>
              <w:t>5,512,183,000</w:t>
            </w:r>
          </w:p>
        </w:tc>
      </w:tr>
    </w:tbl>
    <w:p w:rsidR="00906AFB" w:rsidRPr="00906AFB" w:rsidRDefault="00906AFB" w:rsidP="00906AFB">
      <w:pPr>
        <w:spacing w:after="0" w:line="240" w:lineRule="auto"/>
        <w:jc w:val="both"/>
        <w:rPr>
          <w:rFonts w:ascii="Arial" w:eastAsia="Calibri" w:hAnsi="Arial" w:cs="Arial"/>
          <w:b/>
          <w:sz w:val="24"/>
          <w:szCs w:val="24"/>
          <w:lang w:val="es-ES" w:eastAsia="en-US"/>
        </w:rPr>
      </w:pPr>
    </w:p>
    <w:p w:rsidR="00FD430F" w:rsidRDefault="00FD430F" w:rsidP="00FD430F">
      <w:pPr>
        <w:spacing w:line="240" w:lineRule="auto"/>
        <w:jc w:val="both"/>
        <w:rPr>
          <w:rFonts w:ascii="Arial" w:eastAsia="Calibri" w:hAnsi="Arial" w:cs="Arial"/>
          <w:b/>
          <w:sz w:val="24"/>
          <w:szCs w:val="24"/>
          <w:lang w:val="es-ES" w:eastAsia="en-US"/>
        </w:rPr>
      </w:pPr>
    </w:p>
    <w:p w:rsidR="00906AFB" w:rsidRDefault="00906AFB" w:rsidP="00FD430F">
      <w:pPr>
        <w:spacing w:line="240" w:lineRule="auto"/>
        <w:jc w:val="both"/>
        <w:rPr>
          <w:rFonts w:ascii="Arial" w:eastAsia="Calibri" w:hAnsi="Arial" w:cs="Arial"/>
          <w:sz w:val="24"/>
          <w:szCs w:val="24"/>
          <w:lang w:val="es-ES" w:eastAsia="en-US"/>
        </w:rPr>
      </w:pPr>
      <w:r w:rsidRPr="00906AFB">
        <w:rPr>
          <w:rFonts w:ascii="Arial" w:eastAsia="Calibri" w:hAnsi="Arial" w:cs="Arial"/>
          <w:b/>
          <w:sz w:val="24"/>
          <w:szCs w:val="24"/>
          <w:lang w:val="es-ES" w:eastAsia="en-US"/>
        </w:rPr>
        <w:t>Artículo 45</w:t>
      </w:r>
      <w:r w:rsidRPr="00906AFB">
        <w:rPr>
          <w:rFonts w:ascii="Arial" w:eastAsia="Calibri" w:hAnsi="Arial" w:cs="Arial"/>
          <w:sz w:val="24"/>
          <w:szCs w:val="24"/>
          <w:lang w:val="es-ES" w:eastAsia="en-US"/>
        </w:rPr>
        <w:t>. La aplicación, destino y distribución estimada de los recursos provenientes del Ramo 33 Aportaciones Federales para Entidades Federativas y Municipios se desglosan de la siguiente manera:</w:t>
      </w:r>
    </w:p>
    <w:p w:rsidR="00FD430F" w:rsidRDefault="00FD430F">
      <w:pPr>
        <w:rPr>
          <w:rFonts w:ascii="Arial" w:eastAsia="Calibri" w:hAnsi="Arial" w:cs="Arial"/>
          <w:sz w:val="24"/>
          <w:szCs w:val="24"/>
          <w:lang w:val="es-ES" w:eastAsia="en-US"/>
        </w:rPr>
      </w:pPr>
      <w:r>
        <w:rPr>
          <w:rFonts w:ascii="Arial" w:eastAsia="Calibri" w:hAnsi="Arial" w:cs="Arial"/>
          <w:sz w:val="24"/>
          <w:szCs w:val="24"/>
          <w:lang w:val="es-ES" w:eastAsia="en-US"/>
        </w:rPr>
        <w:br w:type="page"/>
      </w:r>
    </w:p>
    <w:p w:rsidR="00FD430F" w:rsidRPr="00906AFB" w:rsidRDefault="00FD430F" w:rsidP="00FD430F">
      <w:pPr>
        <w:spacing w:line="240" w:lineRule="auto"/>
        <w:jc w:val="both"/>
        <w:rPr>
          <w:rFonts w:ascii="Arial" w:eastAsia="Calibri" w:hAnsi="Arial" w:cs="Arial"/>
          <w:sz w:val="24"/>
          <w:szCs w:val="24"/>
          <w:lang w:val="es-ES" w:eastAsia="en-US"/>
        </w:rPr>
      </w:pPr>
    </w:p>
    <w:p w:rsidR="00906AFB" w:rsidRPr="00906AFB" w:rsidRDefault="00723C49" w:rsidP="00906AFB">
      <w:pPr>
        <w:keepNext/>
        <w:keepLines/>
        <w:spacing w:after="0" w:line="240" w:lineRule="auto"/>
        <w:jc w:val="center"/>
        <w:outlineLvl w:val="1"/>
        <w:rPr>
          <w:rFonts w:ascii="Arial" w:eastAsia="Times New Roman" w:hAnsi="Arial" w:cs="Times New Roman"/>
          <w:b/>
          <w:sz w:val="20"/>
          <w:szCs w:val="26"/>
          <w:lang w:val="es-ES" w:eastAsia="en-US"/>
        </w:rPr>
      </w:pPr>
      <w:r>
        <w:rPr>
          <w:rFonts w:ascii="Arial" w:eastAsia="Times New Roman" w:hAnsi="Arial" w:cs="Times New Roman"/>
          <w:b/>
          <w:sz w:val="20"/>
          <w:szCs w:val="26"/>
          <w:lang w:val="es-ES" w:eastAsia="en-US"/>
        </w:rPr>
        <w:t xml:space="preserve">Tabla </w:t>
      </w:r>
      <w:r w:rsidR="00CF4172">
        <w:rPr>
          <w:rFonts w:ascii="Arial" w:eastAsia="Times New Roman" w:hAnsi="Arial" w:cs="Times New Roman"/>
          <w:b/>
          <w:sz w:val="20"/>
          <w:szCs w:val="26"/>
          <w:lang w:val="es-ES" w:eastAsia="en-US"/>
        </w:rPr>
        <w:t>50</w:t>
      </w:r>
      <w:r w:rsidR="00906AFB" w:rsidRPr="00906AFB">
        <w:rPr>
          <w:rFonts w:ascii="Arial" w:eastAsia="Times New Roman" w:hAnsi="Arial" w:cs="Times New Roman"/>
          <w:b/>
          <w:sz w:val="20"/>
          <w:szCs w:val="26"/>
          <w:lang w:val="es-ES" w:eastAsia="en-US"/>
        </w:rPr>
        <w:t>. Aplicación Estimada de las Aportaciones del Ramo 33</w:t>
      </w:r>
    </w:p>
    <w:tbl>
      <w:tblPr>
        <w:tblStyle w:val="Tablaconcuadrcula2"/>
        <w:tblW w:w="0" w:type="auto"/>
        <w:tblInd w:w="0" w:type="dxa"/>
        <w:tblLook w:val="04A0" w:firstRow="1" w:lastRow="0" w:firstColumn="1" w:lastColumn="0" w:noHBand="0" w:noVBand="1"/>
      </w:tblPr>
      <w:tblGrid>
        <w:gridCol w:w="817"/>
        <w:gridCol w:w="6614"/>
        <w:gridCol w:w="1289"/>
      </w:tblGrid>
      <w:tr w:rsidR="00906AFB" w:rsidRPr="00906AFB" w:rsidTr="00CF4172">
        <w:trPr>
          <w:trHeight w:val="283"/>
        </w:trPr>
        <w:tc>
          <w:tcPr>
            <w:tcW w:w="81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center"/>
              <w:rPr>
                <w:rFonts w:ascii="Arial" w:hAnsi="Arial" w:cs="Arial"/>
                <w:b/>
                <w:bCs/>
                <w:sz w:val="16"/>
                <w:szCs w:val="16"/>
              </w:rPr>
            </w:pPr>
            <w:r w:rsidRPr="00906AFB">
              <w:rPr>
                <w:rFonts w:ascii="Arial" w:hAnsi="Arial" w:cs="Arial"/>
                <w:b/>
                <w:bCs/>
                <w:sz w:val="16"/>
                <w:szCs w:val="16"/>
              </w:rPr>
              <w:t>5101-17</w:t>
            </w:r>
          </w:p>
        </w:tc>
        <w:tc>
          <w:tcPr>
            <w:tcW w:w="661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rPr>
                <w:rFonts w:ascii="Arial" w:hAnsi="Arial" w:cs="Arial"/>
                <w:b/>
                <w:bCs/>
                <w:sz w:val="16"/>
                <w:szCs w:val="16"/>
              </w:rPr>
            </w:pPr>
            <w:r w:rsidRPr="00906AFB">
              <w:rPr>
                <w:rFonts w:ascii="Arial" w:hAnsi="Arial" w:cs="Arial"/>
                <w:b/>
                <w:bCs/>
                <w:sz w:val="16"/>
                <w:szCs w:val="16"/>
              </w:rPr>
              <w:t>Fondo de Aportaciones para la Nómina y el Gasto Operativo (FONE)</w:t>
            </w:r>
          </w:p>
        </w:tc>
        <w:tc>
          <w:tcPr>
            <w:tcW w:w="128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right"/>
              <w:rPr>
                <w:rFonts w:ascii="Arial" w:hAnsi="Arial" w:cs="Arial"/>
                <w:b/>
                <w:bCs/>
                <w:sz w:val="16"/>
                <w:szCs w:val="16"/>
              </w:rPr>
            </w:pPr>
            <w:r w:rsidRPr="00906AFB">
              <w:rPr>
                <w:rFonts w:ascii="Arial" w:hAnsi="Arial" w:cs="Arial"/>
                <w:b/>
                <w:bCs/>
                <w:sz w:val="16"/>
                <w:szCs w:val="16"/>
              </w:rPr>
              <w:t xml:space="preserve">3,027,365,000 </w:t>
            </w:r>
          </w:p>
        </w:tc>
      </w:tr>
      <w:tr w:rsidR="00906AFB" w:rsidRPr="00906AFB" w:rsidTr="00CF4172">
        <w:trPr>
          <w:trHeight w:val="283"/>
        </w:trPr>
        <w:tc>
          <w:tcPr>
            <w:tcW w:w="81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center"/>
              <w:rPr>
                <w:rFonts w:ascii="Arial" w:hAnsi="Arial" w:cs="Arial"/>
                <w:sz w:val="16"/>
                <w:szCs w:val="16"/>
              </w:rPr>
            </w:pPr>
            <w:r w:rsidRPr="00906AFB">
              <w:rPr>
                <w:rFonts w:ascii="Arial" w:hAnsi="Arial" w:cs="Arial"/>
                <w:sz w:val="16"/>
                <w:szCs w:val="16"/>
              </w:rPr>
              <w:t>63AS01</w:t>
            </w:r>
          </w:p>
        </w:tc>
        <w:tc>
          <w:tcPr>
            <w:tcW w:w="661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rPr>
                <w:rFonts w:ascii="Arial" w:hAnsi="Arial" w:cs="Arial"/>
                <w:sz w:val="16"/>
                <w:szCs w:val="16"/>
              </w:rPr>
            </w:pPr>
            <w:r w:rsidRPr="00906AFB">
              <w:rPr>
                <w:rFonts w:ascii="Arial" w:hAnsi="Arial" w:cs="Arial"/>
                <w:sz w:val="16"/>
                <w:szCs w:val="16"/>
              </w:rPr>
              <w:t>Operación del programa de educación inicial escolarizado (CENDIS)</w:t>
            </w:r>
          </w:p>
        </w:tc>
        <w:tc>
          <w:tcPr>
            <w:tcW w:w="128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right"/>
              <w:rPr>
                <w:rFonts w:ascii="Arial" w:hAnsi="Arial" w:cs="Arial"/>
                <w:sz w:val="16"/>
                <w:szCs w:val="16"/>
              </w:rPr>
            </w:pPr>
            <w:r w:rsidRPr="00906AFB">
              <w:rPr>
                <w:rFonts w:ascii="Arial" w:hAnsi="Arial" w:cs="Arial"/>
                <w:sz w:val="16"/>
                <w:szCs w:val="16"/>
              </w:rPr>
              <w:t xml:space="preserve">34,800,000 </w:t>
            </w:r>
          </w:p>
        </w:tc>
      </w:tr>
      <w:tr w:rsidR="00906AFB" w:rsidRPr="00906AFB" w:rsidTr="00CF4172">
        <w:trPr>
          <w:trHeight w:val="283"/>
        </w:trPr>
        <w:tc>
          <w:tcPr>
            <w:tcW w:w="81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center"/>
              <w:rPr>
                <w:rFonts w:ascii="Arial" w:hAnsi="Arial" w:cs="Arial"/>
                <w:sz w:val="16"/>
                <w:szCs w:val="16"/>
              </w:rPr>
            </w:pPr>
            <w:r w:rsidRPr="00906AFB">
              <w:rPr>
                <w:rFonts w:ascii="Arial" w:hAnsi="Arial" w:cs="Arial"/>
                <w:sz w:val="16"/>
                <w:szCs w:val="16"/>
              </w:rPr>
              <w:t>63AS02</w:t>
            </w:r>
          </w:p>
        </w:tc>
        <w:tc>
          <w:tcPr>
            <w:tcW w:w="661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rPr>
                <w:rFonts w:ascii="Arial" w:hAnsi="Arial" w:cs="Arial"/>
                <w:sz w:val="16"/>
                <w:szCs w:val="16"/>
              </w:rPr>
            </w:pPr>
            <w:r w:rsidRPr="00906AFB">
              <w:rPr>
                <w:rFonts w:ascii="Arial" w:hAnsi="Arial" w:cs="Arial"/>
                <w:sz w:val="16"/>
                <w:szCs w:val="16"/>
              </w:rPr>
              <w:t>Operación del programa de educación inicial no escolarizada</w:t>
            </w:r>
          </w:p>
        </w:tc>
        <w:tc>
          <w:tcPr>
            <w:tcW w:w="128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right"/>
              <w:rPr>
                <w:rFonts w:ascii="Arial" w:hAnsi="Arial" w:cs="Arial"/>
                <w:sz w:val="16"/>
                <w:szCs w:val="16"/>
              </w:rPr>
            </w:pPr>
            <w:r w:rsidRPr="00906AFB">
              <w:rPr>
                <w:rFonts w:ascii="Arial" w:hAnsi="Arial" w:cs="Arial"/>
                <w:sz w:val="16"/>
                <w:szCs w:val="16"/>
              </w:rPr>
              <w:t xml:space="preserve">21,650,000 </w:t>
            </w:r>
          </w:p>
        </w:tc>
      </w:tr>
      <w:tr w:rsidR="00906AFB" w:rsidRPr="00906AFB" w:rsidTr="00CF4172">
        <w:trPr>
          <w:trHeight w:val="283"/>
        </w:trPr>
        <w:tc>
          <w:tcPr>
            <w:tcW w:w="81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center"/>
              <w:rPr>
                <w:rFonts w:ascii="Arial" w:hAnsi="Arial" w:cs="Arial"/>
                <w:sz w:val="16"/>
                <w:szCs w:val="16"/>
              </w:rPr>
            </w:pPr>
            <w:r w:rsidRPr="00906AFB">
              <w:rPr>
                <w:rFonts w:ascii="Arial" w:hAnsi="Arial" w:cs="Arial"/>
                <w:sz w:val="16"/>
                <w:szCs w:val="16"/>
              </w:rPr>
              <w:t>64BS01</w:t>
            </w:r>
          </w:p>
        </w:tc>
        <w:tc>
          <w:tcPr>
            <w:tcW w:w="661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rPr>
                <w:rFonts w:ascii="Arial" w:hAnsi="Arial" w:cs="Arial"/>
                <w:sz w:val="16"/>
                <w:szCs w:val="16"/>
              </w:rPr>
            </w:pPr>
            <w:r w:rsidRPr="00906AFB">
              <w:rPr>
                <w:rFonts w:ascii="Arial" w:hAnsi="Arial" w:cs="Arial"/>
                <w:sz w:val="16"/>
                <w:szCs w:val="16"/>
              </w:rPr>
              <w:t>Libros de texto gratuito proporcionados a los alumnos de secundarias generales técnicas y telesecundaria</w:t>
            </w:r>
          </w:p>
        </w:tc>
        <w:tc>
          <w:tcPr>
            <w:tcW w:w="128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right"/>
              <w:rPr>
                <w:rFonts w:ascii="Arial" w:hAnsi="Arial" w:cs="Arial"/>
                <w:sz w:val="16"/>
                <w:szCs w:val="16"/>
              </w:rPr>
            </w:pPr>
            <w:r w:rsidRPr="00906AFB">
              <w:rPr>
                <w:rFonts w:ascii="Arial" w:hAnsi="Arial" w:cs="Arial"/>
                <w:sz w:val="16"/>
                <w:szCs w:val="16"/>
              </w:rPr>
              <w:t xml:space="preserve">1,700,000 </w:t>
            </w:r>
          </w:p>
        </w:tc>
      </w:tr>
      <w:tr w:rsidR="00906AFB" w:rsidRPr="00906AFB" w:rsidTr="00CF4172">
        <w:trPr>
          <w:trHeight w:val="283"/>
        </w:trPr>
        <w:tc>
          <w:tcPr>
            <w:tcW w:w="81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center"/>
              <w:rPr>
                <w:rFonts w:ascii="Arial" w:hAnsi="Arial" w:cs="Arial"/>
                <w:sz w:val="16"/>
                <w:szCs w:val="16"/>
              </w:rPr>
            </w:pPr>
            <w:r w:rsidRPr="00906AFB">
              <w:rPr>
                <w:rFonts w:ascii="Arial" w:hAnsi="Arial" w:cs="Arial"/>
                <w:sz w:val="16"/>
                <w:szCs w:val="16"/>
              </w:rPr>
              <w:t>64BS02</w:t>
            </w:r>
          </w:p>
        </w:tc>
        <w:tc>
          <w:tcPr>
            <w:tcW w:w="661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rPr>
                <w:rFonts w:ascii="Arial" w:hAnsi="Arial" w:cs="Arial"/>
                <w:sz w:val="16"/>
                <w:szCs w:val="16"/>
              </w:rPr>
            </w:pPr>
            <w:r w:rsidRPr="00906AFB">
              <w:rPr>
                <w:rFonts w:ascii="Arial" w:hAnsi="Arial" w:cs="Arial"/>
                <w:sz w:val="16"/>
                <w:szCs w:val="16"/>
              </w:rPr>
              <w:t>Operación del programa E-3 (arraigo del maestro en el medio rural)</w:t>
            </w:r>
          </w:p>
        </w:tc>
        <w:tc>
          <w:tcPr>
            <w:tcW w:w="128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right"/>
              <w:rPr>
                <w:rFonts w:ascii="Arial" w:hAnsi="Arial" w:cs="Arial"/>
                <w:sz w:val="16"/>
                <w:szCs w:val="16"/>
              </w:rPr>
            </w:pPr>
            <w:r w:rsidRPr="00906AFB">
              <w:rPr>
                <w:rFonts w:ascii="Arial" w:hAnsi="Arial" w:cs="Arial"/>
                <w:sz w:val="16"/>
                <w:szCs w:val="16"/>
              </w:rPr>
              <w:t xml:space="preserve">13,920,000 </w:t>
            </w:r>
          </w:p>
        </w:tc>
      </w:tr>
      <w:tr w:rsidR="00906AFB" w:rsidRPr="00906AFB" w:rsidTr="00CF4172">
        <w:trPr>
          <w:trHeight w:val="283"/>
        </w:trPr>
        <w:tc>
          <w:tcPr>
            <w:tcW w:w="81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center"/>
              <w:rPr>
                <w:rFonts w:ascii="Arial" w:hAnsi="Arial" w:cs="Arial"/>
                <w:sz w:val="16"/>
                <w:szCs w:val="16"/>
              </w:rPr>
            </w:pPr>
            <w:r w:rsidRPr="00906AFB">
              <w:rPr>
                <w:rFonts w:ascii="Arial" w:hAnsi="Arial" w:cs="Arial"/>
                <w:sz w:val="16"/>
                <w:szCs w:val="16"/>
              </w:rPr>
              <w:t>64BS03</w:t>
            </w:r>
          </w:p>
        </w:tc>
        <w:tc>
          <w:tcPr>
            <w:tcW w:w="661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rPr>
                <w:rFonts w:ascii="Arial" w:hAnsi="Arial" w:cs="Arial"/>
                <w:sz w:val="16"/>
                <w:szCs w:val="16"/>
              </w:rPr>
            </w:pPr>
            <w:r w:rsidRPr="00906AFB">
              <w:rPr>
                <w:rFonts w:ascii="Arial" w:hAnsi="Arial" w:cs="Arial"/>
                <w:sz w:val="16"/>
                <w:szCs w:val="16"/>
              </w:rPr>
              <w:t>Operación del programa mantenimiento de los espacios educativos.</w:t>
            </w:r>
          </w:p>
        </w:tc>
        <w:tc>
          <w:tcPr>
            <w:tcW w:w="128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right"/>
              <w:rPr>
                <w:rFonts w:ascii="Arial" w:hAnsi="Arial" w:cs="Arial"/>
                <w:sz w:val="16"/>
                <w:szCs w:val="16"/>
              </w:rPr>
            </w:pPr>
            <w:r w:rsidRPr="00906AFB">
              <w:rPr>
                <w:rFonts w:ascii="Arial" w:hAnsi="Arial" w:cs="Arial"/>
                <w:sz w:val="16"/>
                <w:szCs w:val="16"/>
              </w:rPr>
              <w:t xml:space="preserve">6,000,000 </w:t>
            </w:r>
          </w:p>
        </w:tc>
      </w:tr>
      <w:tr w:rsidR="00906AFB" w:rsidRPr="00906AFB" w:rsidTr="00CF4172">
        <w:trPr>
          <w:trHeight w:val="283"/>
        </w:trPr>
        <w:tc>
          <w:tcPr>
            <w:tcW w:w="81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center"/>
              <w:rPr>
                <w:rFonts w:ascii="Arial" w:hAnsi="Arial" w:cs="Arial"/>
                <w:sz w:val="16"/>
                <w:szCs w:val="16"/>
              </w:rPr>
            </w:pPr>
            <w:r w:rsidRPr="00906AFB">
              <w:rPr>
                <w:rFonts w:ascii="Arial" w:hAnsi="Arial" w:cs="Arial"/>
                <w:sz w:val="16"/>
                <w:szCs w:val="16"/>
              </w:rPr>
              <w:t>64BS04</w:t>
            </w:r>
          </w:p>
        </w:tc>
        <w:tc>
          <w:tcPr>
            <w:tcW w:w="661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rPr>
                <w:rFonts w:ascii="Arial" w:hAnsi="Arial" w:cs="Arial"/>
                <w:sz w:val="16"/>
                <w:szCs w:val="16"/>
              </w:rPr>
            </w:pPr>
            <w:r w:rsidRPr="00906AFB">
              <w:rPr>
                <w:rFonts w:ascii="Arial" w:hAnsi="Arial" w:cs="Arial"/>
                <w:sz w:val="16"/>
                <w:szCs w:val="16"/>
              </w:rPr>
              <w:t>Operación del programa redes (reconocimiento al desempeño docente)</w:t>
            </w:r>
          </w:p>
        </w:tc>
        <w:tc>
          <w:tcPr>
            <w:tcW w:w="128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right"/>
              <w:rPr>
                <w:rFonts w:ascii="Arial" w:hAnsi="Arial" w:cs="Arial"/>
                <w:sz w:val="16"/>
                <w:szCs w:val="16"/>
              </w:rPr>
            </w:pPr>
            <w:r w:rsidRPr="00906AFB">
              <w:rPr>
                <w:rFonts w:ascii="Arial" w:hAnsi="Arial" w:cs="Arial"/>
                <w:sz w:val="16"/>
                <w:szCs w:val="16"/>
              </w:rPr>
              <w:t xml:space="preserve">600,000 </w:t>
            </w:r>
          </w:p>
        </w:tc>
      </w:tr>
      <w:tr w:rsidR="00906AFB" w:rsidRPr="00906AFB" w:rsidTr="00CF4172">
        <w:trPr>
          <w:trHeight w:val="283"/>
        </w:trPr>
        <w:tc>
          <w:tcPr>
            <w:tcW w:w="81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center"/>
              <w:rPr>
                <w:rFonts w:ascii="Arial" w:hAnsi="Arial" w:cs="Arial"/>
                <w:sz w:val="16"/>
                <w:szCs w:val="16"/>
              </w:rPr>
            </w:pPr>
            <w:r w:rsidRPr="00906AFB">
              <w:rPr>
                <w:rFonts w:ascii="Arial" w:hAnsi="Arial" w:cs="Arial"/>
                <w:sz w:val="16"/>
                <w:szCs w:val="16"/>
              </w:rPr>
              <w:t>64BS11</w:t>
            </w:r>
          </w:p>
        </w:tc>
        <w:tc>
          <w:tcPr>
            <w:tcW w:w="661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rPr>
                <w:rFonts w:ascii="Arial" w:hAnsi="Arial" w:cs="Arial"/>
                <w:sz w:val="16"/>
                <w:szCs w:val="16"/>
              </w:rPr>
            </w:pPr>
            <w:r w:rsidRPr="00906AFB">
              <w:rPr>
                <w:rFonts w:ascii="Arial" w:hAnsi="Arial" w:cs="Arial"/>
                <w:sz w:val="16"/>
                <w:szCs w:val="16"/>
              </w:rPr>
              <w:t>Operación del programa pintando mejoramos nuestra escuela</w:t>
            </w:r>
          </w:p>
        </w:tc>
        <w:tc>
          <w:tcPr>
            <w:tcW w:w="128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right"/>
              <w:rPr>
                <w:rFonts w:ascii="Arial" w:hAnsi="Arial" w:cs="Arial"/>
                <w:sz w:val="16"/>
                <w:szCs w:val="16"/>
              </w:rPr>
            </w:pPr>
            <w:r w:rsidRPr="00906AFB">
              <w:rPr>
                <w:rFonts w:ascii="Arial" w:hAnsi="Arial" w:cs="Arial"/>
                <w:sz w:val="16"/>
                <w:szCs w:val="16"/>
              </w:rPr>
              <w:t xml:space="preserve">1,200,000 </w:t>
            </w:r>
          </w:p>
        </w:tc>
      </w:tr>
      <w:tr w:rsidR="00906AFB" w:rsidRPr="00906AFB" w:rsidTr="00CF4172">
        <w:trPr>
          <w:trHeight w:val="283"/>
        </w:trPr>
        <w:tc>
          <w:tcPr>
            <w:tcW w:w="81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center"/>
              <w:rPr>
                <w:rFonts w:ascii="Arial" w:hAnsi="Arial" w:cs="Arial"/>
                <w:sz w:val="16"/>
                <w:szCs w:val="16"/>
              </w:rPr>
            </w:pPr>
            <w:r w:rsidRPr="00906AFB">
              <w:rPr>
                <w:rFonts w:ascii="Arial" w:hAnsi="Arial" w:cs="Arial"/>
                <w:sz w:val="16"/>
                <w:szCs w:val="16"/>
              </w:rPr>
              <w:t>64BS12</w:t>
            </w:r>
          </w:p>
        </w:tc>
        <w:tc>
          <w:tcPr>
            <w:tcW w:w="661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rPr>
                <w:rFonts w:ascii="Arial" w:hAnsi="Arial" w:cs="Arial"/>
                <w:sz w:val="16"/>
                <w:szCs w:val="16"/>
              </w:rPr>
            </w:pPr>
            <w:r w:rsidRPr="00906AFB">
              <w:rPr>
                <w:rFonts w:ascii="Arial" w:hAnsi="Arial" w:cs="Arial"/>
                <w:sz w:val="16"/>
                <w:szCs w:val="16"/>
              </w:rPr>
              <w:t>Operación del servicio de educación básica otorgada a la población de jóvenes y adultos (CEDEX).</w:t>
            </w:r>
          </w:p>
        </w:tc>
        <w:tc>
          <w:tcPr>
            <w:tcW w:w="128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right"/>
              <w:rPr>
                <w:rFonts w:ascii="Arial" w:hAnsi="Arial" w:cs="Arial"/>
                <w:sz w:val="16"/>
                <w:szCs w:val="16"/>
              </w:rPr>
            </w:pPr>
            <w:r w:rsidRPr="00906AFB">
              <w:rPr>
                <w:rFonts w:ascii="Arial" w:hAnsi="Arial" w:cs="Arial"/>
                <w:sz w:val="16"/>
                <w:szCs w:val="16"/>
              </w:rPr>
              <w:t xml:space="preserve">8,450,000 </w:t>
            </w:r>
          </w:p>
        </w:tc>
      </w:tr>
      <w:tr w:rsidR="00906AFB" w:rsidRPr="00906AFB" w:rsidTr="00CF4172">
        <w:trPr>
          <w:trHeight w:val="283"/>
        </w:trPr>
        <w:tc>
          <w:tcPr>
            <w:tcW w:w="81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center"/>
              <w:rPr>
                <w:rFonts w:ascii="Arial" w:hAnsi="Arial" w:cs="Arial"/>
                <w:sz w:val="16"/>
                <w:szCs w:val="16"/>
              </w:rPr>
            </w:pPr>
            <w:r w:rsidRPr="00906AFB">
              <w:rPr>
                <w:rFonts w:ascii="Arial" w:hAnsi="Arial" w:cs="Arial"/>
                <w:sz w:val="16"/>
                <w:szCs w:val="16"/>
              </w:rPr>
              <w:t>64BS13</w:t>
            </w:r>
          </w:p>
        </w:tc>
        <w:tc>
          <w:tcPr>
            <w:tcW w:w="661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rPr>
                <w:rFonts w:ascii="Arial" w:hAnsi="Arial" w:cs="Arial"/>
                <w:sz w:val="16"/>
                <w:szCs w:val="16"/>
              </w:rPr>
            </w:pPr>
            <w:r w:rsidRPr="00906AFB">
              <w:rPr>
                <w:rFonts w:ascii="Arial" w:hAnsi="Arial" w:cs="Arial"/>
                <w:sz w:val="16"/>
                <w:szCs w:val="16"/>
              </w:rPr>
              <w:t>Operación del servicio de educación especial en escuelas federalizadas de educación básica</w:t>
            </w:r>
          </w:p>
        </w:tc>
        <w:tc>
          <w:tcPr>
            <w:tcW w:w="128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right"/>
              <w:rPr>
                <w:rFonts w:ascii="Arial" w:hAnsi="Arial" w:cs="Arial"/>
                <w:sz w:val="16"/>
                <w:szCs w:val="16"/>
              </w:rPr>
            </w:pPr>
            <w:r w:rsidRPr="00906AFB">
              <w:rPr>
                <w:rFonts w:ascii="Arial" w:hAnsi="Arial" w:cs="Arial"/>
                <w:sz w:val="16"/>
                <w:szCs w:val="16"/>
              </w:rPr>
              <w:t xml:space="preserve">179,400,000 </w:t>
            </w:r>
          </w:p>
        </w:tc>
      </w:tr>
      <w:tr w:rsidR="00906AFB" w:rsidRPr="00906AFB" w:rsidTr="00CF4172">
        <w:trPr>
          <w:trHeight w:val="283"/>
        </w:trPr>
        <w:tc>
          <w:tcPr>
            <w:tcW w:w="81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center"/>
              <w:rPr>
                <w:rFonts w:ascii="Arial" w:hAnsi="Arial" w:cs="Arial"/>
                <w:sz w:val="16"/>
                <w:szCs w:val="16"/>
              </w:rPr>
            </w:pPr>
            <w:r w:rsidRPr="00906AFB">
              <w:rPr>
                <w:rFonts w:ascii="Arial" w:hAnsi="Arial" w:cs="Arial"/>
                <w:sz w:val="16"/>
                <w:szCs w:val="16"/>
              </w:rPr>
              <w:t>64BS14</w:t>
            </w:r>
          </w:p>
        </w:tc>
        <w:tc>
          <w:tcPr>
            <w:tcW w:w="661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rPr>
                <w:rFonts w:ascii="Arial" w:hAnsi="Arial" w:cs="Arial"/>
                <w:sz w:val="16"/>
                <w:szCs w:val="16"/>
              </w:rPr>
            </w:pPr>
            <w:r w:rsidRPr="00906AFB">
              <w:rPr>
                <w:rFonts w:ascii="Arial" w:hAnsi="Arial" w:cs="Arial"/>
                <w:sz w:val="16"/>
                <w:szCs w:val="16"/>
              </w:rPr>
              <w:t>Operación del servicio de educación física en educación básica</w:t>
            </w:r>
          </w:p>
        </w:tc>
        <w:tc>
          <w:tcPr>
            <w:tcW w:w="128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right"/>
              <w:rPr>
                <w:rFonts w:ascii="Arial" w:hAnsi="Arial" w:cs="Arial"/>
                <w:sz w:val="16"/>
                <w:szCs w:val="16"/>
              </w:rPr>
            </w:pPr>
            <w:r w:rsidRPr="00906AFB">
              <w:rPr>
                <w:rFonts w:ascii="Arial" w:hAnsi="Arial" w:cs="Arial"/>
                <w:sz w:val="16"/>
                <w:szCs w:val="16"/>
              </w:rPr>
              <w:t xml:space="preserve">114,500,000 </w:t>
            </w:r>
          </w:p>
        </w:tc>
      </w:tr>
      <w:tr w:rsidR="00906AFB" w:rsidRPr="00906AFB" w:rsidTr="00CF4172">
        <w:trPr>
          <w:trHeight w:val="283"/>
        </w:trPr>
        <w:tc>
          <w:tcPr>
            <w:tcW w:w="81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center"/>
              <w:rPr>
                <w:rFonts w:ascii="Arial" w:hAnsi="Arial" w:cs="Arial"/>
                <w:sz w:val="16"/>
                <w:szCs w:val="16"/>
              </w:rPr>
            </w:pPr>
            <w:r w:rsidRPr="00906AFB">
              <w:rPr>
                <w:rFonts w:ascii="Arial" w:hAnsi="Arial" w:cs="Arial"/>
                <w:sz w:val="16"/>
                <w:szCs w:val="16"/>
              </w:rPr>
              <w:t>64BS15</w:t>
            </w:r>
          </w:p>
        </w:tc>
        <w:tc>
          <w:tcPr>
            <w:tcW w:w="661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rPr>
                <w:rFonts w:ascii="Arial" w:hAnsi="Arial" w:cs="Arial"/>
                <w:sz w:val="16"/>
                <w:szCs w:val="16"/>
              </w:rPr>
            </w:pPr>
            <w:r w:rsidRPr="00906AFB">
              <w:rPr>
                <w:rFonts w:ascii="Arial" w:hAnsi="Arial" w:cs="Arial"/>
                <w:sz w:val="16"/>
                <w:szCs w:val="16"/>
              </w:rPr>
              <w:t>Operación del servicio de educación preescolar federalizado</w:t>
            </w:r>
          </w:p>
        </w:tc>
        <w:tc>
          <w:tcPr>
            <w:tcW w:w="128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right"/>
              <w:rPr>
                <w:rFonts w:ascii="Arial" w:hAnsi="Arial" w:cs="Arial"/>
                <w:sz w:val="16"/>
                <w:szCs w:val="16"/>
              </w:rPr>
            </w:pPr>
            <w:r w:rsidRPr="00906AFB">
              <w:rPr>
                <w:rFonts w:ascii="Arial" w:hAnsi="Arial" w:cs="Arial"/>
                <w:sz w:val="16"/>
                <w:szCs w:val="16"/>
              </w:rPr>
              <w:t xml:space="preserve">323,400,000 </w:t>
            </w:r>
          </w:p>
        </w:tc>
      </w:tr>
      <w:tr w:rsidR="00906AFB" w:rsidRPr="00906AFB" w:rsidTr="00CF4172">
        <w:trPr>
          <w:trHeight w:val="283"/>
        </w:trPr>
        <w:tc>
          <w:tcPr>
            <w:tcW w:w="81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center"/>
              <w:rPr>
                <w:rFonts w:ascii="Arial" w:hAnsi="Arial" w:cs="Arial"/>
                <w:sz w:val="16"/>
                <w:szCs w:val="16"/>
              </w:rPr>
            </w:pPr>
            <w:r w:rsidRPr="00906AFB">
              <w:rPr>
                <w:rFonts w:ascii="Arial" w:hAnsi="Arial" w:cs="Arial"/>
                <w:sz w:val="16"/>
                <w:szCs w:val="16"/>
              </w:rPr>
              <w:t>64BS16</w:t>
            </w:r>
          </w:p>
        </w:tc>
        <w:tc>
          <w:tcPr>
            <w:tcW w:w="661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rPr>
                <w:rFonts w:ascii="Arial" w:hAnsi="Arial" w:cs="Arial"/>
                <w:sz w:val="16"/>
                <w:szCs w:val="16"/>
              </w:rPr>
            </w:pPr>
            <w:r w:rsidRPr="00906AFB">
              <w:rPr>
                <w:rFonts w:ascii="Arial" w:hAnsi="Arial" w:cs="Arial"/>
                <w:sz w:val="16"/>
                <w:szCs w:val="16"/>
              </w:rPr>
              <w:t>Operación del servicio de secundaria general federalizada a la población de 12 a 15 años</w:t>
            </w:r>
          </w:p>
        </w:tc>
        <w:tc>
          <w:tcPr>
            <w:tcW w:w="128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right"/>
              <w:rPr>
                <w:rFonts w:ascii="Arial" w:hAnsi="Arial" w:cs="Arial"/>
                <w:sz w:val="16"/>
                <w:szCs w:val="16"/>
              </w:rPr>
            </w:pPr>
            <w:r w:rsidRPr="00906AFB">
              <w:rPr>
                <w:rFonts w:ascii="Arial" w:hAnsi="Arial" w:cs="Arial"/>
                <w:sz w:val="16"/>
                <w:szCs w:val="16"/>
              </w:rPr>
              <w:t xml:space="preserve">351,950,000 </w:t>
            </w:r>
          </w:p>
        </w:tc>
      </w:tr>
      <w:tr w:rsidR="00906AFB" w:rsidRPr="00906AFB" w:rsidTr="00CF4172">
        <w:trPr>
          <w:trHeight w:val="283"/>
        </w:trPr>
        <w:tc>
          <w:tcPr>
            <w:tcW w:w="81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center"/>
              <w:rPr>
                <w:rFonts w:ascii="Arial" w:hAnsi="Arial" w:cs="Arial"/>
                <w:sz w:val="16"/>
                <w:szCs w:val="16"/>
              </w:rPr>
            </w:pPr>
            <w:r w:rsidRPr="00906AFB">
              <w:rPr>
                <w:rFonts w:ascii="Arial" w:hAnsi="Arial" w:cs="Arial"/>
                <w:sz w:val="16"/>
                <w:szCs w:val="16"/>
              </w:rPr>
              <w:t>64BS17</w:t>
            </w:r>
          </w:p>
        </w:tc>
        <w:tc>
          <w:tcPr>
            <w:tcW w:w="661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rPr>
                <w:rFonts w:ascii="Arial" w:hAnsi="Arial" w:cs="Arial"/>
                <w:sz w:val="16"/>
                <w:szCs w:val="16"/>
              </w:rPr>
            </w:pPr>
            <w:r w:rsidRPr="00906AFB">
              <w:rPr>
                <w:rFonts w:ascii="Arial" w:hAnsi="Arial" w:cs="Arial"/>
                <w:sz w:val="16"/>
                <w:szCs w:val="16"/>
              </w:rPr>
              <w:t>Operación del servicio de secundaria técnica federalizada a la población de 12 a 15 años</w:t>
            </w:r>
          </w:p>
        </w:tc>
        <w:tc>
          <w:tcPr>
            <w:tcW w:w="128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right"/>
              <w:rPr>
                <w:rFonts w:ascii="Arial" w:hAnsi="Arial" w:cs="Arial"/>
                <w:sz w:val="16"/>
                <w:szCs w:val="16"/>
              </w:rPr>
            </w:pPr>
            <w:r w:rsidRPr="00906AFB">
              <w:rPr>
                <w:rFonts w:ascii="Arial" w:hAnsi="Arial" w:cs="Arial"/>
                <w:sz w:val="16"/>
                <w:szCs w:val="16"/>
              </w:rPr>
              <w:t xml:space="preserve">290,000,000 </w:t>
            </w:r>
          </w:p>
        </w:tc>
      </w:tr>
      <w:tr w:rsidR="00906AFB" w:rsidRPr="00906AFB" w:rsidTr="00CF4172">
        <w:trPr>
          <w:trHeight w:val="283"/>
        </w:trPr>
        <w:tc>
          <w:tcPr>
            <w:tcW w:w="81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center"/>
              <w:rPr>
                <w:rFonts w:ascii="Arial" w:hAnsi="Arial" w:cs="Arial"/>
                <w:sz w:val="16"/>
                <w:szCs w:val="16"/>
              </w:rPr>
            </w:pPr>
            <w:r w:rsidRPr="00906AFB">
              <w:rPr>
                <w:rFonts w:ascii="Arial" w:hAnsi="Arial" w:cs="Arial"/>
                <w:sz w:val="16"/>
                <w:szCs w:val="16"/>
              </w:rPr>
              <w:t>64BS18</w:t>
            </w:r>
          </w:p>
        </w:tc>
        <w:tc>
          <w:tcPr>
            <w:tcW w:w="661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rPr>
                <w:rFonts w:ascii="Arial" w:hAnsi="Arial" w:cs="Arial"/>
                <w:sz w:val="16"/>
                <w:szCs w:val="16"/>
              </w:rPr>
            </w:pPr>
            <w:r w:rsidRPr="00906AFB">
              <w:rPr>
                <w:rFonts w:ascii="Arial" w:hAnsi="Arial" w:cs="Arial"/>
                <w:sz w:val="16"/>
                <w:szCs w:val="16"/>
              </w:rPr>
              <w:t>Operación del servicio educativo de primaria federalizada a la población de 6 a 12 años</w:t>
            </w:r>
          </w:p>
        </w:tc>
        <w:tc>
          <w:tcPr>
            <w:tcW w:w="128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right"/>
              <w:rPr>
                <w:rFonts w:ascii="Arial" w:hAnsi="Arial" w:cs="Arial"/>
                <w:sz w:val="16"/>
                <w:szCs w:val="16"/>
              </w:rPr>
            </w:pPr>
            <w:r w:rsidRPr="00906AFB">
              <w:rPr>
                <w:rFonts w:ascii="Arial" w:hAnsi="Arial" w:cs="Arial"/>
                <w:sz w:val="16"/>
                <w:szCs w:val="16"/>
              </w:rPr>
              <w:t xml:space="preserve">884,874,341 </w:t>
            </w:r>
          </w:p>
        </w:tc>
      </w:tr>
      <w:tr w:rsidR="00906AFB" w:rsidRPr="00906AFB" w:rsidTr="00CF4172">
        <w:trPr>
          <w:trHeight w:val="283"/>
        </w:trPr>
        <w:tc>
          <w:tcPr>
            <w:tcW w:w="81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center"/>
              <w:rPr>
                <w:rFonts w:ascii="Arial" w:hAnsi="Arial" w:cs="Arial"/>
                <w:sz w:val="16"/>
                <w:szCs w:val="16"/>
              </w:rPr>
            </w:pPr>
            <w:r w:rsidRPr="00906AFB">
              <w:rPr>
                <w:rFonts w:ascii="Arial" w:hAnsi="Arial" w:cs="Arial"/>
                <w:sz w:val="16"/>
                <w:szCs w:val="16"/>
              </w:rPr>
              <w:t>64BS19</w:t>
            </w:r>
          </w:p>
        </w:tc>
        <w:tc>
          <w:tcPr>
            <w:tcW w:w="661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rPr>
                <w:rFonts w:ascii="Arial" w:hAnsi="Arial" w:cs="Arial"/>
                <w:sz w:val="16"/>
                <w:szCs w:val="16"/>
              </w:rPr>
            </w:pPr>
            <w:r w:rsidRPr="00906AFB">
              <w:rPr>
                <w:rFonts w:ascii="Arial" w:hAnsi="Arial" w:cs="Arial"/>
                <w:sz w:val="16"/>
                <w:szCs w:val="16"/>
              </w:rPr>
              <w:t>Operación del servicio educativo de telesecundaria federalizada</w:t>
            </w:r>
          </w:p>
        </w:tc>
        <w:tc>
          <w:tcPr>
            <w:tcW w:w="128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right"/>
              <w:rPr>
                <w:rFonts w:ascii="Arial" w:hAnsi="Arial" w:cs="Arial"/>
                <w:sz w:val="16"/>
                <w:szCs w:val="16"/>
              </w:rPr>
            </w:pPr>
            <w:r w:rsidRPr="00906AFB">
              <w:rPr>
                <w:rFonts w:ascii="Arial" w:hAnsi="Arial" w:cs="Arial"/>
                <w:sz w:val="16"/>
                <w:szCs w:val="16"/>
              </w:rPr>
              <w:t xml:space="preserve">70,800,000 </w:t>
            </w:r>
          </w:p>
        </w:tc>
      </w:tr>
      <w:tr w:rsidR="00906AFB" w:rsidRPr="00906AFB" w:rsidTr="00CF4172">
        <w:trPr>
          <w:trHeight w:val="283"/>
        </w:trPr>
        <w:tc>
          <w:tcPr>
            <w:tcW w:w="81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center"/>
              <w:rPr>
                <w:rFonts w:ascii="Arial" w:hAnsi="Arial" w:cs="Arial"/>
                <w:sz w:val="16"/>
                <w:szCs w:val="16"/>
              </w:rPr>
            </w:pPr>
            <w:r w:rsidRPr="00906AFB">
              <w:rPr>
                <w:rFonts w:ascii="Arial" w:hAnsi="Arial" w:cs="Arial"/>
                <w:sz w:val="16"/>
                <w:szCs w:val="16"/>
              </w:rPr>
              <w:t>64CI03</w:t>
            </w:r>
          </w:p>
        </w:tc>
        <w:tc>
          <w:tcPr>
            <w:tcW w:w="661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rPr>
                <w:rFonts w:ascii="Arial" w:hAnsi="Arial" w:cs="Arial"/>
                <w:sz w:val="16"/>
                <w:szCs w:val="16"/>
              </w:rPr>
            </w:pPr>
            <w:r w:rsidRPr="00906AFB">
              <w:rPr>
                <w:rFonts w:ascii="Arial" w:hAnsi="Arial" w:cs="Arial"/>
                <w:sz w:val="16"/>
                <w:szCs w:val="16"/>
              </w:rPr>
              <w:t>Gestión de la microplaneación para la creación y ampliación de infraestructura en educación básica</w:t>
            </w:r>
          </w:p>
        </w:tc>
        <w:tc>
          <w:tcPr>
            <w:tcW w:w="128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right"/>
              <w:rPr>
                <w:rFonts w:ascii="Arial" w:hAnsi="Arial" w:cs="Arial"/>
                <w:sz w:val="16"/>
                <w:szCs w:val="16"/>
              </w:rPr>
            </w:pPr>
            <w:r w:rsidRPr="00906AFB">
              <w:rPr>
                <w:rFonts w:ascii="Arial" w:hAnsi="Arial" w:cs="Arial"/>
                <w:sz w:val="16"/>
                <w:szCs w:val="16"/>
              </w:rPr>
              <w:t xml:space="preserve">360,000 </w:t>
            </w:r>
          </w:p>
        </w:tc>
      </w:tr>
      <w:tr w:rsidR="00906AFB" w:rsidRPr="00906AFB" w:rsidTr="00CF4172">
        <w:trPr>
          <w:trHeight w:val="283"/>
        </w:trPr>
        <w:tc>
          <w:tcPr>
            <w:tcW w:w="81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center"/>
              <w:rPr>
                <w:rFonts w:ascii="Arial" w:hAnsi="Arial" w:cs="Arial"/>
                <w:sz w:val="16"/>
                <w:szCs w:val="16"/>
              </w:rPr>
            </w:pPr>
            <w:r w:rsidRPr="00906AFB">
              <w:rPr>
                <w:rFonts w:ascii="Arial" w:hAnsi="Arial" w:cs="Arial"/>
                <w:sz w:val="16"/>
                <w:szCs w:val="16"/>
              </w:rPr>
              <w:t>64CS01</w:t>
            </w:r>
          </w:p>
        </w:tc>
        <w:tc>
          <w:tcPr>
            <w:tcW w:w="661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rPr>
                <w:rFonts w:ascii="Arial" w:hAnsi="Arial" w:cs="Arial"/>
                <w:sz w:val="16"/>
                <w:szCs w:val="16"/>
              </w:rPr>
            </w:pPr>
            <w:r w:rsidRPr="00906AFB">
              <w:rPr>
                <w:rFonts w:ascii="Arial" w:hAnsi="Arial" w:cs="Arial"/>
                <w:sz w:val="16"/>
                <w:szCs w:val="16"/>
              </w:rPr>
              <w:t>Consejos escolares de participación social en las escuelas de educación básica instalados</w:t>
            </w:r>
          </w:p>
        </w:tc>
        <w:tc>
          <w:tcPr>
            <w:tcW w:w="128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right"/>
              <w:rPr>
                <w:rFonts w:ascii="Arial" w:hAnsi="Arial" w:cs="Arial"/>
                <w:sz w:val="16"/>
                <w:szCs w:val="16"/>
              </w:rPr>
            </w:pPr>
            <w:r w:rsidRPr="00906AFB">
              <w:rPr>
                <w:rFonts w:ascii="Arial" w:hAnsi="Arial" w:cs="Arial"/>
                <w:sz w:val="16"/>
                <w:szCs w:val="16"/>
              </w:rPr>
              <w:t xml:space="preserve">600,000 </w:t>
            </w:r>
          </w:p>
        </w:tc>
      </w:tr>
      <w:tr w:rsidR="00906AFB" w:rsidRPr="00906AFB" w:rsidTr="00CF4172">
        <w:trPr>
          <w:trHeight w:val="283"/>
        </w:trPr>
        <w:tc>
          <w:tcPr>
            <w:tcW w:w="81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center"/>
              <w:rPr>
                <w:rFonts w:ascii="Arial" w:hAnsi="Arial" w:cs="Arial"/>
                <w:sz w:val="16"/>
                <w:szCs w:val="16"/>
              </w:rPr>
            </w:pPr>
            <w:r w:rsidRPr="00906AFB">
              <w:rPr>
                <w:rFonts w:ascii="Arial" w:hAnsi="Arial" w:cs="Arial"/>
                <w:sz w:val="16"/>
                <w:szCs w:val="16"/>
              </w:rPr>
              <w:t>64CS02</w:t>
            </w:r>
          </w:p>
        </w:tc>
        <w:tc>
          <w:tcPr>
            <w:tcW w:w="661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rPr>
                <w:rFonts w:ascii="Arial" w:hAnsi="Arial" w:cs="Arial"/>
                <w:sz w:val="16"/>
                <w:szCs w:val="16"/>
              </w:rPr>
            </w:pPr>
            <w:r w:rsidRPr="00906AFB">
              <w:rPr>
                <w:rFonts w:ascii="Arial" w:hAnsi="Arial" w:cs="Arial"/>
                <w:sz w:val="16"/>
                <w:szCs w:val="16"/>
              </w:rPr>
              <w:t>Credenciales con fotografía a alumnos de educación básica otorgadas</w:t>
            </w:r>
          </w:p>
        </w:tc>
        <w:tc>
          <w:tcPr>
            <w:tcW w:w="128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right"/>
              <w:rPr>
                <w:rFonts w:ascii="Arial" w:hAnsi="Arial" w:cs="Arial"/>
                <w:sz w:val="16"/>
                <w:szCs w:val="16"/>
              </w:rPr>
            </w:pPr>
            <w:r w:rsidRPr="00906AFB">
              <w:rPr>
                <w:rFonts w:ascii="Arial" w:hAnsi="Arial" w:cs="Arial"/>
                <w:sz w:val="16"/>
                <w:szCs w:val="16"/>
              </w:rPr>
              <w:t xml:space="preserve">600,000 </w:t>
            </w:r>
          </w:p>
        </w:tc>
      </w:tr>
      <w:tr w:rsidR="00906AFB" w:rsidRPr="00906AFB" w:rsidTr="00CF4172">
        <w:trPr>
          <w:trHeight w:val="283"/>
        </w:trPr>
        <w:tc>
          <w:tcPr>
            <w:tcW w:w="81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center"/>
              <w:rPr>
                <w:rFonts w:ascii="Arial" w:hAnsi="Arial" w:cs="Arial"/>
                <w:sz w:val="16"/>
                <w:szCs w:val="16"/>
              </w:rPr>
            </w:pPr>
            <w:r w:rsidRPr="00906AFB">
              <w:rPr>
                <w:rFonts w:ascii="Arial" w:hAnsi="Arial" w:cs="Arial"/>
                <w:sz w:val="16"/>
                <w:szCs w:val="16"/>
              </w:rPr>
              <w:t>64CS04</w:t>
            </w:r>
          </w:p>
        </w:tc>
        <w:tc>
          <w:tcPr>
            <w:tcW w:w="661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rPr>
                <w:rFonts w:ascii="Arial" w:hAnsi="Arial" w:cs="Arial"/>
                <w:sz w:val="16"/>
                <w:szCs w:val="16"/>
              </w:rPr>
            </w:pPr>
            <w:r w:rsidRPr="00906AFB">
              <w:rPr>
                <w:rFonts w:ascii="Arial" w:hAnsi="Arial" w:cs="Arial"/>
                <w:sz w:val="16"/>
                <w:szCs w:val="16"/>
              </w:rPr>
              <w:t>Gestión de los procesos de inscripción reinscripción acreditación, regularización y certificación</w:t>
            </w:r>
          </w:p>
        </w:tc>
        <w:tc>
          <w:tcPr>
            <w:tcW w:w="128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right"/>
              <w:rPr>
                <w:rFonts w:ascii="Arial" w:hAnsi="Arial" w:cs="Arial"/>
                <w:sz w:val="16"/>
                <w:szCs w:val="16"/>
              </w:rPr>
            </w:pPr>
            <w:r w:rsidRPr="00906AFB">
              <w:rPr>
                <w:rFonts w:ascii="Arial" w:hAnsi="Arial" w:cs="Arial"/>
                <w:sz w:val="16"/>
                <w:szCs w:val="16"/>
              </w:rPr>
              <w:t xml:space="preserve">600,000 </w:t>
            </w:r>
          </w:p>
        </w:tc>
      </w:tr>
      <w:tr w:rsidR="00906AFB" w:rsidRPr="00906AFB" w:rsidTr="00CF4172">
        <w:trPr>
          <w:trHeight w:val="283"/>
        </w:trPr>
        <w:tc>
          <w:tcPr>
            <w:tcW w:w="81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center"/>
              <w:rPr>
                <w:rFonts w:ascii="Arial" w:hAnsi="Arial" w:cs="Arial"/>
                <w:sz w:val="16"/>
                <w:szCs w:val="16"/>
              </w:rPr>
            </w:pPr>
            <w:r w:rsidRPr="00906AFB">
              <w:rPr>
                <w:rFonts w:ascii="Arial" w:hAnsi="Arial" w:cs="Arial"/>
                <w:sz w:val="16"/>
                <w:szCs w:val="16"/>
              </w:rPr>
              <w:t>64CS05</w:t>
            </w:r>
          </w:p>
        </w:tc>
        <w:tc>
          <w:tcPr>
            <w:tcW w:w="661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rPr>
                <w:rFonts w:ascii="Arial" w:hAnsi="Arial" w:cs="Arial"/>
                <w:sz w:val="16"/>
                <w:szCs w:val="16"/>
              </w:rPr>
            </w:pPr>
            <w:r w:rsidRPr="00906AFB">
              <w:rPr>
                <w:rFonts w:ascii="Arial" w:hAnsi="Arial" w:cs="Arial"/>
                <w:sz w:val="16"/>
                <w:szCs w:val="16"/>
              </w:rPr>
              <w:t>Servicios proporcionados de misiones culturales que atienden a adultos</w:t>
            </w:r>
          </w:p>
        </w:tc>
        <w:tc>
          <w:tcPr>
            <w:tcW w:w="128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right"/>
              <w:rPr>
                <w:rFonts w:ascii="Arial" w:hAnsi="Arial" w:cs="Arial"/>
                <w:sz w:val="16"/>
                <w:szCs w:val="16"/>
              </w:rPr>
            </w:pPr>
            <w:r w:rsidRPr="00906AFB">
              <w:rPr>
                <w:rFonts w:ascii="Arial" w:hAnsi="Arial" w:cs="Arial"/>
                <w:sz w:val="16"/>
                <w:szCs w:val="16"/>
              </w:rPr>
              <w:t xml:space="preserve">10,650,000 </w:t>
            </w:r>
          </w:p>
        </w:tc>
      </w:tr>
      <w:tr w:rsidR="00906AFB" w:rsidRPr="00906AFB" w:rsidTr="00CF4172">
        <w:trPr>
          <w:trHeight w:val="283"/>
        </w:trPr>
        <w:tc>
          <w:tcPr>
            <w:tcW w:w="81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center"/>
              <w:rPr>
                <w:rFonts w:ascii="Arial" w:hAnsi="Arial" w:cs="Arial"/>
                <w:sz w:val="16"/>
                <w:szCs w:val="16"/>
              </w:rPr>
            </w:pPr>
            <w:r w:rsidRPr="00906AFB">
              <w:rPr>
                <w:rFonts w:ascii="Arial" w:hAnsi="Arial" w:cs="Arial"/>
                <w:sz w:val="16"/>
                <w:szCs w:val="16"/>
              </w:rPr>
              <w:t>66BS02</w:t>
            </w:r>
          </w:p>
        </w:tc>
        <w:tc>
          <w:tcPr>
            <w:tcW w:w="661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rPr>
                <w:rFonts w:ascii="Arial" w:hAnsi="Arial" w:cs="Arial"/>
                <w:sz w:val="16"/>
                <w:szCs w:val="16"/>
              </w:rPr>
            </w:pPr>
            <w:r w:rsidRPr="00906AFB">
              <w:rPr>
                <w:rFonts w:ascii="Arial" w:hAnsi="Arial" w:cs="Arial"/>
                <w:sz w:val="16"/>
                <w:szCs w:val="16"/>
              </w:rPr>
              <w:t>Absorción en los programas de nivel superior a través de servicios de calidad en la Unidad Colima</w:t>
            </w:r>
          </w:p>
        </w:tc>
        <w:tc>
          <w:tcPr>
            <w:tcW w:w="128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right"/>
              <w:rPr>
                <w:rFonts w:ascii="Arial" w:hAnsi="Arial" w:cs="Arial"/>
                <w:sz w:val="16"/>
                <w:szCs w:val="16"/>
              </w:rPr>
            </w:pPr>
            <w:r w:rsidRPr="00906AFB">
              <w:rPr>
                <w:rFonts w:ascii="Arial" w:hAnsi="Arial" w:cs="Arial"/>
                <w:sz w:val="16"/>
                <w:szCs w:val="16"/>
              </w:rPr>
              <w:t xml:space="preserve">10,987,000 </w:t>
            </w:r>
          </w:p>
        </w:tc>
      </w:tr>
      <w:tr w:rsidR="00906AFB" w:rsidRPr="00906AFB" w:rsidTr="00CF4172">
        <w:trPr>
          <w:trHeight w:val="283"/>
        </w:trPr>
        <w:tc>
          <w:tcPr>
            <w:tcW w:w="81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center"/>
              <w:rPr>
                <w:rFonts w:ascii="Arial" w:hAnsi="Arial" w:cs="Arial"/>
                <w:sz w:val="16"/>
                <w:szCs w:val="16"/>
              </w:rPr>
            </w:pPr>
            <w:r w:rsidRPr="00906AFB">
              <w:rPr>
                <w:rFonts w:ascii="Arial" w:hAnsi="Arial" w:cs="Arial"/>
                <w:sz w:val="16"/>
                <w:szCs w:val="16"/>
              </w:rPr>
              <w:t>80AS01</w:t>
            </w:r>
          </w:p>
        </w:tc>
        <w:tc>
          <w:tcPr>
            <w:tcW w:w="661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rPr>
                <w:rFonts w:ascii="Arial" w:hAnsi="Arial" w:cs="Arial"/>
                <w:sz w:val="16"/>
                <w:szCs w:val="16"/>
              </w:rPr>
            </w:pPr>
            <w:r w:rsidRPr="00906AFB">
              <w:rPr>
                <w:rFonts w:ascii="Arial" w:hAnsi="Arial" w:cs="Arial"/>
                <w:sz w:val="16"/>
                <w:szCs w:val="16"/>
              </w:rPr>
              <w:t>Gestión de acciones realizadas para atender los trámites y servicios proporcionados</w:t>
            </w:r>
          </w:p>
        </w:tc>
        <w:tc>
          <w:tcPr>
            <w:tcW w:w="128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right"/>
              <w:rPr>
                <w:rFonts w:ascii="Arial" w:hAnsi="Arial" w:cs="Arial"/>
                <w:sz w:val="16"/>
                <w:szCs w:val="16"/>
              </w:rPr>
            </w:pPr>
            <w:r w:rsidRPr="00906AFB">
              <w:rPr>
                <w:rFonts w:ascii="Arial" w:hAnsi="Arial" w:cs="Arial"/>
                <w:sz w:val="16"/>
                <w:szCs w:val="16"/>
              </w:rPr>
              <w:t xml:space="preserve">600,000 </w:t>
            </w:r>
          </w:p>
        </w:tc>
      </w:tr>
      <w:tr w:rsidR="00906AFB" w:rsidRPr="00906AFB" w:rsidTr="00CF4172">
        <w:trPr>
          <w:trHeight w:val="283"/>
        </w:trPr>
        <w:tc>
          <w:tcPr>
            <w:tcW w:w="81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center"/>
              <w:rPr>
                <w:rFonts w:ascii="Arial" w:hAnsi="Arial" w:cs="Arial"/>
                <w:sz w:val="16"/>
                <w:szCs w:val="16"/>
              </w:rPr>
            </w:pPr>
            <w:r w:rsidRPr="00906AFB">
              <w:rPr>
                <w:rFonts w:ascii="Arial" w:hAnsi="Arial" w:cs="Arial"/>
                <w:sz w:val="16"/>
                <w:szCs w:val="16"/>
              </w:rPr>
              <w:t>80AS02</w:t>
            </w:r>
          </w:p>
        </w:tc>
        <w:tc>
          <w:tcPr>
            <w:tcW w:w="661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rPr>
                <w:rFonts w:ascii="Arial" w:hAnsi="Arial" w:cs="Arial"/>
                <w:sz w:val="16"/>
                <w:szCs w:val="16"/>
              </w:rPr>
            </w:pPr>
            <w:r w:rsidRPr="00906AFB">
              <w:rPr>
                <w:rFonts w:ascii="Arial" w:hAnsi="Arial" w:cs="Arial"/>
                <w:sz w:val="16"/>
                <w:szCs w:val="16"/>
              </w:rPr>
              <w:t>Gestión de procesos de calidad de la política educativa</w:t>
            </w:r>
          </w:p>
        </w:tc>
        <w:tc>
          <w:tcPr>
            <w:tcW w:w="128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right"/>
              <w:rPr>
                <w:rFonts w:ascii="Arial" w:hAnsi="Arial" w:cs="Arial"/>
                <w:sz w:val="16"/>
                <w:szCs w:val="16"/>
              </w:rPr>
            </w:pPr>
            <w:r w:rsidRPr="00906AFB">
              <w:rPr>
                <w:rFonts w:ascii="Arial" w:hAnsi="Arial" w:cs="Arial"/>
                <w:sz w:val="16"/>
                <w:szCs w:val="16"/>
              </w:rPr>
              <w:t xml:space="preserve">600,000 </w:t>
            </w:r>
          </w:p>
        </w:tc>
      </w:tr>
      <w:tr w:rsidR="00906AFB" w:rsidRPr="00906AFB" w:rsidTr="00CF4172">
        <w:trPr>
          <w:trHeight w:val="283"/>
        </w:trPr>
        <w:tc>
          <w:tcPr>
            <w:tcW w:w="81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center"/>
              <w:rPr>
                <w:rFonts w:ascii="Arial" w:hAnsi="Arial" w:cs="Arial"/>
                <w:sz w:val="16"/>
                <w:szCs w:val="16"/>
              </w:rPr>
            </w:pPr>
            <w:r w:rsidRPr="00906AFB">
              <w:rPr>
                <w:rFonts w:ascii="Arial" w:hAnsi="Arial" w:cs="Arial"/>
                <w:sz w:val="16"/>
                <w:szCs w:val="16"/>
              </w:rPr>
              <w:t>80AS03</w:t>
            </w:r>
          </w:p>
        </w:tc>
        <w:tc>
          <w:tcPr>
            <w:tcW w:w="661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rPr>
                <w:rFonts w:ascii="Arial" w:hAnsi="Arial" w:cs="Arial"/>
                <w:sz w:val="16"/>
                <w:szCs w:val="16"/>
              </w:rPr>
            </w:pPr>
            <w:r w:rsidRPr="00906AFB">
              <w:rPr>
                <w:rFonts w:ascii="Arial" w:hAnsi="Arial" w:cs="Arial"/>
                <w:sz w:val="16"/>
                <w:szCs w:val="16"/>
              </w:rPr>
              <w:t>Gestión de procesos de tecnología educativa</w:t>
            </w:r>
          </w:p>
        </w:tc>
        <w:tc>
          <w:tcPr>
            <w:tcW w:w="128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right"/>
              <w:rPr>
                <w:rFonts w:ascii="Arial" w:hAnsi="Arial" w:cs="Arial"/>
                <w:sz w:val="16"/>
                <w:szCs w:val="16"/>
              </w:rPr>
            </w:pPr>
            <w:r w:rsidRPr="00906AFB">
              <w:rPr>
                <w:rFonts w:ascii="Arial" w:hAnsi="Arial" w:cs="Arial"/>
                <w:sz w:val="16"/>
                <w:szCs w:val="16"/>
              </w:rPr>
              <w:t xml:space="preserve">600,000 </w:t>
            </w:r>
          </w:p>
        </w:tc>
      </w:tr>
      <w:tr w:rsidR="00906AFB" w:rsidRPr="00906AFB" w:rsidTr="00CF4172">
        <w:trPr>
          <w:trHeight w:val="283"/>
        </w:trPr>
        <w:tc>
          <w:tcPr>
            <w:tcW w:w="81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center"/>
              <w:rPr>
                <w:rFonts w:ascii="Arial" w:hAnsi="Arial" w:cs="Arial"/>
                <w:sz w:val="16"/>
                <w:szCs w:val="16"/>
              </w:rPr>
            </w:pPr>
            <w:r w:rsidRPr="00906AFB">
              <w:rPr>
                <w:rFonts w:ascii="Arial" w:hAnsi="Arial" w:cs="Arial"/>
                <w:sz w:val="16"/>
                <w:szCs w:val="16"/>
              </w:rPr>
              <w:t>80AS04</w:t>
            </w:r>
          </w:p>
        </w:tc>
        <w:tc>
          <w:tcPr>
            <w:tcW w:w="661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rPr>
                <w:rFonts w:ascii="Arial" w:hAnsi="Arial" w:cs="Arial"/>
                <w:sz w:val="16"/>
                <w:szCs w:val="16"/>
              </w:rPr>
            </w:pPr>
            <w:r w:rsidRPr="00906AFB">
              <w:rPr>
                <w:rFonts w:ascii="Arial" w:hAnsi="Arial" w:cs="Arial"/>
                <w:sz w:val="16"/>
                <w:szCs w:val="16"/>
              </w:rPr>
              <w:t>Gestión de procesos para la administración de los recursos materiales y servicios</w:t>
            </w:r>
          </w:p>
        </w:tc>
        <w:tc>
          <w:tcPr>
            <w:tcW w:w="128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right"/>
              <w:rPr>
                <w:rFonts w:ascii="Arial" w:hAnsi="Arial" w:cs="Arial"/>
                <w:sz w:val="16"/>
                <w:szCs w:val="16"/>
              </w:rPr>
            </w:pPr>
            <w:r w:rsidRPr="00906AFB">
              <w:rPr>
                <w:rFonts w:ascii="Arial" w:hAnsi="Arial" w:cs="Arial"/>
                <w:sz w:val="16"/>
                <w:szCs w:val="16"/>
              </w:rPr>
              <w:t xml:space="preserve">6,000,000 </w:t>
            </w:r>
          </w:p>
        </w:tc>
      </w:tr>
      <w:tr w:rsidR="00906AFB" w:rsidRPr="00906AFB" w:rsidTr="00CF4172">
        <w:trPr>
          <w:trHeight w:val="283"/>
        </w:trPr>
        <w:tc>
          <w:tcPr>
            <w:tcW w:w="81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center"/>
              <w:rPr>
                <w:rFonts w:ascii="Arial" w:hAnsi="Arial" w:cs="Arial"/>
                <w:sz w:val="16"/>
                <w:szCs w:val="16"/>
              </w:rPr>
            </w:pPr>
            <w:r w:rsidRPr="00906AFB">
              <w:rPr>
                <w:rFonts w:ascii="Arial" w:hAnsi="Arial" w:cs="Arial"/>
                <w:sz w:val="16"/>
                <w:szCs w:val="16"/>
              </w:rPr>
              <w:t>80AS05</w:t>
            </w:r>
          </w:p>
        </w:tc>
        <w:tc>
          <w:tcPr>
            <w:tcW w:w="661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rPr>
                <w:rFonts w:ascii="Arial" w:hAnsi="Arial" w:cs="Arial"/>
                <w:sz w:val="16"/>
                <w:szCs w:val="16"/>
              </w:rPr>
            </w:pPr>
            <w:r w:rsidRPr="00906AFB">
              <w:rPr>
                <w:rFonts w:ascii="Arial" w:hAnsi="Arial" w:cs="Arial"/>
                <w:sz w:val="16"/>
                <w:szCs w:val="16"/>
              </w:rPr>
              <w:t>Gestión de procesos para la administración de recursos financieros</w:t>
            </w:r>
          </w:p>
        </w:tc>
        <w:tc>
          <w:tcPr>
            <w:tcW w:w="128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right"/>
              <w:rPr>
                <w:rFonts w:ascii="Arial" w:hAnsi="Arial" w:cs="Arial"/>
                <w:sz w:val="16"/>
                <w:szCs w:val="16"/>
              </w:rPr>
            </w:pPr>
            <w:r w:rsidRPr="00906AFB">
              <w:rPr>
                <w:rFonts w:ascii="Arial" w:hAnsi="Arial" w:cs="Arial"/>
                <w:sz w:val="16"/>
                <w:szCs w:val="16"/>
              </w:rPr>
              <w:t xml:space="preserve">687,723,659 </w:t>
            </w:r>
          </w:p>
        </w:tc>
      </w:tr>
      <w:tr w:rsidR="00906AFB" w:rsidRPr="00906AFB" w:rsidTr="00CF4172">
        <w:trPr>
          <w:trHeight w:val="283"/>
        </w:trPr>
        <w:tc>
          <w:tcPr>
            <w:tcW w:w="81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center"/>
              <w:rPr>
                <w:rFonts w:ascii="Arial" w:hAnsi="Arial" w:cs="Arial"/>
                <w:sz w:val="16"/>
                <w:szCs w:val="16"/>
              </w:rPr>
            </w:pPr>
            <w:r w:rsidRPr="00906AFB">
              <w:rPr>
                <w:rFonts w:ascii="Arial" w:hAnsi="Arial" w:cs="Arial"/>
                <w:sz w:val="16"/>
                <w:szCs w:val="16"/>
              </w:rPr>
              <w:t>80AS06</w:t>
            </w:r>
          </w:p>
        </w:tc>
        <w:tc>
          <w:tcPr>
            <w:tcW w:w="661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rPr>
                <w:rFonts w:ascii="Arial" w:hAnsi="Arial" w:cs="Arial"/>
                <w:sz w:val="16"/>
                <w:szCs w:val="16"/>
              </w:rPr>
            </w:pPr>
            <w:r w:rsidRPr="00906AFB">
              <w:rPr>
                <w:rFonts w:ascii="Arial" w:hAnsi="Arial" w:cs="Arial"/>
                <w:sz w:val="16"/>
                <w:szCs w:val="16"/>
              </w:rPr>
              <w:t>Gestión de procesos para la administración de recursos humanos</w:t>
            </w:r>
          </w:p>
        </w:tc>
        <w:tc>
          <w:tcPr>
            <w:tcW w:w="128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right"/>
              <w:rPr>
                <w:rFonts w:ascii="Arial" w:hAnsi="Arial" w:cs="Arial"/>
                <w:sz w:val="16"/>
                <w:szCs w:val="16"/>
              </w:rPr>
            </w:pPr>
            <w:r w:rsidRPr="00906AFB">
              <w:rPr>
                <w:rFonts w:ascii="Arial" w:hAnsi="Arial" w:cs="Arial"/>
                <w:sz w:val="16"/>
                <w:szCs w:val="16"/>
              </w:rPr>
              <w:t xml:space="preserve">600,000 </w:t>
            </w:r>
          </w:p>
        </w:tc>
      </w:tr>
      <w:tr w:rsidR="00906AFB" w:rsidRPr="00906AFB" w:rsidTr="00CF4172">
        <w:trPr>
          <w:trHeight w:val="283"/>
        </w:trPr>
        <w:tc>
          <w:tcPr>
            <w:tcW w:w="81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center"/>
              <w:rPr>
                <w:rFonts w:ascii="Arial" w:hAnsi="Arial" w:cs="Arial"/>
                <w:sz w:val="16"/>
                <w:szCs w:val="16"/>
              </w:rPr>
            </w:pPr>
            <w:r w:rsidRPr="00906AFB">
              <w:rPr>
                <w:rFonts w:ascii="Arial" w:hAnsi="Arial" w:cs="Arial"/>
                <w:sz w:val="16"/>
                <w:szCs w:val="16"/>
              </w:rPr>
              <w:t>80AS07</w:t>
            </w:r>
          </w:p>
        </w:tc>
        <w:tc>
          <w:tcPr>
            <w:tcW w:w="661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rPr>
                <w:rFonts w:ascii="Arial" w:hAnsi="Arial" w:cs="Arial"/>
                <w:sz w:val="16"/>
                <w:szCs w:val="16"/>
              </w:rPr>
            </w:pPr>
            <w:r w:rsidRPr="00906AFB">
              <w:rPr>
                <w:rFonts w:ascii="Arial" w:hAnsi="Arial" w:cs="Arial"/>
                <w:sz w:val="16"/>
                <w:szCs w:val="16"/>
              </w:rPr>
              <w:t>Gestión de procesos para la capacitación y desarrollo del personal de la SE-CSEE.</w:t>
            </w:r>
          </w:p>
        </w:tc>
        <w:tc>
          <w:tcPr>
            <w:tcW w:w="128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right"/>
              <w:rPr>
                <w:rFonts w:ascii="Arial" w:hAnsi="Arial" w:cs="Arial"/>
                <w:sz w:val="16"/>
                <w:szCs w:val="16"/>
              </w:rPr>
            </w:pPr>
            <w:r w:rsidRPr="00906AFB">
              <w:rPr>
                <w:rFonts w:ascii="Arial" w:hAnsi="Arial" w:cs="Arial"/>
                <w:sz w:val="16"/>
                <w:szCs w:val="16"/>
              </w:rPr>
              <w:t xml:space="preserve">600,000 </w:t>
            </w:r>
          </w:p>
        </w:tc>
      </w:tr>
      <w:tr w:rsidR="00906AFB" w:rsidRPr="00906AFB" w:rsidTr="00CF4172">
        <w:trPr>
          <w:trHeight w:val="283"/>
        </w:trPr>
        <w:tc>
          <w:tcPr>
            <w:tcW w:w="81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center"/>
              <w:rPr>
                <w:rFonts w:ascii="Arial" w:hAnsi="Arial" w:cs="Arial"/>
                <w:sz w:val="16"/>
                <w:szCs w:val="16"/>
              </w:rPr>
            </w:pPr>
            <w:r w:rsidRPr="00906AFB">
              <w:rPr>
                <w:rFonts w:ascii="Arial" w:hAnsi="Arial" w:cs="Arial"/>
                <w:sz w:val="16"/>
                <w:szCs w:val="16"/>
              </w:rPr>
              <w:t>80AS08</w:t>
            </w:r>
          </w:p>
        </w:tc>
        <w:tc>
          <w:tcPr>
            <w:tcW w:w="661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rPr>
                <w:rFonts w:ascii="Arial" w:hAnsi="Arial" w:cs="Arial"/>
                <w:sz w:val="16"/>
                <w:szCs w:val="16"/>
              </w:rPr>
            </w:pPr>
            <w:r w:rsidRPr="00906AFB">
              <w:rPr>
                <w:rFonts w:ascii="Arial" w:hAnsi="Arial" w:cs="Arial"/>
                <w:sz w:val="16"/>
                <w:szCs w:val="16"/>
              </w:rPr>
              <w:t>Gestión de procesos para la evaluación de la política educativa.</w:t>
            </w:r>
          </w:p>
        </w:tc>
        <w:tc>
          <w:tcPr>
            <w:tcW w:w="128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right"/>
              <w:rPr>
                <w:rFonts w:ascii="Arial" w:hAnsi="Arial" w:cs="Arial"/>
                <w:sz w:val="16"/>
                <w:szCs w:val="16"/>
              </w:rPr>
            </w:pPr>
            <w:r w:rsidRPr="00906AFB">
              <w:rPr>
                <w:rFonts w:ascii="Arial" w:hAnsi="Arial" w:cs="Arial"/>
                <w:sz w:val="16"/>
                <w:szCs w:val="16"/>
              </w:rPr>
              <w:t xml:space="preserve">1,200,000 </w:t>
            </w:r>
          </w:p>
        </w:tc>
      </w:tr>
      <w:tr w:rsidR="00906AFB" w:rsidRPr="00906AFB" w:rsidTr="00CF4172">
        <w:trPr>
          <w:trHeight w:val="283"/>
        </w:trPr>
        <w:tc>
          <w:tcPr>
            <w:tcW w:w="81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center"/>
              <w:rPr>
                <w:rFonts w:ascii="Arial" w:hAnsi="Arial" w:cs="Arial"/>
                <w:sz w:val="16"/>
                <w:szCs w:val="16"/>
              </w:rPr>
            </w:pPr>
            <w:r w:rsidRPr="00906AFB">
              <w:rPr>
                <w:rFonts w:ascii="Arial" w:hAnsi="Arial" w:cs="Arial"/>
                <w:sz w:val="16"/>
                <w:szCs w:val="16"/>
              </w:rPr>
              <w:t>80AS09</w:t>
            </w:r>
          </w:p>
        </w:tc>
        <w:tc>
          <w:tcPr>
            <w:tcW w:w="661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rPr>
                <w:rFonts w:ascii="Arial" w:hAnsi="Arial" w:cs="Arial"/>
                <w:sz w:val="16"/>
                <w:szCs w:val="16"/>
              </w:rPr>
            </w:pPr>
            <w:r w:rsidRPr="00906AFB">
              <w:rPr>
                <w:rFonts w:ascii="Arial" w:hAnsi="Arial" w:cs="Arial"/>
                <w:sz w:val="16"/>
                <w:szCs w:val="16"/>
              </w:rPr>
              <w:t>Gestión de procesos para la evaluación educativa</w:t>
            </w:r>
          </w:p>
        </w:tc>
        <w:tc>
          <w:tcPr>
            <w:tcW w:w="128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right"/>
              <w:rPr>
                <w:rFonts w:ascii="Arial" w:hAnsi="Arial" w:cs="Arial"/>
                <w:sz w:val="16"/>
                <w:szCs w:val="16"/>
              </w:rPr>
            </w:pPr>
            <w:r w:rsidRPr="00906AFB">
              <w:rPr>
                <w:rFonts w:ascii="Arial" w:hAnsi="Arial" w:cs="Arial"/>
                <w:sz w:val="16"/>
                <w:szCs w:val="16"/>
              </w:rPr>
              <w:t xml:space="preserve">1,200,000 </w:t>
            </w:r>
          </w:p>
        </w:tc>
      </w:tr>
      <w:tr w:rsidR="00906AFB" w:rsidRPr="00906AFB" w:rsidTr="00CF4172">
        <w:trPr>
          <w:trHeight w:val="283"/>
        </w:trPr>
        <w:tc>
          <w:tcPr>
            <w:tcW w:w="81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center"/>
              <w:rPr>
                <w:rFonts w:ascii="Arial" w:hAnsi="Arial" w:cs="Arial"/>
                <w:sz w:val="16"/>
                <w:szCs w:val="16"/>
              </w:rPr>
            </w:pPr>
            <w:r w:rsidRPr="00906AFB">
              <w:rPr>
                <w:rFonts w:ascii="Arial" w:hAnsi="Arial" w:cs="Arial"/>
                <w:sz w:val="16"/>
                <w:szCs w:val="16"/>
              </w:rPr>
              <w:t>80AS10</w:t>
            </w:r>
          </w:p>
        </w:tc>
        <w:tc>
          <w:tcPr>
            <w:tcW w:w="661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rPr>
                <w:rFonts w:ascii="Arial" w:hAnsi="Arial" w:cs="Arial"/>
                <w:sz w:val="16"/>
                <w:szCs w:val="16"/>
              </w:rPr>
            </w:pPr>
            <w:r w:rsidRPr="00906AFB">
              <w:rPr>
                <w:rFonts w:ascii="Arial" w:hAnsi="Arial" w:cs="Arial"/>
                <w:sz w:val="16"/>
                <w:szCs w:val="16"/>
              </w:rPr>
              <w:t>Regulación del servicio profesional docente</w:t>
            </w:r>
          </w:p>
        </w:tc>
        <w:tc>
          <w:tcPr>
            <w:tcW w:w="128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right"/>
              <w:rPr>
                <w:rFonts w:ascii="Arial" w:hAnsi="Arial" w:cs="Arial"/>
                <w:sz w:val="16"/>
                <w:szCs w:val="16"/>
              </w:rPr>
            </w:pPr>
            <w:r w:rsidRPr="00906AFB">
              <w:rPr>
                <w:rFonts w:ascii="Arial" w:hAnsi="Arial" w:cs="Arial"/>
                <w:sz w:val="16"/>
                <w:szCs w:val="16"/>
              </w:rPr>
              <w:t xml:space="preserve">1,200,000 </w:t>
            </w:r>
          </w:p>
        </w:tc>
      </w:tr>
      <w:tr w:rsidR="00906AFB" w:rsidRPr="00906AFB" w:rsidTr="00CF4172">
        <w:trPr>
          <w:trHeight w:val="283"/>
        </w:trPr>
        <w:tc>
          <w:tcPr>
            <w:tcW w:w="81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center"/>
              <w:rPr>
                <w:rFonts w:ascii="Arial" w:hAnsi="Arial" w:cs="Arial"/>
                <w:b/>
                <w:bCs/>
                <w:sz w:val="16"/>
                <w:szCs w:val="16"/>
              </w:rPr>
            </w:pPr>
            <w:r w:rsidRPr="00906AFB">
              <w:rPr>
                <w:rFonts w:ascii="Arial" w:hAnsi="Arial" w:cs="Arial"/>
                <w:b/>
                <w:bCs/>
                <w:sz w:val="16"/>
                <w:szCs w:val="16"/>
              </w:rPr>
              <w:t>5102-17</w:t>
            </w:r>
          </w:p>
        </w:tc>
        <w:tc>
          <w:tcPr>
            <w:tcW w:w="661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rPr>
                <w:rFonts w:ascii="Arial" w:hAnsi="Arial" w:cs="Arial"/>
                <w:b/>
                <w:bCs/>
                <w:sz w:val="16"/>
                <w:szCs w:val="16"/>
              </w:rPr>
            </w:pPr>
            <w:r w:rsidRPr="00906AFB">
              <w:rPr>
                <w:rFonts w:ascii="Arial" w:hAnsi="Arial" w:cs="Arial"/>
                <w:b/>
                <w:bCs/>
                <w:sz w:val="16"/>
                <w:szCs w:val="16"/>
              </w:rPr>
              <w:t>Fondo de Aportaciones para los Servicios de Salud (FASSA)</w:t>
            </w:r>
          </w:p>
        </w:tc>
        <w:tc>
          <w:tcPr>
            <w:tcW w:w="128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right"/>
              <w:rPr>
                <w:rFonts w:ascii="Arial" w:hAnsi="Arial" w:cs="Arial"/>
                <w:b/>
                <w:bCs/>
                <w:sz w:val="16"/>
                <w:szCs w:val="16"/>
              </w:rPr>
            </w:pPr>
            <w:r w:rsidRPr="00906AFB">
              <w:rPr>
                <w:rFonts w:ascii="Arial" w:hAnsi="Arial" w:cs="Arial"/>
                <w:b/>
                <w:bCs/>
                <w:sz w:val="16"/>
                <w:szCs w:val="16"/>
              </w:rPr>
              <w:t xml:space="preserve">1,269,831,000 </w:t>
            </w:r>
          </w:p>
        </w:tc>
      </w:tr>
      <w:tr w:rsidR="00906AFB" w:rsidRPr="00906AFB" w:rsidTr="00CF4172">
        <w:trPr>
          <w:trHeight w:val="283"/>
        </w:trPr>
        <w:tc>
          <w:tcPr>
            <w:tcW w:w="81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center"/>
              <w:rPr>
                <w:rFonts w:ascii="Arial" w:hAnsi="Arial" w:cs="Arial"/>
                <w:sz w:val="16"/>
                <w:szCs w:val="16"/>
              </w:rPr>
            </w:pPr>
            <w:r w:rsidRPr="00906AFB">
              <w:rPr>
                <w:rFonts w:ascii="Arial" w:hAnsi="Arial" w:cs="Arial"/>
                <w:sz w:val="16"/>
                <w:szCs w:val="16"/>
              </w:rPr>
              <w:t>02BI01</w:t>
            </w:r>
          </w:p>
        </w:tc>
        <w:tc>
          <w:tcPr>
            <w:tcW w:w="661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rPr>
                <w:rFonts w:ascii="Arial" w:hAnsi="Arial" w:cs="Arial"/>
                <w:sz w:val="16"/>
                <w:szCs w:val="16"/>
              </w:rPr>
            </w:pPr>
            <w:r w:rsidRPr="00906AFB">
              <w:rPr>
                <w:rFonts w:ascii="Arial" w:hAnsi="Arial" w:cs="Arial"/>
                <w:sz w:val="16"/>
                <w:szCs w:val="16"/>
              </w:rPr>
              <w:t>Asignación de presupuesto a las entidades federativas mediante el FASSA</w:t>
            </w:r>
          </w:p>
        </w:tc>
        <w:tc>
          <w:tcPr>
            <w:tcW w:w="128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right"/>
              <w:rPr>
                <w:rFonts w:ascii="Arial" w:hAnsi="Arial" w:cs="Arial"/>
                <w:sz w:val="16"/>
                <w:szCs w:val="16"/>
              </w:rPr>
            </w:pPr>
            <w:r w:rsidRPr="00906AFB">
              <w:rPr>
                <w:rFonts w:ascii="Arial" w:hAnsi="Arial" w:cs="Arial"/>
                <w:sz w:val="16"/>
                <w:szCs w:val="16"/>
              </w:rPr>
              <w:t xml:space="preserve">981,051,665 </w:t>
            </w:r>
          </w:p>
        </w:tc>
      </w:tr>
      <w:tr w:rsidR="00906AFB" w:rsidRPr="00906AFB" w:rsidTr="00CF4172">
        <w:trPr>
          <w:trHeight w:val="283"/>
        </w:trPr>
        <w:tc>
          <w:tcPr>
            <w:tcW w:w="81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center"/>
              <w:rPr>
                <w:rFonts w:ascii="Arial" w:hAnsi="Arial" w:cs="Arial"/>
                <w:sz w:val="16"/>
                <w:szCs w:val="16"/>
              </w:rPr>
            </w:pPr>
            <w:r w:rsidRPr="00906AFB">
              <w:rPr>
                <w:rFonts w:ascii="Arial" w:hAnsi="Arial" w:cs="Arial"/>
                <w:sz w:val="16"/>
                <w:szCs w:val="16"/>
              </w:rPr>
              <w:t>02CS01</w:t>
            </w:r>
          </w:p>
        </w:tc>
        <w:tc>
          <w:tcPr>
            <w:tcW w:w="661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rPr>
                <w:rFonts w:ascii="Arial" w:hAnsi="Arial" w:cs="Arial"/>
                <w:sz w:val="16"/>
                <w:szCs w:val="16"/>
              </w:rPr>
            </w:pPr>
            <w:r w:rsidRPr="00906AFB">
              <w:rPr>
                <w:rFonts w:ascii="Arial" w:hAnsi="Arial" w:cs="Arial"/>
                <w:sz w:val="16"/>
                <w:szCs w:val="16"/>
              </w:rPr>
              <w:t>asignación de presupuesto a las entidades federativas mediante el FASSA</w:t>
            </w:r>
          </w:p>
        </w:tc>
        <w:tc>
          <w:tcPr>
            <w:tcW w:w="128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right"/>
              <w:rPr>
                <w:rFonts w:ascii="Arial" w:hAnsi="Arial" w:cs="Arial"/>
                <w:sz w:val="16"/>
                <w:szCs w:val="16"/>
              </w:rPr>
            </w:pPr>
            <w:r w:rsidRPr="00906AFB">
              <w:rPr>
                <w:rFonts w:ascii="Arial" w:hAnsi="Arial" w:cs="Arial"/>
                <w:sz w:val="16"/>
                <w:szCs w:val="16"/>
              </w:rPr>
              <w:t xml:space="preserve">288,779,335 </w:t>
            </w:r>
          </w:p>
        </w:tc>
      </w:tr>
      <w:tr w:rsidR="00906AFB" w:rsidRPr="00906AFB" w:rsidTr="00CF4172">
        <w:trPr>
          <w:trHeight w:val="283"/>
        </w:trPr>
        <w:tc>
          <w:tcPr>
            <w:tcW w:w="81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center"/>
              <w:rPr>
                <w:rFonts w:ascii="Arial" w:hAnsi="Arial" w:cs="Arial"/>
                <w:b/>
                <w:bCs/>
                <w:sz w:val="16"/>
                <w:szCs w:val="16"/>
              </w:rPr>
            </w:pPr>
            <w:r w:rsidRPr="00906AFB">
              <w:rPr>
                <w:rFonts w:ascii="Arial" w:hAnsi="Arial" w:cs="Arial"/>
                <w:b/>
                <w:bCs/>
                <w:sz w:val="16"/>
                <w:szCs w:val="16"/>
              </w:rPr>
              <w:lastRenderedPageBreak/>
              <w:t>5103-17</w:t>
            </w:r>
          </w:p>
        </w:tc>
        <w:tc>
          <w:tcPr>
            <w:tcW w:w="661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rPr>
                <w:rFonts w:ascii="Arial" w:hAnsi="Arial" w:cs="Arial"/>
                <w:b/>
                <w:bCs/>
                <w:sz w:val="16"/>
                <w:szCs w:val="16"/>
              </w:rPr>
            </w:pPr>
            <w:r w:rsidRPr="00906AFB">
              <w:rPr>
                <w:rFonts w:ascii="Arial" w:hAnsi="Arial" w:cs="Arial"/>
                <w:b/>
                <w:bCs/>
                <w:sz w:val="16"/>
                <w:szCs w:val="16"/>
              </w:rPr>
              <w:t>Fondo de Aportaciones para la Educación Tecnológica y de Adultos (FAETA)</w:t>
            </w:r>
          </w:p>
        </w:tc>
        <w:tc>
          <w:tcPr>
            <w:tcW w:w="128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right"/>
              <w:rPr>
                <w:rFonts w:ascii="Arial" w:hAnsi="Arial" w:cs="Arial"/>
                <w:b/>
                <w:bCs/>
                <w:sz w:val="16"/>
                <w:szCs w:val="16"/>
              </w:rPr>
            </w:pPr>
            <w:r w:rsidRPr="00906AFB">
              <w:rPr>
                <w:rFonts w:ascii="Arial" w:hAnsi="Arial" w:cs="Arial"/>
                <w:b/>
                <w:bCs/>
                <w:sz w:val="16"/>
                <w:szCs w:val="16"/>
              </w:rPr>
              <w:t xml:space="preserve">72,523,000 </w:t>
            </w:r>
          </w:p>
        </w:tc>
      </w:tr>
      <w:tr w:rsidR="00906AFB" w:rsidRPr="00906AFB" w:rsidTr="00CF4172">
        <w:trPr>
          <w:trHeight w:val="283"/>
        </w:trPr>
        <w:tc>
          <w:tcPr>
            <w:tcW w:w="81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center"/>
              <w:rPr>
                <w:rFonts w:ascii="Arial" w:hAnsi="Arial" w:cs="Arial"/>
                <w:sz w:val="16"/>
                <w:szCs w:val="16"/>
              </w:rPr>
            </w:pPr>
            <w:r w:rsidRPr="00906AFB">
              <w:rPr>
                <w:rFonts w:ascii="Arial" w:hAnsi="Arial" w:cs="Arial"/>
                <w:sz w:val="16"/>
                <w:szCs w:val="16"/>
              </w:rPr>
              <w:t>82BS01</w:t>
            </w:r>
          </w:p>
        </w:tc>
        <w:tc>
          <w:tcPr>
            <w:tcW w:w="661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rPr>
                <w:rFonts w:ascii="Arial" w:hAnsi="Arial" w:cs="Arial"/>
                <w:sz w:val="16"/>
                <w:szCs w:val="16"/>
              </w:rPr>
            </w:pPr>
            <w:r w:rsidRPr="00906AFB">
              <w:rPr>
                <w:rFonts w:ascii="Arial" w:hAnsi="Arial" w:cs="Arial"/>
                <w:sz w:val="16"/>
                <w:szCs w:val="16"/>
              </w:rPr>
              <w:t>Operación y seguimiento de la educación para adultos</w:t>
            </w:r>
          </w:p>
        </w:tc>
        <w:tc>
          <w:tcPr>
            <w:tcW w:w="128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right"/>
              <w:rPr>
                <w:rFonts w:ascii="Arial" w:hAnsi="Arial" w:cs="Arial"/>
                <w:sz w:val="16"/>
                <w:szCs w:val="16"/>
              </w:rPr>
            </w:pPr>
            <w:r w:rsidRPr="00906AFB">
              <w:rPr>
                <w:rFonts w:ascii="Arial" w:hAnsi="Arial" w:cs="Arial"/>
                <w:sz w:val="16"/>
                <w:szCs w:val="16"/>
              </w:rPr>
              <w:t xml:space="preserve">32,591,000 </w:t>
            </w:r>
          </w:p>
        </w:tc>
      </w:tr>
      <w:tr w:rsidR="00906AFB" w:rsidRPr="00906AFB" w:rsidTr="00CF4172">
        <w:trPr>
          <w:trHeight w:val="283"/>
        </w:trPr>
        <w:tc>
          <w:tcPr>
            <w:tcW w:w="81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center"/>
              <w:rPr>
                <w:rFonts w:ascii="Arial" w:hAnsi="Arial" w:cs="Arial"/>
                <w:sz w:val="16"/>
                <w:szCs w:val="16"/>
              </w:rPr>
            </w:pPr>
            <w:r w:rsidRPr="00906AFB">
              <w:rPr>
                <w:rFonts w:ascii="Arial" w:hAnsi="Arial" w:cs="Arial"/>
                <w:sz w:val="16"/>
                <w:szCs w:val="16"/>
              </w:rPr>
              <w:t>84CS01</w:t>
            </w:r>
          </w:p>
        </w:tc>
        <w:tc>
          <w:tcPr>
            <w:tcW w:w="661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rPr>
                <w:rFonts w:ascii="Arial" w:hAnsi="Arial" w:cs="Arial"/>
                <w:sz w:val="16"/>
                <w:szCs w:val="16"/>
              </w:rPr>
            </w:pPr>
            <w:r w:rsidRPr="00906AFB">
              <w:rPr>
                <w:rFonts w:ascii="Arial" w:hAnsi="Arial" w:cs="Arial"/>
                <w:sz w:val="16"/>
                <w:szCs w:val="16"/>
              </w:rPr>
              <w:t>Operación y seguimiento de la política educativa del CONALEP colima</w:t>
            </w:r>
          </w:p>
        </w:tc>
        <w:tc>
          <w:tcPr>
            <w:tcW w:w="128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right"/>
              <w:rPr>
                <w:rFonts w:ascii="Arial" w:hAnsi="Arial" w:cs="Arial"/>
                <w:sz w:val="16"/>
                <w:szCs w:val="16"/>
              </w:rPr>
            </w:pPr>
            <w:r w:rsidRPr="00906AFB">
              <w:rPr>
                <w:rFonts w:ascii="Arial" w:hAnsi="Arial" w:cs="Arial"/>
                <w:sz w:val="16"/>
                <w:szCs w:val="16"/>
              </w:rPr>
              <w:t xml:space="preserve">39,932,000 </w:t>
            </w:r>
          </w:p>
        </w:tc>
      </w:tr>
      <w:tr w:rsidR="00906AFB" w:rsidRPr="00906AFB" w:rsidTr="00CF4172">
        <w:trPr>
          <w:trHeight w:val="283"/>
        </w:trPr>
        <w:tc>
          <w:tcPr>
            <w:tcW w:w="81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center"/>
              <w:rPr>
                <w:rFonts w:ascii="Arial" w:hAnsi="Arial" w:cs="Arial"/>
                <w:b/>
                <w:bCs/>
                <w:sz w:val="16"/>
                <w:szCs w:val="16"/>
              </w:rPr>
            </w:pPr>
            <w:r w:rsidRPr="00906AFB">
              <w:rPr>
                <w:rFonts w:ascii="Arial" w:hAnsi="Arial" w:cs="Arial"/>
                <w:b/>
                <w:bCs/>
                <w:sz w:val="16"/>
                <w:szCs w:val="16"/>
              </w:rPr>
              <w:t>5104-17</w:t>
            </w:r>
          </w:p>
        </w:tc>
        <w:tc>
          <w:tcPr>
            <w:tcW w:w="661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rPr>
                <w:rFonts w:ascii="Arial" w:hAnsi="Arial" w:cs="Arial"/>
                <w:b/>
                <w:bCs/>
                <w:sz w:val="16"/>
                <w:szCs w:val="16"/>
              </w:rPr>
            </w:pPr>
            <w:r w:rsidRPr="00906AFB">
              <w:rPr>
                <w:rFonts w:ascii="Arial" w:hAnsi="Arial" w:cs="Arial"/>
                <w:b/>
                <w:bCs/>
                <w:sz w:val="16"/>
                <w:szCs w:val="16"/>
              </w:rPr>
              <w:t>Fondo de Aportaciones Múltiples (FAM)</w:t>
            </w:r>
          </w:p>
        </w:tc>
        <w:tc>
          <w:tcPr>
            <w:tcW w:w="128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right"/>
              <w:rPr>
                <w:rFonts w:ascii="Arial" w:hAnsi="Arial" w:cs="Arial"/>
                <w:b/>
                <w:bCs/>
                <w:sz w:val="16"/>
                <w:szCs w:val="16"/>
              </w:rPr>
            </w:pPr>
            <w:r w:rsidRPr="00906AFB">
              <w:rPr>
                <w:rFonts w:ascii="Arial" w:hAnsi="Arial" w:cs="Arial"/>
                <w:b/>
                <w:bCs/>
                <w:sz w:val="16"/>
                <w:szCs w:val="16"/>
              </w:rPr>
              <w:t xml:space="preserve">181,108,000 </w:t>
            </w:r>
          </w:p>
        </w:tc>
      </w:tr>
      <w:tr w:rsidR="00906AFB" w:rsidRPr="00906AFB" w:rsidTr="00CF4172">
        <w:trPr>
          <w:trHeight w:val="283"/>
        </w:trPr>
        <w:tc>
          <w:tcPr>
            <w:tcW w:w="81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center"/>
              <w:rPr>
                <w:rFonts w:ascii="Arial" w:hAnsi="Arial" w:cs="Arial"/>
                <w:sz w:val="16"/>
                <w:szCs w:val="16"/>
              </w:rPr>
            </w:pPr>
            <w:r w:rsidRPr="00906AFB">
              <w:rPr>
                <w:rFonts w:ascii="Arial" w:hAnsi="Arial" w:cs="Arial"/>
                <w:sz w:val="16"/>
                <w:szCs w:val="16"/>
              </w:rPr>
              <w:t>18FS05</w:t>
            </w:r>
          </w:p>
        </w:tc>
        <w:tc>
          <w:tcPr>
            <w:tcW w:w="661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rPr>
                <w:rFonts w:ascii="Arial" w:hAnsi="Arial" w:cs="Arial"/>
                <w:sz w:val="16"/>
                <w:szCs w:val="16"/>
              </w:rPr>
            </w:pPr>
            <w:r w:rsidRPr="00906AFB">
              <w:rPr>
                <w:rFonts w:ascii="Arial" w:hAnsi="Arial" w:cs="Arial"/>
                <w:sz w:val="16"/>
                <w:szCs w:val="16"/>
              </w:rPr>
              <w:t>Contribución en la seguridad alimentaria de la población escolar sujeta de asistencia social</w:t>
            </w:r>
          </w:p>
        </w:tc>
        <w:tc>
          <w:tcPr>
            <w:tcW w:w="128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right"/>
              <w:rPr>
                <w:rFonts w:ascii="Arial" w:hAnsi="Arial" w:cs="Arial"/>
                <w:sz w:val="16"/>
                <w:szCs w:val="16"/>
              </w:rPr>
            </w:pPr>
            <w:r w:rsidRPr="00906AFB">
              <w:rPr>
                <w:rFonts w:ascii="Arial" w:hAnsi="Arial" w:cs="Arial"/>
                <w:sz w:val="16"/>
                <w:szCs w:val="16"/>
              </w:rPr>
              <w:t xml:space="preserve">51,344,000 </w:t>
            </w:r>
          </w:p>
        </w:tc>
      </w:tr>
      <w:tr w:rsidR="00906AFB" w:rsidRPr="00906AFB" w:rsidTr="00CF4172">
        <w:trPr>
          <w:trHeight w:val="283"/>
        </w:trPr>
        <w:tc>
          <w:tcPr>
            <w:tcW w:w="81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center"/>
              <w:rPr>
                <w:rFonts w:ascii="Arial" w:hAnsi="Arial" w:cs="Arial"/>
                <w:sz w:val="16"/>
                <w:szCs w:val="16"/>
              </w:rPr>
            </w:pPr>
            <w:r w:rsidRPr="00906AFB">
              <w:rPr>
                <w:rFonts w:ascii="Arial" w:hAnsi="Arial" w:cs="Arial"/>
                <w:sz w:val="16"/>
                <w:szCs w:val="16"/>
              </w:rPr>
              <w:t>64CI03</w:t>
            </w:r>
          </w:p>
        </w:tc>
        <w:tc>
          <w:tcPr>
            <w:tcW w:w="661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rPr>
                <w:rFonts w:ascii="Arial" w:hAnsi="Arial" w:cs="Arial"/>
                <w:sz w:val="16"/>
                <w:szCs w:val="16"/>
              </w:rPr>
            </w:pPr>
            <w:r w:rsidRPr="00906AFB">
              <w:rPr>
                <w:rFonts w:ascii="Arial" w:hAnsi="Arial" w:cs="Arial"/>
                <w:sz w:val="16"/>
                <w:szCs w:val="16"/>
              </w:rPr>
              <w:t>Gestión de la microplaneación para la creación y ampliación de infraestructura en educación básica.</w:t>
            </w:r>
          </w:p>
        </w:tc>
        <w:tc>
          <w:tcPr>
            <w:tcW w:w="128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right"/>
              <w:rPr>
                <w:rFonts w:ascii="Arial" w:hAnsi="Arial" w:cs="Arial"/>
                <w:sz w:val="16"/>
                <w:szCs w:val="16"/>
              </w:rPr>
            </w:pPr>
            <w:r w:rsidRPr="00906AFB">
              <w:rPr>
                <w:rFonts w:ascii="Arial" w:hAnsi="Arial" w:cs="Arial"/>
                <w:sz w:val="16"/>
                <w:szCs w:val="16"/>
              </w:rPr>
              <w:t xml:space="preserve">82,567,000 </w:t>
            </w:r>
          </w:p>
        </w:tc>
      </w:tr>
      <w:tr w:rsidR="00906AFB" w:rsidRPr="00906AFB" w:rsidTr="00CF4172">
        <w:trPr>
          <w:trHeight w:val="283"/>
        </w:trPr>
        <w:tc>
          <w:tcPr>
            <w:tcW w:w="81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center"/>
              <w:rPr>
                <w:rFonts w:ascii="Arial" w:hAnsi="Arial" w:cs="Arial"/>
                <w:sz w:val="16"/>
                <w:szCs w:val="16"/>
              </w:rPr>
            </w:pPr>
            <w:r w:rsidRPr="00906AFB">
              <w:rPr>
                <w:rFonts w:ascii="Arial" w:hAnsi="Arial" w:cs="Arial"/>
                <w:sz w:val="16"/>
                <w:szCs w:val="16"/>
              </w:rPr>
              <w:t>65BS02</w:t>
            </w:r>
          </w:p>
        </w:tc>
        <w:tc>
          <w:tcPr>
            <w:tcW w:w="661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rPr>
                <w:rFonts w:ascii="Arial" w:hAnsi="Arial" w:cs="Arial"/>
                <w:sz w:val="16"/>
                <w:szCs w:val="16"/>
              </w:rPr>
            </w:pPr>
            <w:r w:rsidRPr="00906AFB">
              <w:rPr>
                <w:rFonts w:ascii="Arial" w:hAnsi="Arial" w:cs="Arial"/>
                <w:sz w:val="16"/>
                <w:szCs w:val="16"/>
              </w:rPr>
              <w:t xml:space="preserve">Atención a la población demandante del nivel medio superior en el subsistema de EMSAD </w:t>
            </w:r>
          </w:p>
        </w:tc>
        <w:tc>
          <w:tcPr>
            <w:tcW w:w="128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right"/>
              <w:rPr>
                <w:rFonts w:ascii="Arial" w:hAnsi="Arial" w:cs="Arial"/>
                <w:sz w:val="16"/>
                <w:szCs w:val="16"/>
              </w:rPr>
            </w:pPr>
            <w:r w:rsidRPr="00906AFB">
              <w:rPr>
                <w:rFonts w:ascii="Arial" w:hAnsi="Arial" w:cs="Arial"/>
                <w:sz w:val="16"/>
                <w:szCs w:val="16"/>
              </w:rPr>
              <w:t xml:space="preserve">47,197,000 </w:t>
            </w:r>
          </w:p>
        </w:tc>
      </w:tr>
      <w:tr w:rsidR="00906AFB" w:rsidRPr="00906AFB" w:rsidTr="00CF4172">
        <w:trPr>
          <w:trHeight w:val="283"/>
        </w:trPr>
        <w:tc>
          <w:tcPr>
            <w:tcW w:w="81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center"/>
              <w:rPr>
                <w:rFonts w:ascii="Arial" w:hAnsi="Arial" w:cs="Arial"/>
                <w:b/>
                <w:bCs/>
                <w:sz w:val="16"/>
                <w:szCs w:val="16"/>
              </w:rPr>
            </w:pPr>
            <w:r w:rsidRPr="00906AFB">
              <w:rPr>
                <w:rFonts w:ascii="Arial" w:hAnsi="Arial" w:cs="Arial"/>
                <w:b/>
                <w:bCs/>
                <w:sz w:val="16"/>
                <w:szCs w:val="16"/>
              </w:rPr>
              <w:t>5105-17</w:t>
            </w:r>
          </w:p>
        </w:tc>
        <w:tc>
          <w:tcPr>
            <w:tcW w:w="661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rPr>
                <w:rFonts w:ascii="Arial" w:hAnsi="Arial" w:cs="Arial"/>
                <w:b/>
                <w:bCs/>
                <w:sz w:val="16"/>
                <w:szCs w:val="16"/>
              </w:rPr>
            </w:pPr>
            <w:r w:rsidRPr="00906AFB">
              <w:rPr>
                <w:rFonts w:ascii="Arial" w:hAnsi="Arial" w:cs="Arial"/>
                <w:b/>
                <w:bCs/>
                <w:sz w:val="16"/>
                <w:szCs w:val="16"/>
              </w:rPr>
              <w:t>Fondo de Aportaciones para el Fortalecimiento de las Entidades Federativas (FAFEF)</w:t>
            </w:r>
          </w:p>
        </w:tc>
        <w:tc>
          <w:tcPr>
            <w:tcW w:w="128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right"/>
              <w:rPr>
                <w:rFonts w:ascii="Arial" w:hAnsi="Arial" w:cs="Arial"/>
                <w:b/>
                <w:bCs/>
                <w:sz w:val="16"/>
                <w:szCs w:val="16"/>
              </w:rPr>
            </w:pPr>
            <w:r w:rsidRPr="00906AFB">
              <w:rPr>
                <w:rFonts w:ascii="Arial" w:hAnsi="Arial" w:cs="Arial"/>
                <w:b/>
                <w:bCs/>
                <w:sz w:val="16"/>
                <w:szCs w:val="16"/>
              </w:rPr>
              <w:t xml:space="preserve">233,013,000 </w:t>
            </w:r>
          </w:p>
        </w:tc>
      </w:tr>
      <w:tr w:rsidR="00906AFB" w:rsidRPr="00906AFB" w:rsidTr="00CF4172">
        <w:trPr>
          <w:trHeight w:val="283"/>
        </w:trPr>
        <w:tc>
          <w:tcPr>
            <w:tcW w:w="81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center"/>
              <w:rPr>
                <w:rFonts w:ascii="Arial" w:hAnsi="Arial" w:cs="Arial"/>
                <w:sz w:val="16"/>
                <w:szCs w:val="16"/>
              </w:rPr>
            </w:pPr>
            <w:r w:rsidRPr="00906AFB">
              <w:rPr>
                <w:rFonts w:ascii="Arial" w:hAnsi="Arial" w:cs="Arial"/>
                <w:sz w:val="16"/>
                <w:szCs w:val="16"/>
              </w:rPr>
              <w:t>61BS01</w:t>
            </w:r>
          </w:p>
        </w:tc>
        <w:tc>
          <w:tcPr>
            <w:tcW w:w="661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rPr>
                <w:rFonts w:ascii="Arial" w:hAnsi="Arial" w:cs="Arial"/>
                <w:sz w:val="16"/>
                <w:szCs w:val="16"/>
              </w:rPr>
            </w:pPr>
            <w:r w:rsidRPr="00906AFB">
              <w:rPr>
                <w:rFonts w:ascii="Arial" w:hAnsi="Arial" w:cs="Arial"/>
                <w:sz w:val="16"/>
                <w:szCs w:val="16"/>
              </w:rPr>
              <w:t>Pago al personal pensionado</w:t>
            </w:r>
          </w:p>
        </w:tc>
        <w:tc>
          <w:tcPr>
            <w:tcW w:w="128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right"/>
              <w:rPr>
                <w:rFonts w:ascii="Arial" w:hAnsi="Arial" w:cs="Arial"/>
                <w:sz w:val="16"/>
                <w:szCs w:val="16"/>
              </w:rPr>
            </w:pPr>
            <w:r w:rsidRPr="00906AFB">
              <w:rPr>
                <w:rFonts w:ascii="Arial" w:hAnsi="Arial" w:cs="Arial"/>
                <w:sz w:val="16"/>
                <w:szCs w:val="16"/>
              </w:rPr>
              <w:t xml:space="preserve">55,519,141 </w:t>
            </w:r>
          </w:p>
        </w:tc>
      </w:tr>
      <w:tr w:rsidR="00906AFB" w:rsidRPr="00906AFB" w:rsidTr="00CF4172">
        <w:trPr>
          <w:trHeight w:val="283"/>
        </w:trPr>
        <w:tc>
          <w:tcPr>
            <w:tcW w:w="81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center"/>
              <w:rPr>
                <w:rFonts w:ascii="Arial" w:hAnsi="Arial" w:cs="Arial"/>
                <w:sz w:val="16"/>
                <w:szCs w:val="16"/>
              </w:rPr>
            </w:pPr>
            <w:r w:rsidRPr="00906AFB">
              <w:rPr>
                <w:rFonts w:ascii="Arial" w:hAnsi="Arial" w:cs="Arial"/>
                <w:sz w:val="16"/>
                <w:szCs w:val="16"/>
              </w:rPr>
              <w:t>61BS02</w:t>
            </w:r>
          </w:p>
        </w:tc>
        <w:tc>
          <w:tcPr>
            <w:tcW w:w="661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rPr>
                <w:rFonts w:ascii="Arial" w:hAnsi="Arial" w:cs="Arial"/>
                <w:sz w:val="16"/>
                <w:szCs w:val="16"/>
              </w:rPr>
            </w:pPr>
            <w:r w:rsidRPr="00906AFB">
              <w:rPr>
                <w:rFonts w:ascii="Arial" w:hAnsi="Arial" w:cs="Arial"/>
                <w:sz w:val="16"/>
                <w:szCs w:val="16"/>
              </w:rPr>
              <w:t>Pago al personal jubilado</w:t>
            </w:r>
          </w:p>
        </w:tc>
        <w:tc>
          <w:tcPr>
            <w:tcW w:w="128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right"/>
              <w:rPr>
                <w:rFonts w:ascii="Arial" w:hAnsi="Arial" w:cs="Arial"/>
                <w:sz w:val="16"/>
                <w:szCs w:val="16"/>
              </w:rPr>
            </w:pPr>
            <w:r w:rsidRPr="00906AFB">
              <w:rPr>
                <w:rFonts w:ascii="Arial" w:hAnsi="Arial" w:cs="Arial"/>
                <w:sz w:val="16"/>
                <w:szCs w:val="16"/>
              </w:rPr>
              <w:t xml:space="preserve">119,243,859 </w:t>
            </w:r>
          </w:p>
        </w:tc>
      </w:tr>
      <w:tr w:rsidR="00906AFB" w:rsidRPr="00906AFB" w:rsidTr="00CF4172">
        <w:trPr>
          <w:trHeight w:val="283"/>
        </w:trPr>
        <w:tc>
          <w:tcPr>
            <w:tcW w:w="81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center"/>
              <w:rPr>
                <w:rFonts w:ascii="Arial" w:hAnsi="Arial" w:cs="Arial"/>
                <w:sz w:val="16"/>
                <w:szCs w:val="16"/>
              </w:rPr>
            </w:pPr>
            <w:r w:rsidRPr="00906AFB">
              <w:rPr>
                <w:rFonts w:ascii="Arial" w:hAnsi="Arial" w:cs="Arial"/>
                <w:sz w:val="16"/>
                <w:szCs w:val="16"/>
              </w:rPr>
              <w:t>61ES01</w:t>
            </w:r>
          </w:p>
        </w:tc>
        <w:tc>
          <w:tcPr>
            <w:tcW w:w="661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rPr>
                <w:rFonts w:ascii="Arial" w:hAnsi="Arial" w:cs="Arial"/>
                <w:sz w:val="16"/>
                <w:szCs w:val="16"/>
              </w:rPr>
            </w:pPr>
            <w:r w:rsidRPr="00906AFB">
              <w:rPr>
                <w:rFonts w:ascii="Arial" w:hAnsi="Arial" w:cs="Arial"/>
                <w:sz w:val="16"/>
                <w:szCs w:val="16"/>
              </w:rPr>
              <w:t>Costo financiero y pago de deuda</w:t>
            </w:r>
          </w:p>
        </w:tc>
        <w:tc>
          <w:tcPr>
            <w:tcW w:w="128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right"/>
              <w:rPr>
                <w:rFonts w:ascii="Arial" w:hAnsi="Arial" w:cs="Arial"/>
                <w:sz w:val="16"/>
                <w:szCs w:val="16"/>
              </w:rPr>
            </w:pPr>
            <w:r w:rsidRPr="00906AFB">
              <w:rPr>
                <w:rFonts w:ascii="Arial" w:hAnsi="Arial" w:cs="Arial"/>
                <w:sz w:val="16"/>
                <w:szCs w:val="16"/>
              </w:rPr>
              <w:t xml:space="preserve">58,250,000 </w:t>
            </w:r>
          </w:p>
        </w:tc>
      </w:tr>
      <w:tr w:rsidR="00906AFB" w:rsidRPr="00906AFB" w:rsidTr="00CF4172">
        <w:trPr>
          <w:trHeight w:val="283"/>
        </w:trPr>
        <w:tc>
          <w:tcPr>
            <w:tcW w:w="81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center"/>
              <w:rPr>
                <w:rFonts w:ascii="Arial" w:hAnsi="Arial" w:cs="Arial"/>
                <w:b/>
                <w:bCs/>
                <w:sz w:val="16"/>
                <w:szCs w:val="16"/>
              </w:rPr>
            </w:pPr>
            <w:r w:rsidRPr="00906AFB">
              <w:rPr>
                <w:rFonts w:ascii="Arial" w:hAnsi="Arial" w:cs="Arial"/>
                <w:b/>
                <w:bCs/>
                <w:sz w:val="16"/>
                <w:szCs w:val="16"/>
              </w:rPr>
              <w:t>5106-17</w:t>
            </w:r>
          </w:p>
        </w:tc>
        <w:tc>
          <w:tcPr>
            <w:tcW w:w="661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rPr>
                <w:rFonts w:ascii="Arial" w:hAnsi="Arial" w:cs="Arial"/>
                <w:b/>
                <w:bCs/>
                <w:sz w:val="16"/>
                <w:szCs w:val="16"/>
              </w:rPr>
            </w:pPr>
            <w:r w:rsidRPr="00906AFB">
              <w:rPr>
                <w:rFonts w:ascii="Arial" w:hAnsi="Arial" w:cs="Arial"/>
                <w:b/>
                <w:bCs/>
                <w:sz w:val="16"/>
                <w:szCs w:val="16"/>
              </w:rPr>
              <w:t>Fondo de Aportaciones para la Infraestructura Social Estatal (FISE)</w:t>
            </w:r>
          </w:p>
        </w:tc>
        <w:tc>
          <w:tcPr>
            <w:tcW w:w="128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right"/>
              <w:rPr>
                <w:rFonts w:ascii="Arial" w:hAnsi="Arial" w:cs="Arial"/>
                <w:b/>
                <w:bCs/>
                <w:sz w:val="16"/>
                <w:szCs w:val="16"/>
              </w:rPr>
            </w:pPr>
            <w:r w:rsidRPr="00906AFB">
              <w:rPr>
                <w:rFonts w:ascii="Arial" w:hAnsi="Arial" w:cs="Arial"/>
                <w:b/>
                <w:bCs/>
                <w:sz w:val="16"/>
                <w:szCs w:val="16"/>
              </w:rPr>
              <w:t xml:space="preserve">23,024,000 </w:t>
            </w:r>
          </w:p>
        </w:tc>
      </w:tr>
      <w:tr w:rsidR="00906AFB" w:rsidRPr="00906AFB" w:rsidTr="00CF4172">
        <w:trPr>
          <w:trHeight w:val="283"/>
        </w:trPr>
        <w:tc>
          <w:tcPr>
            <w:tcW w:w="81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center"/>
              <w:rPr>
                <w:rFonts w:ascii="Arial" w:hAnsi="Arial" w:cs="Arial"/>
                <w:sz w:val="16"/>
                <w:szCs w:val="16"/>
              </w:rPr>
            </w:pPr>
            <w:r w:rsidRPr="00906AFB">
              <w:rPr>
                <w:rFonts w:ascii="Arial" w:hAnsi="Arial" w:cs="Arial"/>
                <w:sz w:val="16"/>
                <w:szCs w:val="16"/>
              </w:rPr>
              <w:t>88AK02</w:t>
            </w:r>
          </w:p>
        </w:tc>
        <w:tc>
          <w:tcPr>
            <w:tcW w:w="661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rPr>
                <w:rFonts w:ascii="Arial" w:hAnsi="Arial" w:cs="Arial"/>
                <w:sz w:val="16"/>
                <w:szCs w:val="16"/>
              </w:rPr>
            </w:pPr>
            <w:r w:rsidRPr="00906AFB">
              <w:rPr>
                <w:rFonts w:ascii="Arial" w:hAnsi="Arial" w:cs="Arial"/>
                <w:sz w:val="16"/>
                <w:szCs w:val="16"/>
              </w:rPr>
              <w:t>Apoyos para el mejoramiento de vivienda</w:t>
            </w:r>
          </w:p>
        </w:tc>
        <w:tc>
          <w:tcPr>
            <w:tcW w:w="128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right"/>
              <w:rPr>
                <w:rFonts w:ascii="Arial" w:hAnsi="Arial" w:cs="Arial"/>
                <w:sz w:val="16"/>
                <w:szCs w:val="16"/>
              </w:rPr>
            </w:pPr>
            <w:r w:rsidRPr="00906AFB">
              <w:rPr>
                <w:rFonts w:ascii="Arial" w:hAnsi="Arial" w:cs="Arial"/>
                <w:sz w:val="16"/>
                <w:szCs w:val="16"/>
              </w:rPr>
              <w:t xml:space="preserve">12,004,000 </w:t>
            </w:r>
          </w:p>
        </w:tc>
      </w:tr>
      <w:tr w:rsidR="00906AFB" w:rsidRPr="00906AFB" w:rsidTr="00CF4172">
        <w:trPr>
          <w:trHeight w:val="283"/>
        </w:trPr>
        <w:tc>
          <w:tcPr>
            <w:tcW w:w="81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center"/>
              <w:rPr>
                <w:rFonts w:ascii="Arial" w:hAnsi="Arial" w:cs="Arial"/>
                <w:sz w:val="16"/>
                <w:szCs w:val="16"/>
              </w:rPr>
            </w:pPr>
            <w:r w:rsidRPr="00906AFB">
              <w:rPr>
                <w:rFonts w:ascii="Arial" w:hAnsi="Arial" w:cs="Arial"/>
                <w:sz w:val="16"/>
                <w:szCs w:val="16"/>
              </w:rPr>
              <w:t>97BK02</w:t>
            </w:r>
          </w:p>
        </w:tc>
        <w:tc>
          <w:tcPr>
            <w:tcW w:w="661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rPr>
                <w:rFonts w:ascii="Arial" w:hAnsi="Arial" w:cs="Arial"/>
                <w:sz w:val="16"/>
                <w:szCs w:val="16"/>
              </w:rPr>
            </w:pPr>
            <w:r w:rsidRPr="00906AFB">
              <w:rPr>
                <w:rFonts w:ascii="Arial" w:hAnsi="Arial" w:cs="Arial"/>
                <w:sz w:val="16"/>
                <w:szCs w:val="16"/>
              </w:rPr>
              <w:t>Fondo para la infraestructura social estatal</w:t>
            </w:r>
          </w:p>
        </w:tc>
        <w:tc>
          <w:tcPr>
            <w:tcW w:w="128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right"/>
              <w:rPr>
                <w:rFonts w:ascii="Arial" w:hAnsi="Arial" w:cs="Arial"/>
                <w:sz w:val="16"/>
                <w:szCs w:val="16"/>
              </w:rPr>
            </w:pPr>
            <w:r w:rsidRPr="00906AFB">
              <w:rPr>
                <w:rFonts w:ascii="Arial" w:hAnsi="Arial" w:cs="Arial"/>
                <w:sz w:val="16"/>
                <w:szCs w:val="16"/>
              </w:rPr>
              <w:t xml:space="preserve">11,020,000 </w:t>
            </w:r>
          </w:p>
        </w:tc>
      </w:tr>
      <w:tr w:rsidR="00906AFB" w:rsidRPr="00906AFB" w:rsidTr="00CF4172">
        <w:trPr>
          <w:trHeight w:val="283"/>
        </w:trPr>
        <w:tc>
          <w:tcPr>
            <w:tcW w:w="81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center"/>
              <w:rPr>
                <w:rFonts w:ascii="Arial" w:hAnsi="Arial" w:cs="Arial"/>
                <w:b/>
                <w:bCs/>
                <w:sz w:val="16"/>
                <w:szCs w:val="16"/>
              </w:rPr>
            </w:pPr>
            <w:r w:rsidRPr="00906AFB">
              <w:rPr>
                <w:rFonts w:ascii="Arial" w:hAnsi="Arial" w:cs="Arial"/>
                <w:b/>
                <w:bCs/>
                <w:sz w:val="16"/>
                <w:szCs w:val="16"/>
              </w:rPr>
              <w:t>5107-17</w:t>
            </w:r>
          </w:p>
        </w:tc>
        <w:tc>
          <w:tcPr>
            <w:tcW w:w="661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rPr>
                <w:rFonts w:ascii="Arial" w:hAnsi="Arial" w:cs="Arial"/>
                <w:b/>
                <w:bCs/>
                <w:sz w:val="16"/>
                <w:szCs w:val="16"/>
              </w:rPr>
            </w:pPr>
            <w:r w:rsidRPr="00906AFB">
              <w:rPr>
                <w:rFonts w:ascii="Arial" w:hAnsi="Arial" w:cs="Arial"/>
                <w:b/>
                <w:bCs/>
                <w:sz w:val="16"/>
                <w:szCs w:val="16"/>
              </w:rPr>
              <w:t>Fondo de Aportaciones para el Fortalecimiento de los Municipios y de las Demarcaciones Territoriales del Distrito Federal (FAFM)</w:t>
            </w:r>
          </w:p>
        </w:tc>
        <w:tc>
          <w:tcPr>
            <w:tcW w:w="128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right"/>
              <w:rPr>
                <w:rFonts w:ascii="Arial" w:hAnsi="Arial" w:cs="Arial"/>
                <w:b/>
                <w:bCs/>
                <w:sz w:val="16"/>
                <w:szCs w:val="16"/>
              </w:rPr>
            </w:pPr>
            <w:r w:rsidRPr="00906AFB">
              <w:rPr>
                <w:rFonts w:ascii="Arial" w:hAnsi="Arial" w:cs="Arial"/>
                <w:b/>
                <w:bCs/>
                <w:sz w:val="16"/>
                <w:szCs w:val="16"/>
              </w:rPr>
              <w:t xml:space="preserve">403,291,000 </w:t>
            </w:r>
          </w:p>
        </w:tc>
      </w:tr>
      <w:tr w:rsidR="00906AFB" w:rsidRPr="00906AFB" w:rsidTr="00CF4172">
        <w:trPr>
          <w:trHeight w:val="283"/>
        </w:trPr>
        <w:tc>
          <w:tcPr>
            <w:tcW w:w="81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center"/>
              <w:rPr>
                <w:rFonts w:ascii="Arial" w:hAnsi="Arial" w:cs="Arial"/>
                <w:sz w:val="16"/>
                <w:szCs w:val="16"/>
              </w:rPr>
            </w:pPr>
            <w:r w:rsidRPr="00906AFB">
              <w:rPr>
                <w:rFonts w:ascii="Arial" w:hAnsi="Arial" w:cs="Arial"/>
                <w:sz w:val="16"/>
                <w:szCs w:val="16"/>
              </w:rPr>
              <w:t>61CS02</w:t>
            </w:r>
          </w:p>
        </w:tc>
        <w:tc>
          <w:tcPr>
            <w:tcW w:w="661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rPr>
                <w:rFonts w:ascii="Arial" w:hAnsi="Arial" w:cs="Arial"/>
                <w:sz w:val="16"/>
                <w:szCs w:val="16"/>
              </w:rPr>
            </w:pPr>
            <w:r w:rsidRPr="00906AFB">
              <w:rPr>
                <w:rFonts w:ascii="Arial" w:hAnsi="Arial" w:cs="Arial"/>
                <w:sz w:val="16"/>
                <w:szCs w:val="16"/>
              </w:rPr>
              <w:t>Aportaciones federales del Ramo 33</w:t>
            </w:r>
          </w:p>
        </w:tc>
        <w:tc>
          <w:tcPr>
            <w:tcW w:w="128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right"/>
              <w:rPr>
                <w:rFonts w:ascii="Arial" w:hAnsi="Arial" w:cs="Arial"/>
                <w:sz w:val="16"/>
                <w:szCs w:val="16"/>
              </w:rPr>
            </w:pPr>
            <w:r w:rsidRPr="00906AFB">
              <w:rPr>
                <w:rFonts w:ascii="Arial" w:hAnsi="Arial" w:cs="Arial"/>
                <w:sz w:val="16"/>
                <w:szCs w:val="16"/>
              </w:rPr>
              <w:t xml:space="preserve">403,291,000 </w:t>
            </w:r>
          </w:p>
        </w:tc>
      </w:tr>
      <w:tr w:rsidR="00906AFB" w:rsidRPr="00906AFB" w:rsidTr="00CF4172">
        <w:trPr>
          <w:trHeight w:val="283"/>
        </w:trPr>
        <w:tc>
          <w:tcPr>
            <w:tcW w:w="81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center"/>
              <w:rPr>
                <w:rFonts w:ascii="Arial" w:hAnsi="Arial" w:cs="Arial"/>
                <w:b/>
                <w:bCs/>
                <w:sz w:val="16"/>
                <w:szCs w:val="16"/>
              </w:rPr>
            </w:pPr>
            <w:r w:rsidRPr="00906AFB">
              <w:rPr>
                <w:rFonts w:ascii="Arial" w:hAnsi="Arial" w:cs="Arial"/>
                <w:b/>
                <w:bCs/>
                <w:sz w:val="16"/>
                <w:szCs w:val="16"/>
              </w:rPr>
              <w:t>5108-17</w:t>
            </w:r>
          </w:p>
        </w:tc>
        <w:tc>
          <w:tcPr>
            <w:tcW w:w="661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rPr>
                <w:rFonts w:ascii="Arial" w:hAnsi="Arial" w:cs="Arial"/>
                <w:b/>
                <w:bCs/>
                <w:sz w:val="16"/>
                <w:szCs w:val="16"/>
              </w:rPr>
            </w:pPr>
            <w:r w:rsidRPr="00906AFB">
              <w:rPr>
                <w:rFonts w:ascii="Arial" w:hAnsi="Arial" w:cs="Arial"/>
                <w:b/>
                <w:bCs/>
                <w:sz w:val="16"/>
                <w:szCs w:val="16"/>
              </w:rPr>
              <w:t>Fondo de Aportaciones para la Infraestructura Social Municipal (FISM)</w:t>
            </w:r>
          </w:p>
        </w:tc>
        <w:tc>
          <w:tcPr>
            <w:tcW w:w="128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right"/>
              <w:rPr>
                <w:rFonts w:ascii="Arial" w:hAnsi="Arial" w:cs="Arial"/>
                <w:b/>
                <w:bCs/>
                <w:sz w:val="16"/>
                <w:szCs w:val="16"/>
              </w:rPr>
            </w:pPr>
            <w:r w:rsidRPr="00906AFB">
              <w:rPr>
                <w:rFonts w:ascii="Arial" w:hAnsi="Arial" w:cs="Arial"/>
                <w:b/>
                <w:bCs/>
                <w:sz w:val="16"/>
                <w:szCs w:val="16"/>
              </w:rPr>
              <w:t xml:space="preserve">166,922,000 </w:t>
            </w:r>
          </w:p>
        </w:tc>
      </w:tr>
      <w:tr w:rsidR="00906AFB" w:rsidRPr="00906AFB" w:rsidTr="00CF4172">
        <w:trPr>
          <w:trHeight w:val="283"/>
        </w:trPr>
        <w:tc>
          <w:tcPr>
            <w:tcW w:w="81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center"/>
              <w:rPr>
                <w:rFonts w:ascii="Arial" w:hAnsi="Arial" w:cs="Arial"/>
                <w:sz w:val="16"/>
                <w:szCs w:val="16"/>
              </w:rPr>
            </w:pPr>
            <w:r w:rsidRPr="00906AFB">
              <w:rPr>
                <w:rFonts w:ascii="Arial" w:hAnsi="Arial" w:cs="Arial"/>
                <w:sz w:val="16"/>
                <w:szCs w:val="16"/>
              </w:rPr>
              <w:t>61CS02</w:t>
            </w:r>
          </w:p>
        </w:tc>
        <w:tc>
          <w:tcPr>
            <w:tcW w:w="661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rPr>
                <w:rFonts w:ascii="Arial" w:hAnsi="Arial" w:cs="Arial"/>
                <w:sz w:val="16"/>
                <w:szCs w:val="16"/>
              </w:rPr>
            </w:pPr>
            <w:r w:rsidRPr="00906AFB">
              <w:rPr>
                <w:rFonts w:ascii="Arial" w:hAnsi="Arial" w:cs="Arial"/>
                <w:sz w:val="16"/>
                <w:szCs w:val="16"/>
              </w:rPr>
              <w:t>Aportaciones federales del Ramo 33</w:t>
            </w:r>
          </w:p>
        </w:tc>
        <w:tc>
          <w:tcPr>
            <w:tcW w:w="128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right"/>
              <w:rPr>
                <w:rFonts w:ascii="Arial" w:hAnsi="Arial" w:cs="Arial"/>
                <w:sz w:val="16"/>
                <w:szCs w:val="16"/>
              </w:rPr>
            </w:pPr>
            <w:r w:rsidRPr="00906AFB">
              <w:rPr>
                <w:rFonts w:ascii="Arial" w:hAnsi="Arial" w:cs="Arial"/>
                <w:sz w:val="16"/>
                <w:szCs w:val="16"/>
              </w:rPr>
              <w:t xml:space="preserve">166,922,000 </w:t>
            </w:r>
          </w:p>
        </w:tc>
      </w:tr>
      <w:tr w:rsidR="00906AFB" w:rsidRPr="00906AFB" w:rsidTr="00CF4172">
        <w:trPr>
          <w:trHeight w:val="283"/>
        </w:trPr>
        <w:tc>
          <w:tcPr>
            <w:tcW w:w="81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center"/>
              <w:rPr>
                <w:rFonts w:ascii="Arial" w:hAnsi="Arial" w:cs="Arial"/>
                <w:b/>
                <w:bCs/>
                <w:sz w:val="16"/>
                <w:szCs w:val="16"/>
              </w:rPr>
            </w:pPr>
            <w:r w:rsidRPr="00906AFB">
              <w:rPr>
                <w:rFonts w:ascii="Arial" w:hAnsi="Arial" w:cs="Arial"/>
                <w:b/>
                <w:bCs/>
                <w:sz w:val="16"/>
                <w:szCs w:val="16"/>
              </w:rPr>
              <w:t>5109-17</w:t>
            </w:r>
          </w:p>
        </w:tc>
        <w:tc>
          <w:tcPr>
            <w:tcW w:w="661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rPr>
                <w:rFonts w:ascii="Arial" w:hAnsi="Arial" w:cs="Arial"/>
                <w:b/>
                <w:bCs/>
                <w:sz w:val="16"/>
                <w:szCs w:val="16"/>
              </w:rPr>
            </w:pPr>
            <w:r w:rsidRPr="00906AFB">
              <w:rPr>
                <w:rFonts w:ascii="Arial" w:hAnsi="Arial" w:cs="Arial"/>
                <w:b/>
                <w:bCs/>
                <w:sz w:val="16"/>
                <w:szCs w:val="16"/>
              </w:rPr>
              <w:t>Fondo de Aportaciones para la Seguridad Pública de los Estados y del Distrito Federal (FASP)</w:t>
            </w:r>
          </w:p>
        </w:tc>
        <w:tc>
          <w:tcPr>
            <w:tcW w:w="128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right"/>
              <w:rPr>
                <w:rFonts w:ascii="Arial" w:hAnsi="Arial" w:cs="Arial"/>
                <w:b/>
                <w:bCs/>
                <w:sz w:val="16"/>
                <w:szCs w:val="16"/>
              </w:rPr>
            </w:pPr>
            <w:r w:rsidRPr="00906AFB">
              <w:rPr>
                <w:rFonts w:ascii="Arial" w:hAnsi="Arial" w:cs="Arial"/>
                <w:b/>
                <w:bCs/>
                <w:sz w:val="16"/>
                <w:szCs w:val="16"/>
              </w:rPr>
              <w:t xml:space="preserve">135,106,000 </w:t>
            </w:r>
          </w:p>
        </w:tc>
      </w:tr>
      <w:tr w:rsidR="00906AFB" w:rsidRPr="00906AFB" w:rsidTr="00CF4172">
        <w:trPr>
          <w:trHeight w:val="283"/>
        </w:trPr>
        <w:tc>
          <w:tcPr>
            <w:tcW w:w="81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center"/>
              <w:rPr>
                <w:rFonts w:ascii="Arial" w:hAnsi="Arial" w:cs="Arial"/>
                <w:sz w:val="16"/>
                <w:szCs w:val="16"/>
              </w:rPr>
            </w:pPr>
            <w:r w:rsidRPr="00906AFB">
              <w:rPr>
                <w:rFonts w:ascii="Arial" w:hAnsi="Arial" w:cs="Arial"/>
                <w:sz w:val="16"/>
                <w:szCs w:val="16"/>
              </w:rPr>
              <w:t>32AI01</w:t>
            </w:r>
          </w:p>
        </w:tc>
        <w:tc>
          <w:tcPr>
            <w:tcW w:w="661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rPr>
                <w:rFonts w:ascii="Arial" w:hAnsi="Arial" w:cs="Arial"/>
                <w:sz w:val="16"/>
                <w:szCs w:val="16"/>
              </w:rPr>
            </w:pPr>
            <w:r w:rsidRPr="00906AFB">
              <w:rPr>
                <w:rFonts w:ascii="Arial" w:hAnsi="Arial" w:cs="Arial"/>
                <w:sz w:val="16"/>
                <w:szCs w:val="16"/>
              </w:rPr>
              <w:t>Evaluación en control de confianza de los elementos de las instituciones de seguridad pública y procuración de justicia</w:t>
            </w:r>
          </w:p>
        </w:tc>
        <w:tc>
          <w:tcPr>
            <w:tcW w:w="128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right"/>
              <w:rPr>
                <w:rFonts w:ascii="Arial" w:hAnsi="Arial" w:cs="Arial"/>
                <w:sz w:val="16"/>
                <w:szCs w:val="16"/>
              </w:rPr>
            </w:pPr>
            <w:r w:rsidRPr="00906AFB">
              <w:rPr>
                <w:rFonts w:ascii="Arial" w:hAnsi="Arial" w:cs="Arial"/>
                <w:sz w:val="16"/>
                <w:szCs w:val="16"/>
              </w:rPr>
              <w:t xml:space="preserve">,087,200 </w:t>
            </w:r>
          </w:p>
        </w:tc>
      </w:tr>
      <w:tr w:rsidR="00906AFB" w:rsidRPr="00906AFB" w:rsidTr="00CF4172">
        <w:trPr>
          <w:trHeight w:val="283"/>
        </w:trPr>
        <w:tc>
          <w:tcPr>
            <w:tcW w:w="81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center"/>
              <w:rPr>
                <w:rFonts w:ascii="Arial" w:hAnsi="Arial" w:cs="Arial"/>
                <w:sz w:val="16"/>
                <w:szCs w:val="16"/>
              </w:rPr>
            </w:pPr>
            <w:r w:rsidRPr="00906AFB">
              <w:rPr>
                <w:rFonts w:ascii="Arial" w:hAnsi="Arial" w:cs="Arial"/>
                <w:sz w:val="16"/>
                <w:szCs w:val="16"/>
              </w:rPr>
              <w:t>32AI07</w:t>
            </w:r>
          </w:p>
        </w:tc>
        <w:tc>
          <w:tcPr>
            <w:tcW w:w="661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rPr>
                <w:rFonts w:ascii="Arial" w:hAnsi="Arial" w:cs="Arial"/>
                <w:sz w:val="16"/>
                <w:szCs w:val="16"/>
              </w:rPr>
            </w:pPr>
            <w:r w:rsidRPr="00906AFB">
              <w:rPr>
                <w:rFonts w:ascii="Arial" w:hAnsi="Arial" w:cs="Arial"/>
                <w:sz w:val="16"/>
                <w:szCs w:val="16"/>
              </w:rPr>
              <w:t>Mantenimiento y desarrollo de la red estatal de radiocomunicaciones</w:t>
            </w:r>
          </w:p>
        </w:tc>
        <w:tc>
          <w:tcPr>
            <w:tcW w:w="128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right"/>
              <w:rPr>
                <w:rFonts w:ascii="Arial" w:hAnsi="Arial" w:cs="Arial"/>
                <w:sz w:val="16"/>
                <w:szCs w:val="16"/>
              </w:rPr>
            </w:pPr>
            <w:r w:rsidRPr="00906AFB">
              <w:rPr>
                <w:rFonts w:ascii="Arial" w:hAnsi="Arial" w:cs="Arial"/>
                <w:sz w:val="16"/>
                <w:szCs w:val="16"/>
              </w:rPr>
              <w:t xml:space="preserve">12,399,190 </w:t>
            </w:r>
          </w:p>
        </w:tc>
      </w:tr>
      <w:tr w:rsidR="00906AFB" w:rsidRPr="00906AFB" w:rsidTr="00CF4172">
        <w:trPr>
          <w:trHeight w:val="283"/>
        </w:trPr>
        <w:tc>
          <w:tcPr>
            <w:tcW w:w="81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center"/>
              <w:rPr>
                <w:rFonts w:ascii="Arial" w:hAnsi="Arial" w:cs="Arial"/>
                <w:sz w:val="16"/>
                <w:szCs w:val="16"/>
              </w:rPr>
            </w:pPr>
            <w:r w:rsidRPr="00906AFB">
              <w:rPr>
                <w:rFonts w:ascii="Arial" w:hAnsi="Arial" w:cs="Arial"/>
                <w:sz w:val="16"/>
                <w:szCs w:val="16"/>
              </w:rPr>
              <w:t>32AI08</w:t>
            </w:r>
          </w:p>
        </w:tc>
        <w:tc>
          <w:tcPr>
            <w:tcW w:w="661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rPr>
                <w:rFonts w:ascii="Arial" w:hAnsi="Arial" w:cs="Arial"/>
                <w:sz w:val="16"/>
                <w:szCs w:val="16"/>
              </w:rPr>
            </w:pPr>
            <w:r w:rsidRPr="00906AFB">
              <w:rPr>
                <w:rFonts w:ascii="Arial" w:hAnsi="Arial" w:cs="Arial"/>
                <w:sz w:val="16"/>
                <w:szCs w:val="16"/>
              </w:rPr>
              <w:t>Mantenimiento y desarrollo de la infraestructura estatal de sistema nacional de información</w:t>
            </w:r>
          </w:p>
        </w:tc>
        <w:tc>
          <w:tcPr>
            <w:tcW w:w="128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right"/>
              <w:rPr>
                <w:rFonts w:ascii="Arial" w:hAnsi="Arial" w:cs="Arial"/>
                <w:sz w:val="16"/>
                <w:szCs w:val="16"/>
              </w:rPr>
            </w:pPr>
            <w:r w:rsidRPr="00906AFB">
              <w:rPr>
                <w:rFonts w:ascii="Arial" w:hAnsi="Arial" w:cs="Arial"/>
                <w:sz w:val="16"/>
                <w:szCs w:val="16"/>
              </w:rPr>
              <w:t xml:space="preserve">670,000 </w:t>
            </w:r>
          </w:p>
        </w:tc>
      </w:tr>
      <w:tr w:rsidR="00906AFB" w:rsidRPr="00906AFB" w:rsidTr="00CF4172">
        <w:trPr>
          <w:trHeight w:val="283"/>
        </w:trPr>
        <w:tc>
          <w:tcPr>
            <w:tcW w:w="81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center"/>
              <w:rPr>
                <w:rFonts w:ascii="Arial" w:hAnsi="Arial" w:cs="Arial"/>
                <w:sz w:val="16"/>
                <w:szCs w:val="16"/>
              </w:rPr>
            </w:pPr>
            <w:r w:rsidRPr="00906AFB">
              <w:rPr>
                <w:rFonts w:ascii="Arial" w:hAnsi="Arial" w:cs="Arial"/>
                <w:sz w:val="16"/>
                <w:szCs w:val="16"/>
              </w:rPr>
              <w:t>32AI13</w:t>
            </w:r>
          </w:p>
        </w:tc>
        <w:tc>
          <w:tcPr>
            <w:tcW w:w="661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rPr>
                <w:rFonts w:ascii="Arial" w:hAnsi="Arial" w:cs="Arial"/>
                <w:sz w:val="16"/>
                <w:szCs w:val="16"/>
              </w:rPr>
            </w:pPr>
            <w:r w:rsidRPr="00906AFB">
              <w:rPr>
                <w:rFonts w:ascii="Arial" w:hAnsi="Arial" w:cs="Arial"/>
                <w:sz w:val="16"/>
                <w:szCs w:val="16"/>
              </w:rPr>
              <w:t>Fortalecimiento de Programas Prioritarios de las instituciones</w:t>
            </w:r>
          </w:p>
          <w:p w:rsidR="00906AFB" w:rsidRPr="00906AFB" w:rsidRDefault="00906AFB" w:rsidP="00CF4172">
            <w:pPr>
              <w:rPr>
                <w:rFonts w:ascii="Arial" w:hAnsi="Arial" w:cs="Arial"/>
                <w:sz w:val="16"/>
                <w:szCs w:val="16"/>
              </w:rPr>
            </w:pPr>
            <w:r w:rsidRPr="00906AFB">
              <w:rPr>
                <w:rFonts w:ascii="Arial" w:hAnsi="Arial" w:cs="Arial"/>
                <w:sz w:val="16"/>
                <w:szCs w:val="16"/>
              </w:rPr>
              <w:t>estatales de seguridad pública e impartición de justicia</w:t>
            </w:r>
          </w:p>
        </w:tc>
        <w:tc>
          <w:tcPr>
            <w:tcW w:w="128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right"/>
              <w:rPr>
                <w:rFonts w:ascii="Arial" w:hAnsi="Arial" w:cs="Arial"/>
                <w:sz w:val="16"/>
                <w:szCs w:val="16"/>
              </w:rPr>
            </w:pPr>
            <w:r w:rsidRPr="00906AFB">
              <w:rPr>
                <w:rFonts w:ascii="Arial" w:hAnsi="Arial" w:cs="Arial"/>
                <w:sz w:val="16"/>
                <w:szCs w:val="16"/>
              </w:rPr>
              <w:t xml:space="preserve">23,722,100 </w:t>
            </w:r>
          </w:p>
        </w:tc>
      </w:tr>
      <w:tr w:rsidR="00906AFB" w:rsidRPr="00906AFB" w:rsidTr="00CF4172">
        <w:trPr>
          <w:trHeight w:val="283"/>
        </w:trPr>
        <w:tc>
          <w:tcPr>
            <w:tcW w:w="81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center"/>
              <w:rPr>
                <w:rFonts w:ascii="Arial" w:hAnsi="Arial" w:cs="Arial"/>
                <w:sz w:val="16"/>
                <w:szCs w:val="16"/>
              </w:rPr>
            </w:pPr>
            <w:r w:rsidRPr="00906AFB">
              <w:rPr>
                <w:rFonts w:ascii="Arial" w:hAnsi="Arial" w:cs="Arial"/>
                <w:sz w:val="16"/>
                <w:szCs w:val="16"/>
              </w:rPr>
              <w:t>32AI15</w:t>
            </w:r>
          </w:p>
        </w:tc>
        <w:tc>
          <w:tcPr>
            <w:tcW w:w="661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rPr>
                <w:rFonts w:ascii="Arial" w:hAnsi="Arial" w:cs="Arial"/>
                <w:sz w:val="16"/>
                <w:szCs w:val="16"/>
              </w:rPr>
            </w:pPr>
            <w:r w:rsidRPr="00906AFB">
              <w:rPr>
                <w:rFonts w:ascii="Arial" w:hAnsi="Arial" w:cs="Arial"/>
                <w:sz w:val="16"/>
                <w:szCs w:val="16"/>
              </w:rPr>
              <w:t>Desarrollo, profesionalización y certificación de los elementos de las instituciones de seguridad pública</w:t>
            </w:r>
          </w:p>
        </w:tc>
        <w:tc>
          <w:tcPr>
            <w:tcW w:w="128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right"/>
              <w:rPr>
                <w:rFonts w:ascii="Arial" w:hAnsi="Arial" w:cs="Arial"/>
                <w:sz w:val="16"/>
                <w:szCs w:val="16"/>
              </w:rPr>
            </w:pPr>
            <w:r w:rsidRPr="00906AFB">
              <w:rPr>
                <w:rFonts w:ascii="Arial" w:hAnsi="Arial" w:cs="Arial"/>
                <w:sz w:val="16"/>
                <w:szCs w:val="16"/>
              </w:rPr>
              <w:t xml:space="preserve">4,475,900 </w:t>
            </w:r>
          </w:p>
        </w:tc>
      </w:tr>
      <w:tr w:rsidR="00906AFB" w:rsidRPr="00906AFB" w:rsidTr="00CF4172">
        <w:trPr>
          <w:trHeight w:val="283"/>
        </w:trPr>
        <w:tc>
          <w:tcPr>
            <w:tcW w:w="81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center"/>
              <w:rPr>
                <w:rFonts w:ascii="Arial" w:hAnsi="Arial" w:cs="Arial"/>
                <w:sz w:val="16"/>
                <w:szCs w:val="16"/>
              </w:rPr>
            </w:pPr>
            <w:r w:rsidRPr="00906AFB">
              <w:rPr>
                <w:rFonts w:ascii="Arial" w:hAnsi="Arial" w:cs="Arial"/>
                <w:sz w:val="16"/>
                <w:szCs w:val="16"/>
              </w:rPr>
              <w:t>32AI16</w:t>
            </w:r>
          </w:p>
        </w:tc>
        <w:tc>
          <w:tcPr>
            <w:tcW w:w="661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rPr>
                <w:rFonts w:ascii="Arial" w:hAnsi="Arial" w:cs="Arial"/>
                <w:sz w:val="16"/>
                <w:szCs w:val="16"/>
              </w:rPr>
            </w:pPr>
            <w:r w:rsidRPr="00906AFB">
              <w:rPr>
                <w:rFonts w:ascii="Arial" w:hAnsi="Arial" w:cs="Arial"/>
                <w:sz w:val="16"/>
                <w:szCs w:val="16"/>
              </w:rPr>
              <w:t>Fortalecimiento y desarrollo del sistema nacional de atención de llamadas de emergencia y denuncia ciudadana</w:t>
            </w:r>
          </w:p>
        </w:tc>
        <w:tc>
          <w:tcPr>
            <w:tcW w:w="128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right"/>
              <w:rPr>
                <w:rFonts w:ascii="Arial" w:hAnsi="Arial" w:cs="Arial"/>
                <w:sz w:val="16"/>
                <w:szCs w:val="16"/>
              </w:rPr>
            </w:pPr>
            <w:r w:rsidRPr="00906AFB">
              <w:rPr>
                <w:rFonts w:ascii="Arial" w:hAnsi="Arial" w:cs="Arial"/>
                <w:sz w:val="16"/>
                <w:szCs w:val="16"/>
              </w:rPr>
              <w:t xml:space="preserve">38,909,000 </w:t>
            </w:r>
          </w:p>
        </w:tc>
      </w:tr>
      <w:tr w:rsidR="00906AFB" w:rsidRPr="00906AFB" w:rsidTr="00CF4172">
        <w:trPr>
          <w:trHeight w:val="283"/>
        </w:trPr>
        <w:tc>
          <w:tcPr>
            <w:tcW w:w="81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center"/>
              <w:rPr>
                <w:rFonts w:ascii="Arial" w:hAnsi="Arial" w:cs="Arial"/>
                <w:sz w:val="16"/>
                <w:szCs w:val="16"/>
              </w:rPr>
            </w:pPr>
            <w:r w:rsidRPr="00906AFB">
              <w:rPr>
                <w:rFonts w:ascii="Arial" w:hAnsi="Arial" w:cs="Arial"/>
                <w:sz w:val="16"/>
                <w:szCs w:val="16"/>
              </w:rPr>
              <w:t>32AI18</w:t>
            </w:r>
          </w:p>
        </w:tc>
        <w:tc>
          <w:tcPr>
            <w:tcW w:w="661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rPr>
                <w:rFonts w:ascii="Arial" w:hAnsi="Arial" w:cs="Arial"/>
                <w:sz w:val="16"/>
                <w:szCs w:val="16"/>
              </w:rPr>
            </w:pPr>
            <w:r w:rsidRPr="00906AFB">
              <w:rPr>
                <w:rFonts w:ascii="Arial" w:hAnsi="Arial" w:cs="Arial"/>
                <w:sz w:val="16"/>
                <w:szCs w:val="16"/>
              </w:rPr>
              <w:t>Fortalecimiento del sistema penitenciario nacional y de ejecución de medidas para adolescentes</w:t>
            </w:r>
          </w:p>
        </w:tc>
        <w:tc>
          <w:tcPr>
            <w:tcW w:w="128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right"/>
              <w:rPr>
                <w:rFonts w:ascii="Arial" w:hAnsi="Arial" w:cs="Arial"/>
                <w:sz w:val="16"/>
                <w:szCs w:val="16"/>
              </w:rPr>
            </w:pPr>
            <w:r w:rsidRPr="00906AFB">
              <w:rPr>
                <w:rFonts w:ascii="Arial" w:hAnsi="Arial" w:cs="Arial"/>
                <w:sz w:val="16"/>
                <w:szCs w:val="16"/>
              </w:rPr>
              <w:t xml:space="preserve">1,288,000 </w:t>
            </w:r>
          </w:p>
        </w:tc>
      </w:tr>
      <w:tr w:rsidR="00906AFB" w:rsidRPr="00906AFB" w:rsidTr="00CF4172">
        <w:trPr>
          <w:trHeight w:val="283"/>
        </w:trPr>
        <w:tc>
          <w:tcPr>
            <w:tcW w:w="81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center"/>
              <w:rPr>
                <w:rFonts w:ascii="Arial" w:hAnsi="Arial" w:cs="Arial"/>
                <w:sz w:val="16"/>
                <w:szCs w:val="16"/>
              </w:rPr>
            </w:pPr>
            <w:r w:rsidRPr="00906AFB">
              <w:rPr>
                <w:rFonts w:ascii="Arial" w:hAnsi="Arial" w:cs="Arial"/>
                <w:sz w:val="16"/>
                <w:szCs w:val="16"/>
              </w:rPr>
              <w:t>32AI19</w:t>
            </w:r>
          </w:p>
        </w:tc>
        <w:tc>
          <w:tcPr>
            <w:tcW w:w="661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rPr>
                <w:rFonts w:ascii="Arial" w:hAnsi="Arial" w:cs="Arial"/>
                <w:sz w:val="16"/>
                <w:szCs w:val="16"/>
              </w:rPr>
            </w:pPr>
            <w:r w:rsidRPr="00906AFB">
              <w:rPr>
                <w:rFonts w:ascii="Arial" w:hAnsi="Arial" w:cs="Arial"/>
                <w:sz w:val="16"/>
                <w:szCs w:val="16"/>
              </w:rPr>
              <w:t>Desarrollo de ciencias forenses en la investigación de hechos delictivos.</w:t>
            </w:r>
          </w:p>
        </w:tc>
        <w:tc>
          <w:tcPr>
            <w:tcW w:w="128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right"/>
              <w:rPr>
                <w:rFonts w:ascii="Arial" w:hAnsi="Arial" w:cs="Arial"/>
                <w:sz w:val="16"/>
                <w:szCs w:val="16"/>
              </w:rPr>
            </w:pPr>
            <w:r w:rsidRPr="00906AFB">
              <w:rPr>
                <w:rFonts w:ascii="Arial" w:hAnsi="Arial" w:cs="Arial"/>
                <w:sz w:val="16"/>
                <w:szCs w:val="16"/>
              </w:rPr>
              <w:t xml:space="preserve">12,776,295 </w:t>
            </w:r>
          </w:p>
        </w:tc>
      </w:tr>
      <w:tr w:rsidR="00906AFB" w:rsidRPr="00906AFB" w:rsidTr="00CF4172">
        <w:trPr>
          <w:trHeight w:val="283"/>
        </w:trPr>
        <w:tc>
          <w:tcPr>
            <w:tcW w:w="81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center"/>
              <w:rPr>
                <w:rFonts w:ascii="Arial" w:hAnsi="Arial" w:cs="Arial"/>
                <w:sz w:val="16"/>
                <w:szCs w:val="16"/>
              </w:rPr>
            </w:pPr>
            <w:r w:rsidRPr="00906AFB">
              <w:rPr>
                <w:rFonts w:ascii="Arial" w:hAnsi="Arial" w:cs="Arial"/>
                <w:sz w:val="16"/>
                <w:szCs w:val="16"/>
              </w:rPr>
              <w:t>32AI20</w:t>
            </w:r>
          </w:p>
        </w:tc>
        <w:tc>
          <w:tcPr>
            <w:tcW w:w="661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rPr>
                <w:rFonts w:ascii="Arial" w:hAnsi="Arial" w:cs="Arial"/>
                <w:sz w:val="16"/>
                <w:szCs w:val="16"/>
              </w:rPr>
            </w:pPr>
            <w:r w:rsidRPr="00906AFB">
              <w:rPr>
                <w:rFonts w:ascii="Arial" w:hAnsi="Arial" w:cs="Arial"/>
                <w:sz w:val="16"/>
                <w:szCs w:val="16"/>
              </w:rPr>
              <w:t>Mantenimiento y desarrollo del sistema de video vigilancia</w:t>
            </w:r>
          </w:p>
        </w:tc>
        <w:tc>
          <w:tcPr>
            <w:tcW w:w="128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right"/>
              <w:rPr>
                <w:rFonts w:ascii="Arial" w:hAnsi="Arial" w:cs="Arial"/>
                <w:sz w:val="16"/>
                <w:szCs w:val="16"/>
              </w:rPr>
            </w:pPr>
            <w:r w:rsidRPr="00906AFB">
              <w:rPr>
                <w:rFonts w:ascii="Arial" w:hAnsi="Arial" w:cs="Arial"/>
                <w:sz w:val="16"/>
                <w:szCs w:val="16"/>
              </w:rPr>
              <w:t xml:space="preserve">28,165,000 </w:t>
            </w:r>
          </w:p>
        </w:tc>
      </w:tr>
      <w:tr w:rsidR="00906AFB" w:rsidRPr="00906AFB" w:rsidTr="00CF4172">
        <w:trPr>
          <w:trHeight w:val="283"/>
        </w:trPr>
        <w:tc>
          <w:tcPr>
            <w:tcW w:w="81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center"/>
              <w:rPr>
                <w:rFonts w:ascii="Arial" w:hAnsi="Arial" w:cs="Arial"/>
                <w:sz w:val="16"/>
                <w:szCs w:val="16"/>
              </w:rPr>
            </w:pPr>
            <w:r w:rsidRPr="00906AFB">
              <w:rPr>
                <w:rFonts w:ascii="Arial" w:hAnsi="Arial" w:cs="Arial"/>
                <w:sz w:val="16"/>
                <w:szCs w:val="16"/>
              </w:rPr>
              <w:t>32AI21</w:t>
            </w:r>
          </w:p>
        </w:tc>
        <w:tc>
          <w:tcPr>
            <w:tcW w:w="661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rPr>
                <w:rFonts w:ascii="Arial" w:hAnsi="Arial" w:cs="Arial"/>
                <w:sz w:val="16"/>
                <w:szCs w:val="16"/>
              </w:rPr>
            </w:pPr>
            <w:r w:rsidRPr="00906AFB">
              <w:rPr>
                <w:rFonts w:ascii="Arial" w:hAnsi="Arial" w:cs="Arial"/>
                <w:sz w:val="16"/>
                <w:szCs w:val="16"/>
              </w:rPr>
              <w:t>Fortalecimiento de las capacidades para prevención y combate a delitos de alto impacto.</w:t>
            </w:r>
          </w:p>
        </w:tc>
        <w:tc>
          <w:tcPr>
            <w:tcW w:w="128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right"/>
              <w:rPr>
                <w:rFonts w:ascii="Arial" w:hAnsi="Arial" w:cs="Arial"/>
                <w:sz w:val="16"/>
                <w:szCs w:val="16"/>
              </w:rPr>
            </w:pPr>
            <w:r w:rsidRPr="00906AFB">
              <w:rPr>
                <w:rFonts w:ascii="Arial" w:hAnsi="Arial" w:cs="Arial"/>
                <w:sz w:val="16"/>
                <w:szCs w:val="16"/>
              </w:rPr>
              <w:t xml:space="preserve">5,763,315 </w:t>
            </w:r>
          </w:p>
        </w:tc>
      </w:tr>
      <w:tr w:rsidR="00906AFB" w:rsidRPr="00906AFB" w:rsidTr="00CF4172">
        <w:trPr>
          <w:trHeight w:val="283"/>
        </w:trPr>
        <w:tc>
          <w:tcPr>
            <w:tcW w:w="81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center"/>
              <w:rPr>
                <w:rFonts w:ascii="Arial" w:hAnsi="Arial" w:cs="Arial"/>
                <w:sz w:val="16"/>
                <w:szCs w:val="16"/>
              </w:rPr>
            </w:pPr>
            <w:r w:rsidRPr="00906AFB">
              <w:rPr>
                <w:rFonts w:ascii="Arial" w:hAnsi="Arial" w:cs="Arial"/>
                <w:sz w:val="16"/>
                <w:szCs w:val="16"/>
              </w:rPr>
              <w:t>32AI23</w:t>
            </w:r>
          </w:p>
        </w:tc>
        <w:tc>
          <w:tcPr>
            <w:tcW w:w="661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rPr>
                <w:rFonts w:ascii="Arial" w:hAnsi="Arial" w:cs="Arial"/>
                <w:sz w:val="16"/>
                <w:szCs w:val="16"/>
              </w:rPr>
            </w:pPr>
            <w:r w:rsidRPr="00906AFB">
              <w:rPr>
                <w:rFonts w:ascii="Arial" w:hAnsi="Arial" w:cs="Arial"/>
                <w:sz w:val="16"/>
                <w:szCs w:val="16"/>
              </w:rPr>
              <w:t>Seguimiento y evaluación del desempeño en la aplicación de los recursos y el grado de avance en el cumplimiento de objetivos y metas</w:t>
            </w:r>
          </w:p>
        </w:tc>
        <w:tc>
          <w:tcPr>
            <w:tcW w:w="128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right"/>
              <w:rPr>
                <w:rFonts w:ascii="Arial" w:hAnsi="Arial" w:cs="Arial"/>
                <w:sz w:val="16"/>
                <w:szCs w:val="16"/>
              </w:rPr>
            </w:pPr>
            <w:r w:rsidRPr="00906AFB">
              <w:rPr>
                <w:rFonts w:ascii="Arial" w:hAnsi="Arial" w:cs="Arial"/>
                <w:sz w:val="16"/>
                <w:szCs w:val="16"/>
              </w:rPr>
              <w:t xml:space="preserve">850,000 </w:t>
            </w:r>
          </w:p>
        </w:tc>
      </w:tr>
      <w:tr w:rsidR="00906AFB" w:rsidRPr="00906AFB" w:rsidTr="00CF4172">
        <w:trPr>
          <w:trHeight w:val="283"/>
        </w:trPr>
        <w:tc>
          <w:tcPr>
            <w:tcW w:w="817" w:type="dxa"/>
            <w:tcBorders>
              <w:top w:val="single" w:sz="4" w:space="0" w:color="auto"/>
              <w:left w:val="single" w:sz="4" w:space="0" w:color="auto"/>
              <w:bottom w:val="single" w:sz="4" w:space="0" w:color="auto"/>
              <w:right w:val="single" w:sz="4" w:space="0" w:color="auto"/>
            </w:tcBorders>
            <w:noWrap/>
            <w:vAlign w:val="center"/>
          </w:tcPr>
          <w:p w:rsidR="00906AFB" w:rsidRPr="00906AFB" w:rsidRDefault="00906AFB" w:rsidP="00CF4172">
            <w:pPr>
              <w:jc w:val="center"/>
              <w:rPr>
                <w:rFonts w:ascii="Arial" w:hAnsi="Arial" w:cs="Arial"/>
                <w:sz w:val="16"/>
                <w:szCs w:val="18"/>
              </w:rPr>
            </w:pPr>
          </w:p>
        </w:tc>
        <w:tc>
          <w:tcPr>
            <w:tcW w:w="6614"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rPr>
                <w:rFonts w:ascii="Arial" w:hAnsi="Arial" w:cs="Arial"/>
                <w:b/>
                <w:sz w:val="16"/>
                <w:szCs w:val="18"/>
              </w:rPr>
            </w:pPr>
            <w:r w:rsidRPr="00906AFB">
              <w:rPr>
                <w:rFonts w:ascii="Arial" w:hAnsi="Arial" w:cs="Arial"/>
                <w:b/>
                <w:sz w:val="16"/>
                <w:szCs w:val="18"/>
              </w:rPr>
              <w:t>Total</w:t>
            </w:r>
          </w:p>
        </w:tc>
        <w:tc>
          <w:tcPr>
            <w:tcW w:w="1289"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CF4172">
            <w:pPr>
              <w:jc w:val="right"/>
              <w:rPr>
                <w:rFonts w:ascii="Arial" w:hAnsi="Arial" w:cs="Arial"/>
                <w:b/>
                <w:sz w:val="16"/>
                <w:szCs w:val="18"/>
              </w:rPr>
            </w:pPr>
            <w:r w:rsidRPr="00906AFB">
              <w:rPr>
                <w:rFonts w:ascii="Arial" w:hAnsi="Arial" w:cs="Arial"/>
                <w:b/>
                <w:sz w:val="16"/>
                <w:szCs w:val="18"/>
              </w:rPr>
              <w:t>5,512,183,000</w:t>
            </w:r>
          </w:p>
        </w:tc>
      </w:tr>
    </w:tbl>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b/>
          <w:sz w:val="24"/>
          <w:szCs w:val="24"/>
          <w:lang w:val="es-ES" w:eastAsia="en-US"/>
        </w:rPr>
        <w:t>Artículo 46</w:t>
      </w:r>
      <w:r w:rsidRPr="00906AFB">
        <w:rPr>
          <w:rFonts w:ascii="Arial" w:eastAsia="Calibri" w:hAnsi="Arial" w:cs="Arial"/>
          <w:sz w:val="24"/>
          <w:szCs w:val="24"/>
          <w:lang w:val="es-ES" w:eastAsia="en-US"/>
        </w:rPr>
        <w:t>. En el apartado de Convenios se establece una cantidad de $2,542,497,000 derivada de programas con Fuente de Financiamiento de Recursos Federales, mismos que se destinarán a fines específicos como se señala a continuación:</w:t>
      </w:r>
    </w:p>
    <w:p w:rsidR="00906AFB" w:rsidRPr="00906AFB" w:rsidRDefault="00906AFB" w:rsidP="00906AFB">
      <w:pPr>
        <w:keepNext/>
        <w:keepLines/>
        <w:spacing w:after="0" w:line="240" w:lineRule="auto"/>
        <w:jc w:val="center"/>
        <w:outlineLvl w:val="1"/>
        <w:rPr>
          <w:rFonts w:ascii="Arial" w:eastAsia="Times New Roman" w:hAnsi="Arial" w:cs="Arial"/>
          <w:b/>
          <w:sz w:val="18"/>
          <w:szCs w:val="18"/>
          <w:lang w:val="es-ES" w:eastAsia="en-US"/>
        </w:rPr>
      </w:pPr>
      <w:r w:rsidRPr="00906AFB">
        <w:rPr>
          <w:rFonts w:ascii="Arial" w:eastAsia="Times New Roman" w:hAnsi="Arial" w:cs="Times New Roman"/>
          <w:b/>
          <w:sz w:val="20"/>
          <w:szCs w:val="26"/>
          <w:lang w:val="es-ES" w:eastAsia="en-US"/>
        </w:rPr>
        <w:lastRenderedPageBreak/>
        <w:t xml:space="preserve">Tabla </w:t>
      </w:r>
      <w:r w:rsidR="00CF4172">
        <w:rPr>
          <w:rFonts w:ascii="Arial" w:eastAsia="Times New Roman" w:hAnsi="Arial" w:cs="Times New Roman"/>
          <w:b/>
          <w:sz w:val="20"/>
          <w:szCs w:val="26"/>
          <w:lang w:val="es-ES" w:eastAsia="en-US"/>
        </w:rPr>
        <w:t>51</w:t>
      </w:r>
      <w:r w:rsidRPr="00906AFB">
        <w:rPr>
          <w:rFonts w:ascii="Arial" w:eastAsia="Times New Roman" w:hAnsi="Arial" w:cs="Times New Roman"/>
          <w:b/>
          <w:sz w:val="20"/>
          <w:szCs w:val="26"/>
          <w:lang w:val="es-ES" w:eastAsia="en-US"/>
        </w:rPr>
        <w:t xml:space="preserve">. Convenios </w:t>
      </w:r>
    </w:p>
    <w:tbl>
      <w:tblPr>
        <w:tblW w:w="8354"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78"/>
        <w:gridCol w:w="1292"/>
      </w:tblGrid>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jc w:val="center"/>
              <w:rPr>
                <w:rFonts w:ascii="Arial" w:eastAsia="Times New Roman" w:hAnsi="Arial" w:cs="Arial"/>
                <w:b/>
                <w:bCs/>
                <w:color w:val="000000"/>
                <w:sz w:val="18"/>
                <w:szCs w:val="18"/>
                <w:lang w:val="es-ES" w:eastAsia="es-ES"/>
              </w:rPr>
            </w:pPr>
            <w:r w:rsidRPr="00906AFB">
              <w:rPr>
                <w:rFonts w:ascii="Arial" w:eastAsia="Times New Roman" w:hAnsi="Arial" w:cs="Arial"/>
                <w:b/>
                <w:bCs/>
                <w:color w:val="000000"/>
                <w:sz w:val="18"/>
                <w:szCs w:val="18"/>
                <w:lang w:val="es-ES" w:eastAsia="es-ES"/>
              </w:rPr>
              <w:t>Sector / Convenios</w:t>
            </w:r>
          </w:p>
        </w:tc>
        <w:tc>
          <w:tcPr>
            <w:tcW w:w="1276"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jc w:val="center"/>
              <w:rPr>
                <w:rFonts w:ascii="Arial" w:eastAsia="Times New Roman" w:hAnsi="Arial" w:cs="Arial"/>
                <w:b/>
                <w:bCs/>
                <w:color w:val="000000"/>
                <w:sz w:val="18"/>
                <w:szCs w:val="18"/>
                <w:lang w:val="es-ES" w:eastAsia="es-ES"/>
              </w:rPr>
            </w:pPr>
            <w:r w:rsidRPr="00906AFB">
              <w:rPr>
                <w:rFonts w:ascii="Arial" w:eastAsia="Times New Roman" w:hAnsi="Arial" w:cs="Arial"/>
                <w:b/>
                <w:bCs/>
                <w:color w:val="000000"/>
                <w:sz w:val="18"/>
                <w:szCs w:val="18"/>
                <w:lang w:val="es-ES" w:eastAsia="es-ES"/>
              </w:rPr>
              <w:t>Asignación Presupuestal</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b/>
                <w:bCs/>
                <w:color w:val="000000"/>
                <w:sz w:val="18"/>
                <w:szCs w:val="18"/>
                <w:lang w:val="es-ES" w:eastAsia="es-ES"/>
              </w:rPr>
            </w:pPr>
            <w:r w:rsidRPr="00906AFB">
              <w:rPr>
                <w:rFonts w:ascii="Arial" w:eastAsia="Times New Roman" w:hAnsi="Arial" w:cs="Arial"/>
                <w:b/>
                <w:bCs/>
                <w:color w:val="000000"/>
                <w:sz w:val="18"/>
                <w:szCs w:val="18"/>
                <w:lang w:val="es-ES" w:eastAsia="es-ES"/>
              </w:rPr>
              <w:t>1.     Educación</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b/>
                <w:bCs/>
                <w:color w:val="000000"/>
                <w:sz w:val="18"/>
                <w:szCs w:val="18"/>
                <w:lang w:val="es-ES" w:eastAsia="es-ES"/>
              </w:rPr>
            </w:pPr>
            <w:r w:rsidRPr="00906AFB">
              <w:rPr>
                <w:rFonts w:ascii="Arial" w:eastAsia="Times New Roman" w:hAnsi="Arial" w:cs="Arial"/>
                <w:b/>
                <w:bCs/>
                <w:color w:val="000000"/>
                <w:sz w:val="18"/>
                <w:szCs w:val="18"/>
                <w:lang w:val="es-ES" w:eastAsia="es-ES"/>
              </w:rPr>
              <w:t>263,482,000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1.1         Programa Escuelas de Tiempo Completo</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140,532,000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1.2         Programa Nacional de Becas</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2,259,000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 xml:space="preserve">1.3         Programa Becas de Apoyo a la Practica Intensiva y al Servicio Social </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6,000,000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1.4         Con el INEA a través del Ramo 11</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19,091,000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 xml:space="preserve">1.5         Telebachillerato Comunitario </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8,928,000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 xml:space="preserve">1.6         Centros de Educación Media Superior a Distancia </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19,262,000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1.7         Programa para la Inclusión y Equidad Educativa</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2,889,000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1.8         Programa de Fortalecimiento de la Calidad en Educación Básica</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14,981,000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1.9         Programa Nacional de Ingles</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10,825,000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1.10       Programa Nacional de Convivencia Escolar</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408,000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1.11       PY. Política de Igualdad de Género</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999,000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 xml:space="preserve">1.12       Fondo para Fortalecer la Autonomía de Gestión </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1,398,000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ind w:left="629" w:hanging="629"/>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1.13       Plan de Apoyo a la Calidad Educativa y la Transformación de las Escuelas Normales (PACTEN)</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17,004,000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1.14       Programa de la Reforma Educativa</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452,000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1.15       Programa para el Desarrollo Profesional Docente</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1,351,000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1.16       Programa de Atención a Jornaleros Agrícolas</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3,953,000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1.17       Fondo Concursable de Inversión en Infraestructura</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8,214,000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 xml:space="preserve">1.18       Apoyo Financiero Extraordinario no Regularizable </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4,936,000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b/>
                <w:bCs/>
                <w:color w:val="000000"/>
                <w:sz w:val="18"/>
                <w:szCs w:val="18"/>
                <w:lang w:val="es-ES" w:eastAsia="es-ES"/>
              </w:rPr>
            </w:pPr>
            <w:r w:rsidRPr="00906AFB">
              <w:rPr>
                <w:rFonts w:ascii="Arial" w:eastAsia="Times New Roman" w:hAnsi="Arial" w:cs="Arial"/>
                <w:b/>
                <w:bCs/>
                <w:color w:val="000000"/>
                <w:sz w:val="18"/>
                <w:szCs w:val="18"/>
                <w:lang w:val="es-ES" w:eastAsia="es-ES"/>
              </w:rPr>
              <w:t>2.            Salud</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b/>
                <w:bCs/>
                <w:color w:val="000000"/>
                <w:sz w:val="18"/>
                <w:szCs w:val="18"/>
                <w:lang w:val="es-ES" w:eastAsia="es-ES"/>
              </w:rPr>
            </w:pPr>
            <w:r w:rsidRPr="00906AFB">
              <w:rPr>
                <w:rFonts w:ascii="Arial" w:eastAsia="Times New Roman" w:hAnsi="Arial" w:cs="Arial"/>
                <w:b/>
                <w:bCs/>
                <w:color w:val="000000"/>
                <w:sz w:val="18"/>
                <w:szCs w:val="18"/>
                <w:lang w:val="es-ES" w:eastAsia="es-ES"/>
              </w:rPr>
              <w:t>307,753,000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 xml:space="preserve">2.1         Cuota Social </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171,355,000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2.2         Seguro Popular SMNG</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21,117,000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2.3         Comisión Estatal para la Protección Contra Riesgos Sanitarios COESPRIS</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4,277,000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ind w:left="629" w:hanging="629"/>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2.4         Acuerdo para el Fortalecimiento de Acciones de Salud Pública en las Entidades Federativas AFASPE</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83,863,000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 xml:space="preserve">2.5         Seguro Popular Capital Adicional </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724,000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2.6         Fortalecimiento a Establecimientos a la Atención Médica</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1,125,000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2.7         Fortalecimiento a la atención medica</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2,638,000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2.8         Calidad a la atención medica</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497,000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2.9         Prospera</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i/>
                <w:iCs/>
                <w:color w:val="000000"/>
                <w:sz w:val="18"/>
                <w:szCs w:val="18"/>
                <w:lang w:val="es-ES" w:eastAsia="es-ES"/>
              </w:rPr>
            </w:pPr>
            <w:r w:rsidRPr="00906AFB">
              <w:rPr>
                <w:rFonts w:ascii="Arial" w:eastAsia="Times New Roman" w:hAnsi="Arial" w:cs="Arial"/>
                <w:i/>
                <w:iCs/>
                <w:color w:val="000000"/>
                <w:sz w:val="18"/>
                <w:szCs w:val="18"/>
                <w:lang w:val="es-ES" w:eastAsia="es-ES"/>
              </w:rPr>
              <w:t>9,895,000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2.10       Prevención y Control de Adicciones</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1,091,000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ind w:left="771" w:hanging="771"/>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2.11       Ramo XII Subprograma de Infraestructura,   Rehabilitación y Equipo de Espacios Alimentarios</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472,000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2.12        Ramo XII Comunidad Diferente</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1,500,000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2.13       Ramo XII Apoyo a Personas en Estado de Necesidad</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3,874,000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2.14       Ramo XX Programa de Atención a Jornaleros</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bookmarkStart w:id="29" w:name="RANGE!B35"/>
            <w:r w:rsidRPr="00906AFB">
              <w:rPr>
                <w:rFonts w:ascii="Arial" w:eastAsia="Times New Roman" w:hAnsi="Arial" w:cs="Arial"/>
                <w:color w:val="000000"/>
                <w:sz w:val="18"/>
                <w:szCs w:val="18"/>
                <w:lang w:val="es-ES" w:eastAsia="es-ES"/>
              </w:rPr>
              <w:t>5,325,000</w:t>
            </w:r>
            <w:bookmarkEnd w:id="29"/>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b/>
                <w:bCs/>
                <w:color w:val="000000"/>
                <w:sz w:val="18"/>
                <w:szCs w:val="18"/>
                <w:lang w:val="es-ES" w:eastAsia="es-ES"/>
              </w:rPr>
            </w:pPr>
            <w:r w:rsidRPr="00906AFB">
              <w:rPr>
                <w:rFonts w:ascii="Arial" w:eastAsia="Times New Roman" w:hAnsi="Arial" w:cs="Arial"/>
                <w:b/>
                <w:bCs/>
                <w:color w:val="000000"/>
                <w:sz w:val="18"/>
                <w:szCs w:val="18"/>
                <w:lang w:val="es-ES" w:eastAsia="es-ES"/>
              </w:rPr>
              <w:t>3.            Desarrollo Social</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b/>
                <w:bCs/>
                <w:color w:val="000000"/>
                <w:sz w:val="18"/>
                <w:szCs w:val="18"/>
                <w:lang w:val="es-ES" w:eastAsia="es-ES"/>
              </w:rPr>
            </w:pPr>
            <w:r w:rsidRPr="00906AFB">
              <w:rPr>
                <w:rFonts w:ascii="Arial" w:eastAsia="Times New Roman" w:hAnsi="Arial" w:cs="Arial"/>
                <w:b/>
                <w:bCs/>
                <w:color w:val="000000"/>
                <w:sz w:val="18"/>
                <w:szCs w:val="18"/>
                <w:lang w:val="es-ES" w:eastAsia="es-ES"/>
              </w:rPr>
              <w:t>15,950,000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lastRenderedPageBreak/>
              <w:t>3.1         Programa de Infraestructura Indígena (PROII)</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15,950,000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b/>
                <w:bCs/>
                <w:color w:val="000000"/>
                <w:sz w:val="18"/>
                <w:szCs w:val="18"/>
                <w:lang w:val="es-ES" w:eastAsia="es-ES"/>
              </w:rPr>
            </w:pPr>
            <w:r w:rsidRPr="00906AFB">
              <w:rPr>
                <w:rFonts w:ascii="Arial" w:eastAsia="Times New Roman" w:hAnsi="Arial" w:cs="Arial"/>
                <w:b/>
                <w:bCs/>
                <w:color w:val="000000"/>
                <w:sz w:val="18"/>
                <w:szCs w:val="18"/>
                <w:lang w:val="es-ES" w:eastAsia="es-ES"/>
              </w:rPr>
              <w:t>4.            Medio Ambiente y Recursos Naturales</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b/>
                <w:bCs/>
                <w:color w:val="000000"/>
                <w:sz w:val="18"/>
                <w:szCs w:val="18"/>
                <w:lang w:val="es-ES" w:eastAsia="es-ES"/>
              </w:rPr>
            </w:pPr>
            <w:r w:rsidRPr="00906AFB">
              <w:rPr>
                <w:rFonts w:ascii="Arial" w:eastAsia="Times New Roman" w:hAnsi="Arial" w:cs="Arial"/>
                <w:b/>
                <w:bCs/>
                <w:color w:val="000000"/>
                <w:sz w:val="18"/>
                <w:szCs w:val="18"/>
                <w:lang w:val="es-ES" w:eastAsia="es-ES"/>
              </w:rPr>
              <w:t>155,048,000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4.1         PROAGUA Apartado Agua Limpia</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850,000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4.2         Cultura del Agua</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500,000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4.3         Programa Federal PROAGUA Apartado APARURAL</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30,000,000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4.4         Programa Federal PROAGUA Apartado APAUR</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65,000,000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ind w:left="629" w:hanging="629"/>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 xml:space="preserve">4.5         Convenio de coordinación para dar cumplimiento al contenido del anexo del PEF (Ramo 16) </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30,000,000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4.6         Programa de tratamiento de aguas residuales (PROSAN) de la  CONAGUA</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21,630,000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4.7         Programa de Devolución de Derechos (PRODDER) de la CONAGUA</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7,068,000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b/>
                <w:bCs/>
                <w:color w:val="000000"/>
                <w:sz w:val="18"/>
                <w:szCs w:val="18"/>
                <w:lang w:val="es-ES" w:eastAsia="es-ES"/>
              </w:rPr>
            </w:pPr>
            <w:r w:rsidRPr="00906AFB">
              <w:rPr>
                <w:rFonts w:ascii="Arial" w:eastAsia="Times New Roman" w:hAnsi="Arial" w:cs="Arial"/>
                <w:b/>
                <w:bCs/>
                <w:color w:val="000000"/>
                <w:sz w:val="18"/>
                <w:szCs w:val="18"/>
                <w:lang w:val="es-ES" w:eastAsia="es-ES"/>
              </w:rPr>
              <w:t>5.            Economía</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b/>
                <w:bCs/>
                <w:color w:val="000000"/>
                <w:sz w:val="18"/>
                <w:szCs w:val="18"/>
                <w:lang w:val="es-ES" w:eastAsia="es-ES"/>
              </w:rPr>
            </w:pPr>
            <w:r w:rsidRPr="00906AFB">
              <w:rPr>
                <w:rFonts w:ascii="Arial" w:eastAsia="Times New Roman" w:hAnsi="Arial" w:cs="Arial"/>
                <w:b/>
                <w:bCs/>
                <w:color w:val="000000"/>
                <w:sz w:val="18"/>
                <w:szCs w:val="18"/>
                <w:lang w:val="es-ES" w:eastAsia="es-ES"/>
              </w:rPr>
              <w:t>104,900,000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ind w:left="629" w:hanging="629"/>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5.1         Apoyo a la Micro, Pequeña y Mediana Empresa del Fondo Nacional Emprendedor</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34,000,000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5.2         Parque Metropolitano Valle de las Garzas y Parque lineal Río Colima</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40,000,000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5.3         Desarrollo de Destinos Turísticos Diversificados</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1,500,000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ind w:left="771" w:hanging="771"/>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5.4         Fondo para el desarrollo sustentable de estados y municipios mineros de la Secretaría de Desarrollo Agrario, Territorial y Urbano</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11,400,000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ind w:left="771" w:hanging="771"/>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 xml:space="preserve">5.5         Adopción y apropiación de productos y servicios de tecnologías de información e innovación de los sectores estratégicos. </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1,000,000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ind w:left="771" w:hanging="771"/>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5.6         Anexo de ejecución del Fondo Mixto de Fomento a la Investigación Científica y Tecnológica, Fondo Mixto CONACYT - Gobierno del Estado de colima.</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10,000,000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ind w:left="771" w:hanging="771"/>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5.7         Estrategia Nacional para Fomentar y Fortalecer la Divulgación de la Ciencia, la Tecnología y la Innovación en las Entidades federativas: 2017</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7,000,000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b/>
                <w:bCs/>
                <w:color w:val="000000"/>
                <w:sz w:val="18"/>
                <w:szCs w:val="18"/>
                <w:lang w:val="es-ES" w:eastAsia="es-ES"/>
              </w:rPr>
            </w:pPr>
            <w:r w:rsidRPr="00906AFB">
              <w:rPr>
                <w:rFonts w:ascii="Arial" w:eastAsia="Times New Roman" w:hAnsi="Arial" w:cs="Arial"/>
                <w:b/>
                <w:bCs/>
                <w:color w:val="000000"/>
                <w:sz w:val="18"/>
                <w:szCs w:val="18"/>
                <w:lang w:val="es-ES" w:eastAsia="es-ES"/>
              </w:rPr>
              <w:t>6.            Desarrollo Agrario, Territorial y Urbano</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b/>
                <w:bCs/>
                <w:color w:val="000000"/>
                <w:sz w:val="18"/>
                <w:szCs w:val="18"/>
                <w:lang w:val="es-ES" w:eastAsia="es-ES"/>
              </w:rPr>
            </w:pPr>
            <w:r w:rsidRPr="00906AFB">
              <w:rPr>
                <w:rFonts w:ascii="Arial" w:eastAsia="Times New Roman" w:hAnsi="Arial" w:cs="Arial"/>
                <w:b/>
                <w:bCs/>
                <w:color w:val="000000"/>
                <w:sz w:val="18"/>
                <w:szCs w:val="18"/>
                <w:lang w:val="es-ES" w:eastAsia="es-ES"/>
              </w:rPr>
              <w:t>327,480,000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6.1         Construcción, Modernización y Mantenimiento de Caminos y Carreteras SCT</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30,000,000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6.2         Fondo Metropolitano</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40,000,000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6.3         Programa de Infraestructura Deportiva</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20,000,000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6.4         Programa de Infraestructura de la SEDATU</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6,000,000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ind w:left="629" w:hanging="629"/>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6.5         Programa para la Prevención y Gestión Integral de      Residuos Sólidos (SEMARNAT)</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16,000,000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6.6         CONAVI vivienda para jóvenes</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9,540,000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6.7         IMJUVE vivienda para jóvenes</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1,590,000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6.8         SEDESOL vivienda para jóvenes</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4,350,000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ind w:left="771" w:hanging="771"/>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6.9</w:t>
            </w:r>
            <w:r w:rsidRPr="00906AFB">
              <w:rPr>
                <w:rFonts w:ascii="Arial" w:eastAsia="Times New Roman" w:hAnsi="Arial" w:cs="Arial"/>
                <w:color w:val="000000"/>
                <w:sz w:val="18"/>
                <w:szCs w:val="18"/>
                <w:lang w:val="es-ES" w:eastAsia="es-ES"/>
              </w:rPr>
              <w:tab/>
              <w:t>Fondo para el Fortalecimiento de la Infraestructura Estatal</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200,000,000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b/>
                <w:bCs/>
                <w:color w:val="000000"/>
                <w:sz w:val="18"/>
                <w:szCs w:val="18"/>
                <w:lang w:val="es-ES" w:eastAsia="es-ES"/>
              </w:rPr>
            </w:pPr>
            <w:r w:rsidRPr="00906AFB">
              <w:rPr>
                <w:rFonts w:ascii="Arial" w:eastAsia="Times New Roman" w:hAnsi="Arial" w:cs="Arial"/>
                <w:b/>
                <w:bCs/>
                <w:color w:val="000000"/>
                <w:sz w:val="18"/>
                <w:szCs w:val="18"/>
                <w:lang w:val="es-ES" w:eastAsia="es-ES"/>
              </w:rPr>
              <w:t>7.            Hacienda</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b/>
                <w:bCs/>
                <w:color w:val="000000"/>
                <w:sz w:val="18"/>
                <w:szCs w:val="18"/>
                <w:lang w:val="es-ES" w:eastAsia="es-ES"/>
              </w:rPr>
            </w:pPr>
            <w:r w:rsidRPr="00906AFB">
              <w:rPr>
                <w:rFonts w:ascii="Arial" w:eastAsia="Times New Roman" w:hAnsi="Arial" w:cs="Arial"/>
                <w:b/>
                <w:bCs/>
                <w:color w:val="000000"/>
                <w:sz w:val="18"/>
                <w:szCs w:val="18"/>
                <w:lang w:val="es-ES" w:eastAsia="es-ES"/>
              </w:rPr>
              <w:t>478,000,000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7.2         Fortalecimiento Financiero</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478,000,000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b/>
                <w:bCs/>
                <w:color w:val="000000"/>
                <w:sz w:val="18"/>
                <w:szCs w:val="18"/>
                <w:lang w:val="es-ES" w:eastAsia="es-ES"/>
              </w:rPr>
            </w:pPr>
            <w:r w:rsidRPr="00906AFB">
              <w:rPr>
                <w:rFonts w:ascii="Arial" w:eastAsia="Times New Roman" w:hAnsi="Arial" w:cs="Arial"/>
                <w:b/>
                <w:bCs/>
                <w:color w:val="000000"/>
                <w:sz w:val="18"/>
                <w:szCs w:val="18"/>
                <w:lang w:val="es-ES" w:eastAsia="es-ES"/>
              </w:rPr>
              <w:t>8.            Provisiones Salariales y Económicas</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b/>
                <w:bCs/>
                <w:color w:val="000000"/>
                <w:sz w:val="18"/>
                <w:szCs w:val="18"/>
                <w:lang w:val="es-ES" w:eastAsia="es-ES"/>
              </w:rPr>
            </w:pPr>
            <w:r w:rsidRPr="00906AFB">
              <w:rPr>
                <w:rFonts w:ascii="Arial" w:eastAsia="Times New Roman" w:hAnsi="Arial" w:cs="Arial"/>
                <w:b/>
                <w:bCs/>
                <w:color w:val="000000"/>
                <w:sz w:val="18"/>
                <w:szCs w:val="18"/>
                <w:lang w:val="es-ES" w:eastAsia="es-ES"/>
              </w:rPr>
              <w:t>23,754,000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8.1         Fondo de Accesibilidad para las Personas con Discapacidad</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9,003,000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8.2         Programa de apoyo al empleo</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14,751,000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b/>
                <w:bCs/>
                <w:color w:val="000000"/>
                <w:sz w:val="18"/>
                <w:szCs w:val="18"/>
                <w:lang w:val="es-ES" w:eastAsia="es-ES"/>
              </w:rPr>
            </w:pPr>
            <w:r w:rsidRPr="00906AFB">
              <w:rPr>
                <w:rFonts w:ascii="Arial" w:eastAsia="Times New Roman" w:hAnsi="Arial" w:cs="Arial"/>
                <w:b/>
                <w:bCs/>
                <w:color w:val="000000"/>
                <w:sz w:val="18"/>
                <w:szCs w:val="18"/>
                <w:lang w:val="es-ES" w:eastAsia="es-ES"/>
              </w:rPr>
              <w:t>9.            Seguridad</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b/>
                <w:bCs/>
                <w:color w:val="000000"/>
                <w:sz w:val="18"/>
                <w:szCs w:val="18"/>
                <w:lang w:val="es-ES" w:eastAsia="es-ES"/>
              </w:rPr>
            </w:pPr>
            <w:r w:rsidRPr="00906AFB">
              <w:rPr>
                <w:rFonts w:ascii="Arial" w:eastAsia="Times New Roman" w:hAnsi="Arial" w:cs="Arial"/>
                <w:b/>
                <w:bCs/>
                <w:color w:val="000000"/>
                <w:sz w:val="18"/>
                <w:szCs w:val="18"/>
                <w:lang w:val="es-ES" w:eastAsia="es-ES"/>
              </w:rPr>
              <w:t>76,500,000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 xml:space="preserve">9.1         Convenio SETEC 2017 subsidio equipo </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580,000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9.2         Convenio SETEC 2017 subsidio mobiliario</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354,000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9.3         Convenio SETEC 2017 subsidio infraestructura</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4,900,000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lastRenderedPageBreak/>
              <w:t xml:space="preserve">9.4         Programas prioritarios locales de las Instalaciones de Seguridad Pública </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5,184,000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 xml:space="preserve">9.5         Mobiliario para Sistema de Justicia Penal Acusatorio (SETEC) </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381,000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9.6         Programa Nacional de Prevención del Delito</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41,373,000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9.7         Equipamiento Tecnológico Básico y de Telecomunicaciones (SETEC)</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689,000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9.8         Desarrollo de las Ciencias Forenses en la Investigación de Hechos Delictivos</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12,776,000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ind w:left="629" w:hanging="629"/>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9.9         Fortalecimiento de las Capacidades para Prevención y Combate a Delitos de Alto Impacto</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10,263,000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b/>
                <w:bCs/>
                <w:color w:val="000000"/>
                <w:sz w:val="18"/>
                <w:szCs w:val="18"/>
                <w:lang w:val="es-ES" w:eastAsia="es-ES"/>
              </w:rPr>
            </w:pPr>
            <w:r w:rsidRPr="00906AFB">
              <w:rPr>
                <w:rFonts w:ascii="Arial" w:eastAsia="Times New Roman" w:hAnsi="Arial" w:cs="Arial"/>
                <w:b/>
                <w:bCs/>
                <w:color w:val="000000"/>
                <w:sz w:val="18"/>
                <w:szCs w:val="18"/>
                <w:lang w:val="es-ES" w:eastAsia="es-ES"/>
              </w:rPr>
              <w:t>10.         Juventud</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b/>
                <w:bCs/>
                <w:color w:val="000000"/>
                <w:sz w:val="18"/>
                <w:szCs w:val="18"/>
                <w:lang w:val="es-ES" w:eastAsia="es-ES"/>
              </w:rPr>
            </w:pPr>
            <w:r w:rsidRPr="00906AFB">
              <w:rPr>
                <w:rFonts w:ascii="Arial" w:eastAsia="Times New Roman" w:hAnsi="Arial" w:cs="Arial"/>
                <w:b/>
                <w:bCs/>
                <w:color w:val="000000"/>
                <w:sz w:val="18"/>
                <w:szCs w:val="18"/>
                <w:lang w:val="es-ES" w:eastAsia="es-ES"/>
              </w:rPr>
              <w:t>2,160,000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10.1       Red Nacional Programas Poder Joven Radio y Televisión</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240,000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 xml:space="preserve">10.2       Casa del Emprendedor </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400,000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10.3       Proyectos Locales Juveniles</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720,000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10.4       Centros Poder Joven</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800,000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b/>
                <w:bCs/>
                <w:color w:val="000000"/>
                <w:sz w:val="18"/>
                <w:szCs w:val="18"/>
                <w:lang w:val="es-ES" w:eastAsia="es-ES"/>
              </w:rPr>
            </w:pPr>
            <w:r w:rsidRPr="00906AFB">
              <w:rPr>
                <w:rFonts w:ascii="Arial" w:eastAsia="Times New Roman" w:hAnsi="Arial" w:cs="Arial"/>
                <w:b/>
                <w:bCs/>
                <w:color w:val="000000"/>
                <w:sz w:val="18"/>
                <w:szCs w:val="18"/>
                <w:lang w:val="es-ES" w:eastAsia="es-ES"/>
              </w:rPr>
              <w:t>11.          Deporte</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b/>
                <w:bCs/>
                <w:color w:val="000000"/>
                <w:sz w:val="18"/>
                <w:szCs w:val="18"/>
                <w:lang w:val="es-ES" w:eastAsia="es-ES"/>
              </w:rPr>
            </w:pPr>
            <w:r w:rsidRPr="00906AFB">
              <w:rPr>
                <w:rFonts w:ascii="Arial" w:eastAsia="Times New Roman" w:hAnsi="Arial" w:cs="Arial"/>
                <w:b/>
                <w:bCs/>
                <w:color w:val="000000"/>
                <w:sz w:val="18"/>
                <w:szCs w:val="18"/>
                <w:lang w:val="es-ES" w:eastAsia="es-ES"/>
              </w:rPr>
              <w:t>6,466,000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11.1       Etapa Regional de Olimpiada Nacional y Nacional Juvenil</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500,000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 xml:space="preserve">11.2       Entrenadores Nacionales de Reserva Nacional </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592,000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 xml:space="preserve">11.3       Entrenadores Nacionales de Talentos Deportivos </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725,000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11.4       Centros de Convivencia Deportiva Escolar y Municipal</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655,000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11.5       Activación Física</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3,180,000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11.6       Inclusión al Deporte de Iniciación, Formación y Competencia</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320,000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 xml:space="preserve">11.7       Entrenadores Nacionales del Deporte Adaptado </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384,000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11.8       Premio Estatal del Deporte</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110,000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b/>
                <w:bCs/>
                <w:color w:val="000000"/>
                <w:sz w:val="18"/>
                <w:szCs w:val="18"/>
                <w:lang w:val="es-ES" w:eastAsia="es-ES"/>
              </w:rPr>
            </w:pPr>
            <w:r w:rsidRPr="00906AFB">
              <w:rPr>
                <w:rFonts w:ascii="Arial" w:eastAsia="Times New Roman" w:hAnsi="Arial" w:cs="Arial"/>
                <w:b/>
                <w:bCs/>
                <w:color w:val="000000"/>
                <w:sz w:val="18"/>
                <w:szCs w:val="18"/>
                <w:lang w:val="es-ES" w:eastAsia="es-ES"/>
              </w:rPr>
              <w:t>12.         Cultura</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b/>
                <w:bCs/>
                <w:color w:val="000000"/>
                <w:sz w:val="18"/>
                <w:szCs w:val="18"/>
                <w:lang w:val="es-ES" w:eastAsia="es-ES"/>
              </w:rPr>
            </w:pPr>
            <w:r w:rsidRPr="00906AFB">
              <w:rPr>
                <w:rFonts w:ascii="Arial" w:eastAsia="Times New Roman" w:hAnsi="Arial" w:cs="Arial"/>
                <w:b/>
                <w:bCs/>
                <w:color w:val="000000"/>
                <w:sz w:val="18"/>
                <w:szCs w:val="18"/>
                <w:lang w:val="es-ES" w:eastAsia="es-ES"/>
              </w:rPr>
              <w:t>46,029,000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ind w:left="629" w:hanging="629"/>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12.1       Convocatoria pública para el desarrollo, ejecución y creación de Proyectos Culturales y Artísticos</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2,000,000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 xml:space="preserve">12.2       Programa de Apoyo a las Culturas Municipales y Comunitarias (PACMYC) </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1,600,000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12.3       Desarrollo Cultural Infantil</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500,000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12.4       Desarrollo Cultural Juvenil</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400,000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12.5       Atención a públicos específicos</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400,000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12.6       Centro de Producción de Artes Gráficas La Parota</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1,000,000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12.7       Fomento a la cultura</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1,750,000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12.8       Unidad de Culturas Populares</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200,000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12.9       Tierra Caliente</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300,000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12.10     Fondo Regional Centro Occidente</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700,000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12.11     Programa Desarrollo Cultural Municipal</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2,000,000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12.12     Subsidios para proyectos culturales 2017</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35,179,000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b/>
                <w:bCs/>
                <w:color w:val="000000"/>
                <w:sz w:val="18"/>
                <w:szCs w:val="18"/>
                <w:lang w:val="es-ES" w:eastAsia="es-ES"/>
              </w:rPr>
            </w:pPr>
            <w:r w:rsidRPr="00906AFB">
              <w:rPr>
                <w:rFonts w:ascii="Arial" w:eastAsia="Times New Roman" w:hAnsi="Arial" w:cs="Arial"/>
                <w:b/>
                <w:bCs/>
                <w:color w:val="000000"/>
                <w:sz w:val="18"/>
                <w:szCs w:val="18"/>
                <w:lang w:val="es-ES" w:eastAsia="es-ES"/>
              </w:rPr>
              <w:t>13.         Desarrollo Rural</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b/>
                <w:bCs/>
                <w:color w:val="000000"/>
                <w:sz w:val="18"/>
                <w:szCs w:val="18"/>
                <w:lang w:val="es-ES" w:eastAsia="es-ES"/>
              </w:rPr>
            </w:pPr>
            <w:r w:rsidRPr="00906AFB">
              <w:rPr>
                <w:rFonts w:ascii="Arial" w:eastAsia="Times New Roman" w:hAnsi="Arial" w:cs="Arial"/>
                <w:b/>
                <w:bCs/>
                <w:color w:val="000000"/>
                <w:sz w:val="18"/>
                <w:szCs w:val="18"/>
                <w:lang w:val="es-ES" w:eastAsia="es-ES"/>
              </w:rPr>
              <w:t>723,839,000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ind w:left="771" w:hanging="771"/>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13.1.      Programa para el funcionamiento y operación de la Cuenca del Río Ayuquila-Armería</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2,000,000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13.2.      Repoblamiento del hato ganadero, programa especial</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29,300,000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13.3.      Rastro tipo inspección federal, programa especial</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40,000,000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13.4.      Tecnificación de 30 mil has con sistema de riego</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92,000,000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lastRenderedPageBreak/>
              <w:t>13.5.      Establecimiento de plantación de palma de coco, programa especial</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10,009,000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13.6.      Establecimiento y reconversión de 5000 has del cultivo del limón mexicano</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6,750,000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13.7.      Rehabilitación de infraestructura para el Paraíso, programa especial.</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50,000,000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13.8.      Obras Laguna Cuyutlán</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90,000,000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 xml:space="preserve">13.9.      Mecanización al campo colimense, programa especial </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96,000,000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13.10.    Programa de concurrencia con las entidades federativas</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100,400,000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13.11.    Programa de productividad rural</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24,600,000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13.12.    Programa de apoyos a pequeños productores</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6,600,000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13.13.    Programa de productividad y competitividad agroalimentaria</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400,000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13.14.    Programa de sanidad e inocuidad agroalimentaria</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29,600,000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ind w:left="629" w:hanging="629"/>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13.15.   Proyecto para la restauración y conservación de manglares para el Estado de Colima (PPA)</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12,080,000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13.16.   Programa de fomento a la productividad pesquera y acuícola</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2,350,000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13.17.   Componente al desarrollo de la acuacultura</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20,000,000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13.18.   Programa de modernización y tecnificación de unidades de riego</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14,400,000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ind w:left="629" w:hanging="629"/>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13.19.   Programa de tecnificación, modernización y                                            equipamiento de distritos de riego</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91,350,000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13.20.   Despensas "Del campo a tu mesa"</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6,000,000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rPr>
                <w:rFonts w:ascii="Arial" w:eastAsia="Times New Roman" w:hAnsi="Arial" w:cs="Arial"/>
                <w:b/>
                <w:bCs/>
                <w:color w:val="000000"/>
                <w:sz w:val="18"/>
                <w:szCs w:val="18"/>
                <w:lang w:val="es-ES" w:eastAsia="es-ES"/>
              </w:rPr>
            </w:pPr>
            <w:r w:rsidRPr="00906AFB">
              <w:rPr>
                <w:rFonts w:ascii="Arial" w:eastAsia="Times New Roman" w:hAnsi="Arial" w:cs="Arial"/>
                <w:b/>
                <w:bCs/>
                <w:color w:val="000000"/>
                <w:sz w:val="18"/>
                <w:szCs w:val="18"/>
                <w:lang w:val="es-ES" w:eastAsia="es-ES"/>
              </w:rPr>
              <w:t>14.         Otros Convenios</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b/>
                <w:bCs/>
                <w:color w:val="000000"/>
                <w:sz w:val="18"/>
                <w:szCs w:val="18"/>
                <w:lang w:val="es-ES" w:eastAsia="es-ES"/>
              </w:rPr>
            </w:pPr>
            <w:r w:rsidRPr="00906AFB">
              <w:rPr>
                <w:rFonts w:ascii="Arial" w:eastAsia="Times New Roman" w:hAnsi="Arial" w:cs="Arial"/>
                <w:b/>
                <w:bCs/>
                <w:color w:val="000000"/>
                <w:sz w:val="18"/>
                <w:szCs w:val="18"/>
                <w:lang w:val="es-ES" w:eastAsia="es-ES"/>
              </w:rPr>
              <w:t>11,136,000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ind w:left="629" w:hanging="629"/>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14.1.      Proyecto Integral de Modernización de Registros Públicos y Catastro SEDATU 2017.</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11,136,000</w:t>
            </w:r>
          </w:p>
        </w:tc>
      </w:tr>
      <w:tr w:rsidR="00906AFB" w:rsidRPr="00906AFB" w:rsidTr="00906AFB">
        <w:trPr>
          <w:trHeight w:val="283"/>
        </w:trPr>
        <w:tc>
          <w:tcPr>
            <w:tcW w:w="707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spacing w:after="0" w:line="240" w:lineRule="auto"/>
              <w:jc w:val="center"/>
              <w:rPr>
                <w:rFonts w:ascii="Arial" w:eastAsia="Times New Roman" w:hAnsi="Arial" w:cs="Arial"/>
                <w:b/>
                <w:bCs/>
                <w:color w:val="000000"/>
                <w:sz w:val="18"/>
                <w:szCs w:val="18"/>
                <w:lang w:val="es-ES" w:eastAsia="es-ES"/>
              </w:rPr>
            </w:pPr>
            <w:r w:rsidRPr="00906AFB">
              <w:rPr>
                <w:rFonts w:ascii="Arial" w:eastAsia="Times New Roman" w:hAnsi="Arial" w:cs="Arial"/>
                <w:b/>
                <w:bCs/>
                <w:color w:val="000000"/>
                <w:sz w:val="18"/>
                <w:szCs w:val="18"/>
                <w:lang w:val="es-ES" w:eastAsia="es-ES"/>
              </w:rPr>
              <w:t>Total</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right"/>
              <w:rPr>
                <w:rFonts w:ascii="Arial" w:eastAsia="Times New Roman" w:hAnsi="Arial" w:cs="Arial"/>
                <w:b/>
                <w:bCs/>
                <w:color w:val="000000"/>
                <w:sz w:val="18"/>
                <w:szCs w:val="18"/>
                <w:lang w:val="es-ES" w:eastAsia="es-ES"/>
              </w:rPr>
            </w:pPr>
            <w:r w:rsidRPr="00906AFB">
              <w:rPr>
                <w:rFonts w:ascii="Arial" w:eastAsia="Times New Roman" w:hAnsi="Arial" w:cs="Arial"/>
                <w:b/>
                <w:bCs/>
                <w:color w:val="000000"/>
                <w:sz w:val="18"/>
                <w:szCs w:val="18"/>
                <w:lang w:val="es-ES" w:eastAsia="es-ES"/>
              </w:rPr>
              <w:t>2,542,497,000</w:t>
            </w:r>
          </w:p>
        </w:tc>
      </w:tr>
    </w:tbl>
    <w:p w:rsidR="00906AFB" w:rsidRPr="00906AFB" w:rsidRDefault="00906AFB" w:rsidP="00906AFB">
      <w:pPr>
        <w:spacing w:after="0" w:line="240" w:lineRule="auto"/>
        <w:rPr>
          <w:rFonts w:ascii="Colaborate-Regular" w:eastAsia="Calibri" w:hAnsi="Colaborate-Regular" w:cs="Times New Roman"/>
          <w:sz w:val="20"/>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b/>
          <w:sz w:val="24"/>
          <w:szCs w:val="24"/>
          <w:lang w:val="es-ES" w:eastAsia="en-US"/>
        </w:rPr>
        <w:t>Artículo 47</w:t>
      </w:r>
      <w:r w:rsidRPr="00906AFB">
        <w:rPr>
          <w:rFonts w:ascii="Arial" w:eastAsia="Calibri" w:hAnsi="Arial" w:cs="Arial"/>
          <w:sz w:val="24"/>
          <w:szCs w:val="24"/>
          <w:lang w:val="es-ES" w:eastAsia="en-US"/>
        </w:rPr>
        <w:t>. En el apartado de Subsidios y Subvenciones se establece un monto total de $</w:t>
      </w:r>
      <w:r w:rsidR="0035179E" w:rsidRPr="0035179E">
        <w:rPr>
          <w:rFonts w:ascii="Arial" w:eastAsia="Calibri" w:hAnsi="Arial" w:cs="Arial"/>
          <w:sz w:val="24"/>
          <w:szCs w:val="24"/>
          <w:lang w:val="es-ES" w:eastAsia="en-US"/>
        </w:rPr>
        <w:t>1,579,301,000</w:t>
      </w:r>
      <w:r w:rsidR="0035179E">
        <w:rPr>
          <w:rFonts w:ascii="Arial" w:eastAsia="Calibri" w:hAnsi="Arial" w:cs="Arial"/>
          <w:sz w:val="24"/>
          <w:szCs w:val="24"/>
          <w:lang w:val="es-ES" w:eastAsia="en-US"/>
        </w:rPr>
        <w:t xml:space="preserve"> </w:t>
      </w:r>
      <w:r w:rsidRPr="00906AFB">
        <w:rPr>
          <w:rFonts w:ascii="Arial" w:eastAsia="Calibri" w:hAnsi="Arial" w:cs="Arial"/>
          <w:sz w:val="24"/>
          <w:szCs w:val="24"/>
          <w:lang w:val="es-ES" w:eastAsia="en-US"/>
        </w:rPr>
        <w:t>derivado de programas con fuente de financiamiento de recursos federales; de los cuales se establece una cantidad de $1,522,491,000 para la Universidad de Colima y Universidad Tecnológica de Manzanillo, como se detalla a continuación:</w:t>
      </w:r>
    </w:p>
    <w:p w:rsidR="00906AFB" w:rsidRPr="00906AFB" w:rsidRDefault="00723C49" w:rsidP="00906AFB">
      <w:pPr>
        <w:keepNext/>
        <w:keepLines/>
        <w:spacing w:after="0" w:line="240" w:lineRule="auto"/>
        <w:jc w:val="center"/>
        <w:outlineLvl w:val="1"/>
        <w:rPr>
          <w:rFonts w:ascii="Arial" w:eastAsia="Times New Roman" w:hAnsi="Arial" w:cs="Times New Roman"/>
          <w:b/>
          <w:sz w:val="20"/>
          <w:szCs w:val="26"/>
          <w:lang w:val="es-ES" w:eastAsia="en-US"/>
        </w:rPr>
      </w:pPr>
      <w:r>
        <w:rPr>
          <w:rFonts w:ascii="Arial" w:eastAsia="Times New Roman" w:hAnsi="Arial" w:cs="Times New Roman"/>
          <w:b/>
          <w:sz w:val="20"/>
          <w:szCs w:val="26"/>
          <w:lang w:val="es-ES" w:eastAsia="en-US"/>
        </w:rPr>
        <w:t xml:space="preserve">Tabla </w:t>
      </w:r>
      <w:r w:rsidR="00CF4172">
        <w:rPr>
          <w:rFonts w:ascii="Arial" w:eastAsia="Times New Roman" w:hAnsi="Arial" w:cs="Times New Roman"/>
          <w:b/>
          <w:sz w:val="20"/>
          <w:szCs w:val="26"/>
          <w:lang w:val="es-ES" w:eastAsia="en-US"/>
        </w:rPr>
        <w:t>52</w:t>
      </w:r>
      <w:r w:rsidR="00906AFB" w:rsidRPr="00906AFB">
        <w:rPr>
          <w:rFonts w:ascii="Arial" w:eastAsia="Times New Roman" w:hAnsi="Arial" w:cs="Times New Roman"/>
          <w:b/>
          <w:sz w:val="20"/>
          <w:szCs w:val="26"/>
          <w:lang w:val="es-ES" w:eastAsia="en-US"/>
        </w:rPr>
        <w:t xml:space="preserve">. Subsidios y Subvenciones </w:t>
      </w:r>
    </w:p>
    <w:tbl>
      <w:tblPr>
        <w:tblStyle w:val="Tablaconcuadrcula2"/>
        <w:tblW w:w="0" w:type="auto"/>
        <w:jc w:val="center"/>
        <w:tblInd w:w="0" w:type="dxa"/>
        <w:tblLook w:val="04A0" w:firstRow="1" w:lastRow="0" w:firstColumn="1" w:lastColumn="0" w:noHBand="0" w:noVBand="1"/>
      </w:tblPr>
      <w:tblGrid>
        <w:gridCol w:w="6468"/>
        <w:gridCol w:w="1523"/>
      </w:tblGrid>
      <w:tr w:rsidR="00906AFB" w:rsidRPr="00906AFB" w:rsidTr="00906AFB">
        <w:trPr>
          <w:trHeight w:val="438"/>
          <w:jc w:val="center"/>
        </w:trPr>
        <w:tc>
          <w:tcPr>
            <w:tcW w:w="646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bCs/>
                <w:sz w:val="20"/>
                <w:szCs w:val="20"/>
              </w:rPr>
            </w:pPr>
            <w:r w:rsidRPr="00906AFB">
              <w:rPr>
                <w:rFonts w:ascii="Arial" w:hAnsi="Arial" w:cs="Arial"/>
                <w:b/>
                <w:bCs/>
                <w:sz w:val="20"/>
                <w:szCs w:val="20"/>
              </w:rPr>
              <w:t xml:space="preserve">Subsidios y Subvenciones </w:t>
            </w:r>
          </w:p>
        </w:tc>
        <w:tc>
          <w:tcPr>
            <w:tcW w:w="1523"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bCs/>
                <w:sz w:val="20"/>
                <w:szCs w:val="20"/>
              </w:rPr>
            </w:pPr>
            <w:r w:rsidRPr="00906AFB">
              <w:rPr>
                <w:rFonts w:ascii="Arial" w:hAnsi="Arial" w:cs="Arial"/>
                <w:b/>
                <w:bCs/>
                <w:sz w:val="18"/>
                <w:szCs w:val="20"/>
              </w:rPr>
              <w:t>Asignación Presupuestal</w:t>
            </w:r>
          </w:p>
        </w:tc>
      </w:tr>
      <w:tr w:rsidR="00906AFB" w:rsidRPr="00906AFB" w:rsidTr="00906AFB">
        <w:trPr>
          <w:trHeight w:val="285"/>
          <w:jc w:val="center"/>
        </w:trPr>
        <w:tc>
          <w:tcPr>
            <w:tcW w:w="646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20"/>
                <w:szCs w:val="20"/>
              </w:rPr>
            </w:pPr>
            <w:r w:rsidRPr="00906AFB">
              <w:rPr>
                <w:rFonts w:ascii="Arial" w:hAnsi="Arial" w:cs="Arial"/>
                <w:sz w:val="20"/>
                <w:szCs w:val="20"/>
              </w:rPr>
              <w:t>Subsidio Federal Ordinario Universidad de Colima</w:t>
            </w:r>
          </w:p>
        </w:tc>
        <w:tc>
          <w:tcPr>
            <w:tcW w:w="1523"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20"/>
                <w:szCs w:val="20"/>
              </w:rPr>
            </w:pPr>
            <w:r w:rsidRPr="00906AFB">
              <w:rPr>
                <w:rFonts w:ascii="Arial" w:hAnsi="Arial" w:cs="Arial"/>
                <w:sz w:val="20"/>
                <w:szCs w:val="20"/>
              </w:rPr>
              <w:t>1,501,554,000</w:t>
            </w:r>
          </w:p>
        </w:tc>
      </w:tr>
      <w:tr w:rsidR="00906AFB" w:rsidRPr="00906AFB" w:rsidTr="00906AFB">
        <w:trPr>
          <w:trHeight w:val="285"/>
          <w:jc w:val="center"/>
        </w:trPr>
        <w:tc>
          <w:tcPr>
            <w:tcW w:w="646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20"/>
                <w:szCs w:val="20"/>
              </w:rPr>
            </w:pPr>
            <w:r w:rsidRPr="00906AFB">
              <w:rPr>
                <w:rFonts w:ascii="Arial" w:hAnsi="Arial" w:cs="Arial"/>
                <w:sz w:val="20"/>
                <w:szCs w:val="20"/>
              </w:rPr>
              <w:t>Subsidio Universidad Tecnológica de Manzanillo</w:t>
            </w:r>
          </w:p>
        </w:tc>
        <w:tc>
          <w:tcPr>
            <w:tcW w:w="1523"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20"/>
                <w:szCs w:val="20"/>
              </w:rPr>
            </w:pPr>
            <w:r w:rsidRPr="00906AFB">
              <w:rPr>
                <w:rFonts w:ascii="Arial" w:hAnsi="Arial" w:cs="Arial"/>
                <w:sz w:val="20"/>
                <w:szCs w:val="20"/>
              </w:rPr>
              <w:t>20,937,000</w:t>
            </w:r>
          </w:p>
        </w:tc>
      </w:tr>
      <w:tr w:rsidR="00906AFB" w:rsidRPr="00906AFB" w:rsidTr="00906AFB">
        <w:trPr>
          <w:trHeight w:val="285"/>
          <w:jc w:val="center"/>
        </w:trPr>
        <w:tc>
          <w:tcPr>
            <w:tcW w:w="646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ind w:left="284"/>
              <w:jc w:val="center"/>
              <w:rPr>
                <w:rFonts w:ascii="Arial" w:hAnsi="Arial" w:cs="Arial"/>
                <w:b/>
                <w:sz w:val="20"/>
                <w:szCs w:val="20"/>
              </w:rPr>
            </w:pPr>
            <w:r w:rsidRPr="00906AFB">
              <w:rPr>
                <w:rFonts w:ascii="Arial" w:hAnsi="Arial" w:cs="Arial"/>
                <w:b/>
                <w:sz w:val="20"/>
                <w:szCs w:val="20"/>
              </w:rPr>
              <w:t>Total</w:t>
            </w:r>
          </w:p>
        </w:tc>
        <w:tc>
          <w:tcPr>
            <w:tcW w:w="1523"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b/>
                <w:sz w:val="20"/>
                <w:szCs w:val="20"/>
              </w:rPr>
            </w:pPr>
            <w:r w:rsidRPr="00906AFB">
              <w:rPr>
                <w:rFonts w:ascii="Arial" w:hAnsi="Arial" w:cs="Arial"/>
                <w:b/>
                <w:sz w:val="20"/>
                <w:szCs w:val="20"/>
              </w:rPr>
              <w:t>1,522,491,000</w:t>
            </w:r>
          </w:p>
        </w:tc>
      </w:tr>
    </w:tbl>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b/>
          <w:sz w:val="24"/>
          <w:szCs w:val="24"/>
          <w:lang w:val="es-ES" w:eastAsia="en-US"/>
        </w:rPr>
        <w:t>Artículo 48</w:t>
      </w:r>
      <w:r w:rsidRPr="00906AFB">
        <w:rPr>
          <w:rFonts w:ascii="Arial" w:eastAsia="Calibri" w:hAnsi="Arial" w:cs="Arial"/>
          <w:sz w:val="24"/>
          <w:szCs w:val="24"/>
          <w:lang w:val="es-ES" w:eastAsia="en-US"/>
        </w:rPr>
        <w:t>. En el apartado de Subsidios y Subvenciones se establece un monto total de $</w:t>
      </w:r>
      <w:r w:rsidR="0035179E" w:rsidRPr="0035179E">
        <w:rPr>
          <w:rFonts w:ascii="Arial" w:eastAsia="Calibri" w:hAnsi="Arial" w:cs="Arial"/>
          <w:sz w:val="24"/>
          <w:szCs w:val="24"/>
          <w:lang w:val="es-ES" w:eastAsia="en-US"/>
        </w:rPr>
        <w:t xml:space="preserve">1,579,301,000 </w:t>
      </w:r>
      <w:r w:rsidRPr="00906AFB">
        <w:rPr>
          <w:rFonts w:ascii="Arial" w:eastAsia="Calibri" w:hAnsi="Arial" w:cs="Arial"/>
          <w:sz w:val="24"/>
          <w:szCs w:val="24"/>
          <w:lang w:val="es-ES" w:eastAsia="en-US"/>
        </w:rPr>
        <w:t>derivado de programas con fuente de financiamiento de recursos federales; de los cuales se establece una cantidad de $56,810,000 para el Subsidio del Programa de Fortalecimiento para la Seguridad FORTASEG, y se distribuye de la siguiente manera:</w:t>
      </w:r>
    </w:p>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Pr="00906AFB" w:rsidRDefault="00723C49" w:rsidP="00906AFB">
      <w:pPr>
        <w:keepNext/>
        <w:keepLines/>
        <w:spacing w:after="0" w:line="240" w:lineRule="auto"/>
        <w:jc w:val="center"/>
        <w:outlineLvl w:val="1"/>
        <w:rPr>
          <w:rFonts w:ascii="Arial" w:eastAsia="Times New Roman" w:hAnsi="Arial" w:cs="Times New Roman"/>
          <w:b/>
          <w:sz w:val="20"/>
          <w:szCs w:val="26"/>
          <w:lang w:val="es-ES" w:eastAsia="en-US"/>
        </w:rPr>
      </w:pPr>
      <w:r>
        <w:rPr>
          <w:rFonts w:ascii="Arial" w:eastAsia="Times New Roman" w:hAnsi="Arial" w:cs="Times New Roman"/>
          <w:b/>
          <w:sz w:val="20"/>
          <w:szCs w:val="26"/>
          <w:lang w:val="es-ES" w:eastAsia="en-US"/>
        </w:rPr>
        <w:lastRenderedPageBreak/>
        <w:t xml:space="preserve">Tabla </w:t>
      </w:r>
      <w:r w:rsidR="00CF4172">
        <w:rPr>
          <w:rFonts w:ascii="Arial" w:eastAsia="Times New Roman" w:hAnsi="Arial" w:cs="Times New Roman"/>
          <w:b/>
          <w:sz w:val="20"/>
          <w:szCs w:val="26"/>
          <w:lang w:val="es-ES" w:eastAsia="en-US"/>
        </w:rPr>
        <w:t>53</w:t>
      </w:r>
      <w:r w:rsidR="00906AFB" w:rsidRPr="00906AFB">
        <w:rPr>
          <w:rFonts w:ascii="Arial" w:eastAsia="Times New Roman" w:hAnsi="Arial" w:cs="Times New Roman"/>
          <w:b/>
          <w:sz w:val="20"/>
          <w:szCs w:val="26"/>
          <w:lang w:val="es-ES" w:eastAsia="en-US"/>
        </w:rPr>
        <w:t>. Programa de Fortalecimiento para la Seguridad FORTASEG</w:t>
      </w:r>
    </w:p>
    <w:tbl>
      <w:tblPr>
        <w:tblStyle w:val="Tablaconcuadrcula2"/>
        <w:tblW w:w="0" w:type="auto"/>
        <w:jc w:val="center"/>
        <w:tblInd w:w="0" w:type="dxa"/>
        <w:tblLook w:val="04A0" w:firstRow="1" w:lastRow="0" w:firstColumn="1" w:lastColumn="0" w:noHBand="0" w:noVBand="1"/>
      </w:tblPr>
      <w:tblGrid>
        <w:gridCol w:w="5236"/>
        <w:gridCol w:w="1523"/>
      </w:tblGrid>
      <w:tr w:rsidR="00906AFB" w:rsidRPr="00906AFB" w:rsidTr="00906AFB">
        <w:trPr>
          <w:trHeight w:val="285"/>
          <w:jc w:val="center"/>
        </w:trPr>
        <w:tc>
          <w:tcPr>
            <w:tcW w:w="5236"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ind w:left="284"/>
              <w:jc w:val="center"/>
              <w:rPr>
                <w:rFonts w:ascii="Arial" w:hAnsi="Arial" w:cs="Arial"/>
                <w:b/>
                <w:sz w:val="20"/>
                <w:szCs w:val="20"/>
              </w:rPr>
            </w:pPr>
            <w:r w:rsidRPr="00906AFB">
              <w:rPr>
                <w:rFonts w:ascii="Arial" w:hAnsi="Arial" w:cs="Arial"/>
                <w:b/>
                <w:sz w:val="20"/>
                <w:szCs w:val="20"/>
              </w:rPr>
              <w:t>Municipio</w:t>
            </w:r>
          </w:p>
        </w:tc>
        <w:tc>
          <w:tcPr>
            <w:tcW w:w="1523"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b/>
                <w:sz w:val="20"/>
                <w:szCs w:val="20"/>
              </w:rPr>
            </w:pPr>
            <w:r w:rsidRPr="00906AFB">
              <w:rPr>
                <w:rFonts w:ascii="Arial" w:hAnsi="Arial" w:cs="Arial"/>
                <w:b/>
                <w:bCs/>
                <w:sz w:val="18"/>
                <w:szCs w:val="20"/>
              </w:rPr>
              <w:t>Asignación Presupuestal</w:t>
            </w:r>
          </w:p>
        </w:tc>
      </w:tr>
      <w:tr w:rsidR="00906AFB" w:rsidRPr="00906AFB" w:rsidTr="00906AFB">
        <w:trPr>
          <w:trHeight w:val="285"/>
          <w:jc w:val="center"/>
        </w:trPr>
        <w:tc>
          <w:tcPr>
            <w:tcW w:w="5236"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ind w:left="-52"/>
              <w:rPr>
                <w:rFonts w:ascii="Arial" w:hAnsi="Arial" w:cs="Arial"/>
                <w:sz w:val="20"/>
                <w:szCs w:val="20"/>
              </w:rPr>
            </w:pPr>
            <w:r w:rsidRPr="00906AFB">
              <w:rPr>
                <w:rFonts w:ascii="Arial" w:hAnsi="Arial" w:cs="Arial"/>
                <w:sz w:val="20"/>
                <w:szCs w:val="20"/>
              </w:rPr>
              <w:t xml:space="preserve">    Municipio de Colima</w:t>
            </w:r>
          </w:p>
        </w:tc>
        <w:tc>
          <w:tcPr>
            <w:tcW w:w="1523"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20"/>
                <w:szCs w:val="20"/>
              </w:rPr>
            </w:pPr>
            <w:r w:rsidRPr="00906AFB">
              <w:rPr>
                <w:rFonts w:ascii="Arial" w:hAnsi="Arial" w:cs="Arial"/>
                <w:sz w:val="20"/>
                <w:szCs w:val="20"/>
              </w:rPr>
              <w:t>12,959,000</w:t>
            </w:r>
          </w:p>
        </w:tc>
      </w:tr>
      <w:tr w:rsidR="00906AFB" w:rsidRPr="00906AFB" w:rsidTr="00906AFB">
        <w:trPr>
          <w:trHeight w:val="285"/>
          <w:jc w:val="center"/>
        </w:trPr>
        <w:tc>
          <w:tcPr>
            <w:tcW w:w="5236"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ind w:left="-52"/>
              <w:rPr>
                <w:rFonts w:ascii="Arial" w:hAnsi="Arial" w:cs="Arial"/>
                <w:sz w:val="20"/>
                <w:szCs w:val="20"/>
              </w:rPr>
            </w:pPr>
            <w:r w:rsidRPr="00906AFB">
              <w:rPr>
                <w:rFonts w:ascii="Arial" w:hAnsi="Arial" w:cs="Arial"/>
                <w:sz w:val="20"/>
                <w:szCs w:val="20"/>
              </w:rPr>
              <w:t xml:space="preserve">    Municipio de Manzanillo</w:t>
            </w:r>
          </w:p>
        </w:tc>
        <w:tc>
          <w:tcPr>
            <w:tcW w:w="1523"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20"/>
                <w:szCs w:val="20"/>
              </w:rPr>
            </w:pPr>
            <w:r w:rsidRPr="00906AFB">
              <w:rPr>
                <w:rFonts w:ascii="Arial" w:hAnsi="Arial" w:cs="Arial"/>
                <w:sz w:val="20"/>
                <w:szCs w:val="20"/>
              </w:rPr>
              <w:t>14,199,000</w:t>
            </w:r>
          </w:p>
        </w:tc>
      </w:tr>
      <w:tr w:rsidR="00906AFB" w:rsidRPr="00906AFB" w:rsidTr="00906AFB">
        <w:trPr>
          <w:trHeight w:val="285"/>
          <w:jc w:val="center"/>
        </w:trPr>
        <w:tc>
          <w:tcPr>
            <w:tcW w:w="5236"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ind w:left="-52"/>
              <w:rPr>
                <w:rFonts w:ascii="Arial" w:hAnsi="Arial" w:cs="Arial"/>
                <w:sz w:val="20"/>
                <w:szCs w:val="20"/>
              </w:rPr>
            </w:pPr>
            <w:r w:rsidRPr="00906AFB">
              <w:rPr>
                <w:rFonts w:ascii="Arial" w:hAnsi="Arial" w:cs="Arial"/>
                <w:sz w:val="20"/>
                <w:szCs w:val="20"/>
              </w:rPr>
              <w:t xml:space="preserve">    Municipio de Tecomán</w:t>
            </w:r>
          </w:p>
        </w:tc>
        <w:tc>
          <w:tcPr>
            <w:tcW w:w="1523"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20"/>
                <w:szCs w:val="20"/>
              </w:rPr>
            </w:pPr>
            <w:r w:rsidRPr="00906AFB">
              <w:rPr>
                <w:rFonts w:ascii="Arial" w:hAnsi="Arial" w:cs="Arial"/>
                <w:sz w:val="20"/>
                <w:szCs w:val="20"/>
              </w:rPr>
              <w:t>14,339,000</w:t>
            </w:r>
          </w:p>
        </w:tc>
      </w:tr>
      <w:tr w:rsidR="00906AFB" w:rsidRPr="00906AFB" w:rsidTr="00906AFB">
        <w:trPr>
          <w:trHeight w:val="300"/>
          <w:jc w:val="center"/>
        </w:trPr>
        <w:tc>
          <w:tcPr>
            <w:tcW w:w="5236"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ind w:left="-52"/>
              <w:rPr>
                <w:rFonts w:ascii="Arial" w:hAnsi="Arial" w:cs="Arial"/>
                <w:sz w:val="20"/>
                <w:szCs w:val="20"/>
              </w:rPr>
            </w:pPr>
            <w:r w:rsidRPr="00906AFB">
              <w:rPr>
                <w:rFonts w:ascii="Arial" w:hAnsi="Arial" w:cs="Arial"/>
                <w:sz w:val="20"/>
                <w:szCs w:val="20"/>
              </w:rPr>
              <w:t xml:space="preserve">    Municipio de Villa de Álvarez</w:t>
            </w:r>
          </w:p>
        </w:tc>
        <w:tc>
          <w:tcPr>
            <w:tcW w:w="1523"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20"/>
                <w:szCs w:val="20"/>
              </w:rPr>
            </w:pPr>
            <w:r w:rsidRPr="00906AFB">
              <w:rPr>
                <w:rFonts w:ascii="Arial" w:hAnsi="Arial" w:cs="Arial"/>
                <w:sz w:val="20"/>
                <w:szCs w:val="20"/>
              </w:rPr>
              <w:t>15,313,000</w:t>
            </w:r>
          </w:p>
        </w:tc>
      </w:tr>
      <w:tr w:rsidR="00906AFB" w:rsidRPr="00906AFB" w:rsidTr="00906AFB">
        <w:trPr>
          <w:trHeight w:val="300"/>
          <w:jc w:val="center"/>
        </w:trPr>
        <w:tc>
          <w:tcPr>
            <w:tcW w:w="5236"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ind w:left="284"/>
              <w:jc w:val="center"/>
              <w:rPr>
                <w:rFonts w:ascii="Arial" w:hAnsi="Arial" w:cs="Arial"/>
                <w:b/>
                <w:sz w:val="20"/>
                <w:szCs w:val="20"/>
              </w:rPr>
            </w:pPr>
            <w:r w:rsidRPr="00906AFB">
              <w:rPr>
                <w:rFonts w:ascii="Arial" w:hAnsi="Arial" w:cs="Arial"/>
                <w:b/>
                <w:sz w:val="20"/>
                <w:szCs w:val="20"/>
              </w:rPr>
              <w:t>Total</w:t>
            </w:r>
          </w:p>
        </w:tc>
        <w:tc>
          <w:tcPr>
            <w:tcW w:w="1523"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right"/>
              <w:rPr>
                <w:rFonts w:ascii="Arial" w:hAnsi="Arial" w:cs="Arial"/>
                <w:sz w:val="20"/>
                <w:szCs w:val="20"/>
              </w:rPr>
            </w:pPr>
            <w:r w:rsidRPr="00906AFB">
              <w:rPr>
                <w:rFonts w:ascii="Arial" w:hAnsi="Arial" w:cs="Arial"/>
                <w:b/>
                <w:sz w:val="20"/>
                <w:szCs w:val="20"/>
              </w:rPr>
              <w:t>56,810,000</w:t>
            </w:r>
          </w:p>
        </w:tc>
      </w:tr>
    </w:tbl>
    <w:p w:rsidR="00906AFB" w:rsidRPr="00906AFB" w:rsidRDefault="00906AFB" w:rsidP="00906AFB">
      <w:pPr>
        <w:shd w:val="clear" w:color="auto" w:fill="FFFFFF"/>
        <w:spacing w:after="0" w:line="240" w:lineRule="auto"/>
        <w:jc w:val="both"/>
        <w:rPr>
          <w:rFonts w:ascii="Arial" w:eastAsia="Times New Roman" w:hAnsi="Arial" w:cs="Arial"/>
          <w:b/>
          <w:sz w:val="24"/>
          <w:szCs w:val="24"/>
          <w:lang w:val="es-ES" w:eastAsia="es-ES"/>
        </w:rPr>
      </w:pPr>
    </w:p>
    <w:p w:rsidR="00906AFB" w:rsidRPr="00906AFB" w:rsidRDefault="00906AFB" w:rsidP="00906AFB">
      <w:pPr>
        <w:shd w:val="clear" w:color="auto" w:fill="FFFFFF"/>
        <w:spacing w:after="0" w:line="240" w:lineRule="auto"/>
        <w:jc w:val="both"/>
        <w:rPr>
          <w:rFonts w:ascii="Arial" w:eastAsia="Times New Roman" w:hAnsi="Arial" w:cs="Arial"/>
          <w:color w:val="000000"/>
          <w:sz w:val="24"/>
          <w:szCs w:val="24"/>
          <w:lang w:val="es-ES" w:eastAsia="es-ES"/>
        </w:rPr>
      </w:pPr>
      <w:r w:rsidRPr="00906AFB">
        <w:rPr>
          <w:rFonts w:ascii="Arial" w:eastAsia="Times New Roman" w:hAnsi="Arial" w:cs="Arial"/>
          <w:b/>
          <w:sz w:val="24"/>
          <w:szCs w:val="24"/>
          <w:lang w:val="es-ES" w:eastAsia="es-ES"/>
        </w:rPr>
        <w:t xml:space="preserve">Artículo 49. </w:t>
      </w:r>
      <w:r w:rsidRPr="00906AFB">
        <w:rPr>
          <w:rFonts w:ascii="Arial" w:eastAsia="Times New Roman" w:hAnsi="Arial" w:cs="Arial"/>
          <w:sz w:val="24"/>
          <w:szCs w:val="24"/>
          <w:lang w:val="es-ES" w:eastAsia="es-ES"/>
        </w:rPr>
        <w:t>Las transferencias</w:t>
      </w:r>
      <w:r w:rsidRPr="00906AFB">
        <w:rPr>
          <w:rFonts w:ascii="Arial" w:eastAsia="Times New Roman" w:hAnsi="Arial" w:cs="Arial"/>
          <w:color w:val="000000"/>
          <w:sz w:val="24"/>
          <w:szCs w:val="24"/>
          <w:lang w:val="es-ES" w:eastAsia="es-ES"/>
        </w:rPr>
        <w:t xml:space="preserve"> destinadas a la Cuota Social al Seguro Popular equivalen a $171,355,000, están contempladas en la partida denominada 41538 Cuota Social Seguro Popular.</w:t>
      </w:r>
    </w:p>
    <w:p w:rsidR="00906AFB" w:rsidRPr="00906AFB" w:rsidRDefault="00906AFB" w:rsidP="00906AFB">
      <w:pPr>
        <w:shd w:val="clear" w:color="auto" w:fill="FFFFFF"/>
        <w:spacing w:after="0" w:line="240" w:lineRule="auto"/>
        <w:jc w:val="both"/>
        <w:rPr>
          <w:rFonts w:ascii="Arial" w:eastAsia="Times New Roman" w:hAnsi="Arial" w:cs="Arial"/>
          <w:color w:val="000000"/>
          <w:sz w:val="24"/>
          <w:szCs w:val="24"/>
          <w:lang w:val="es-ES" w:eastAsia="es-E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b/>
          <w:sz w:val="24"/>
          <w:szCs w:val="24"/>
          <w:lang w:val="es-ES" w:eastAsia="en-US"/>
        </w:rPr>
        <w:t>Artículo 50</w:t>
      </w:r>
      <w:r w:rsidRPr="00906AFB">
        <w:rPr>
          <w:rFonts w:ascii="Arial" w:eastAsia="Calibri" w:hAnsi="Arial" w:cs="Arial"/>
          <w:sz w:val="24"/>
          <w:szCs w:val="24"/>
          <w:lang w:val="es-ES" w:eastAsia="en-US"/>
        </w:rPr>
        <w:t>. Para el Sistema de Justicia Penal Acusatorio se prevén recursos federales y estatales por un total de $7,297,000.</w:t>
      </w:r>
    </w:p>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Pr="00906AFB" w:rsidRDefault="00906AFB" w:rsidP="00906AFB">
      <w:pPr>
        <w:keepNext/>
        <w:keepLines/>
        <w:spacing w:after="0" w:line="240" w:lineRule="auto"/>
        <w:jc w:val="center"/>
        <w:outlineLvl w:val="1"/>
        <w:rPr>
          <w:rFonts w:ascii="Arial" w:eastAsia="Times New Roman" w:hAnsi="Arial" w:cs="Times New Roman"/>
          <w:b/>
          <w:sz w:val="20"/>
          <w:szCs w:val="26"/>
          <w:lang w:val="es-ES" w:eastAsia="en-US"/>
        </w:rPr>
      </w:pPr>
      <w:r w:rsidRPr="00906AFB">
        <w:rPr>
          <w:rFonts w:ascii="Arial" w:eastAsia="Times New Roman" w:hAnsi="Arial" w:cs="Times New Roman"/>
          <w:b/>
          <w:sz w:val="20"/>
          <w:szCs w:val="26"/>
          <w:lang w:val="es-ES" w:eastAsia="en-US"/>
        </w:rPr>
        <w:t xml:space="preserve">Tabla </w:t>
      </w:r>
      <w:r w:rsidR="00CF4172">
        <w:rPr>
          <w:rFonts w:ascii="Arial" w:eastAsia="Times New Roman" w:hAnsi="Arial" w:cs="Times New Roman"/>
          <w:b/>
          <w:sz w:val="20"/>
          <w:szCs w:val="26"/>
          <w:lang w:val="es-ES" w:eastAsia="en-US"/>
        </w:rPr>
        <w:t>54</w:t>
      </w:r>
      <w:r w:rsidRPr="00906AFB">
        <w:rPr>
          <w:rFonts w:ascii="Arial" w:eastAsia="Times New Roman" w:hAnsi="Arial" w:cs="Times New Roman"/>
          <w:b/>
          <w:sz w:val="20"/>
          <w:szCs w:val="26"/>
          <w:lang w:val="es-ES" w:eastAsia="en-US"/>
        </w:rPr>
        <w:t>. Sistema de Justicia Penal Acusatorio</w:t>
      </w:r>
    </w:p>
    <w:tbl>
      <w:tblPr>
        <w:tblStyle w:val="Tablaconcuadrcula2"/>
        <w:tblW w:w="0" w:type="auto"/>
        <w:tblInd w:w="250" w:type="dxa"/>
        <w:tblLayout w:type="fixed"/>
        <w:tblLook w:val="04A0" w:firstRow="1" w:lastRow="0" w:firstColumn="1" w:lastColumn="0" w:noHBand="0" w:noVBand="1"/>
      </w:tblPr>
      <w:tblGrid>
        <w:gridCol w:w="717"/>
        <w:gridCol w:w="4406"/>
        <w:gridCol w:w="1114"/>
        <w:gridCol w:w="887"/>
        <w:gridCol w:w="1098"/>
      </w:tblGrid>
      <w:tr w:rsidR="00906AFB" w:rsidRPr="00906AFB" w:rsidTr="00906AFB">
        <w:trPr>
          <w:trHeight w:val="283"/>
        </w:trPr>
        <w:tc>
          <w:tcPr>
            <w:tcW w:w="717" w:type="dxa"/>
            <w:vMerge w:val="restart"/>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sz w:val="18"/>
                <w:szCs w:val="18"/>
              </w:rPr>
            </w:pPr>
            <w:r w:rsidRPr="00906AFB">
              <w:rPr>
                <w:rFonts w:ascii="Arial" w:hAnsi="Arial" w:cs="Arial"/>
                <w:b/>
                <w:sz w:val="18"/>
                <w:szCs w:val="18"/>
              </w:rPr>
              <w:t>Clave</w:t>
            </w:r>
          </w:p>
        </w:tc>
        <w:tc>
          <w:tcPr>
            <w:tcW w:w="4406" w:type="dxa"/>
            <w:vMerge w:val="restart"/>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sz w:val="18"/>
                <w:szCs w:val="18"/>
              </w:rPr>
            </w:pPr>
            <w:r w:rsidRPr="00906AFB">
              <w:rPr>
                <w:rFonts w:ascii="Arial" w:hAnsi="Arial" w:cs="Arial"/>
                <w:b/>
                <w:sz w:val="18"/>
                <w:szCs w:val="18"/>
              </w:rPr>
              <w:t>Programa Presupuestario</w:t>
            </w:r>
          </w:p>
        </w:tc>
        <w:tc>
          <w:tcPr>
            <w:tcW w:w="3099" w:type="dxa"/>
            <w:gridSpan w:val="3"/>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sz w:val="18"/>
                <w:szCs w:val="18"/>
              </w:rPr>
            </w:pPr>
            <w:r w:rsidRPr="00906AFB">
              <w:rPr>
                <w:rFonts w:ascii="Arial" w:hAnsi="Arial" w:cs="Arial"/>
                <w:b/>
                <w:sz w:val="18"/>
                <w:szCs w:val="18"/>
              </w:rPr>
              <w:t>Asignación Presupuestal</w:t>
            </w:r>
          </w:p>
        </w:tc>
      </w:tr>
      <w:tr w:rsidR="00906AFB" w:rsidRPr="00906AFB" w:rsidTr="00906AFB">
        <w:trPr>
          <w:trHeight w:val="283"/>
        </w:trPr>
        <w:tc>
          <w:tcPr>
            <w:tcW w:w="717" w:type="dxa"/>
            <w:vMerge/>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b/>
                <w:sz w:val="18"/>
                <w:szCs w:val="18"/>
              </w:rPr>
            </w:pPr>
          </w:p>
        </w:tc>
        <w:tc>
          <w:tcPr>
            <w:tcW w:w="4406" w:type="dxa"/>
            <w:vMerge/>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b/>
                <w:sz w:val="18"/>
                <w:szCs w:val="18"/>
              </w:rPr>
            </w:pPr>
          </w:p>
        </w:tc>
        <w:tc>
          <w:tcPr>
            <w:tcW w:w="1114"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sz w:val="18"/>
                <w:szCs w:val="18"/>
              </w:rPr>
            </w:pPr>
            <w:r w:rsidRPr="00906AFB">
              <w:rPr>
                <w:rFonts w:ascii="Arial" w:hAnsi="Arial" w:cs="Arial"/>
                <w:b/>
                <w:sz w:val="18"/>
                <w:szCs w:val="18"/>
              </w:rPr>
              <w:t>Federal</w:t>
            </w:r>
          </w:p>
        </w:tc>
        <w:tc>
          <w:tcPr>
            <w:tcW w:w="88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sz w:val="18"/>
                <w:szCs w:val="18"/>
              </w:rPr>
            </w:pPr>
            <w:r w:rsidRPr="00906AFB">
              <w:rPr>
                <w:rFonts w:ascii="Arial" w:hAnsi="Arial" w:cs="Arial"/>
                <w:b/>
                <w:sz w:val="18"/>
                <w:szCs w:val="18"/>
              </w:rPr>
              <w:t>Estatal</w:t>
            </w:r>
          </w:p>
        </w:tc>
        <w:tc>
          <w:tcPr>
            <w:tcW w:w="109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sz w:val="18"/>
                <w:szCs w:val="18"/>
              </w:rPr>
            </w:pPr>
            <w:r w:rsidRPr="00906AFB">
              <w:rPr>
                <w:rFonts w:ascii="Arial" w:hAnsi="Arial" w:cs="Arial"/>
                <w:b/>
                <w:sz w:val="18"/>
                <w:szCs w:val="18"/>
              </w:rPr>
              <w:t>Total</w:t>
            </w:r>
          </w:p>
        </w:tc>
      </w:tr>
      <w:tr w:rsidR="00906AFB" w:rsidRPr="00906AFB" w:rsidTr="00906AFB">
        <w:trPr>
          <w:trHeight w:val="283"/>
        </w:trPr>
        <w:tc>
          <w:tcPr>
            <w:tcW w:w="717" w:type="dxa"/>
            <w:tcBorders>
              <w:top w:val="single" w:sz="4" w:space="0" w:color="auto"/>
              <w:left w:val="single" w:sz="4" w:space="0" w:color="auto"/>
              <w:bottom w:val="single" w:sz="4" w:space="0" w:color="auto"/>
              <w:right w:val="single" w:sz="4" w:space="0" w:color="auto"/>
            </w:tcBorders>
            <w:vAlign w:val="center"/>
          </w:tcPr>
          <w:p w:rsidR="00906AFB" w:rsidRPr="00906AFB" w:rsidRDefault="00906AFB" w:rsidP="00906AFB">
            <w:pPr>
              <w:jc w:val="center"/>
              <w:rPr>
                <w:rFonts w:ascii="Arial" w:hAnsi="Arial" w:cs="Arial"/>
                <w:sz w:val="18"/>
                <w:szCs w:val="18"/>
              </w:rPr>
            </w:pPr>
          </w:p>
        </w:tc>
        <w:tc>
          <w:tcPr>
            <w:tcW w:w="4406"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18"/>
                <w:szCs w:val="18"/>
              </w:rPr>
            </w:pPr>
            <w:r w:rsidRPr="00906AFB">
              <w:rPr>
                <w:rFonts w:ascii="Arial" w:hAnsi="Arial" w:cs="Arial"/>
                <w:sz w:val="18"/>
                <w:szCs w:val="18"/>
              </w:rPr>
              <w:t>Convenio SETEC 2017 Subsidio Equipo</w:t>
            </w:r>
          </w:p>
        </w:tc>
        <w:tc>
          <w:tcPr>
            <w:tcW w:w="1114"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sz w:val="18"/>
                <w:szCs w:val="18"/>
              </w:rPr>
            </w:pPr>
            <w:r w:rsidRPr="00906AFB">
              <w:rPr>
                <w:rFonts w:ascii="Arial" w:hAnsi="Arial"/>
                <w:sz w:val="18"/>
                <w:szCs w:val="18"/>
              </w:rPr>
              <w:t>580,000</w:t>
            </w:r>
          </w:p>
        </w:tc>
        <w:tc>
          <w:tcPr>
            <w:tcW w:w="88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sz w:val="18"/>
                <w:szCs w:val="18"/>
              </w:rPr>
            </w:pPr>
            <w:r w:rsidRPr="00906AFB">
              <w:rPr>
                <w:rFonts w:ascii="Arial" w:hAnsi="Arial"/>
                <w:sz w:val="18"/>
                <w:szCs w:val="18"/>
              </w:rPr>
              <w:t>0</w:t>
            </w:r>
          </w:p>
        </w:tc>
        <w:tc>
          <w:tcPr>
            <w:tcW w:w="109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sz w:val="18"/>
                <w:szCs w:val="18"/>
              </w:rPr>
            </w:pPr>
            <w:r w:rsidRPr="00906AFB">
              <w:rPr>
                <w:rFonts w:ascii="Arial" w:hAnsi="Arial"/>
                <w:sz w:val="18"/>
                <w:szCs w:val="18"/>
              </w:rPr>
              <w:t>580,000</w:t>
            </w:r>
          </w:p>
        </w:tc>
      </w:tr>
      <w:tr w:rsidR="00906AFB" w:rsidRPr="00906AFB" w:rsidTr="00906AFB">
        <w:trPr>
          <w:trHeight w:val="283"/>
        </w:trPr>
        <w:tc>
          <w:tcPr>
            <w:tcW w:w="717" w:type="dxa"/>
            <w:tcBorders>
              <w:top w:val="single" w:sz="4" w:space="0" w:color="auto"/>
              <w:left w:val="single" w:sz="4" w:space="0" w:color="auto"/>
              <w:bottom w:val="single" w:sz="4" w:space="0" w:color="auto"/>
              <w:right w:val="single" w:sz="4" w:space="0" w:color="auto"/>
            </w:tcBorders>
            <w:vAlign w:val="center"/>
          </w:tcPr>
          <w:p w:rsidR="00906AFB" w:rsidRPr="00906AFB" w:rsidRDefault="00906AFB" w:rsidP="00906AFB">
            <w:pPr>
              <w:jc w:val="center"/>
              <w:rPr>
                <w:rFonts w:ascii="Arial" w:hAnsi="Arial" w:cs="Arial"/>
                <w:sz w:val="18"/>
                <w:szCs w:val="18"/>
              </w:rPr>
            </w:pPr>
          </w:p>
        </w:tc>
        <w:tc>
          <w:tcPr>
            <w:tcW w:w="4406"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18"/>
                <w:szCs w:val="18"/>
              </w:rPr>
            </w:pPr>
            <w:r w:rsidRPr="00906AFB">
              <w:rPr>
                <w:rFonts w:ascii="Arial" w:hAnsi="Arial" w:cs="Arial"/>
                <w:sz w:val="18"/>
                <w:szCs w:val="18"/>
              </w:rPr>
              <w:t>Convenio SETEC 2017 Subsidio Mobiliario</w:t>
            </w:r>
          </w:p>
        </w:tc>
        <w:tc>
          <w:tcPr>
            <w:tcW w:w="1114"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sz w:val="18"/>
                <w:szCs w:val="18"/>
              </w:rPr>
            </w:pPr>
            <w:r w:rsidRPr="00906AFB">
              <w:rPr>
                <w:rFonts w:ascii="Arial" w:hAnsi="Arial"/>
                <w:sz w:val="18"/>
                <w:szCs w:val="18"/>
              </w:rPr>
              <w:t>354,000</w:t>
            </w:r>
          </w:p>
        </w:tc>
        <w:tc>
          <w:tcPr>
            <w:tcW w:w="88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sz w:val="18"/>
                <w:szCs w:val="18"/>
              </w:rPr>
            </w:pPr>
            <w:r w:rsidRPr="00906AFB">
              <w:rPr>
                <w:rFonts w:ascii="Arial" w:hAnsi="Arial"/>
                <w:sz w:val="18"/>
                <w:szCs w:val="18"/>
              </w:rPr>
              <w:t>0</w:t>
            </w:r>
          </w:p>
        </w:tc>
        <w:tc>
          <w:tcPr>
            <w:tcW w:w="109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sz w:val="18"/>
                <w:szCs w:val="18"/>
              </w:rPr>
            </w:pPr>
            <w:r w:rsidRPr="00906AFB">
              <w:rPr>
                <w:rFonts w:ascii="Arial" w:hAnsi="Arial"/>
                <w:sz w:val="18"/>
                <w:szCs w:val="18"/>
              </w:rPr>
              <w:t>354,000</w:t>
            </w:r>
          </w:p>
        </w:tc>
      </w:tr>
      <w:tr w:rsidR="00906AFB" w:rsidRPr="00906AFB" w:rsidTr="00906AFB">
        <w:trPr>
          <w:trHeight w:val="283"/>
        </w:trPr>
        <w:tc>
          <w:tcPr>
            <w:tcW w:w="717" w:type="dxa"/>
            <w:tcBorders>
              <w:top w:val="single" w:sz="4" w:space="0" w:color="auto"/>
              <w:left w:val="single" w:sz="4" w:space="0" w:color="auto"/>
              <w:bottom w:val="single" w:sz="4" w:space="0" w:color="auto"/>
              <w:right w:val="single" w:sz="4" w:space="0" w:color="auto"/>
            </w:tcBorders>
            <w:vAlign w:val="center"/>
          </w:tcPr>
          <w:p w:rsidR="00906AFB" w:rsidRPr="00906AFB" w:rsidRDefault="00906AFB" w:rsidP="00906AFB">
            <w:pPr>
              <w:jc w:val="center"/>
              <w:rPr>
                <w:rFonts w:ascii="Arial" w:hAnsi="Arial" w:cs="Arial"/>
                <w:sz w:val="18"/>
                <w:szCs w:val="18"/>
              </w:rPr>
            </w:pPr>
          </w:p>
        </w:tc>
        <w:tc>
          <w:tcPr>
            <w:tcW w:w="4406"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18"/>
                <w:szCs w:val="18"/>
              </w:rPr>
            </w:pPr>
            <w:r w:rsidRPr="00906AFB">
              <w:rPr>
                <w:rFonts w:ascii="Arial" w:hAnsi="Arial" w:cs="Arial"/>
                <w:sz w:val="18"/>
                <w:szCs w:val="18"/>
              </w:rPr>
              <w:t>Convenio SETEC 2017 Subsidio Infraestructura</w:t>
            </w:r>
          </w:p>
        </w:tc>
        <w:tc>
          <w:tcPr>
            <w:tcW w:w="1114"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sz w:val="18"/>
                <w:szCs w:val="18"/>
              </w:rPr>
            </w:pPr>
            <w:r w:rsidRPr="00906AFB">
              <w:rPr>
                <w:rFonts w:ascii="Arial" w:hAnsi="Arial"/>
                <w:sz w:val="18"/>
                <w:szCs w:val="18"/>
              </w:rPr>
              <w:t>4,900,000</w:t>
            </w:r>
          </w:p>
        </w:tc>
        <w:tc>
          <w:tcPr>
            <w:tcW w:w="88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sz w:val="18"/>
                <w:szCs w:val="18"/>
              </w:rPr>
            </w:pPr>
            <w:r w:rsidRPr="00906AFB">
              <w:rPr>
                <w:rFonts w:ascii="Arial" w:hAnsi="Arial"/>
                <w:sz w:val="18"/>
                <w:szCs w:val="18"/>
              </w:rPr>
              <w:t>0</w:t>
            </w:r>
          </w:p>
        </w:tc>
        <w:tc>
          <w:tcPr>
            <w:tcW w:w="109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sz w:val="18"/>
                <w:szCs w:val="18"/>
              </w:rPr>
            </w:pPr>
            <w:r w:rsidRPr="00906AFB">
              <w:rPr>
                <w:rFonts w:ascii="Arial" w:hAnsi="Arial"/>
                <w:sz w:val="18"/>
                <w:szCs w:val="18"/>
              </w:rPr>
              <w:t>4,900,000</w:t>
            </w:r>
          </w:p>
        </w:tc>
      </w:tr>
      <w:tr w:rsidR="00906AFB" w:rsidRPr="00906AFB" w:rsidTr="00906AFB">
        <w:trPr>
          <w:trHeight w:val="283"/>
        </w:trPr>
        <w:tc>
          <w:tcPr>
            <w:tcW w:w="717" w:type="dxa"/>
            <w:tcBorders>
              <w:top w:val="single" w:sz="4" w:space="0" w:color="auto"/>
              <w:left w:val="single" w:sz="4" w:space="0" w:color="auto"/>
              <w:bottom w:val="single" w:sz="4" w:space="0" w:color="auto"/>
              <w:right w:val="single" w:sz="4" w:space="0" w:color="auto"/>
            </w:tcBorders>
            <w:vAlign w:val="center"/>
          </w:tcPr>
          <w:p w:rsidR="00906AFB" w:rsidRPr="00906AFB" w:rsidRDefault="00906AFB" w:rsidP="00906AFB">
            <w:pPr>
              <w:jc w:val="center"/>
              <w:rPr>
                <w:rFonts w:ascii="Arial" w:hAnsi="Arial" w:cs="Arial"/>
                <w:sz w:val="18"/>
                <w:szCs w:val="18"/>
              </w:rPr>
            </w:pPr>
          </w:p>
        </w:tc>
        <w:tc>
          <w:tcPr>
            <w:tcW w:w="4406"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18"/>
                <w:szCs w:val="18"/>
              </w:rPr>
            </w:pPr>
            <w:r w:rsidRPr="00906AFB">
              <w:rPr>
                <w:rFonts w:ascii="Arial" w:hAnsi="Arial" w:cs="Arial"/>
                <w:sz w:val="18"/>
                <w:szCs w:val="18"/>
              </w:rPr>
              <w:t>Mobiliario Para Sistema de Justicia Penal Acusatorio (SETEC)</w:t>
            </w:r>
          </w:p>
        </w:tc>
        <w:tc>
          <w:tcPr>
            <w:tcW w:w="1114"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sz w:val="18"/>
                <w:szCs w:val="18"/>
              </w:rPr>
            </w:pPr>
            <w:r w:rsidRPr="00906AFB">
              <w:rPr>
                <w:rFonts w:ascii="Arial" w:hAnsi="Arial"/>
                <w:sz w:val="18"/>
                <w:szCs w:val="18"/>
              </w:rPr>
              <w:t>381,000</w:t>
            </w:r>
          </w:p>
        </w:tc>
        <w:tc>
          <w:tcPr>
            <w:tcW w:w="88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sz w:val="18"/>
                <w:szCs w:val="18"/>
              </w:rPr>
            </w:pPr>
            <w:r w:rsidRPr="00906AFB">
              <w:rPr>
                <w:rFonts w:ascii="Arial" w:hAnsi="Arial"/>
                <w:sz w:val="18"/>
                <w:szCs w:val="18"/>
              </w:rPr>
              <w:t>0</w:t>
            </w:r>
          </w:p>
        </w:tc>
        <w:tc>
          <w:tcPr>
            <w:tcW w:w="109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sz w:val="18"/>
                <w:szCs w:val="18"/>
              </w:rPr>
            </w:pPr>
            <w:r w:rsidRPr="00906AFB">
              <w:rPr>
                <w:rFonts w:ascii="Arial" w:hAnsi="Arial"/>
                <w:sz w:val="18"/>
                <w:szCs w:val="18"/>
              </w:rPr>
              <w:t>381,000</w:t>
            </w:r>
          </w:p>
        </w:tc>
      </w:tr>
      <w:tr w:rsidR="00906AFB" w:rsidRPr="00906AFB" w:rsidTr="00906AFB">
        <w:trPr>
          <w:trHeight w:val="283"/>
        </w:trPr>
        <w:tc>
          <w:tcPr>
            <w:tcW w:w="717" w:type="dxa"/>
            <w:tcBorders>
              <w:top w:val="single" w:sz="4" w:space="0" w:color="auto"/>
              <w:left w:val="single" w:sz="4" w:space="0" w:color="auto"/>
              <w:bottom w:val="single" w:sz="4" w:space="0" w:color="auto"/>
              <w:right w:val="single" w:sz="4" w:space="0" w:color="auto"/>
            </w:tcBorders>
            <w:vAlign w:val="center"/>
          </w:tcPr>
          <w:p w:rsidR="00906AFB" w:rsidRPr="00906AFB" w:rsidRDefault="00906AFB" w:rsidP="00906AFB">
            <w:pPr>
              <w:jc w:val="center"/>
              <w:rPr>
                <w:rFonts w:ascii="Arial" w:hAnsi="Arial" w:cs="Arial"/>
                <w:sz w:val="18"/>
                <w:szCs w:val="18"/>
              </w:rPr>
            </w:pPr>
          </w:p>
        </w:tc>
        <w:tc>
          <w:tcPr>
            <w:tcW w:w="4406"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18"/>
                <w:szCs w:val="18"/>
              </w:rPr>
            </w:pPr>
            <w:r w:rsidRPr="00906AFB">
              <w:rPr>
                <w:rFonts w:ascii="Arial" w:hAnsi="Arial" w:cs="Arial"/>
                <w:sz w:val="18"/>
                <w:szCs w:val="18"/>
              </w:rPr>
              <w:t>Equipamiento Tecnológico Básico y de Telecomunicaciones (SETEC)</w:t>
            </w:r>
          </w:p>
        </w:tc>
        <w:tc>
          <w:tcPr>
            <w:tcW w:w="1114"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sz w:val="18"/>
                <w:szCs w:val="18"/>
              </w:rPr>
            </w:pPr>
            <w:r w:rsidRPr="00906AFB">
              <w:rPr>
                <w:rFonts w:ascii="Arial" w:hAnsi="Arial"/>
                <w:sz w:val="18"/>
                <w:szCs w:val="18"/>
              </w:rPr>
              <w:t>689,000</w:t>
            </w:r>
          </w:p>
        </w:tc>
        <w:tc>
          <w:tcPr>
            <w:tcW w:w="88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sz w:val="18"/>
                <w:szCs w:val="18"/>
              </w:rPr>
            </w:pPr>
            <w:r w:rsidRPr="00906AFB">
              <w:rPr>
                <w:rFonts w:ascii="Arial" w:hAnsi="Arial"/>
                <w:sz w:val="18"/>
                <w:szCs w:val="18"/>
              </w:rPr>
              <w:t>0</w:t>
            </w:r>
          </w:p>
        </w:tc>
        <w:tc>
          <w:tcPr>
            <w:tcW w:w="109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sz w:val="18"/>
                <w:szCs w:val="18"/>
              </w:rPr>
            </w:pPr>
            <w:r w:rsidRPr="00906AFB">
              <w:rPr>
                <w:rFonts w:ascii="Arial" w:hAnsi="Arial"/>
                <w:sz w:val="18"/>
                <w:szCs w:val="18"/>
              </w:rPr>
              <w:t>689,000</w:t>
            </w:r>
          </w:p>
        </w:tc>
      </w:tr>
      <w:tr w:rsidR="00906AFB" w:rsidRPr="00906AFB" w:rsidTr="00906AFB">
        <w:trPr>
          <w:trHeight w:val="283"/>
        </w:trPr>
        <w:tc>
          <w:tcPr>
            <w:tcW w:w="71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sz w:val="18"/>
                <w:szCs w:val="18"/>
              </w:rPr>
            </w:pPr>
            <w:r w:rsidRPr="00906AFB">
              <w:rPr>
                <w:rFonts w:ascii="Arial" w:hAnsi="Arial" w:cs="Arial"/>
                <w:sz w:val="18"/>
                <w:szCs w:val="18"/>
              </w:rPr>
              <w:t>41122</w:t>
            </w:r>
          </w:p>
        </w:tc>
        <w:tc>
          <w:tcPr>
            <w:tcW w:w="4406"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18"/>
                <w:szCs w:val="18"/>
              </w:rPr>
            </w:pPr>
            <w:r w:rsidRPr="00906AFB">
              <w:rPr>
                <w:rFonts w:ascii="Arial" w:hAnsi="Arial" w:cs="Arial"/>
                <w:sz w:val="18"/>
                <w:szCs w:val="18"/>
              </w:rPr>
              <w:t>Comisión para la Implementación de la Reforma del Sistema de Justicia Penal en Colima (Gasto de Operación)</w:t>
            </w:r>
          </w:p>
        </w:tc>
        <w:tc>
          <w:tcPr>
            <w:tcW w:w="1114"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sz w:val="18"/>
                <w:szCs w:val="18"/>
              </w:rPr>
            </w:pPr>
            <w:r w:rsidRPr="00906AFB">
              <w:rPr>
                <w:rFonts w:ascii="Arial" w:hAnsi="Arial"/>
                <w:sz w:val="18"/>
                <w:szCs w:val="18"/>
              </w:rPr>
              <w:t>0</w:t>
            </w:r>
          </w:p>
        </w:tc>
        <w:tc>
          <w:tcPr>
            <w:tcW w:w="88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sz w:val="18"/>
                <w:szCs w:val="18"/>
              </w:rPr>
            </w:pPr>
            <w:r w:rsidRPr="00906AFB">
              <w:rPr>
                <w:rFonts w:ascii="Arial" w:hAnsi="Arial"/>
                <w:sz w:val="18"/>
                <w:szCs w:val="18"/>
              </w:rPr>
              <w:t>393,000</w:t>
            </w:r>
          </w:p>
        </w:tc>
        <w:tc>
          <w:tcPr>
            <w:tcW w:w="109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sz w:val="18"/>
                <w:szCs w:val="18"/>
              </w:rPr>
            </w:pPr>
            <w:r w:rsidRPr="00906AFB">
              <w:rPr>
                <w:rFonts w:ascii="Arial" w:hAnsi="Arial"/>
                <w:sz w:val="18"/>
                <w:szCs w:val="18"/>
              </w:rPr>
              <w:t>393,000</w:t>
            </w:r>
          </w:p>
        </w:tc>
      </w:tr>
      <w:tr w:rsidR="00906AFB" w:rsidRPr="00906AFB" w:rsidTr="00906AFB">
        <w:trPr>
          <w:trHeight w:val="283"/>
        </w:trPr>
        <w:tc>
          <w:tcPr>
            <w:tcW w:w="717" w:type="dxa"/>
            <w:tcBorders>
              <w:top w:val="single" w:sz="4" w:space="0" w:color="auto"/>
              <w:left w:val="single" w:sz="4" w:space="0" w:color="auto"/>
              <w:bottom w:val="single" w:sz="4" w:space="0" w:color="auto"/>
              <w:right w:val="single" w:sz="4" w:space="0" w:color="auto"/>
            </w:tcBorders>
          </w:tcPr>
          <w:p w:rsidR="00906AFB" w:rsidRPr="00906AFB" w:rsidRDefault="00906AFB" w:rsidP="00906AFB">
            <w:pPr>
              <w:rPr>
                <w:rFonts w:ascii="Arial" w:hAnsi="Arial" w:cs="Arial"/>
                <w:b/>
                <w:sz w:val="18"/>
                <w:szCs w:val="18"/>
              </w:rPr>
            </w:pPr>
          </w:p>
        </w:tc>
        <w:tc>
          <w:tcPr>
            <w:tcW w:w="4406"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sz w:val="18"/>
                <w:szCs w:val="18"/>
              </w:rPr>
            </w:pPr>
            <w:r w:rsidRPr="00906AFB">
              <w:rPr>
                <w:rFonts w:ascii="Arial" w:hAnsi="Arial" w:cs="Arial"/>
                <w:b/>
                <w:sz w:val="18"/>
                <w:szCs w:val="18"/>
              </w:rPr>
              <w:t>Total</w:t>
            </w:r>
          </w:p>
        </w:tc>
        <w:tc>
          <w:tcPr>
            <w:tcW w:w="1114"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b/>
                <w:sz w:val="18"/>
                <w:szCs w:val="18"/>
              </w:rPr>
            </w:pPr>
            <w:r w:rsidRPr="00906AFB">
              <w:rPr>
                <w:rFonts w:ascii="Arial" w:hAnsi="Arial"/>
                <w:b/>
                <w:sz w:val="18"/>
                <w:szCs w:val="18"/>
              </w:rPr>
              <w:t>6,904,000</w:t>
            </w:r>
          </w:p>
        </w:tc>
        <w:tc>
          <w:tcPr>
            <w:tcW w:w="88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b/>
                <w:sz w:val="18"/>
                <w:szCs w:val="18"/>
              </w:rPr>
            </w:pPr>
            <w:r w:rsidRPr="00906AFB">
              <w:rPr>
                <w:rFonts w:ascii="Arial" w:hAnsi="Arial"/>
                <w:b/>
                <w:sz w:val="18"/>
                <w:szCs w:val="18"/>
              </w:rPr>
              <w:t>393,000</w:t>
            </w:r>
          </w:p>
        </w:tc>
        <w:tc>
          <w:tcPr>
            <w:tcW w:w="109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b/>
                <w:sz w:val="18"/>
                <w:szCs w:val="18"/>
              </w:rPr>
            </w:pPr>
            <w:r w:rsidRPr="00906AFB">
              <w:rPr>
                <w:rFonts w:ascii="Arial" w:hAnsi="Arial"/>
                <w:b/>
                <w:sz w:val="18"/>
                <w:szCs w:val="18"/>
              </w:rPr>
              <w:t>7,297,000</w:t>
            </w:r>
          </w:p>
        </w:tc>
      </w:tr>
    </w:tbl>
    <w:p w:rsidR="00906AFB" w:rsidRPr="00906AFB" w:rsidRDefault="00906AFB" w:rsidP="00906AFB">
      <w:pPr>
        <w:spacing w:after="0" w:line="240" w:lineRule="auto"/>
        <w:jc w:val="both"/>
        <w:rPr>
          <w:rFonts w:ascii="Arial" w:eastAsia="Calibri" w:hAnsi="Arial" w:cs="Times New Roman"/>
          <w:lang w:val="es-ES" w:eastAsia="en-US"/>
        </w:rPr>
      </w:pPr>
      <w:r w:rsidRPr="00906AFB">
        <w:rPr>
          <w:rFonts w:ascii="Arial" w:eastAsia="Calibri" w:hAnsi="Arial" w:cs="Times New Roman"/>
          <w:lang w:val="es-ES" w:eastAsia="en-US"/>
        </w:rPr>
        <w:tab/>
      </w: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Times New Roman"/>
          <w:lang w:val="es-ES" w:eastAsia="en-US"/>
        </w:rPr>
        <w:tab/>
      </w:r>
      <w:r w:rsidRPr="00906AFB">
        <w:rPr>
          <w:rFonts w:ascii="Arial" w:eastAsia="Calibri" w:hAnsi="Arial" w:cs="Arial"/>
          <w:b/>
          <w:sz w:val="24"/>
          <w:szCs w:val="24"/>
          <w:lang w:val="es-ES" w:eastAsia="en-US"/>
        </w:rPr>
        <w:t>Artículo 51</w:t>
      </w:r>
      <w:r w:rsidRPr="00906AFB">
        <w:rPr>
          <w:rFonts w:ascii="Arial" w:eastAsia="Calibri" w:hAnsi="Arial" w:cs="Arial"/>
          <w:sz w:val="24"/>
          <w:szCs w:val="24"/>
          <w:lang w:val="es-ES" w:eastAsia="en-US"/>
        </w:rPr>
        <w:t>. Los programas de Concurrencia con SAGARPA y CONAGUA, incluidos en la partida 43102, prevén un importe de $35,812,500; serán ejercidos como se señalan a continuación:</w:t>
      </w:r>
    </w:p>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Pr="00906AFB" w:rsidRDefault="00906AFB" w:rsidP="00906AFB">
      <w:pPr>
        <w:keepNext/>
        <w:keepLines/>
        <w:spacing w:after="0" w:line="240" w:lineRule="auto"/>
        <w:jc w:val="center"/>
        <w:outlineLvl w:val="1"/>
        <w:rPr>
          <w:rFonts w:ascii="Arial" w:eastAsia="Times New Roman" w:hAnsi="Arial" w:cs="Times New Roman"/>
          <w:b/>
          <w:sz w:val="20"/>
          <w:szCs w:val="26"/>
          <w:lang w:val="es-ES" w:eastAsia="en-US"/>
        </w:rPr>
      </w:pPr>
      <w:r w:rsidRPr="00906AFB">
        <w:rPr>
          <w:rFonts w:ascii="Arial" w:eastAsia="Times New Roman" w:hAnsi="Arial" w:cs="Times New Roman"/>
          <w:b/>
          <w:sz w:val="20"/>
          <w:szCs w:val="26"/>
          <w:lang w:val="es-ES" w:eastAsia="en-US"/>
        </w:rPr>
        <w:t xml:space="preserve">Tabla </w:t>
      </w:r>
      <w:r w:rsidR="00CF4172">
        <w:rPr>
          <w:rFonts w:ascii="Arial" w:eastAsia="Times New Roman" w:hAnsi="Arial" w:cs="Times New Roman"/>
          <w:b/>
          <w:sz w:val="20"/>
          <w:szCs w:val="26"/>
          <w:lang w:val="es-ES" w:eastAsia="en-US"/>
        </w:rPr>
        <w:t>55</w:t>
      </w:r>
      <w:r w:rsidRPr="00906AFB">
        <w:rPr>
          <w:rFonts w:ascii="Arial" w:eastAsia="Times New Roman" w:hAnsi="Arial" w:cs="Times New Roman"/>
          <w:b/>
          <w:sz w:val="20"/>
          <w:szCs w:val="26"/>
          <w:lang w:val="es-ES" w:eastAsia="en-US"/>
        </w:rPr>
        <w:t>. Concurrencia con SAGARPA y CONAGUA</w:t>
      </w:r>
    </w:p>
    <w:tbl>
      <w:tblPr>
        <w:tblStyle w:val="Tablaconcuadrcula2"/>
        <w:tblW w:w="0" w:type="auto"/>
        <w:tblInd w:w="108" w:type="dxa"/>
        <w:tblLook w:val="04A0" w:firstRow="1" w:lastRow="0" w:firstColumn="1" w:lastColumn="0" w:noHBand="0" w:noVBand="1"/>
      </w:tblPr>
      <w:tblGrid>
        <w:gridCol w:w="895"/>
        <w:gridCol w:w="6177"/>
        <w:gridCol w:w="1347"/>
      </w:tblGrid>
      <w:tr w:rsidR="00906AFB" w:rsidRPr="00906AFB" w:rsidTr="00906AFB">
        <w:trPr>
          <w:trHeight w:val="283"/>
        </w:trPr>
        <w:tc>
          <w:tcPr>
            <w:tcW w:w="895"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bCs/>
                <w:sz w:val="18"/>
                <w:szCs w:val="18"/>
              </w:rPr>
            </w:pPr>
            <w:r w:rsidRPr="00906AFB">
              <w:rPr>
                <w:rFonts w:ascii="Arial" w:hAnsi="Arial" w:cs="Arial"/>
                <w:b/>
                <w:bCs/>
                <w:sz w:val="18"/>
                <w:szCs w:val="18"/>
              </w:rPr>
              <w:t>Partida</w:t>
            </w:r>
          </w:p>
        </w:tc>
        <w:tc>
          <w:tcPr>
            <w:tcW w:w="617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bCs/>
                <w:sz w:val="18"/>
                <w:szCs w:val="18"/>
              </w:rPr>
            </w:pPr>
            <w:r w:rsidRPr="00906AFB">
              <w:rPr>
                <w:rFonts w:ascii="Arial" w:hAnsi="Arial" w:cs="Arial"/>
                <w:b/>
                <w:bCs/>
                <w:sz w:val="18"/>
                <w:szCs w:val="18"/>
              </w:rPr>
              <w:t>Concepto</w:t>
            </w:r>
          </w:p>
        </w:tc>
        <w:tc>
          <w:tcPr>
            <w:tcW w:w="134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bCs/>
                <w:sz w:val="18"/>
                <w:szCs w:val="18"/>
              </w:rPr>
            </w:pPr>
            <w:r w:rsidRPr="00906AFB">
              <w:rPr>
                <w:rFonts w:ascii="Arial" w:hAnsi="Arial" w:cs="Arial"/>
                <w:b/>
                <w:bCs/>
                <w:sz w:val="18"/>
                <w:szCs w:val="18"/>
              </w:rPr>
              <w:t>Asignación Presupuestal</w:t>
            </w:r>
          </w:p>
        </w:tc>
      </w:tr>
      <w:tr w:rsidR="00906AFB" w:rsidRPr="00906AFB" w:rsidTr="00906AFB">
        <w:trPr>
          <w:trHeight w:val="283"/>
        </w:trPr>
        <w:tc>
          <w:tcPr>
            <w:tcW w:w="895" w:type="dxa"/>
            <w:vMerge w:val="restart"/>
            <w:tcBorders>
              <w:top w:val="single" w:sz="4" w:space="0" w:color="auto"/>
              <w:left w:val="single" w:sz="4" w:space="0" w:color="auto"/>
              <w:bottom w:val="single" w:sz="4" w:space="0" w:color="auto"/>
              <w:right w:val="single" w:sz="4" w:space="0" w:color="auto"/>
            </w:tcBorders>
            <w:hideMark/>
          </w:tcPr>
          <w:p w:rsidR="00906AFB" w:rsidRPr="00906AFB" w:rsidRDefault="00906AFB" w:rsidP="00906AFB">
            <w:pPr>
              <w:jc w:val="center"/>
              <w:rPr>
                <w:rFonts w:ascii="Arial" w:hAnsi="Arial" w:cs="Arial"/>
                <w:b/>
                <w:bCs/>
                <w:sz w:val="18"/>
                <w:szCs w:val="18"/>
              </w:rPr>
            </w:pPr>
            <w:r w:rsidRPr="00906AFB">
              <w:rPr>
                <w:rFonts w:ascii="Arial" w:hAnsi="Arial" w:cs="Arial"/>
                <w:b/>
                <w:bCs/>
                <w:sz w:val="18"/>
                <w:szCs w:val="18"/>
              </w:rPr>
              <w:t>43102</w:t>
            </w:r>
          </w:p>
        </w:tc>
        <w:tc>
          <w:tcPr>
            <w:tcW w:w="617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b/>
                <w:bCs/>
                <w:sz w:val="18"/>
                <w:szCs w:val="18"/>
              </w:rPr>
            </w:pPr>
            <w:r w:rsidRPr="00906AFB">
              <w:rPr>
                <w:rFonts w:ascii="Arial" w:hAnsi="Arial" w:cs="Arial"/>
                <w:b/>
                <w:bCs/>
                <w:sz w:val="18"/>
                <w:szCs w:val="18"/>
              </w:rPr>
              <w:t>Concurrencia con SAGARPA</w:t>
            </w:r>
          </w:p>
        </w:tc>
        <w:tc>
          <w:tcPr>
            <w:tcW w:w="134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b/>
                <w:bCs/>
                <w:sz w:val="18"/>
                <w:szCs w:val="18"/>
              </w:rPr>
            </w:pPr>
            <w:r w:rsidRPr="00906AFB">
              <w:rPr>
                <w:rFonts w:ascii="Arial" w:hAnsi="Arial" w:cs="Arial"/>
                <w:b/>
                <w:bCs/>
                <w:sz w:val="18"/>
                <w:szCs w:val="18"/>
              </w:rPr>
              <w:t>27,000,000 </w:t>
            </w:r>
          </w:p>
        </w:tc>
      </w:tr>
      <w:tr w:rsidR="00906AFB" w:rsidRPr="00906AFB" w:rsidTr="00906AFB">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b/>
                <w:bCs/>
                <w:sz w:val="18"/>
                <w:szCs w:val="18"/>
              </w:rPr>
            </w:pPr>
          </w:p>
        </w:tc>
        <w:tc>
          <w:tcPr>
            <w:tcW w:w="617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b/>
                <w:bCs/>
                <w:sz w:val="18"/>
                <w:szCs w:val="18"/>
              </w:rPr>
            </w:pPr>
            <w:r w:rsidRPr="00906AFB">
              <w:rPr>
                <w:rFonts w:ascii="Arial" w:hAnsi="Arial" w:cs="Arial"/>
                <w:b/>
                <w:bCs/>
                <w:sz w:val="18"/>
                <w:szCs w:val="18"/>
              </w:rPr>
              <w:t xml:space="preserve">Programa de Concurrencia con las Entidades Federativas </w:t>
            </w:r>
          </w:p>
        </w:tc>
        <w:tc>
          <w:tcPr>
            <w:tcW w:w="1347" w:type="dxa"/>
            <w:tcBorders>
              <w:top w:val="single" w:sz="4" w:space="0" w:color="auto"/>
              <w:left w:val="single" w:sz="4" w:space="0" w:color="auto"/>
              <w:bottom w:val="single" w:sz="4" w:space="0" w:color="auto"/>
              <w:right w:val="single" w:sz="4" w:space="0" w:color="auto"/>
            </w:tcBorders>
            <w:vAlign w:val="center"/>
            <w:hideMark/>
          </w:tcPr>
          <w:p w:rsidR="00906AFB" w:rsidRPr="005A4DD3" w:rsidRDefault="005A4DD3" w:rsidP="00906AFB">
            <w:pPr>
              <w:jc w:val="right"/>
              <w:rPr>
                <w:rFonts w:ascii="Arial" w:hAnsi="Arial" w:cs="Arial"/>
                <w:b/>
                <w:bCs/>
                <w:sz w:val="18"/>
                <w:szCs w:val="18"/>
              </w:rPr>
            </w:pPr>
            <w:r w:rsidRPr="005A4DD3">
              <w:rPr>
                <w:rFonts w:ascii="Arial" w:hAnsi="Arial" w:cs="Arial"/>
                <w:b/>
                <w:sz w:val="18"/>
                <w:szCs w:val="18"/>
              </w:rPr>
              <w:t>18,750,000</w:t>
            </w:r>
            <w:r w:rsidR="00906AFB" w:rsidRPr="005A4DD3">
              <w:rPr>
                <w:rFonts w:ascii="Arial" w:hAnsi="Arial" w:cs="Arial"/>
                <w:b/>
                <w:bCs/>
                <w:sz w:val="18"/>
                <w:szCs w:val="18"/>
              </w:rPr>
              <w:t> </w:t>
            </w:r>
          </w:p>
        </w:tc>
      </w:tr>
      <w:tr w:rsidR="00906AFB" w:rsidRPr="00906AFB" w:rsidTr="00906AFB">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b/>
                <w:bCs/>
                <w:sz w:val="18"/>
                <w:szCs w:val="18"/>
              </w:rPr>
            </w:pPr>
          </w:p>
        </w:tc>
        <w:tc>
          <w:tcPr>
            <w:tcW w:w="617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18"/>
                <w:szCs w:val="18"/>
              </w:rPr>
            </w:pPr>
            <w:r w:rsidRPr="00906AFB">
              <w:rPr>
                <w:rFonts w:ascii="Arial" w:hAnsi="Arial" w:cs="Arial"/>
                <w:sz w:val="18"/>
                <w:szCs w:val="18"/>
              </w:rPr>
              <w:t>Proyectos Productivos o Estratégicos Agrícolas, Pecuarios de Pesca y Acuícolas</w:t>
            </w:r>
          </w:p>
        </w:tc>
        <w:tc>
          <w:tcPr>
            <w:tcW w:w="134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18,750,000</w:t>
            </w:r>
          </w:p>
        </w:tc>
      </w:tr>
      <w:tr w:rsidR="00906AFB" w:rsidRPr="00906AFB" w:rsidTr="00906AFB">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b/>
                <w:bCs/>
                <w:sz w:val="18"/>
                <w:szCs w:val="18"/>
              </w:rPr>
            </w:pPr>
          </w:p>
        </w:tc>
        <w:tc>
          <w:tcPr>
            <w:tcW w:w="617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b/>
                <w:bCs/>
                <w:sz w:val="18"/>
                <w:szCs w:val="18"/>
              </w:rPr>
            </w:pPr>
            <w:r w:rsidRPr="00906AFB">
              <w:rPr>
                <w:rFonts w:ascii="Arial" w:hAnsi="Arial" w:cs="Arial"/>
                <w:b/>
                <w:bCs/>
                <w:sz w:val="18"/>
                <w:szCs w:val="18"/>
              </w:rPr>
              <w:t>Programa de Apoyos a Pequeños Productores</w:t>
            </w:r>
          </w:p>
        </w:tc>
        <w:tc>
          <w:tcPr>
            <w:tcW w:w="1347" w:type="dxa"/>
            <w:tcBorders>
              <w:top w:val="single" w:sz="4" w:space="0" w:color="auto"/>
              <w:left w:val="single" w:sz="4" w:space="0" w:color="auto"/>
              <w:bottom w:val="single" w:sz="4" w:space="0" w:color="auto"/>
              <w:right w:val="single" w:sz="4" w:space="0" w:color="auto"/>
            </w:tcBorders>
            <w:vAlign w:val="center"/>
            <w:hideMark/>
          </w:tcPr>
          <w:p w:rsidR="00906AFB" w:rsidRPr="005A4DD3" w:rsidRDefault="005A4DD3" w:rsidP="00906AFB">
            <w:pPr>
              <w:jc w:val="right"/>
              <w:rPr>
                <w:rFonts w:ascii="Arial" w:hAnsi="Arial" w:cs="Arial"/>
                <w:b/>
                <w:bCs/>
                <w:sz w:val="18"/>
                <w:szCs w:val="18"/>
              </w:rPr>
            </w:pPr>
            <w:r w:rsidRPr="005A4DD3">
              <w:rPr>
                <w:rFonts w:ascii="Arial" w:hAnsi="Arial" w:cs="Arial"/>
                <w:b/>
                <w:sz w:val="18"/>
                <w:szCs w:val="18"/>
              </w:rPr>
              <w:t>1,237,500</w:t>
            </w:r>
            <w:r w:rsidR="00906AFB" w:rsidRPr="005A4DD3">
              <w:rPr>
                <w:rFonts w:ascii="Arial" w:hAnsi="Arial" w:cs="Arial"/>
                <w:b/>
                <w:bCs/>
                <w:sz w:val="18"/>
                <w:szCs w:val="18"/>
              </w:rPr>
              <w:t> </w:t>
            </w:r>
          </w:p>
        </w:tc>
      </w:tr>
      <w:tr w:rsidR="00906AFB" w:rsidRPr="00906AFB" w:rsidTr="00906AFB">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b/>
                <w:bCs/>
                <w:sz w:val="18"/>
                <w:szCs w:val="18"/>
              </w:rPr>
            </w:pPr>
          </w:p>
        </w:tc>
        <w:tc>
          <w:tcPr>
            <w:tcW w:w="617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18"/>
                <w:szCs w:val="18"/>
              </w:rPr>
            </w:pPr>
            <w:r w:rsidRPr="00906AFB">
              <w:rPr>
                <w:rFonts w:ascii="Arial" w:hAnsi="Arial" w:cs="Arial"/>
                <w:sz w:val="18"/>
                <w:szCs w:val="18"/>
              </w:rPr>
              <w:t>Extensionismo</w:t>
            </w:r>
          </w:p>
        </w:tc>
        <w:tc>
          <w:tcPr>
            <w:tcW w:w="134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1,237,500</w:t>
            </w:r>
          </w:p>
        </w:tc>
      </w:tr>
      <w:tr w:rsidR="00906AFB" w:rsidRPr="00906AFB" w:rsidTr="00906AFB">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b/>
                <w:bCs/>
                <w:sz w:val="18"/>
                <w:szCs w:val="18"/>
              </w:rPr>
            </w:pPr>
          </w:p>
        </w:tc>
        <w:tc>
          <w:tcPr>
            <w:tcW w:w="617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b/>
                <w:bCs/>
                <w:sz w:val="18"/>
                <w:szCs w:val="18"/>
              </w:rPr>
            </w:pPr>
            <w:r w:rsidRPr="00906AFB">
              <w:rPr>
                <w:rFonts w:ascii="Arial" w:hAnsi="Arial" w:cs="Arial"/>
                <w:b/>
                <w:bCs/>
                <w:sz w:val="18"/>
                <w:szCs w:val="18"/>
              </w:rPr>
              <w:t xml:space="preserve">Programa de Productividad Rural </w:t>
            </w:r>
          </w:p>
        </w:tc>
        <w:tc>
          <w:tcPr>
            <w:tcW w:w="1347" w:type="dxa"/>
            <w:tcBorders>
              <w:top w:val="single" w:sz="4" w:space="0" w:color="auto"/>
              <w:left w:val="single" w:sz="4" w:space="0" w:color="auto"/>
              <w:bottom w:val="single" w:sz="4" w:space="0" w:color="auto"/>
              <w:right w:val="single" w:sz="4" w:space="0" w:color="auto"/>
            </w:tcBorders>
            <w:vAlign w:val="center"/>
            <w:hideMark/>
          </w:tcPr>
          <w:p w:rsidR="00906AFB" w:rsidRPr="005A4DD3" w:rsidRDefault="005A4DD3" w:rsidP="00906AFB">
            <w:pPr>
              <w:jc w:val="right"/>
              <w:rPr>
                <w:rFonts w:ascii="Arial" w:hAnsi="Arial" w:cs="Arial"/>
                <w:b/>
                <w:bCs/>
                <w:sz w:val="18"/>
                <w:szCs w:val="18"/>
              </w:rPr>
            </w:pPr>
            <w:r w:rsidRPr="005A4DD3">
              <w:rPr>
                <w:rFonts w:ascii="Arial" w:hAnsi="Arial" w:cs="Arial"/>
                <w:b/>
                <w:sz w:val="18"/>
                <w:szCs w:val="18"/>
              </w:rPr>
              <w:t>862,500</w:t>
            </w:r>
          </w:p>
        </w:tc>
      </w:tr>
      <w:tr w:rsidR="00906AFB" w:rsidRPr="00906AFB" w:rsidTr="00906AFB">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b/>
                <w:bCs/>
                <w:sz w:val="18"/>
                <w:szCs w:val="18"/>
              </w:rPr>
            </w:pPr>
          </w:p>
        </w:tc>
        <w:tc>
          <w:tcPr>
            <w:tcW w:w="617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18"/>
                <w:szCs w:val="18"/>
              </w:rPr>
            </w:pPr>
            <w:r w:rsidRPr="00906AFB">
              <w:rPr>
                <w:rFonts w:ascii="Arial" w:hAnsi="Arial" w:cs="Arial"/>
                <w:sz w:val="18"/>
                <w:szCs w:val="18"/>
              </w:rPr>
              <w:t>Infraestructura de Conservación y Uso Sustentable de Suelo y Agua</w:t>
            </w:r>
          </w:p>
        </w:tc>
        <w:tc>
          <w:tcPr>
            <w:tcW w:w="134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862,500</w:t>
            </w:r>
          </w:p>
        </w:tc>
      </w:tr>
      <w:tr w:rsidR="00906AFB" w:rsidRPr="00906AFB" w:rsidTr="00906AFB">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b/>
                <w:bCs/>
                <w:sz w:val="18"/>
                <w:szCs w:val="18"/>
              </w:rPr>
            </w:pPr>
          </w:p>
        </w:tc>
        <w:tc>
          <w:tcPr>
            <w:tcW w:w="617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b/>
                <w:bCs/>
                <w:sz w:val="18"/>
                <w:szCs w:val="18"/>
              </w:rPr>
            </w:pPr>
            <w:r w:rsidRPr="00906AFB">
              <w:rPr>
                <w:rFonts w:ascii="Arial" w:hAnsi="Arial" w:cs="Arial"/>
                <w:b/>
                <w:bCs/>
                <w:sz w:val="18"/>
                <w:szCs w:val="18"/>
              </w:rPr>
              <w:t>Programa de Productividad y Competitividad Agroalimentaria</w:t>
            </w:r>
          </w:p>
        </w:tc>
        <w:tc>
          <w:tcPr>
            <w:tcW w:w="1347" w:type="dxa"/>
            <w:tcBorders>
              <w:top w:val="single" w:sz="4" w:space="0" w:color="auto"/>
              <w:left w:val="single" w:sz="4" w:space="0" w:color="auto"/>
              <w:bottom w:val="single" w:sz="4" w:space="0" w:color="auto"/>
              <w:right w:val="single" w:sz="4" w:space="0" w:color="auto"/>
            </w:tcBorders>
            <w:vAlign w:val="center"/>
            <w:hideMark/>
          </w:tcPr>
          <w:p w:rsidR="00906AFB" w:rsidRPr="005A4DD3" w:rsidRDefault="005A4DD3" w:rsidP="00906AFB">
            <w:pPr>
              <w:jc w:val="right"/>
              <w:rPr>
                <w:rFonts w:ascii="Arial" w:hAnsi="Arial" w:cs="Arial"/>
                <w:b/>
                <w:sz w:val="18"/>
                <w:szCs w:val="18"/>
              </w:rPr>
            </w:pPr>
            <w:r w:rsidRPr="005A4DD3">
              <w:rPr>
                <w:rFonts w:ascii="Arial" w:hAnsi="Arial" w:cs="Arial"/>
                <w:b/>
                <w:sz w:val="18"/>
                <w:szCs w:val="18"/>
              </w:rPr>
              <w:t>150,000</w:t>
            </w:r>
            <w:r w:rsidR="00906AFB" w:rsidRPr="005A4DD3">
              <w:rPr>
                <w:rFonts w:ascii="Arial" w:hAnsi="Arial" w:cs="Arial"/>
                <w:b/>
                <w:sz w:val="18"/>
                <w:szCs w:val="18"/>
              </w:rPr>
              <w:t> </w:t>
            </w:r>
          </w:p>
        </w:tc>
      </w:tr>
      <w:tr w:rsidR="00906AFB" w:rsidRPr="00906AFB" w:rsidTr="00906AFB">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b/>
                <w:bCs/>
                <w:sz w:val="18"/>
                <w:szCs w:val="18"/>
              </w:rPr>
            </w:pPr>
          </w:p>
        </w:tc>
        <w:tc>
          <w:tcPr>
            <w:tcW w:w="617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18"/>
                <w:szCs w:val="18"/>
              </w:rPr>
            </w:pPr>
            <w:r w:rsidRPr="00906AFB">
              <w:rPr>
                <w:rFonts w:ascii="Arial" w:hAnsi="Arial" w:cs="Arial"/>
                <w:sz w:val="18"/>
                <w:szCs w:val="18"/>
              </w:rPr>
              <w:t>Servicio de Monitoreo e Información, SNIDRUS</w:t>
            </w:r>
          </w:p>
        </w:tc>
        <w:tc>
          <w:tcPr>
            <w:tcW w:w="134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150,000</w:t>
            </w:r>
          </w:p>
        </w:tc>
      </w:tr>
      <w:tr w:rsidR="00906AFB" w:rsidRPr="00906AFB" w:rsidTr="00906AFB">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b/>
                <w:bCs/>
                <w:sz w:val="18"/>
                <w:szCs w:val="18"/>
              </w:rPr>
            </w:pPr>
          </w:p>
        </w:tc>
        <w:tc>
          <w:tcPr>
            <w:tcW w:w="617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b/>
                <w:bCs/>
                <w:sz w:val="18"/>
                <w:szCs w:val="18"/>
              </w:rPr>
            </w:pPr>
            <w:r w:rsidRPr="00906AFB">
              <w:rPr>
                <w:rFonts w:ascii="Arial" w:hAnsi="Arial" w:cs="Arial"/>
                <w:b/>
                <w:bCs/>
                <w:sz w:val="18"/>
                <w:szCs w:val="18"/>
              </w:rPr>
              <w:t>Programa de Sanidad e Inocuidad Agroalimentaria</w:t>
            </w:r>
          </w:p>
        </w:tc>
        <w:tc>
          <w:tcPr>
            <w:tcW w:w="1347" w:type="dxa"/>
            <w:tcBorders>
              <w:top w:val="single" w:sz="4" w:space="0" w:color="auto"/>
              <w:left w:val="single" w:sz="4" w:space="0" w:color="auto"/>
              <w:bottom w:val="single" w:sz="4" w:space="0" w:color="auto"/>
              <w:right w:val="single" w:sz="4" w:space="0" w:color="auto"/>
            </w:tcBorders>
            <w:vAlign w:val="center"/>
            <w:hideMark/>
          </w:tcPr>
          <w:p w:rsidR="00906AFB" w:rsidRPr="005A4DD3" w:rsidRDefault="005A4DD3" w:rsidP="00906AFB">
            <w:pPr>
              <w:jc w:val="right"/>
              <w:rPr>
                <w:rFonts w:ascii="Arial" w:hAnsi="Arial" w:cs="Arial"/>
                <w:b/>
                <w:sz w:val="18"/>
                <w:szCs w:val="18"/>
              </w:rPr>
            </w:pPr>
            <w:r w:rsidRPr="005A4DD3">
              <w:rPr>
                <w:rFonts w:ascii="Arial" w:hAnsi="Arial" w:cs="Arial"/>
                <w:b/>
                <w:sz w:val="18"/>
                <w:szCs w:val="18"/>
              </w:rPr>
              <w:t>1,500,000</w:t>
            </w:r>
            <w:r w:rsidR="00906AFB" w:rsidRPr="005A4DD3">
              <w:rPr>
                <w:rFonts w:ascii="Arial" w:hAnsi="Arial" w:cs="Arial"/>
                <w:b/>
                <w:sz w:val="18"/>
                <w:szCs w:val="18"/>
              </w:rPr>
              <w:t> </w:t>
            </w:r>
          </w:p>
        </w:tc>
      </w:tr>
      <w:tr w:rsidR="00906AFB" w:rsidRPr="00906AFB" w:rsidTr="00906AFB">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b/>
                <w:bCs/>
                <w:sz w:val="18"/>
                <w:szCs w:val="18"/>
              </w:rPr>
            </w:pPr>
          </w:p>
        </w:tc>
        <w:tc>
          <w:tcPr>
            <w:tcW w:w="617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18"/>
                <w:szCs w:val="18"/>
              </w:rPr>
            </w:pPr>
            <w:r w:rsidRPr="00906AFB">
              <w:rPr>
                <w:rFonts w:ascii="Arial" w:hAnsi="Arial" w:cs="Arial"/>
                <w:sz w:val="18"/>
                <w:szCs w:val="18"/>
              </w:rPr>
              <w:t>Sanidad Federalizada</w:t>
            </w:r>
          </w:p>
        </w:tc>
        <w:tc>
          <w:tcPr>
            <w:tcW w:w="134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1,500,000</w:t>
            </w:r>
          </w:p>
        </w:tc>
      </w:tr>
      <w:tr w:rsidR="00906AFB" w:rsidRPr="00906AFB" w:rsidTr="00906AFB">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b/>
                <w:bCs/>
                <w:sz w:val="18"/>
                <w:szCs w:val="18"/>
              </w:rPr>
            </w:pPr>
          </w:p>
        </w:tc>
        <w:tc>
          <w:tcPr>
            <w:tcW w:w="617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b/>
                <w:bCs/>
                <w:sz w:val="18"/>
                <w:szCs w:val="18"/>
              </w:rPr>
            </w:pPr>
            <w:r w:rsidRPr="00906AFB">
              <w:rPr>
                <w:rFonts w:ascii="Arial" w:hAnsi="Arial" w:cs="Arial"/>
                <w:b/>
                <w:bCs/>
                <w:sz w:val="18"/>
                <w:szCs w:val="18"/>
              </w:rPr>
              <w:t>Programa de Fomento a la Productividad Pesquera y Acuícola</w:t>
            </w:r>
          </w:p>
        </w:tc>
        <w:tc>
          <w:tcPr>
            <w:tcW w:w="1347" w:type="dxa"/>
            <w:tcBorders>
              <w:top w:val="single" w:sz="4" w:space="0" w:color="auto"/>
              <w:left w:val="single" w:sz="4" w:space="0" w:color="auto"/>
              <w:bottom w:val="single" w:sz="4" w:space="0" w:color="auto"/>
              <w:right w:val="single" w:sz="4" w:space="0" w:color="auto"/>
            </w:tcBorders>
            <w:vAlign w:val="center"/>
            <w:hideMark/>
          </w:tcPr>
          <w:p w:rsidR="00906AFB" w:rsidRPr="005A4DD3" w:rsidRDefault="005A4DD3" w:rsidP="00906AFB">
            <w:pPr>
              <w:jc w:val="right"/>
              <w:rPr>
                <w:rFonts w:ascii="Arial" w:hAnsi="Arial" w:cs="Arial"/>
                <w:b/>
                <w:sz w:val="18"/>
                <w:szCs w:val="18"/>
              </w:rPr>
            </w:pPr>
            <w:r w:rsidRPr="005A4DD3">
              <w:rPr>
                <w:rFonts w:ascii="Arial" w:hAnsi="Arial" w:cs="Arial"/>
                <w:b/>
                <w:sz w:val="18"/>
                <w:szCs w:val="18"/>
              </w:rPr>
              <w:t>4,500,000</w:t>
            </w:r>
            <w:r w:rsidR="00906AFB" w:rsidRPr="005A4DD3">
              <w:rPr>
                <w:rFonts w:ascii="Arial" w:hAnsi="Arial" w:cs="Arial"/>
                <w:b/>
                <w:sz w:val="18"/>
                <w:szCs w:val="18"/>
              </w:rPr>
              <w:t> </w:t>
            </w:r>
          </w:p>
        </w:tc>
      </w:tr>
      <w:tr w:rsidR="00906AFB" w:rsidRPr="00906AFB" w:rsidTr="00906AFB">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b/>
                <w:bCs/>
                <w:sz w:val="18"/>
                <w:szCs w:val="18"/>
              </w:rPr>
            </w:pPr>
          </w:p>
        </w:tc>
        <w:tc>
          <w:tcPr>
            <w:tcW w:w="617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18"/>
                <w:szCs w:val="18"/>
              </w:rPr>
            </w:pPr>
            <w:r w:rsidRPr="00906AFB">
              <w:rPr>
                <w:rFonts w:ascii="Arial" w:hAnsi="Arial" w:cs="Arial"/>
                <w:sz w:val="18"/>
                <w:szCs w:val="18"/>
              </w:rPr>
              <w:t xml:space="preserve">Impulso a la Capitalización </w:t>
            </w:r>
          </w:p>
        </w:tc>
        <w:tc>
          <w:tcPr>
            <w:tcW w:w="134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750,000</w:t>
            </w:r>
          </w:p>
        </w:tc>
      </w:tr>
      <w:tr w:rsidR="00906AFB" w:rsidRPr="00906AFB" w:rsidTr="00906AFB">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b/>
                <w:bCs/>
                <w:sz w:val="18"/>
                <w:szCs w:val="18"/>
              </w:rPr>
            </w:pPr>
          </w:p>
        </w:tc>
        <w:tc>
          <w:tcPr>
            <w:tcW w:w="617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18"/>
                <w:szCs w:val="18"/>
              </w:rPr>
            </w:pPr>
            <w:r w:rsidRPr="00906AFB">
              <w:rPr>
                <w:rFonts w:ascii="Arial" w:hAnsi="Arial" w:cs="Arial"/>
                <w:sz w:val="18"/>
                <w:szCs w:val="18"/>
              </w:rPr>
              <w:t>Desarrollo de la Acuacultura</w:t>
            </w:r>
          </w:p>
        </w:tc>
        <w:tc>
          <w:tcPr>
            <w:tcW w:w="134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3,750,000</w:t>
            </w:r>
          </w:p>
        </w:tc>
      </w:tr>
      <w:tr w:rsidR="00906AFB" w:rsidRPr="00906AFB" w:rsidTr="00906AFB">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b/>
                <w:bCs/>
                <w:sz w:val="18"/>
                <w:szCs w:val="18"/>
              </w:rPr>
            </w:pPr>
          </w:p>
        </w:tc>
        <w:tc>
          <w:tcPr>
            <w:tcW w:w="617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18"/>
                <w:szCs w:val="18"/>
              </w:rPr>
            </w:pPr>
            <w:r w:rsidRPr="00906AFB">
              <w:rPr>
                <w:rFonts w:ascii="Arial" w:hAnsi="Arial" w:cs="Arial"/>
                <w:b/>
                <w:bCs/>
                <w:sz w:val="18"/>
                <w:szCs w:val="18"/>
              </w:rPr>
              <w:t>Concurrencia con CONAGUA</w:t>
            </w:r>
          </w:p>
        </w:tc>
        <w:tc>
          <w:tcPr>
            <w:tcW w:w="134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b/>
                <w:sz w:val="18"/>
                <w:szCs w:val="18"/>
              </w:rPr>
            </w:pPr>
            <w:r w:rsidRPr="00906AFB">
              <w:rPr>
                <w:rFonts w:ascii="Arial" w:hAnsi="Arial" w:cs="Arial"/>
                <w:b/>
                <w:sz w:val="18"/>
                <w:szCs w:val="18"/>
              </w:rPr>
              <w:t>8,812,500 </w:t>
            </w:r>
          </w:p>
        </w:tc>
      </w:tr>
      <w:tr w:rsidR="00906AFB" w:rsidRPr="00906AFB" w:rsidTr="00906AFB">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b/>
                <w:bCs/>
                <w:sz w:val="18"/>
                <w:szCs w:val="18"/>
              </w:rPr>
            </w:pPr>
          </w:p>
        </w:tc>
        <w:tc>
          <w:tcPr>
            <w:tcW w:w="617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b/>
                <w:bCs/>
                <w:sz w:val="18"/>
                <w:szCs w:val="18"/>
              </w:rPr>
            </w:pPr>
            <w:r w:rsidRPr="00906AFB">
              <w:rPr>
                <w:rFonts w:ascii="Arial" w:hAnsi="Arial" w:cs="Arial"/>
                <w:b/>
                <w:bCs/>
                <w:sz w:val="18"/>
                <w:szCs w:val="18"/>
              </w:rPr>
              <w:t>Programa de Apoyo a la Infraestructura Hidroagrícolas</w:t>
            </w:r>
          </w:p>
        </w:tc>
        <w:tc>
          <w:tcPr>
            <w:tcW w:w="134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5A4DD3" w:rsidP="00906AFB">
            <w:pPr>
              <w:jc w:val="right"/>
              <w:rPr>
                <w:rFonts w:ascii="Arial" w:hAnsi="Arial" w:cs="Arial"/>
                <w:sz w:val="18"/>
                <w:szCs w:val="18"/>
              </w:rPr>
            </w:pPr>
            <w:r w:rsidRPr="00906AFB">
              <w:rPr>
                <w:rFonts w:ascii="Arial" w:hAnsi="Arial" w:cs="Arial"/>
                <w:sz w:val="18"/>
                <w:szCs w:val="18"/>
              </w:rPr>
              <w:t>1,200,000</w:t>
            </w:r>
          </w:p>
        </w:tc>
      </w:tr>
      <w:tr w:rsidR="00906AFB" w:rsidRPr="00906AFB" w:rsidTr="00906AFB">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b/>
                <w:bCs/>
                <w:sz w:val="18"/>
                <w:szCs w:val="18"/>
              </w:rPr>
            </w:pPr>
          </w:p>
        </w:tc>
        <w:tc>
          <w:tcPr>
            <w:tcW w:w="617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b/>
                <w:bCs/>
                <w:sz w:val="18"/>
                <w:szCs w:val="18"/>
              </w:rPr>
            </w:pPr>
            <w:r w:rsidRPr="00906AFB">
              <w:rPr>
                <w:rFonts w:ascii="Arial" w:hAnsi="Arial" w:cs="Arial"/>
                <w:sz w:val="18"/>
                <w:szCs w:val="18"/>
              </w:rPr>
              <w:t>Rehabilitación, Modernización, Tecnificación y Equipamiento de Unidades de Riego</w:t>
            </w:r>
          </w:p>
        </w:tc>
        <w:tc>
          <w:tcPr>
            <w:tcW w:w="134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1,200,000</w:t>
            </w:r>
          </w:p>
        </w:tc>
      </w:tr>
      <w:tr w:rsidR="00906AFB" w:rsidRPr="00906AFB" w:rsidTr="00906AFB">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b/>
                <w:bCs/>
                <w:sz w:val="18"/>
                <w:szCs w:val="18"/>
              </w:rPr>
            </w:pPr>
          </w:p>
        </w:tc>
        <w:tc>
          <w:tcPr>
            <w:tcW w:w="617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18"/>
                <w:szCs w:val="18"/>
              </w:rPr>
            </w:pPr>
            <w:r w:rsidRPr="00906AFB">
              <w:rPr>
                <w:rFonts w:ascii="Arial" w:hAnsi="Arial" w:cs="Arial"/>
                <w:sz w:val="18"/>
                <w:szCs w:val="18"/>
              </w:rPr>
              <w:t>Rehabilitación, Modernización, Tecnificación y Equipamiento de Distritos de Riego</w:t>
            </w:r>
          </w:p>
        </w:tc>
        <w:tc>
          <w:tcPr>
            <w:tcW w:w="134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8"/>
                <w:szCs w:val="18"/>
              </w:rPr>
            </w:pPr>
            <w:r w:rsidRPr="00906AFB">
              <w:rPr>
                <w:rFonts w:ascii="Arial" w:hAnsi="Arial" w:cs="Arial"/>
                <w:sz w:val="18"/>
                <w:szCs w:val="18"/>
              </w:rPr>
              <w:t>7,612,500</w:t>
            </w:r>
          </w:p>
        </w:tc>
      </w:tr>
      <w:tr w:rsidR="00906AFB" w:rsidRPr="00906AFB" w:rsidTr="00906AFB">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b/>
                <w:bCs/>
                <w:sz w:val="18"/>
                <w:szCs w:val="18"/>
              </w:rPr>
            </w:pPr>
          </w:p>
        </w:tc>
        <w:tc>
          <w:tcPr>
            <w:tcW w:w="617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sz w:val="18"/>
                <w:szCs w:val="18"/>
              </w:rPr>
            </w:pPr>
            <w:r w:rsidRPr="00906AFB">
              <w:rPr>
                <w:rFonts w:ascii="Arial" w:hAnsi="Arial" w:cs="Arial"/>
                <w:b/>
                <w:bCs/>
                <w:sz w:val="18"/>
                <w:szCs w:val="18"/>
              </w:rPr>
              <w:t>Total</w:t>
            </w:r>
          </w:p>
        </w:tc>
        <w:tc>
          <w:tcPr>
            <w:tcW w:w="134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8"/>
                <w:szCs w:val="18"/>
              </w:rPr>
            </w:pPr>
            <w:r w:rsidRPr="00906AFB">
              <w:rPr>
                <w:rFonts w:ascii="Arial" w:hAnsi="Arial" w:cs="Arial"/>
                <w:b/>
                <w:bCs/>
                <w:sz w:val="18"/>
                <w:szCs w:val="18"/>
              </w:rPr>
              <w:t>35,812,500</w:t>
            </w:r>
          </w:p>
        </w:tc>
      </w:tr>
    </w:tbl>
    <w:p w:rsidR="00906AFB" w:rsidRPr="00906AFB" w:rsidRDefault="00906AFB" w:rsidP="00906AFB">
      <w:pPr>
        <w:spacing w:after="0" w:line="240" w:lineRule="auto"/>
        <w:jc w:val="center"/>
        <w:rPr>
          <w:rFonts w:ascii="Arial" w:eastAsia="Calibri" w:hAnsi="Arial" w:cs="Arial"/>
          <w:sz w:val="24"/>
          <w:szCs w:val="24"/>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Pr="00906AFB" w:rsidRDefault="00906AFB" w:rsidP="00906AFB">
      <w:pPr>
        <w:keepNext/>
        <w:keepLines/>
        <w:spacing w:after="0" w:line="240" w:lineRule="auto"/>
        <w:jc w:val="center"/>
        <w:outlineLvl w:val="0"/>
        <w:rPr>
          <w:rFonts w:ascii="Arial" w:eastAsia="Times New Roman" w:hAnsi="Arial" w:cs="Arial"/>
          <w:b/>
          <w:sz w:val="24"/>
          <w:szCs w:val="32"/>
          <w:lang w:val="es-ES" w:eastAsia="en-US"/>
        </w:rPr>
      </w:pPr>
      <w:bookmarkStart w:id="30" w:name="_Toc465292960"/>
      <w:bookmarkStart w:id="31" w:name="_Toc465292888"/>
      <w:r w:rsidRPr="00906AFB">
        <w:rPr>
          <w:rFonts w:ascii="Arial" w:eastAsia="Times New Roman" w:hAnsi="Arial" w:cs="Arial"/>
          <w:b/>
          <w:sz w:val="24"/>
          <w:szCs w:val="32"/>
          <w:lang w:val="es-ES" w:eastAsia="en-US"/>
        </w:rPr>
        <w:t>TÍTULO TERCERO</w:t>
      </w:r>
    </w:p>
    <w:p w:rsidR="00906AFB" w:rsidRPr="00906AFB" w:rsidRDefault="00906AFB" w:rsidP="00906AFB">
      <w:pPr>
        <w:keepNext/>
        <w:keepLines/>
        <w:spacing w:after="0" w:line="240" w:lineRule="auto"/>
        <w:jc w:val="center"/>
        <w:outlineLvl w:val="0"/>
        <w:rPr>
          <w:rFonts w:ascii="Arial" w:eastAsia="Times New Roman" w:hAnsi="Arial" w:cs="Arial"/>
          <w:b/>
          <w:sz w:val="24"/>
          <w:szCs w:val="32"/>
          <w:lang w:val="es-ES" w:eastAsia="en-US"/>
        </w:rPr>
      </w:pPr>
      <w:r w:rsidRPr="00906AFB">
        <w:rPr>
          <w:rFonts w:ascii="Arial" w:eastAsia="Times New Roman" w:hAnsi="Arial" w:cs="Arial"/>
          <w:b/>
          <w:sz w:val="24"/>
          <w:szCs w:val="32"/>
          <w:lang w:val="es-ES" w:eastAsia="en-US"/>
        </w:rPr>
        <w:t xml:space="preserve"> DE LA DISCIPLINA PRESUPUESTARIA EN EL EJERCICIO DEL GASTO PÚBLICO</w:t>
      </w:r>
      <w:bookmarkEnd w:id="30"/>
      <w:bookmarkEnd w:id="31"/>
    </w:p>
    <w:p w:rsidR="00906AFB" w:rsidRPr="00906AFB" w:rsidRDefault="00906AFB" w:rsidP="00906AFB">
      <w:pPr>
        <w:spacing w:after="0" w:line="240" w:lineRule="auto"/>
        <w:jc w:val="center"/>
        <w:rPr>
          <w:rFonts w:ascii="Arial" w:eastAsia="Calibri" w:hAnsi="Arial" w:cs="Arial"/>
          <w:b/>
          <w:lang w:val="es-ES" w:eastAsia="en-US"/>
        </w:rPr>
      </w:pPr>
    </w:p>
    <w:p w:rsidR="00906AFB" w:rsidRPr="00906AFB" w:rsidRDefault="00906AFB" w:rsidP="00906AFB">
      <w:pPr>
        <w:spacing w:after="0" w:line="240" w:lineRule="auto"/>
        <w:jc w:val="center"/>
        <w:rPr>
          <w:rFonts w:ascii="Arial" w:eastAsia="Calibri" w:hAnsi="Arial" w:cs="Arial"/>
          <w:b/>
          <w:lang w:val="es-ES" w:eastAsia="en-US"/>
        </w:rPr>
      </w:pPr>
      <w:r w:rsidRPr="00906AFB">
        <w:rPr>
          <w:rFonts w:ascii="Arial" w:eastAsia="Calibri" w:hAnsi="Arial" w:cs="Arial"/>
          <w:b/>
          <w:lang w:val="es-ES" w:eastAsia="en-US"/>
        </w:rPr>
        <w:t>CAPÍTULO ÚNICO</w:t>
      </w:r>
    </w:p>
    <w:p w:rsidR="00906AFB" w:rsidRPr="00906AFB" w:rsidRDefault="00906AFB" w:rsidP="00906AFB">
      <w:pPr>
        <w:spacing w:after="0" w:line="240" w:lineRule="auto"/>
        <w:jc w:val="center"/>
        <w:rPr>
          <w:rFonts w:ascii="Arial" w:eastAsia="Calibri" w:hAnsi="Arial" w:cs="Arial"/>
          <w:b/>
          <w:lang w:val="es-ES" w:eastAsia="en-US"/>
        </w:rPr>
      </w:pPr>
      <w:r w:rsidRPr="00906AFB">
        <w:rPr>
          <w:rFonts w:ascii="Arial" w:eastAsia="Calibri" w:hAnsi="Arial" w:cs="Arial"/>
          <w:b/>
          <w:lang w:val="es-ES" w:eastAsia="en-US"/>
        </w:rPr>
        <w:t xml:space="preserve"> DISPOSICIONES GENERALES</w:t>
      </w:r>
    </w:p>
    <w:p w:rsidR="00906AFB" w:rsidRPr="00906AFB" w:rsidRDefault="00906AFB" w:rsidP="00906AFB">
      <w:pPr>
        <w:spacing w:after="0" w:line="240" w:lineRule="auto"/>
        <w:jc w:val="both"/>
        <w:rPr>
          <w:rFonts w:ascii="Arial" w:eastAsia="Calibri" w:hAnsi="Arial" w:cs="Arial"/>
          <w:b/>
          <w:sz w:val="24"/>
          <w:szCs w:val="24"/>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b/>
          <w:sz w:val="24"/>
          <w:szCs w:val="24"/>
          <w:lang w:val="es-ES" w:eastAsia="en-US"/>
        </w:rPr>
        <w:t>Artículo 52</w:t>
      </w:r>
      <w:r w:rsidRPr="00906AFB">
        <w:rPr>
          <w:rFonts w:ascii="Arial" w:eastAsia="Calibri" w:hAnsi="Arial" w:cs="Arial"/>
          <w:sz w:val="24"/>
          <w:szCs w:val="24"/>
          <w:lang w:val="es-ES" w:eastAsia="en-US"/>
        </w:rPr>
        <w:t>. El ejercicio del gasto público deberá sujetarse estrictamente a las disposiciones previstas en la Ley de Presupuesto, Ley de Disciplina Financiera</w:t>
      </w:r>
      <w:r w:rsidRPr="00906AFB">
        <w:rPr>
          <w:rFonts w:ascii="Arial" w:eastAsia="Calibri" w:hAnsi="Arial" w:cs="Arial"/>
          <w:sz w:val="24"/>
          <w:szCs w:val="24"/>
          <w:lang w:eastAsia="en-US"/>
        </w:rPr>
        <w:t>,</w:t>
      </w:r>
      <w:r w:rsidRPr="00906AFB">
        <w:rPr>
          <w:rFonts w:ascii="Arial" w:eastAsia="Calibri" w:hAnsi="Arial" w:cs="Arial"/>
          <w:sz w:val="24"/>
          <w:szCs w:val="24"/>
          <w:lang w:val="es-ES" w:eastAsia="en-US"/>
        </w:rPr>
        <w:t xml:space="preserve"> y en las que al efecto emitan la Secretaría y la Secretaría de Administración, en el ámbito de la administración pública estatal. Tratándose de los Poderes Legislativo y Judicial, así como los Organismos Autónomos, las unidades administrativas competentes emitirán las disposiciones correspondientes.</w:t>
      </w:r>
    </w:p>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b/>
          <w:sz w:val="24"/>
          <w:szCs w:val="24"/>
          <w:lang w:val="es-ES" w:eastAsia="en-US"/>
        </w:rPr>
        <w:t xml:space="preserve">Artículo 53. </w:t>
      </w:r>
      <w:r w:rsidRPr="00906AFB">
        <w:rPr>
          <w:rFonts w:ascii="Arial" w:eastAsia="Calibri" w:hAnsi="Arial" w:cs="Arial"/>
          <w:sz w:val="24"/>
          <w:szCs w:val="24"/>
          <w:lang w:val="es-ES" w:eastAsia="en-US"/>
        </w:rPr>
        <w:t>El gasto total propuesto por el Titular del Poder Ejecutivo en el proyecto de Presupuesto de Egresos, aquél que apruebe el Congreso del Estado y el que se ejerza en el año fiscal 2017, deberá contribuir a un Balance presupuestario sostenible, en los términos que señalan los artículos 6 y 7 de la Ley de Disciplina Financiera.</w:t>
      </w:r>
    </w:p>
    <w:p w:rsidR="00906AFB" w:rsidRPr="00906AFB" w:rsidRDefault="00906AFB" w:rsidP="00906AFB">
      <w:pPr>
        <w:spacing w:after="0" w:line="240" w:lineRule="auto"/>
        <w:jc w:val="both"/>
        <w:rPr>
          <w:rFonts w:ascii="Arial" w:eastAsia="Calibri" w:hAnsi="Arial" w:cs="Arial"/>
          <w:b/>
          <w:sz w:val="24"/>
          <w:szCs w:val="24"/>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b/>
          <w:sz w:val="24"/>
          <w:szCs w:val="24"/>
          <w:lang w:val="es-ES" w:eastAsia="en-US"/>
        </w:rPr>
        <w:t xml:space="preserve">Artículo 54. </w:t>
      </w:r>
      <w:r w:rsidRPr="00906AFB">
        <w:rPr>
          <w:rFonts w:ascii="Arial" w:eastAsia="Calibri" w:hAnsi="Arial" w:cs="Arial"/>
          <w:sz w:val="24"/>
          <w:szCs w:val="24"/>
          <w:lang w:val="es-ES" w:eastAsia="en-US"/>
        </w:rPr>
        <w:t>Para el ejercicio del gasto, se deberán observar las disposiciones señaladas en el artículo 13 de la Ley de Disciplina Financiera, en particular lo siguiente:</w:t>
      </w:r>
    </w:p>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Pr="00906AFB" w:rsidRDefault="00906AFB" w:rsidP="00F859A4">
      <w:pPr>
        <w:numPr>
          <w:ilvl w:val="0"/>
          <w:numId w:val="12"/>
        </w:numPr>
        <w:spacing w:before="120" w:after="0" w:line="240" w:lineRule="auto"/>
        <w:ind w:hanging="720"/>
        <w:contextualSpacing/>
        <w:jc w:val="both"/>
        <w:rPr>
          <w:rFonts w:ascii="Arial" w:eastAsia="Times New Roman" w:hAnsi="Arial" w:cs="Arial"/>
          <w:sz w:val="24"/>
          <w:szCs w:val="24"/>
        </w:rPr>
      </w:pPr>
      <w:r w:rsidRPr="00906AFB">
        <w:rPr>
          <w:rFonts w:ascii="Arial" w:eastAsia="Times New Roman" w:hAnsi="Arial" w:cs="Arial"/>
          <w:sz w:val="24"/>
          <w:szCs w:val="24"/>
        </w:rPr>
        <w:lastRenderedPageBreak/>
        <w:t>Sólo podrán comprometer recursos con cargo al presupuesto autorizado, contando previamente con la suficiencia presupuestaria, identificando la fuente de ingresos; y</w:t>
      </w:r>
    </w:p>
    <w:p w:rsidR="00906AFB" w:rsidRPr="00906AFB" w:rsidRDefault="00906AFB" w:rsidP="00906AFB">
      <w:pPr>
        <w:spacing w:after="0" w:line="240" w:lineRule="auto"/>
        <w:ind w:left="720" w:hanging="720"/>
        <w:contextualSpacing/>
        <w:jc w:val="both"/>
        <w:rPr>
          <w:rFonts w:ascii="Arial" w:eastAsia="Times New Roman" w:hAnsi="Arial" w:cs="Arial"/>
          <w:sz w:val="24"/>
          <w:szCs w:val="24"/>
        </w:rPr>
      </w:pPr>
    </w:p>
    <w:p w:rsidR="00906AFB" w:rsidRPr="00906AFB" w:rsidRDefault="00906AFB" w:rsidP="00F859A4">
      <w:pPr>
        <w:numPr>
          <w:ilvl w:val="0"/>
          <w:numId w:val="12"/>
        </w:numPr>
        <w:spacing w:before="120" w:after="0" w:line="240" w:lineRule="auto"/>
        <w:ind w:hanging="720"/>
        <w:contextualSpacing/>
        <w:jc w:val="both"/>
        <w:rPr>
          <w:rFonts w:ascii="Arial" w:eastAsia="Times New Roman" w:hAnsi="Arial" w:cs="Arial"/>
          <w:sz w:val="24"/>
          <w:szCs w:val="24"/>
        </w:rPr>
      </w:pPr>
      <w:r w:rsidRPr="00906AFB">
        <w:rPr>
          <w:rFonts w:ascii="Arial" w:eastAsia="Times New Roman" w:hAnsi="Arial" w:cs="Arial"/>
          <w:sz w:val="24"/>
          <w:szCs w:val="24"/>
        </w:rPr>
        <w:t>Sólo procederá hacer pagos con base en el Presupuesto de Egresos aprobado, y por los conceptos efectivamente devengados, siempre que se hubieren registrado y contabilizado debida y oportunamente las operaciones consideradas en éste.</w:t>
      </w:r>
    </w:p>
    <w:p w:rsidR="00906AFB" w:rsidRPr="00906AFB" w:rsidRDefault="00906AFB" w:rsidP="00906AFB">
      <w:pPr>
        <w:spacing w:after="0" w:line="240" w:lineRule="auto"/>
        <w:jc w:val="both"/>
        <w:rPr>
          <w:rFonts w:ascii="Arial" w:eastAsia="Calibri" w:hAnsi="Arial" w:cs="Arial"/>
          <w:b/>
          <w:sz w:val="24"/>
          <w:szCs w:val="24"/>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b/>
          <w:sz w:val="24"/>
          <w:szCs w:val="24"/>
          <w:lang w:val="es-ES" w:eastAsia="en-US"/>
        </w:rPr>
        <w:t xml:space="preserve">Artículo 55. </w:t>
      </w:r>
      <w:r w:rsidRPr="00906AFB">
        <w:rPr>
          <w:rFonts w:ascii="Arial" w:eastAsia="Calibri" w:hAnsi="Arial" w:cs="Arial"/>
          <w:sz w:val="24"/>
          <w:szCs w:val="24"/>
          <w:lang w:val="es-ES" w:eastAsia="en-US"/>
        </w:rPr>
        <w:t>Para el ejercicio del gasto, se podrán realizar erogaciones adicionales a las aprobadas con cargo a los Ingresos excedentes que se obtengan, y con la autorización previa de la Secretaría, observando lo siguiente:</w:t>
      </w:r>
    </w:p>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Pr="00906AFB" w:rsidRDefault="00906AFB" w:rsidP="00F859A4">
      <w:pPr>
        <w:numPr>
          <w:ilvl w:val="0"/>
          <w:numId w:val="13"/>
        </w:numPr>
        <w:spacing w:before="120" w:after="0" w:line="240" w:lineRule="auto"/>
        <w:ind w:hanging="720"/>
        <w:contextualSpacing/>
        <w:jc w:val="both"/>
        <w:rPr>
          <w:rFonts w:ascii="Arial" w:eastAsia="Times New Roman" w:hAnsi="Arial" w:cs="Arial"/>
          <w:sz w:val="24"/>
          <w:szCs w:val="24"/>
        </w:rPr>
      </w:pPr>
      <w:r w:rsidRPr="00906AFB">
        <w:rPr>
          <w:rFonts w:ascii="Arial" w:eastAsia="Times New Roman" w:hAnsi="Arial" w:cs="Arial"/>
          <w:sz w:val="24"/>
          <w:szCs w:val="24"/>
        </w:rPr>
        <w:t>Los ingresos excedentes derivados de Ingresos de Libre Disposición, deberán ser destinados a los conceptos señalados en el artículo 14 de la Ley de Disciplina Financiera; y</w:t>
      </w:r>
    </w:p>
    <w:p w:rsidR="00906AFB" w:rsidRPr="00906AFB" w:rsidRDefault="00906AFB" w:rsidP="00906AFB">
      <w:pPr>
        <w:spacing w:after="0" w:line="240" w:lineRule="auto"/>
        <w:ind w:left="720" w:hanging="720"/>
        <w:contextualSpacing/>
        <w:jc w:val="both"/>
        <w:rPr>
          <w:rFonts w:ascii="Arial" w:eastAsia="Times New Roman" w:hAnsi="Arial" w:cs="Arial"/>
          <w:sz w:val="24"/>
          <w:szCs w:val="24"/>
        </w:rPr>
      </w:pPr>
    </w:p>
    <w:p w:rsidR="00906AFB" w:rsidRPr="00906AFB" w:rsidRDefault="00906AFB" w:rsidP="00F859A4">
      <w:pPr>
        <w:numPr>
          <w:ilvl w:val="0"/>
          <w:numId w:val="13"/>
        </w:numPr>
        <w:spacing w:before="120" w:after="0" w:line="240" w:lineRule="auto"/>
        <w:ind w:hanging="720"/>
        <w:contextualSpacing/>
        <w:jc w:val="both"/>
        <w:rPr>
          <w:rFonts w:ascii="Arial" w:eastAsia="Times New Roman" w:hAnsi="Arial" w:cs="Arial"/>
          <w:sz w:val="24"/>
          <w:szCs w:val="24"/>
        </w:rPr>
      </w:pPr>
      <w:r w:rsidRPr="00906AFB">
        <w:rPr>
          <w:rFonts w:ascii="Arial" w:eastAsia="Times New Roman" w:hAnsi="Arial" w:cs="Arial"/>
          <w:sz w:val="24"/>
          <w:szCs w:val="24"/>
        </w:rPr>
        <w:t xml:space="preserve">Los ingresos excedentes derivados de Transferencias Federales Etiquetadas, deberán ser destinados conforme a lo previsto en la legislación federal aplicable. Los recursos excedentes señalados en esta fracción se considerarán de ampliación automática.  </w:t>
      </w:r>
    </w:p>
    <w:p w:rsidR="00906AFB" w:rsidRPr="00906AFB" w:rsidRDefault="00906AFB" w:rsidP="00906AFB">
      <w:pPr>
        <w:spacing w:after="0" w:line="240" w:lineRule="auto"/>
        <w:ind w:hanging="720"/>
        <w:jc w:val="both"/>
        <w:rPr>
          <w:rFonts w:ascii="Arial" w:eastAsia="Calibri" w:hAnsi="Arial" w:cs="Arial"/>
          <w:b/>
          <w:sz w:val="24"/>
          <w:szCs w:val="24"/>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b/>
          <w:sz w:val="24"/>
          <w:szCs w:val="24"/>
          <w:lang w:val="es-ES" w:eastAsia="en-US"/>
        </w:rPr>
        <w:t xml:space="preserve">Artículo 56. </w:t>
      </w:r>
      <w:r w:rsidRPr="00906AFB">
        <w:rPr>
          <w:rFonts w:ascii="Arial" w:eastAsia="Calibri" w:hAnsi="Arial" w:cs="Arial"/>
          <w:sz w:val="24"/>
          <w:szCs w:val="24"/>
          <w:lang w:val="es-ES" w:eastAsia="en-US"/>
        </w:rPr>
        <w:t>En caso de que durante el ejercicio fiscal disminuyan los ingresos previstos en la Ley de Ingresos, el Titular del Ejecutivo, por conducto de la Secretaría a efecto de cumplir con el principio de sostenibilidad del Balance Presupuestario y del Balance Presupuestario de Recursos Disponibles, deberá aplicar ajustes al Presupuesto de Egresos en los rubros de gasto señalados en el artículo 15 de Ley de Disciplina Financiera.</w:t>
      </w:r>
    </w:p>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sz w:val="24"/>
          <w:szCs w:val="24"/>
          <w:lang w:val="es-ES" w:eastAsia="en-US"/>
        </w:rPr>
        <w:t>Las Dependencias del Ejecutivo y Entidades del Estado deberán observar lo dispuesto en las Reglas de Austeridad, Racionalidad y Disciplina del Gasto Público Estatal publicadas en Periódico Oficial “El Estado de Colima” el 12 de marzo de 2016.</w:t>
      </w:r>
    </w:p>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b/>
          <w:sz w:val="24"/>
          <w:szCs w:val="24"/>
          <w:lang w:val="es-ES" w:eastAsia="en-US"/>
        </w:rPr>
        <w:t>Artículo 57</w:t>
      </w:r>
      <w:r w:rsidRPr="00906AFB">
        <w:rPr>
          <w:rFonts w:ascii="Arial" w:eastAsia="Calibri" w:hAnsi="Arial" w:cs="Arial"/>
          <w:sz w:val="24"/>
          <w:szCs w:val="24"/>
          <w:lang w:val="es-ES" w:eastAsia="en-US"/>
        </w:rPr>
        <w:t>. Las Dependencias del Ejecutivo sólo podrán modificar sus estructuras orgánicas y laborales aprobadas para el Ejercicio Fiscal 2017, previa autorización del Gobernador, y de conformidad con las normas aplicables, siempre que cuenten con los recursos presupuestarios suficientes.</w:t>
      </w:r>
    </w:p>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b/>
          <w:sz w:val="24"/>
          <w:szCs w:val="24"/>
          <w:lang w:val="es-ES" w:eastAsia="en-US"/>
        </w:rPr>
        <w:t>Artículo 58</w:t>
      </w:r>
      <w:r w:rsidRPr="00906AFB">
        <w:rPr>
          <w:rFonts w:ascii="Arial" w:eastAsia="Calibri" w:hAnsi="Arial" w:cs="Arial"/>
          <w:sz w:val="24"/>
          <w:szCs w:val="24"/>
          <w:lang w:val="es-ES" w:eastAsia="en-US"/>
        </w:rPr>
        <w:t xml:space="preserve">. La Secretaría podrá entregar adelantos de Participaciones a los Municipios, previa petición que, por escrito, haga el Presidente Municipal al </w:t>
      </w:r>
      <w:r w:rsidRPr="00906AFB">
        <w:rPr>
          <w:rFonts w:ascii="Arial" w:eastAsia="Calibri" w:hAnsi="Arial" w:cs="Arial"/>
          <w:sz w:val="24"/>
          <w:szCs w:val="24"/>
          <w:lang w:val="es-ES" w:eastAsia="en-US"/>
        </w:rPr>
        <w:lastRenderedPageBreak/>
        <w:t>Secretario de Planeación y Finanzas, siempre que el primero cuente con la aprobación del Ayuntamiento. También podrá hacerlo con respecto a las Entidades y Organismos Autónomos, a cuenta de las transferencias presupuestales que les correspondan, previa petición que, por escrito, presenten sus titulares al Secretario de Planeación y Finanzas.</w:t>
      </w:r>
    </w:p>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sz w:val="24"/>
          <w:szCs w:val="24"/>
          <w:lang w:val="es-ES" w:eastAsia="en-US"/>
        </w:rPr>
        <w:t>La Secretaría podrá autorizar o negar las peticiones a que se refiere el párrafo anterior, en función de la situación de las finanzas públicas del Gobierno del Estado y del resultado que arroje el análisis practicado a la capacidad financiera del Municipio, Entidad u Organismo solicitante.</w:t>
      </w:r>
    </w:p>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b/>
          <w:sz w:val="24"/>
          <w:szCs w:val="24"/>
          <w:lang w:val="es-ES" w:eastAsia="en-US"/>
        </w:rPr>
        <w:t>Artículo 59</w:t>
      </w:r>
      <w:r w:rsidRPr="00906AFB">
        <w:rPr>
          <w:rFonts w:ascii="Arial" w:eastAsia="Calibri" w:hAnsi="Arial" w:cs="Arial"/>
          <w:sz w:val="24"/>
          <w:szCs w:val="24"/>
          <w:lang w:val="es-ES" w:eastAsia="en-US"/>
        </w:rPr>
        <w:t xml:space="preserve">. Los viáticos y gastos de traslado para el personal adscrito a las Dependencias del Ejecutivo deberán ser autorizados por los titulares de las mismas, previa valoración y conveniencia de la comisión que motiva la necesidad de traslado y/o asistencia del o los servidores públicos, debiéndose ajustar al </w:t>
      </w:r>
      <w:r w:rsidRPr="00906AFB">
        <w:rPr>
          <w:rFonts w:ascii="Arial" w:eastAsia="Calibri" w:hAnsi="Arial" w:cs="Arial"/>
          <w:b/>
          <w:sz w:val="24"/>
          <w:szCs w:val="24"/>
          <w:lang w:val="es-ES" w:eastAsia="en-US"/>
        </w:rPr>
        <w:t>Tabulador de Viáticos y Pasajes del Poder Ejecutivo del Estado de Colima</w:t>
      </w:r>
      <w:r w:rsidRPr="00906AFB">
        <w:rPr>
          <w:rFonts w:ascii="Arial" w:eastAsia="Calibri" w:hAnsi="Arial" w:cs="Arial"/>
          <w:sz w:val="24"/>
          <w:szCs w:val="24"/>
          <w:lang w:val="es-ES" w:eastAsia="en-US"/>
        </w:rPr>
        <w:t xml:space="preserve">. </w:t>
      </w:r>
    </w:p>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Pr="00906AFB" w:rsidRDefault="00906AFB" w:rsidP="00906AFB">
      <w:pPr>
        <w:spacing w:after="0" w:line="240" w:lineRule="auto"/>
        <w:jc w:val="both"/>
        <w:rPr>
          <w:rFonts w:ascii="Arial" w:eastAsia="Calibri" w:hAnsi="Arial" w:cs="Arial"/>
          <w:b/>
          <w:bCs/>
          <w:color w:val="FF0000"/>
          <w:sz w:val="24"/>
          <w:szCs w:val="24"/>
          <w:lang w:val="es-ES" w:eastAsia="en-US"/>
        </w:rPr>
      </w:pPr>
      <w:r w:rsidRPr="00906AFB">
        <w:rPr>
          <w:rFonts w:ascii="Arial" w:eastAsia="Calibri" w:hAnsi="Arial" w:cs="Arial"/>
          <w:b/>
          <w:sz w:val="24"/>
          <w:szCs w:val="24"/>
          <w:lang w:val="es-ES" w:eastAsia="en-US"/>
        </w:rPr>
        <w:t>Artículo 60</w:t>
      </w:r>
      <w:r w:rsidRPr="00906AFB">
        <w:rPr>
          <w:rFonts w:ascii="Arial" w:eastAsia="Calibri" w:hAnsi="Arial" w:cs="Arial"/>
          <w:sz w:val="24"/>
          <w:szCs w:val="24"/>
          <w:lang w:val="es-ES" w:eastAsia="en-US"/>
        </w:rPr>
        <w:t xml:space="preserve">. Las Dependencias del Ejecutivo y Entidades del Estado deberán registrar ante la Secretaría, todas las operaciones que involucren compromisos financieros, los cuales sólo se podrán erogar si se encuentran autorizados en el Presupuesto de Egresos. </w:t>
      </w:r>
    </w:p>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b/>
          <w:sz w:val="24"/>
          <w:szCs w:val="24"/>
          <w:lang w:val="es-ES" w:eastAsia="en-US"/>
        </w:rPr>
        <w:t>Artículo 61</w:t>
      </w:r>
      <w:r w:rsidRPr="00906AFB">
        <w:rPr>
          <w:rFonts w:ascii="Arial" w:eastAsia="Calibri" w:hAnsi="Arial" w:cs="Arial"/>
          <w:sz w:val="24"/>
          <w:szCs w:val="24"/>
          <w:lang w:val="es-ES" w:eastAsia="en-US"/>
        </w:rPr>
        <w:t xml:space="preserve">. En apego a lo establecido en los artículos 43, 44 y 45 de la Ley Orgánica de la Administración Pública del Estado de Colima; sólo con autorización del titular del Poder Ejecutivo, emitida por conducto de la Secretaría, se podrán constituir fideicomisos, modificarlos o disolverlos. </w:t>
      </w:r>
    </w:p>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sz w:val="24"/>
          <w:szCs w:val="24"/>
          <w:lang w:val="es-ES" w:eastAsia="en-US"/>
        </w:rPr>
        <w:t>El Titular del Poder Ejecutivo autorizará, por conducto de la Secretaría, la participación del Estado en las empresas, sociedades y asociaciones civiles o mercantiles y fideicomisos que no tengan carácter paraestatal, ya sea en su creación, para aumentar su capital o patrimonio o adquiriendo todo o parte de éstas.</w:t>
      </w:r>
    </w:p>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Pr="00906AFB" w:rsidRDefault="00906AFB" w:rsidP="00906AFB">
      <w:pPr>
        <w:spacing w:after="0" w:line="240" w:lineRule="auto"/>
        <w:jc w:val="both"/>
        <w:rPr>
          <w:rFonts w:ascii="Arial" w:eastAsia="Calibri" w:hAnsi="Arial" w:cs="Arial"/>
          <w:color w:val="FF0000"/>
          <w:sz w:val="24"/>
          <w:szCs w:val="24"/>
          <w:lang w:val="es-ES" w:eastAsia="en-US"/>
        </w:rPr>
      </w:pPr>
      <w:r w:rsidRPr="00906AFB">
        <w:rPr>
          <w:rFonts w:ascii="Arial" w:eastAsia="Calibri" w:hAnsi="Arial" w:cs="Arial"/>
          <w:b/>
          <w:sz w:val="24"/>
          <w:szCs w:val="24"/>
          <w:lang w:val="es-ES" w:eastAsia="en-US"/>
        </w:rPr>
        <w:t>Artículo 62</w:t>
      </w:r>
      <w:r w:rsidRPr="00906AFB">
        <w:rPr>
          <w:rFonts w:ascii="Arial" w:eastAsia="Calibri" w:hAnsi="Arial" w:cs="Arial"/>
          <w:sz w:val="24"/>
          <w:szCs w:val="24"/>
          <w:lang w:val="es-ES" w:eastAsia="en-US"/>
        </w:rPr>
        <w:t>. Tratándose de recursos federales cuyo destino sea su transmisión al patrimonio fideicomitido, el procedimiento respectivo se realizará por conducto de la Secretaría, en apego a lo dispuesto por 43, 44 y 45 de la Ley Orgánica de la Administración Pública del Estado de Colima.</w:t>
      </w:r>
    </w:p>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b/>
          <w:sz w:val="24"/>
          <w:szCs w:val="24"/>
          <w:lang w:val="es-ES" w:eastAsia="en-US"/>
        </w:rPr>
        <w:t>Artículo 63</w:t>
      </w:r>
      <w:r w:rsidRPr="00906AFB">
        <w:rPr>
          <w:rFonts w:ascii="Arial" w:eastAsia="Calibri" w:hAnsi="Arial" w:cs="Arial"/>
          <w:sz w:val="24"/>
          <w:szCs w:val="24"/>
          <w:lang w:val="es-ES" w:eastAsia="en-US"/>
        </w:rPr>
        <w:t xml:space="preserve">. En aquellos fideicomisos en los que se involucren recursos públicos estatales, se deberá establecer una subcuenta específica, con el objeto de diferenciarlos del resto de las demás aportaciones. La Secretaría llevará el registro y control de los fideicomisos en los que participe el Gobierno del Estado. </w:t>
      </w:r>
    </w:p>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sz w:val="24"/>
          <w:szCs w:val="24"/>
          <w:lang w:val="es-ES" w:eastAsia="en-US"/>
        </w:rPr>
        <w:t>Los fideicomisos, a través de su Comité Técnico, deberán informar trimestralmente a la Secretaría, dentro de los treinta días siguientes a cada trimestre, el saldo de la subcuenta a que se refiere el párrafo anterior. Adicionalmente, la Secretaría podrá solicitarles con la periodicidad que determine y bajo el plazo que establezca, la información jurídica, patrimonial o financiera que requiera, en los términos y condiciones de las disposiciones aplicables.</w:t>
      </w:r>
    </w:p>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sz w:val="24"/>
          <w:szCs w:val="24"/>
          <w:lang w:val="es-ES" w:eastAsia="en-US"/>
        </w:rPr>
        <w:t xml:space="preserve">En los contratos respectivos deberá pactarse expresamente tal previsión. </w:t>
      </w:r>
    </w:p>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sz w:val="24"/>
          <w:szCs w:val="24"/>
          <w:lang w:val="es-ES" w:eastAsia="en-US"/>
        </w:rPr>
        <w:t>En caso de que exista compromiso del municipio, o de los particulares con el Gobierno Estatal para otorgar sumas de recursos al patrimonio del fideicomiso y aquéllos incumplan con la aportación de dichos recursos, con las reglas de operación del fideicomiso o del Programa presupuestario correspondiente, el Gobierno Estatal, por conducto de la Dependencia o Entidad que coordine la operación del fideicomiso, podrá suspender las aportaciones subsecuentes.</w:t>
      </w:r>
    </w:p>
    <w:p w:rsidR="00FD430F" w:rsidRPr="00906AFB" w:rsidRDefault="00FD430F" w:rsidP="00906AFB">
      <w:pPr>
        <w:spacing w:after="0" w:line="240" w:lineRule="auto"/>
        <w:jc w:val="both"/>
        <w:rPr>
          <w:rFonts w:ascii="Arial" w:eastAsia="Calibri" w:hAnsi="Arial" w:cs="Arial"/>
          <w:sz w:val="24"/>
          <w:szCs w:val="24"/>
          <w:lang w:val="es-ES" w:eastAsia="en-US"/>
        </w:rPr>
      </w:pPr>
    </w:p>
    <w:p w:rsidR="00906AFB" w:rsidRPr="00906AFB" w:rsidRDefault="00906AFB" w:rsidP="00906AFB">
      <w:pPr>
        <w:spacing w:after="0" w:line="240" w:lineRule="auto"/>
        <w:jc w:val="both"/>
        <w:rPr>
          <w:rFonts w:ascii="Arial" w:eastAsia="Calibri" w:hAnsi="Arial" w:cs="Arial"/>
          <w:color w:val="FF0000"/>
          <w:sz w:val="24"/>
          <w:szCs w:val="24"/>
          <w:lang w:val="es-ES" w:eastAsia="en-US"/>
        </w:rPr>
      </w:pPr>
      <w:r w:rsidRPr="00906AFB">
        <w:rPr>
          <w:rFonts w:ascii="Arial" w:eastAsia="Calibri" w:hAnsi="Arial" w:cs="Arial"/>
          <w:b/>
          <w:sz w:val="24"/>
          <w:szCs w:val="24"/>
          <w:lang w:val="es-ES" w:eastAsia="en-US"/>
        </w:rPr>
        <w:t>Artículo 64</w:t>
      </w:r>
      <w:r w:rsidRPr="00906AFB">
        <w:rPr>
          <w:rFonts w:ascii="Arial" w:eastAsia="Calibri" w:hAnsi="Arial" w:cs="Arial"/>
          <w:sz w:val="24"/>
          <w:szCs w:val="24"/>
          <w:lang w:val="es-ES" w:eastAsia="en-US"/>
        </w:rPr>
        <w:t>. Se prohíbe la celebración de fideicomisos, mandatos o contratos análogos, que tengan como propósito eludir la anualidad de este Presupuesto.</w:t>
      </w:r>
      <w:r w:rsidRPr="00906AFB">
        <w:rPr>
          <w:rFonts w:ascii="Arial" w:eastAsia="Calibri" w:hAnsi="Arial" w:cs="Arial"/>
          <w:color w:val="FF0000"/>
          <w:sz w:val="24"/>
          <w:szCs w:val="24"/>
          <w:lang w:val="es-ES" w:eastAsia="en-US"/>
        </w:rPr>
        <w:t xml:space="preserve"> </w:t>
      </w:r>
    </w:p>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b/>
          <w:sz w:val="24"/>
          <w:szCs w:val="24"/>
          <w:lang w:val="es-ES" w:eastAsia="en-US"/>
        </w:rPr>
        <w:t>Artículo 65</w:t>
      </w:r>
      <w:r w:rsidRPr="00906AFB">
        <w:rPr>
          <w:rFonts w:ascii="Arial" w:eastAsia="Calibri" w:hAnsi="Arial" w:cs="Arial"/>
          <w:sz w:val="24"/>
          <w:szCs w:val="24"/>
          <w:lang w:val="es-ES" w:eastAsia="en-US"/>
        </w:rPr>
        <w:t>. El Titular del Poder Ejecutivo, por conducto de la Secretaría, autorizará la ministración, reducción, suspensión y en su caso, terminación de las transferencias y subsidios que se prevén en el presente Decreto.</w:t>
      </w:r>
    </w:p>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b/>
          <w:sz w:val="24"/>
          <w:szCs w:val="24"/>
          <w:lang w:val="es-ES" w:eastAsia="en-US"/>
        </w:rPr>
        <w:t>Artículo 66</w:t>
      </w:r>
      <w:r w:rsidRPr="00906AFB">
        <w:rPr>
          <w:rFonts w:ascii="Arial" w:eastAsia="Calibri" w:hAnsi="Arial" w:cs="Arial"/>
          <w:sz w:val="24"/>
          <w:szCs w:val="24"/>
          <w:lang w:val="es-ES" w:eastAsia="en-US"/>
        </w:rPr>
        <w:t>. Los Titulares de las Dependencias del Ejecutivo, Entidades del Estado y Organismos Autónomos a los que se autorice la asignación de transferencias y subsidios con cargo al Presupuesto, serán responsables de su correcta aplicación conforme a lo establecido en este Presupuesto y las demás disposiciones aplicables.</w:t>
      </w:r>
    </w:p>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b/>
          <w:sz w:val="24"/>
          <w:szCs w:val="24"/>
          <w:lang w:val="es-ES" w:eastAsia="en-US"/>
        </w:rPr>
        <w:t>Artículo 67</w:t>
      </w:r>
      <w:r w:rsidRPr="00906AFB">
        <w:rPr>
          <w:rFonts w:ascii="Arial" w:eastAsia="Calibri" w:hAnsi="Arial" w:cs="Arial"/>
          <w:sz w:val="24"/>
          <w:szCs w:val="24"/>
          <w:lang w:val="es-ES" w:eastAsia="en-US"/>
        </w:rPr>
        <w:t xml:space="preserve">. La Secretaría podrá emitir durante el ejercicio fiscal, disposiciones sobre la operación, evaluación y ejercicio del gasto relacionado con el otorgamiento y aplicación de las transferencias y subsidios, así como de las </w:t>
      </w:r>
      <w:r w:rsidR="00E22E97" w:rsidRPr="00906AFB">
        <w:rPr>
          <w:rFonts w:ascii="Arial" w:eastAsia="Calibri" w:hAnsi="Arial" w:cs="Arial"/>
          <w:sz w:val="24"/>
          <w:szCs w:val="24"/>
          <w:lang w:val="es-ES" w:eastAsia="en-US"/>
        </w:rPr>
        <w:t>economías presupuestarias</w:t>
      </w:r>
      <w:r w:rsidRPr="00906AFB">
        <w:rPr>
          <w:rFonts w:ascii="Arial" w:eastAsia="Calibri" w:hAnsi="Arial" w:cs="Arial"/>
          <w:sz w:val="24"/>
          <w:szCs w:val="24"/>
          <w:lang w:val="es-ES" w:eastAsia="en-US"/>
        </w:rPr>
        <w:t xml:space="preserve">. </w:t>
      </w:r>
    </w:p>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b/>
          <w:sz w:val="24"/>
          <w:szCs w:val="24"/>
          <w:lang w:val="es-ES" w:eastAsia="en-US"/>
        </w:rPr>
        <w:t>Artículo 68</w:t>
      </w:r>
      <w:r w:rsidRPr="00906AFB">
        <w:rPr>
          <w:rFonts w:ascii="Arial" w:eastAsia="Calibri" w:hAnsi="Arial" w:cs="Arial"/>
          <w:sz w:val="24"/>
          <w:szCs w:val="24"/>
          <w:lang w:val="es-ES" w:eastAsia="en-US"/>
        </w:rPr>
        <w:t>. Las erogaciones por concepto de transferencias y subsidios con cargo al Presupuesto, se sujetarán a los objetivos y las metas de los Programas presupuestarios que realizan las entidades y a las necesidades de planeación y administración financiera del Gobierno del Estado, apegándose además a los siguientes criterios:</w:t>
      </w:r>
    </w:p>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Pr="00906AFB" w:rsidRDefault="00906AFB" w:rsidP="00F859A4">
      <w:pPr>
        <w:numPr>
          <w:ilvl w:val="0"/>
          <w:numId w:val="14"/>
        </w:numPr>
        <w:spacing w:before="120" w:after="0" w:line="240" w:lineRule="auto"/>
        <w:ind w:hanging="720"/>
        <w:contextualSpacing/>
        <w:jc w:val="both"/>
        <w:rPr>
          <w:rFonts w:ascii="Arial" w:eastAsia="Times New Roman" w:hAnsi="Arial" w:cs="Arial"/>
          <w:sz w:val="24"/>
          <w:szCs w:val="24"/>
        </w:rPr>
      </w:pPr>
      <w:r w:rsidRPr="00906AFB">
        <w:rPr>
          <w:rFonts w:ascii="Arial" w:eastAsia="Times New Roman" w:hAnsi="Arial" w:cs="Arial"/>
          <w:sz w:val="24"/>
          <w:szCs w:val="24"/>
        </w:rPr>
        <w:lastRenderedPageBreak/>
        <w:t>Se requerirá la autorización previa y por escrito de la Secretaría para otorgar transferencias que pretendan destinarse a inversiones financieras; y</w:t>
      </w:r>
    </w:p>
    <w:p w:rsidR="00906AFB" w:rsidRPr="00906AFB" w:rsidRDefault="00906AFB" w:rsidP="00906AFB">
      <w:pPr>
        <w:spacing w:after="0" w:line="240" w:lineRule="auto"/>
        <w:ind w:left="720" w:hanging="720"/>
        <w:contextualSpacing/>
        <w:jc w:val="both"/>
        <w:rPr>
          <w:rFonts w:ascii="Arial" w:eastAsia="Times New Roman" w:hAnsi="Arial" w:cs="Arial"/>
          <w:sz w:val="24"/>
          <w:szCs w:val="24"/>
        </w:rPr>
      </w:pPr>
    </w:p>
    <w:p w:rsidR="00906AFB" w:rsidRPr="00906AFB" w:rsidRDefault="00906AFB" w:rsidP="00F859A4">
      <w:pPr>
        <w:numPr>
          <w:ilvl w:val="0"/>
          <w:numId w:val="14"/>
        </w:numPr>
        <w:spacing w:before="120" w:after="0" w:line="240" w:lineRule="auto"/>
        <w:ind w:hanging="720"/>
        <w:contextualSpacing/>
        <w:jc w:val="both"/>
        <w:rPr>
          <w:rFonts w:ascii="Arial" w:eastAsia="Times New Roman" w:hAnsi="Arial" w:cs="Arial"/>
          <w:sz w:val="24"/>
          <w:szCs w:val="24"/>
        </w:rPr>
      </w:pPr>
      <w:r w:rsidRPr="00906AFB">
        <w:rPr>
          <w:rFonts w:ascii="Arial" w:eastAsia="Times New Roman" w:hAnsi="Arial" w:cs="Arial"/>
          <w:sz w:val="24"/>
          <w:szCs w:val="24"/>
        </w:rPr>
        <w:t>Se considerarán preferenciales las transferencias destinadas a las Dependencias del Ejecutivo y Entidades del Estado cuya función esté orientada a: la prestación de servicios educativos, al desarrollo social y a la formación de capital en las ramas y sectores básicos de la economía, la promoción del desarrollo de la ciencia y la tecnología.</w:t>
      </w:r>
    </w:p>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b/>
          <w:sz w:val="24"/>
          <w:szCs w:val="24"/>
          <w:lang w:val="es-ES" w:eastAsia="en-US"/>
        </w:rPr>
        <w:t>Artículo 69</w:t>
      </w:r>
      <w:r w:rsidRPr="00906AFB">
        <w:rPr>
          <w:rFonts w:ascii="Arial" w:eastAsia="Calibri" w:hAnsi="Arial" w:cs="Arial"/>
          <w:sz w:val="24"/>
          <w:szCs w:val="24"/>
          <w:lang w:val="es-ES" w:eastAsia="en-US"/>
        </w:rPr>
        <w:t>. En el ejercicio del Presupuesto de Egresos, las Dependencias del Ejecutivo y Entidades del Estado se sujetarán a la calendarización que determine y les dé a conocer la Secretaría, la cual será congruente con los flujos de ingresos. Asimismo, las Dependencias del Ejecutivo y Entidades del Estado proporcionarán a dicha Secretaría, la información presupuestal y financiera que ésta les requiera, de conformidad con las disposiciones en vigor.</w:t>
      </w:r>
    </w:p>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b/>
          <w:sz w:val="24"/>
          <w:szCs w:val="24"/>
          <w:lang w:val="es-ES" w:eastAsia="en-US"/>
        </w:rPr>
        <w:t>Artículo 70</w:t>
      </w:r>
      <w:r w:rsidRPr="00906AFB">
        <w:rPr>
          <w:rFonts w:ascii="Arial" w:eastAsia="Calibri" w:hAnsi="Arial" w:cs="Arial"/>
          <w:sz w:val="24"/>
          <w:szCs w:val="24"/>
          <w:lang w:val="es-ES" w:eastAsia="en-US"/>
        </w:rPr>
        <w:t xml:space="preserve">. El Poder Legislativo, el Poder Judicial, los Organismos Autónomos, así como las Dependencias del Ejecutivo y Entidades del Estado deberán sujetarse a los montos autorizados, y observar los criterios señalados en los artículos 54, 55, 56 y 57 del presente Decreto; por consiguiente, no deberán adquirir compromisos distintos a los estipulados en el Presupuesto Aprobado. </w:t>
      </w:r>
    </w:p>
    <w:p w:rsidR="00906AFB" w:rsidRPr="00906AFB" w:rsidRDefault="00906AFB" w:rsidP="00906AFB">
      <w:pPr>
        <w:spacing w:after="0" w:line="240" w:lineRule="auto"/>
        <w:jc w:val="both"/>
        <w:rPr>
          <w:rFonts w:ascii="Arial" w:eastAsia="Calibri" w:hAnsi="Arial" w:cs="Arial"/>
          <w:b/>
          <w:sz w:val="24"/>
          <w:szCs w:val="24"/>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b/>
          <w:sz w:val="24"/>
          <w:szCs w:val="24"/>
          <w:lang w:val="es-ES" w:eastAsia="en-US"/>
        </w:rPr>
        <w:t>Artículo 71</w:t>
      </w:r>
      <w:r w:rsidRPr="00906AFB">
        <w:rPr>
          <w:rFonts w:ascii="Arial" w:eastAsia="Calibri" w:hAnsi="Arial" w:cs="Arial"/>
          <w:sz w:val="24"/>
          <w:szCs w:val="24"/>
          <w:lang w:val="es-ES" w:eastAsia="en-US"/>
        </w:rPr>
        <w:t>. En apego a lo estipulado en la Ley Estatal de Obras Públicas, los montos máximos de contratación de obra pública serán los siguientes:</w:t>
      </w:r>
    </w:p>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Pr="00906AFB" w:rsidRDefault="00723C49" w:rsidP="00906AFB">
      <w:pPr>
        <w:keepNext/>
        <w:keepLines/>
        <w:spacing w:after="0" w:line="240" w:lineRule="auto"/>
        <w:jc w:val="center"/>
        <w:outlineLvl w:val="1"/>
        <w:rPr>
          <w:rFonts w:ascii="Arial" w:eastAsia="Times New Roman" w:hAnsi="Arial" w:cs="Times New Roman"/>
          <w:b/>
          <w:sz w:val="20"/>
          <w:szCs w:val="26"/>
          <w:lang w:val="es-ES" w:eastAsia="en-US"/>
        </w:rPr>
      </w:pPr>
      <w:r>
        <w:rPr>
          <w:rFonts w:ascii="Arial" w:eastAsia="Times New Roman" w:hAnsi="Arial" w:cs="Times New Roman"/>
          <w:b/>
          <w:sz w:val="20"/>
          <w:szCs w:val="26"/>
          <w:lang w:val="es-ES" w:eastAsia="en-US"/>
        </w:rPr>
        <w:t xml:space="preserve">Tabla </w:t>
      </w:r>
      <w:r w:rsidR="00CF4172">
        <w:rPr>
          <w:rFonts w:ascii="Arial" w:eastAsia="Times New Roman" w:hAnsi="Arial" w:cs="Times New Roman"/>
          <w:b/>
          <w:sz w:val="20"/>
          <w:szCs w:val="26"/>
          <w:lang w:val="es-ES" w:eastAsia="en-US"/>
        </w:rPr>
        <w:t>56</w:t>
      </w:r>
      <w:r w:rsidR="00906AFB" w:rsidRPr="00906AFB">
        <w:rPr>
          <w:rFonts w:ascii="Arial" w:eastAsia="Times New Roman" w:hAnsi="Arial" w:cs="Times New Roman"/>
          <w:b/>
          <w:sz w:val="20"/>
          <w:szCs w:val="26"/>
          <w:lang w:val="es-ES" w:eastAsia="en-US"/>
        </w:rPr>
        <w:t>. Montos Máximos de Contratación de Obra Pública</w:t>
      </w:r>
    </w:p>
    <w:tbl>
      <w:tblPr>
        <w:tblStyle w:val="Tablaconcuadrcula2"/>
        <w:tblW w:w="0" w:type="auto"/>
        <w:jc w:val="center"/>
        <w:tblInd w:w="0" w:type="dxa"/>
        <w:tblLook w:val="04A0" w:firstRow="1" w:lastRow="0" w:firstColumn="1" w:lastColumn="0" w:noHBand="0" w:noVBand="1"/>
      </w:tblPr>
      <w:tblGrid>
        <w:gridCol w:w="2349"/>
        <w:gridCol w:w="1337"/>
        <w:gridCol w:w="1275"/>
        <w:gridCol w:w="1418"/>
        <w:gridCol w:w="1559"/>
      </w:tblGrid>
      <w:tr w:rsidR="00906AFB" w:rsidRPr="00906AFB" w:rsidTr="00906AFB">
        <w:trPr>
          <w:trHeight w:val="283"/>
          <w:jc w:val="center"/>
        </w:trPr>
        <w:tc>
          <w:tcPr>
            <w:tcW w:w="2349" w:type="dxa"/>
            <w:vMerge w:val="restart"/>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bCs/>
                <w:sz w:val="18"/>
              </w:rPr>
            </w:pPr>
            <w:r w:rsidRPr="00906AFB">
              <w:rPr>
                <w:rFonts w:ascii="Arial" w:hAnsi="Arial" w:cs="Arial"/>
                <w:b/>
                <w:sz w:val="18"/>
              </w:rPr>
              <w:t xml:space="preserve"> </w:t>
            </w:r>
            <w:r w:rsidRPr="00906AFB">
              <w:rPr>
                <w:rFonts w:ascii="Arial" w:hAnsi="Arial" w:cs="Arial"/>
                <w:b/>
                <w:bCs/>
                <w:sz w:val="18"/>
              </w:rPr>
              <w:t>Modalidad de Contratación</w:t>
            </w:r>
          </w:p>
        </w:tc>
        <w:tc>
          <w:tcPr>
            <w:tcW w:w="2612" w:type="dxa"/>
            <w:gridSpan w:val="2"/>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bCs/>
                <w:sz w:val="18"/>
              </w:rPr>
            </w:pPr>
            <w:r w:rsidRPr="00906AFB">
              <w:rPr>
                <w:rFonts w:ascii="Arial" w:hAnsi="Arial" w:cs="Arial"/>
                <w:b/>
                <w:bCs/>
                <w:sz w:val="18"/>
              </w:rPr>
              <w:t>Unidades de Medida y Actualización</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bCs/>
                <w:sz w:val="18"/>
              </w:rPr>
            </w:pPr>
            <w:r w:rsidRPr="00906AFB">
              <w:rPr>
                <w:rFonts w:ascii="Arial" w:hAnsi="Arial" w:cs="Arial"/>
                <w:b/>
                <w:bCs/>
                <w:sz w:val="18"/>
              </w:rPr>
              <w:t>Pesos</w:t>
            </w:r>
          </w:p>
        </w:tc>
      </w:tr>
      <w:tr w:rsidR="00906AFB" w:rsidRPr="00906AFB" w:rsidTr="00906AFB">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b/>
                <w:bCs/>
                <w:sz w:val="18"/>
              </w:rPr>
            </w:pPr>
          </w:p>
        </w:tc>
        <w:tc>
          <w:tcPr>
            <w:tcW w:w="133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bCs/>
                <w:sz w:val="18"/>
              </w:rPr>
            </w:pPr>
            <w:r w:rsidRPr="00906AFB">
              <w:rPr>
                <w:rFonts w:ascii="Arial" w:hAnsi="Arial" w:cs="Arial"/>
                <w:b/>
                <w:bCs/>
                <w:sz w:val="18"/>
              </w:rPr>
              <w:t>De</w:t>
            </w:r>
          </w:p>
        </w:tc>
        <w:tc>
          <w:tcPr>
            <w:tcW w:w="1275"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bCs/>
                <w:sz w:val="18"/>
              </w:rPr>
            </w:pPr>
            <w:r w:rsidRPr="00906AFB">
              <w:rPr>
                <w:rFonts w:ascii="Arial" w:hAnsi="Arial" w:cs="Arial"/>
                <w:b/>
                <w:bCs/>
                <w:sz w:val="18"/>
              </w:rPr>
              <w:t>Hasta</w:t>
            </w:r>
          </w:p>
        </w:tc>
        <w:tc>
          <w:tcPr>
            <w:tcW w:w="141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bCs/>
                <w:sz w:val="18"/>
              </w:rPr>
            </w:pPr>
            <w:r w:rsidRPr="00906AFB">
              <w:rPr>
                <w:rFonts w:ascii="Arial" w:hAnsi="Arial" w:cs="Arial"/>
                <w:b/>
                <w:bCs/>
                <w:sz w:val="18"/>
              </w:rPr>
              <w:t>De</w:t>
            </w:r>
          </w:p>
        </w:tc>
        <w:tc>
          <w:tcPr>
            <w:tcW w:w="1559"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bCs/>
                <w:sz w:val="18"/>
              </w:rPr>
            </w:pPr>
            <w:r w:rsidRPr="00906AFB">
              <w:rPr>
                <w:rFonts w:ascii="Arial" w:hAnsi="Arial" w:cs="Arial"/>
                <w:b/>
                <w:bCs/>
                <w:sz w:val="18"/>
              </w:rPr>
              <w:t>Hasta</w:t>
            </w:r>
          </w:p>
        </w:tc>
      </w:tr>
      <w:tr w:rsidR="00906AFB" w:rsidRPr="00906AFB" w:rsidTr="00906AFB">
        <w:trPr>
          <w:trHeight w:val="283"/>
          <w:jc w:val="center"/>
        </w:trPr>
        <w:tc>
          <w:tcPr>
            <w:tcW w:w="2349"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bCs/>
                <w:sz w:val="18"/>
              </w:rPr>
            </w:pPr>
            <w:r w:rsidRPr="00906AFB">
              <w:rPr>
                <w:rFonts w:ascii="Arial" w:hAnsi="Arial" w:cs="Arial"/>
                <w:bCs/>
                <w:sz w:val="18"/>
              </w:rPr>
              <w:t>Adjudicación Directa</w:t>
            </w:r>
          </w:p>
        </w:tc>
        <w:tc>
          <w:tcPr>
            <w:tcW w:w="133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8"/>
              </w:rPr>
            </w:pPr>
            <w:r w:rsidRPr="00906AFB">
              <w:rPr>
                <w:rFonts w:ascii="Arial" w:hAnsi="Arial" w:cs="Arial"/>
                <w:sz w:val="18"/>
              </w:rPr>
              <w:t>0.00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8"/>
              </w:rPr>
            </w:pPr>
            <w:r w:rsidRPr="00906AFB">
              <w:rPr>
                <w:rFonts w:ascii="Arial" w:hAnsi="Arial" w:cs="Arial"/>
                <w:sz w:val="18"/>
              </w:rPr>
              <w:t>10,000.00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8"/>
              </w:rPr>
            </w:pPr>
            <w:r w:rsidRPr="00906AFB">
              <w:rPr>
                <w:rFonts w:ascii="Arial" w:hAnsi="Arial" w:cs="Arial"/>
                <w:sz w:val="18"/>
              </w:rPr>
              <w:t>0.00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8"/>
              </w:rPr>
            </w:pPr>
            <w:r w:rsidRPr="00906AFB">
              <w:rPr>
                <w:rFonts w:ascii="Arial" w:hAnsi="Arial" w:cs="Arial"/>
                <w:sz w:val="18"/>
              </w:rPr>
              <w:t>730,400.00</w:t>
            </w:r>
          </w:p>
        </w:tc>
      </w:tr>
      <w:tr w:rsidR="00906AFB" w:rsidRPr="00906AFB" w:rsidTr="00906AFB">
        <w:trPr>
          <w:trHeight w:val="283"/>
          <w:jc w:val="center"/>
        </w:trPr>
        <w:tc>
          <w:tcPr>
            <w:tcW w:w="2349"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bCs/>
                <w:sz w:val="18"/>
              </w:rPr>
            </w:pPr>
            <w:r w:rsidRPr="00906AFB">
              <w:rPr>
                <w:rFonts w:ascii="Arial" w:hAnsi="Arial" w:cs="Arial"/>
                <w:bCs/>
                <w:sz w:val="18"/>
              </w:rPr>
              <w:t>Invitación a cuando menos tres personas</w:t>
            </w:r>
          </w:p>
        </w:tc>
        <w:tc>
          <w:tcPr>
            <w:tcW w:w="1337"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8"/>
              </w:rPr>
            </w:pPr>
            <w:r w:rsidRPr="00906AFB">
              <w:rPr>
                <w:rFonts w:ascii="Arial" w:hAnsi="Arial" w:cs="Arial"/>
                <w:sz w:val="18"/>
              </w:rPr>
              <w:t>10,000.00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8"/>
              </w:rPr>
            </w:pPr>
            <w:r w:rsidRPr="00906AFB">
              <w:rPr>
                <w:rFonts w:ascii="Arial" w:hAnsi="Arial" w:cs="Arial"/>
                <w:sz w:val="18"/>
              </w:rPr>
              <w:t>20,000.00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8"/>
              </w:rPr>
            </w:pPr>
            <w:r w:rsidRPr="00906AFB">
              <w:rPr>
                <w:rFonts w:ascii="Arial" w:hAnsi="Arial" w:cs="Arial"/>
                <w:sz w:val="18"/>
              </w:rPr>
              <w:t>730,400.00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8"/>
              </w:rPr>
            </w:pPr>
            <w:r w:rsidRPr="00906AFB">
              <w:rPr>
                <w:rFonts w:ascii="Arial" w:hAnsi="Arial" w:cs="Arial"/>
                <w:sz w:val="18"/>
              </w:rPr>
              <w:t>1,460,800.00</w:t>
            </w:r>
          </w:p>
        </w:tc>
      </w:tr>
      <w:tr w:rsidR="00906AFB" w:rsidRPr="00906AFB" w:rsidTr="00906AFB">
        <w:trPr>
          <w:trHeight w:val="283"/>
          <w:jc w:val="center"/>
        </w:trPr>
        <w:tc>
          <w:tcPr>
            <w:tcW w:w="2349"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bCs/>
                <w:sz w:val="18"/>
              </w:rPr>
            </w:pPr>
            <w:r w:rsidRPr="00906AFB">
              <w:rPr>
                <w:rFonts w:ascii="Arial" w:hAnsi="Arial" w:cs="Arial"/>
                <w:bCs/>
                <w:sz w:val="18"/>
              </w:rPr>
              <w:t>Licitación Pública</w:t>
            </w:r>
          </w:p>
        </w:tc>
        <w:tc>
          <w:tcPr>
            <w:tcW w:w="2612" w:type="dxa"/>
            <w:gridSpan w:val="2"/>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sz w:val="18"/>
              </w:rPr>
            </w:pPr>
            <w:r w:rsidRPr="00906AFB">
              <w:rPr>
                <w:rFonts w:ascii="Arial" w:hAnsi="Arial" w:cs="Arial"/>
                <w:sz w:val="18"/>
              </w:rPr>
              <w:t>Mayor a 20,000.00</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sz w:val="18"/>
              </w:rPr>
            </w:pPr>
            <w:r w:rsidRPr="00906AFB">
              <w:rPr>
                <w:rFonts w:ascii="Arial" w:hAnsi="Arial" w:cs="Arial"/>
                <w:sz w:val="18"/>
              </w:rPr>
              <w:t>Mayor a 1,460,800,00</w:t>
            </w:r>
          </w:p>
        </w:tc>
      </w:tr>
    </w:tbl>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sz w:val="24"/>
          <w:szCs w:val="24"/>
          <w:lang w:val="es-ES" w:eastAsia="en-US"/>
        </w:rPr>
        <w:t>Los montos anteriormente citados serán sin considerar el Impuesto al Valor Agregado.</w:t>
      </w:r>
    </w:p>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sz w:val="24"/>
          <w:szCs w:val="24"/>
          <w:lang w:val="es-ES" w:eastAsia="en-US"/>
        </w:rPr>
        <w:t>Cuando se ejecuten programas en los que se ejerzan asignaciones presupuestales federales, se deberán apegar a la normatividad aplicable o a la que se pacte en los Acuerdos o Convenios respectivos.</w:t>
      </w:r>
    </w:p>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sz w:val="24"/>
          <w:szCs w:val="24"/>
          <w:lang w:val="es-ES" w:eastAsia="en-US"/>
        </w:rPr>
        <w:lastRenderedPageBreak/>
        <w:t>Cuando se aplique la normatividad federal en la contratación de obra pública o servicios relacionados con la misma, financiados con cargo a recursos federales convenidos, se estará al rango que determine dicha normativa, conforme al monto de los recursos recibidos en su totalidad por el Estado.</w:t>
      </w:r>
    </w:p>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b/>
          <w:sz w:val="24"/>
          <w:szCs w:val="24"/>
          <w:lang w:val="es-ES" w:eastAsia="en-US"/>
        </w:rPr>
        <w:t>Artículo 72</w:t>
      </w:r>
      <w:r w:rsidRPr="00906AFB">
        <w:rPr>
          <w:rFonts w:ascii="Arial" w:eastAsia="Calibri" w:hAnsi="Arial" w:cs="Arial"/>
          <w:sz w:val="24"/>
          <w:szCs w:val="24"/>
          <w:lang w:val="es-ES" w:eastAsia="en-US"/>
        </w:rPr>
        <w:t xml:space="preserve">. En apego a lo establecido en el artículo 20, de la </w:t>
      </w:r>
      <w:r w:rsidRPr="00906AFB">
        <w:rPr>
          <w:rFonts w:ascii="Arial" w:eastAsia="Calibri" w:hAnsi="Arial" w:cs="Arial"/>
          <w:sz w:val="24"/>
          <w:szCs w:val="24"/>
          <w:lang w:eastAsia="en-US"/>
        </w:rPr>
        <w:t>Ley de Adquisiciones, Arrendamientos y Servicios del Sector Público del Estado de Colima</w:t>
      </w:r>
      <w:r w:rsidRPr="00906AFB">
        <w:rPr>
          <w:rFonts w:ascii="Arial" w:eastAsia="Calibri" w:hAnsi="Arial" w:cs="Arial"/>
          <w:sz w:val="24"/>
          <w:szCs w:val="24"/>
          <w:lang w:val="es-ES" w:eastAsia="en-US"/>
        </w:rPr>
        <w:t xml:space="preserve">, la planeación, programación, presupuestación y el gasto de las adquisiciones, arrendamientos y servicios se sujetará a las disposiciones específicas del Presupuesto de Egresos que corresponda a cada ente gubernamental, así como a lo previsto en la </w:t>
      </w:r>
      <w:r w:rsidRPr="00906AFB">
        <w:rPr>
          <w:rFonts w:ascii="Arial" w:eastAsia="Calibri" w:hAnsi="Arial" w:cs="Arial"/>
          <w:sz w:val="24"/>
          <w:szCs w:val="24"/>
          <w:lang w:eastAsia="en-US"/>
        </w:rPr>
        <w:t>Ley de Presupuesto</w:t>
      </w:r>
      <w:r w:rsidRPr="00906AFB">
        <w:rPr>
          <w:rFonts w:ascii="Arial" w:eastAsia="Calibri" w:hAnsi="Arial" w:cs="Arial"/>
          <w:sz w:val="24"/>
          <w:szCs w:val="24"/>
          <w:lang w:val="es-ES" w:eastAsia="en-US"/>
        </w:rPr>
        <w:t>, la Ley de Disciplina Financiera, y demás disposiciones aplicables.</w:t>
      </w:r>
    </w:p>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b/>
          <w:sz w:val="24"/>
          <w:szCs w:val="24"/>
          <w:lang w:val="es-ES" w:eastAsia="en-US"/>
        </w:rPr>
        <w:t>Artículo 73</w:t>
      </w:r>
      <w:r w:rsidRPr="00906AFB">
        <w:rPr>
          <w:rFonts w:ascii="Arial" w:eastAsia="Calibri" w:hAnsi="Arial" w:cs="Arial"/>
          <w:sz w:val="24"/>
          <w:szCs w:val="24"/>
          <w:lang w:val="es-ES" w:eastAsia="en-US"/>
        </w:rPr>
        <w:t>. Las Dependencias del Ejecutivo y Entidades del Estado podrán convocar, adjudicar o contratar adquisiciones, servicios y arrendamientos solamente cuando se cuente con la autorización global o específica, por parte de la Secretaría, y de los órganos similares en las entidades; en su caso, del presupuesto de inversión y de gasto corriente, conforme a los cuales deberán programarse los pagos respectivos.</w:t>
      </w:r>
    </w:p>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sz w:val="24"/>
          <w:szCs w:val="24"/>
          <w:lang w:val="es-ES" w:eastAsia="en-US"/>
        </w:rPr>
        <w:t>En atención a lo dispuesto por el artículo 46 de la Ley de Adquisiciones, Arrendamientos y Servicios del Sector Público del Estado de Colima, los montos máximos de actuación para adquisiciones en sus modalidades de: Adjudicación Directa, Adjudicación Directa con tres cotizaciones y visto bueno del Comité de Adquisiciones, de Invitación Restringida y Licitación Pública Nacional:</w:t>
      </w:r>
    </w:p>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Pr="00906AFB" w:rsidRDefault="00723C49" w:rsidP="00906AFB">
      <w:pPr>
        <w:keepNext/>
        <w:keepLines/>
        <w:spacing w:after="0" w:line="240" w:lineRule="auto"/>
        <w:jc w:val="center"/>
        <w:outlineLvl w:val="1"/>
        <w:rPr>
          <w:rFonts w:ascii="Arial" w:eastAsia="Times New Roman" w:hAnsi="Arial" w:cs="Times New Roman"/>
          <w:b/>
          <w:sz w:val="20"/>
          <w:szCs w:val="26"/>
          <w:lang w:val="es-ES" w:eastAsia="en-US"/>
        </w:rPr>
      </w:pPr>
      <w:r>
        <w:rPr>
          <w:rFonts w:ascii="Arial" w:eastAsia="Times New Roman" w:hAnsi="Arial" w:cs="Times New Roman"/>
          <w:b/>
          <w:sz w:val="20"/>
          <w:szCs w:val="26"/>
          <w:lang w:val="es-ES" w:eastAsia="en-US"/>
        </w:rPr>
        <w:t xml:space="preserve">Tabla </w:t>
      </w:r>
      <w:r w:rsidR="00CF4172">
        <w:rPr>
          <w:rFonts w:ascii="Arial" w:eastAsia="Times New Roman" w:hAnsi="Arial" w:cs="Times New Roman"/>
          <w:b/>
          <w:sz w:val="20"/>
          <w:szCs w:val="26"/>
          <w:lang w:val="es-ES" w:eastAsia="en-US"/>
        </w:rPr>
        <w:t>57</w:t>
      </w:r>
      <w:r w:rsidR="00906AFB" w:rsidRPr="00906AFB">
        <w:rPr>
          <w:rFonts w:ascii="Arial" w:eastAsia="Times New Roman" w:hAnsi="Arial" w:cs="Times New Roman"/>
          <w:b/>
          <w:sz w:val="20"/>
          <w:szCs w:val="26"/>
          <w:lang w:val="es-ES" w:eastAsia="en-US"/>
        </w:rPr>
        <w:t>. Montos Máximos de Actuación para Adquisiciones</w:t>
      </w:r>
    </w:p>
    <w:tbl>
      <w:tblPr>
        <w:tblStyle w:val="Tablaconcuadrcula2"/>
        <w:tblW w:w="0" w:type="auto"/>
        <w:tblInd w:w="108" w:type="dxa"/>
        <w:tblLook w:val="04A0" w:firstRow="1" w:lastRow="0" w:firstColumn="1" w:lastColumn="0" w:noHBand="0" w:noVBand="1"/>
      </w:tblPr>
      <w:tblGrid>
        <w:gridCol w:w="2694"/>
        <w:gridCol w:w="3402"/>
        <w:gridCol w:w="2516"/>
      </w:tblGrid>
      <w:tr w:rsidR="00906AFB" w:rsidRPr="00906AFB" w:rsidTr="00906AFB">
        <w:trPr>
          <w:trHeight w:val="283"/>
        </w:trPr>
        <w:tc>
          <w:tcPr>
            <w:tcW w:w="2694"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bCs/>
                <w:sz w:val="18"/>
              </w:rPr>
            </w:pPr>
            <w:r w:rsidRPr="00906AFB">
              <w:rPr>
                <w:rFonts w:ascii="Arial" w:hAnsi="Arial" w:cs="Arial"/>
                <w:sz w:val="18"/>
              </w:rPr>
              <w:t xml:space="preserve"> </w:t>
            </w:r>
            <w:r w:rsidRPr="00906AFB">
              <w:rPr>
                <w:rFonts w:ascii="Arial" w:hAnsi="Arial" w:cs="Arial"/>
                <w:b/>
                <w:bCs/>
                <w:sz w:val="18"/>
              </w:rPr>
              <w:t>Procedimiento</w:t>
            </w:r>
          </w:p>
        </w:tc>
        <w:tc>
          <w:tcPr>
            <w:tcW w:w="3402"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bCs/>
                <w:sz w:val="18"/>
              </w:rPr>
            </w:pPr>
            <w:r w:rsidRPr="00906AFB">
              <w:rPr>
                <w:rFonts w:ascii="Arial" w:hAnsi="Arial" w:cs="Arial"/>
                <w:b/>
                <w:bCs/>
                <w:sz w:val="18"/>
              </w:rPr>
              <w:t>Hipótesis</w:t>
            </w:r>
          </w:p>
        </w:tc>
        <w:tc>
          <w:tcPr>
            <w:tcW w:w="251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center"/>
              <w:rPr>
                <w:rFonts w:ascii="Arial" w:hAnsi="Arial" w:cs="Arial"/>
                <w:b/>
                <w:bCs/>
                <w:sz w:val="18"/>
              </w:rPr>
            </w:pPr>
            <w:r w:rsidRPr="00906AFB">
              <w:rPr>
                <w:rFonts w:ascii="Arial" w:hAnsi="Arial" w:cs="Arial"/>
                <w:b/>
                <w:bCs/>
                <w:sz w:val="18"/>
              </w:rPr>
              <w:t>Total</w:t>
            </w:r>
          </w:p>
        </w:tc>
      </w:tr>
      <w:tr w:rsidR="00906AFB" w:rsidRPr="00906AFB" w:rsidTr="00906AFB">
        <w:trPr>
          <w:trHeight w:val="283"/>
        </w:trPr>
        <w:tc>
          <w:tcPr>
            <w:tcW w:w="2694"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18"/>
              </w:rPr>
            </w:pPr>
            <w:r w:rsidRPr="00906AFB">
              <w:rPr>
                <w:rFonts w:ascii="Arial" w:hAnsi="Arial" w:cs="Arial"/>
                <w:sz w:val="18"/>
              </w:rPr>
              <w:t>Adjudicación Directa.</w:t>
            </w:r>
          </w:p>
        </w:tc>
        <w:tc>
          <w:tcPr>
            <w:tcW w:w="3402"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18"/>
              </w:rPr>
            </w:pPr>
            <w:r w:rsidRPr="00906AFB">
              <w:rPr>
                <w:rFonts w:ascii="Arial" w:hAnsi="Arial" w:cs="Arial"/>
                <w:sz w:val="18"/>
              </w:rPr>
              <w:t>Cuando el monto de la operación no exceda de 100 Unidades de Medida y Actualización.</w:t>
            </w:r>
          </w:p>
        </w:tc>
        <w:tc>
          <w:tcPr>
            <w:tcW w:w="2516"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8"/>
              </w:rPr>
            </w:pPr>
            <w:r w:rsidRPr="00906AFB">
              <w:rPr>
                <w:rFonts w:ascii="Arial" w:hAnsi="Arial" w:cs="Arial"/>
                <w:sz w:val="18"/>
              </w:rPr>
              <w:t>De $0 hasta $7,304.00.</w:t>
            </w:r>
          </w:p>
        </w:tc>
      </w:tr>
      <w:tr w:rsidR="00906AFB" w:rsidRPr="00906AFB" w:rsidTr="00906AFB">
        <w:trPr>
          <w:trHeight w:val="283"/>
        </w:trPr>
        <w:tc>
          <w:tcPr>
            <w:tcW w:w="2694"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18"/>
              </w:rPr>
            </w:pPr>
            <w:r w:rsidRPr="00906AFB">
              <w:rPr>
                <w:rFonts w:ascii="Arial" w:hAnsi="Arial" w:cs="Arial"/>
                <w:sz w:val="18"/>
              </w:rPr>
              <w:t>Adjudicación Directa con tres cotizaciones y visto bueno del Comité de Adquisiciones.</w:t>
            </w:r>
          </w:p>
        </w:tc>
        <w:tc>
          <w:tcPr>
            <w:tcW w:w="3402"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18"/>
              </w:rPr>
            </w:pPr>
            <w:r w:rsidRPr="00906AFB">
              <w:rPr>
                <w:rFonts w:ascii="Arial" w:hAnsi="Arial" w:cs="Arial"/>
                <w:sz w:val="18"/>
              </w:rPr>
              <w:t>Cuando el monto de cada operación sea superior a 101 y hasta 850 Unidades de Medida y Actualización.</w:t>
            </w:r>
          </w:p>
        </w:tc>
        <w:tc>
          <w:tcPr>
            <w:tcW w:w="2516"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8"/>
              </w:rPr>
            </w:pPr>
            <w:r w:rsidRPr="00906AFB">
              <w:rPr>
                <w:rFonts w:ascii="Arial" w:hAnsi="Arial" w:cs="Arial"/>
                <w:sz w:val="18"/>
              </w:rPr>
              <w:t>De $7,304,01 hasta $62,084.00.</w:t>
            </w:r>
          </w:p>
        </w:tc>
      </w:tr>
      <w:tr w:rsidR="00906AFB" w:rsidRPr="00906AFB" w:rsidTr="00906AFB">
        <w:trPr>
          <w:trHeight w:val="283"/>
        </w:trPr>
        <w:tc>
          <w:tcPr>
            <w:tcW w:w="2694"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18"/>
              </w:rPr>
            </w:pPr>
            <w:r w:rsidRPr="00906AFB">
              <w:rPr>
                <w:rFonts w:ascii="Arial" w:hAnsi="Arial" w:cs="Arial"/>
                <w:sz w:val="18"/>
              </w:rPr>
              <w:t>Invitación Restringida, con participación del Comité de Adquisiciones correspondiente.</w:t>
            </w:r>
          </w:p>
        </w:tc>
        <w:tc>
          <w:tcPr>
            <w:tcW w:w="3402"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18"/>
              </w:rPr>
            </w:pPr>
            <w:r w:rsidRPr="00906AFB">
              <w:rPr>
                <w:rFonts w:ascii="Arial" w:hAnsi="Arial" w:cs="Arial"/>
                <w:sz w:val="18"/>
              </w:rPr>
              <w:t>Cuando el monto de cada operación sea superior a 851 y hasta 11,150 Unidades de Medida y Actualización.</w:t>
            </w:r>
          </w:p>
        </w:tc>
        <w:tc>
          <w:tcPr>
            <w:tcW w:w="2516"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8"/>
              </w:rPr>
            </w:pPr>
            <w:r w:rsidRPr="00906AFB">
              <w:rPr>
                <w:rFonts w:ascii="Arial" w:hAnsi="Arial" w:cs="Arial"/>
                <w:sz w:val="18"/>
              </w:rPr>
              <w:t>De $62,084,01 hasta $814,396.00.</w:t>
            </w:r>
          </w:p>
        </w:tc>
      </w:tr>
      <w:tr w:rsidR="00906AFB" w:rsidRPr="00906AFB" w:rsidTr="00906AFB">
        <w:trPr>
          <w:trHeight w:val="283"/>
        </w:trPr>
        <w:tc>
          <w:tcPr>
            <w:tcW w:w="2694"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18"/>
              </w:rPr>
            </w:pPr>
            <w:r w:rsidRPr="00906AFB">
              <w:rPr>
                <w:rFonts w:ascii="Arial" w:hAnsi="Arial" w:cs="Arial"/>
                <w:sz w:val="18"/>
              </w:rPr>
              <w:t>Licitación Pública Nacional.</w:t>
            </w:r>
          </w:p>
        </w:tc>
        <w:tc>
          <w:tcPr>
            <w:tcW w:w="3402"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rPr>
                <w:rFonts w:ascii="Arial" w:hAnsi="Arial" w:cs="Arial"/>
                <w:sz w:val="18"/>
              </w:rPr>
            </w:pPr>
            <w:r w:rsidRPr="00906AFB">
              <w:rPr>
                <w:rFonts w:ascii="Arial" w:hAnsi="Arial" w:cs="Arial"/>
                <w:sz w:val="18"/>
              </w:rPr>
              <w:t>Superior a 11,150 Unidades de Medida y Actualización, vigente en el Estado en adelante.</w:t>
            </w:r>
          </w:p>
        </w:tc>
        <w:tc>
          <w:tcPr>
            <w:tcW w:w="2516"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right"/>
              <w:rPr>
                <w:rFonts w:ascii="Arial" w:hAnsi="Arial" w:cs="Arial"/>
                <w:sz w:val="18"/>
              </w:rPr>
            </w:pPr>
            <w:r w:rsidRPr="00906AFB">
              <w:rPr>
                <w:rFonts w:ascii="Arial" w:hAnsi="Arial" w:cs="Arial"/>
                <w:sz w:val="18"/>
              </w:rPr>
              <w:t>De $814,396.01 en adelante.</w:t>
            </w:r>
          </w:p>
        </w:tc>
      </w:tr>
    </w:tbl>
    <w:p w:rsidR="00906AFB" w:rsidRPr="00906AFB" w:rsidRDefault="00906AFB" w:rsidP="00906AFB">
      <w:pPr>
        <w:spacing w:after="0" w:line="240" w:lineRule="auto"/>
        <w:jc w:val="both"/>
        <w:rPr>
          <w:rFonts w:ascii="Arial" w:eastAsia="Calibri" w:hAnsi="Arial" w:cs="Arial"/>
          <w:b/>
          <w:sz w:val="24"/>
          <w:szCs w:val="24"/>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b/>
          <w:sz w:val="24"/>
          <w:szCs w:val="24"/>
          <w:lang w:val="es-ES" w:eastAsia="en-US"/>
        </w:rPr>
        <w:t>Artículo 74</w:t>
      </w:r>
      <w:r w:rsidRPr="00906AFB">
        <w:rPr>
          <w:rFonts w:ascii="Arial" w:eastAsia="Calibri" w:hAnsi="Arial" w:cs="Arial"/>
          <w:sz w:val="24"/>
          <w:szCs w:val="24"/>
          <w:lang w:val="es-ES" w:eastAsia="en-US"/>
        </w:rPr>
        <w:t xml:space="preserve">. Las operaciones de adquisiciones, arrendamientos y contratación de servicios que realicen los Poderes, Organismos Autónomos, así como las Dependencias del Ejecutivo y Entidades del Estado, se llevarán a cabo con estricto </w:t>
      </w:r>
      <w:r w:rsidRPr="00906AFB">
        <w:rPr>
          <w:rFonts w:ascii="Arial" w:eastAsia="Calibri" w:hAnsi="Arial" w:cs="Arial"/>
          <w:sz w:val="24"/>
          <w:szCs w:val="24"/>
          <w:lang w:val="es-ES" w:eastAsia="en-US"/>
        </w:rPr>
        <w:lastRenderedPageBreak/>
        <w:t>apego a las disposiciones previstas en la Ley de Adquisiciones, Servicios y Arrendamientos del Sector Público del Estado de Colima.</w:t>
      </w:r>
    </w:p>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sz w:val="24"/>
          <w:szCs w:val="24"/>
          <w:lang w:val="es-ES" w:eastAsia="en-US"/>
        </w:rPr>
        <w:t>Cuando en las operaciones referidas se ejerzan recursos federales, se deberá estar a la normatividad aplicable o a la que se pacte en los convenios o instrumentos jurídicos respectivos.</w:t>
      </w:r>
    </w:p>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Pr="00906AFB" w:rsidRDefault="00906AFB" w:rsidP="00906AFB">
      <w:pPr>
        <w:keepNext/>
        <w:keepLines/>
        <w:spacing w:after="0" w:line="240" w:lineRule="auto"/>
        <w:ind w:left="708" w:hanging="708"/>
        <w:jc w:val="center"/>
        <w:outlineLvl w:val="0"/>
        <w:rPr>
          <w:rFonts w:ascii="Arial" w:eastAsia="Times New Roman" w:hAnsi="Arial" w:cs="Arial"/>
          <w:b/>
          <w:sz w:val="24"/>
          <w:szCs w:val="32"/>
          <w:lang w:val="es-ES" w:eastAsia="en-US"/>
        </w:rPr>
      </w:pPr>
      <w:bookmarkStart w:id="32" w:name="_Toc465292961"/>
      <w:bookmarkStart w:id="33" w:name="_Toc465292889"/>
      <w:r w:rsidRPr="00906AFB">
        <w:rPr>
          <w:rFonts w:ascii="Arial" w:eastAsia="Times New Roman" w:hAnsi="Arial" w:cs="Arial"/>
          <w:b/>
          <w:sz w:val="24"/>
          <w:szCs w:val="32"/>
          <w:lang w:val="es-ES" w:eastAsia="en-US"/>
        </w:rPr>
        <w:t>TÍTULO CUARTO</w:t>
      </w:r>
    </w:p>
    <w:p w:rsidR="00906AFB" w:rsidRPr="00906AFB" w:rsidRDefault="00906AFB" w:rsidP="00906AFB">
      <w:pPr>
        <w:keepNext/>
        <w:keepLines/>
        <w:spacing w:after="0" w:line="240" w:lineRule="auto"/>
        <w:ind w:left="708" w:hanging="708"/>
        <w:jc w:val="center"/>
        <w:outlineLvl w:val="0"/>
        <w:rPr>
          <w:rFonts w:ascii="Arial" w:eastAsia="Times New Roman" w:hAnsi="Arial" w:cs="Arial"/>
          <w:b/>
          <w:sz w:val="24"/>
          <w:szCs w:val="32"/>
          <w:lang w:val="es-ES" w:eastAsia="en-US"/>
        </w:rPr>
      </w:pPr>
      <w:r w:rsidRPr="00906AFB">
        <w:rPr>
          <w:rFonts w:ascii="Arial" w:eastAsia="Times New Roman" w:hAnsi="Arial" w:cs="Arial"/>
          <w:b/>
          <w:sz w:val="24"/>
          <w:szCs w:val="32"/>
          <w:lang w:val="es-ES" w:eastAsia="en-US"/>
        </w:rPr>
        <w:t>DEL PRESUPUESTO BASADO EN RESULTADOS</w:t>
      </w:r>
      <w:bookmarkEnd w:id="32"/>
      <w:bookmarkEnd w:id="33"/>
    </w:p>
    <w:p w:rsidR="00906AFB" w:rsidRPr="00906AFB" w:rsidRDefault="00906AFB" w:rsidP="001F7F55">
      <w:pPr>
        <w:rPr>
          <w:rFonts w:eastAsia="Times New Roman"/>
          <w:lang w:val="es-ES" w:eastAsia="en-US"/>
        </w:rPr>
      </w:pPr>
      <w:bookmarkStart w:id="34" w:name="_Toc465292962"/>
      <w:bookmarkStart w:id="35" w:name="_Toc465292890"/>
    </w:p>
    <w:p w:rsidR="00906AFB" w:rsidRPr="00906AFB" w:rsidRDefault="00906AFB" w:rsidP="00906AFB">
      <w:pPr>
        <w:keepNext/>
        <w:keepLines/>
        <w:spacing w:after="0" w:line="240" w:lineRule="auto"/>
        <w:jc w:val="center"/>
        <w:outlineLvl w:val="0"/>
        <w:rPr>
          <w:rFonts w:ascii="Arial" w:eastAsia="Times New Roman" w:hAnsi="Arial" w:cs="Arial"/>
          <w:b/>
          <w:sz w:val="24"/>
          <w:szCs w:val="24"/>
          <w:lang w:val="es-ES" w:eastAsia="en-US"/>
        </w:rPr>
      </w:pPr>
      <w:r w:rsidRPr="00906AFB">
        <w:rPr>
          <w:rFonts w:ascii="Arial" w:eastAsia="Times New Roman" w:hAnsi="Arial" w:cs="Arial"/>
          <w:b/>
          <w:sz w:val="24"/>
          <w:szCs w:val="24"/>
          <w:lang w:val="es-ES" w:eastAsia="en-US"/>
        </w:rPr>
        <w:t>CAPÍTULO I</w:t>
      </w:r>
    </w:p>
    <w:p w:rsidR="00906AFB" w:rsidRPr="00906AFB" w:rsidRDefault="00906AFB" w:rsidP="00906AFB">
      <w:pPr>
        <w:keepNext/>
        <w:keepLines/>
        <w:spacing w:after="0" w:line="240" w:lineRule="auto"/>
        <w:jc w:val="center"/>
        <w:outlineLvl w:val="0"/>
        <w:rPr>
          <w:rFonts w:ascii="Arial" w:eastAsia="Times New Roman" w:hAnsi="Arial" w:cs="Arial"/>
          <w:b/>
          <w:sz w:val="24"/>
          <w:szCs w:val="24"/>
          <w:lang w:val="es-ES" w:eastAsia="en-US"/>
        </w:rPr>
      </w:pPr>
      <w:r w:rsidRPr="00906AFB">
        <w:rPr>
          <w:rFonts w:ascii="Arial" w:eastAsia="Times New Roman" w:hAnsi="Arial" w:cs="Arial"/>
          <w:b/>
          <w:sz w:val="24"/>
          <w:szCs w:val="24"/>
          <w:lang w:val="es-ES" w:eastAsia="en-US"/>
        </w:rPr>
        <w:t>DISPOSICIONES GENERALES</w:t>
      </w:r>
      <w:bookmarkEnd w:id="34"/>
      <w:bookmarkEnd w:id="35"/>
    </w:p>
    <w:p w:rsidR="00906AFB" w:rsidRPr="00906AFB" w:rsidRDefault="00906AFB" w:rsidP="00906AFB">
      <w:pPr>
        <w:spacing w:after="0" w:line="240" w:lineRule="auto"/>
        <w:jc w:val="center"/>
        <w:rPr>
          <w:rFonts w:ascii="Arial" w:eastAsia="Calibri" w:hAnsi="Arial" w:cs="Arial"/>
          <w:b/>
          <w:bCs/>
          <w:sz w:val="24"/>
          <w:szCs w:val="24"/>
        </w:rPr>
      </w:pPr>
    </w:p>
    <w:p w:rsidR="00906AFB" w:rsidRPr="00906AFB" w:rsidRDefault="00906AFB" w:rsidP="00906AFB">
      <w:pPr>
        <w:spacing w:after="0" w:line="240" w:lineRule="auto"/>
        <w:jc w:val="both"/>
        <w:rPr>
          <w:rFonts w:ascii="Arial" w:eastAsia="Calibri" w:hAnsi="Arial" w:cs="Arial"/>
          <w:sz w:val="24"/>
          <w:szCs w:val="24"/>
        </w:rPr>
      </w:pPr>
      <w:r w:rsidRPr="00906AFB">
        <w:rPr>
          <w:rFonts w:ascii="Arial" w:eastAsia="Calibri" w:hAnsi="Arial" w:cs="Arial"/>
          <w:b/>
          <w:bCs/>
          <w:sz w:val="24"/>
          <w:szCs w:val="24"/>
        </w:rPr>
        <w:t xml:space="preserve">Artículo 75. </w:t>
      </w:r>
      <w:r w:rsidRPr="00906AFB">
        <w:rPr>
          <w:rFonts w:ascii="Arial" w:eastAsia="Calibri" w:hAnsi="Arial" w:cs="Arial"/>
          <w:sz w:val="24"/>
          <w:szCs w:val="24"/>
        </w:rPr>
        <w:t>El Presupuesto de Egresos para el Ejercicio Fiscal 2017 está orientado a satisfacer las necesidades sociales de interés colectivo, atendiendo a las prioridades y se distribuye de la siguiente manera:</w:t>
      </w:r>
    </w:p>
    <w:p w:rsidR="00906AFB" w:rsidRPr="00906AFB" w:rsidRDefault="00906AFB" w:rsidP="00906AFB">
      <w:pPr>
        <w:spacing w:after="0" w:line="240" w:lineRule="auto"/>
        <w:jc w:val="both"/>
        <w:rPr>
          <w:rFonts w:ascii="Arial" w:eastAsia="Calibri" w:hAnsi="Arial" w:cs="Arial"/>
          <w:sz w:val="24"/>
          <w:szCs w:val="24"/>
        </w:rPr>
      </w:pPr>
    </w:p>
    <w:p w:rsidR="00906AFB" w:rsidRPr="00906AFB" w:rsidRDefault="00906AFB" w:rsidP="00906AFB">
      <w:pPr>
        <w:keepNext/>
        <w:keepLines/>
        <w:spacing w:after="0" w:line="240" w:lineRule="auto"/>
        <w:jc w:val="center"/>
        <w:outlineLvl w:val="1"/>
        <w:rPr>
          <w:rFonts w:ascii="Arial" w:eastAsia="Times New Roman" w:hAnsi="Arial" w:cs="Times New Roman"/>
          <w:b/>
          <w:sz w:val="20"/>
          <w:szCs w:val="26"/>
          <w:lang w:val="es-ES" w:eastAsia="en-US"/>
        </w:rPr>
      </w:pPr>
      <w:r w:rsidRPr="00906AFB">
        <w:rPr>
          <w:rFonts w:ascii="Arial" w:eastAsia="Times New Roman" w:hAnsi="Arial" w:cs="Times New Roman"/>
          <w:b/>
          <w:sz w:val="20"/>
          <w:szCs w:val="26"/>
          <w:lang w:val="es-ES" w:eastAsia="en-US"/>
        </w:rPr>
        <w:t xml:space="preserve">Tabla </w:t>
      </w:r>
      <w:r w:rsidR="00CF4172">
        <w:rPr>
          <w:rFonts w:ascii="Arial" w:eastAsia="Times New Roman" w:hAnsi="Arial" w:cs="Times New Roman"/>
          <w:b/>
          <w:sz w:val="20"/>
          <w:szCs w:val="26"/>
          <w:lang w:val="es-ES" w:eastAsia="en-US"/>
        </w:rPr>
        <w:t>58</w:t>
      </w:r>
      <w:r w:rsidRPr="00906AFB">
        <w:rPr>
          <w:rFonts w:ascii="Arial" w:eastAsia="Times New Roman" w:hAnsi="Arial" w:cs="Times New Roman"/>
          <w:b/>
          <w:sz w:val="20"/>
          <w:szCs w:val="26"/>
          <w:lang w:val="es-ES" w:eastAsia="en-US"/>
        </w:rPr>
        <w:t>. Ejes Estratégicos del Plan Estatal</w:t>
      </w:r>
    </w:p>
    <w:tbl>
      <w:tblPr>
        <w:tblStyle w:val="Tablaconcuadrcula2"/>
        <w:tblW w:w="0" w:type="auto"/>
        <w:jc w:val="center"/>
        <w:tblInd w:w="0" w:type="dxa"/>
        <w:tblLook w:val="04A0" w:firstRow="1" w:lastRow="0" w:firstColumn="1" w:lastColumn="0" w:noHBand="0" w:noVBand="1"/>
      </w:tblPr>
      <w:tblGrid>
        <w:gridCol w:w="497"/>
        <w:gridCol w:w="5866"/>
        <w:gridCol w:w="2052"/>
      </w:tblGrid>
      <w:tr w:rsidR="00906AFB" w:rsidRPr="00906AFB" w:rsidTr="0084146E">
        <w:trPr>
          <w:trHeight w:val="283"/>
          <w:jc w:val="center"/>
        </w:trPr>
        <w:tc>
          <w:tcPr>
            <w:tcW w:w="497" w:type="dxa"/>
            <w:tcBorders>
              <w:top w:val="single" w:sz="4" w:space="0" w:color="auto"/>
              <w:left w:val="single" w:sz="4" w:space="0" w:color="auto"/>
              <w:bottom w:val="single" w:sz="4" w:space="0" w:color="auto"/>
              <w:right w:val="single" w:sz="4" w:space="0" w:color="auto"/>
            </w:tcBorders>
            <w:vAlign w:val="center"/>
          </w:tcPr>
          <w:p w:rsidR="00906AFB" w:rsidRPr="00906AFB" w:rsidRDefault="00906AFB" w:rsidP="00906AFB">
            <w:pPr>
              <w:jc w:val="center"/>
              <w:rPr>
                <w:rFonts w:ascii="Arial" w:hAnsi="Arial" w:cs="Arial"/>
                <w:b/>
                <w:sz w:val="20"/>
                <w:szCs w:val="20"/>
              </w:rPr>
            </w:pPr>
          </w:p>
        </w:tc>
        <w:tc>
          <w:tcPr>
            <w:tcW w:w="5866" w:type="dxa"/>
            <w:tcBorders>
              <w:top w:val="single" w:sz="4" w:space="0" w:color="auto"/>
              <w:left w:val="single" w:sz="4" w:space="0" w:color="auto"/>
              <w:bottom w:val="single" w:sz="4" w:space="0" w:color="auto"/>
              <w:right w:val="single" w:sz="4" w:space="0" w:color="auto"/>
            </w:tcBorders>
            <w:vAlign w:val="center"/>
            <w:hideMark/>
          </w:tcPr>
          <w:p w:rsidR="00906AFB" w:rsidRPr="00906AFB" w:rsidRDefault="00906AFB" w:rsidP="00906AFB">
            <w:pPr>
              <w:jc w:val="center"/>
              <w:rPr>
                <w:rFonts w:ascii="Arial" w:hAnsi="Arial" w:cs="Arial"/>
                <w:b/>
                <w:sz w:val="20"/>
                <w:szCs w:val="20"/>
              </w:rPr>
            </w:pPr>
            <w:r w:rsidRPr="00906AFB">
              <w:rPr>
                <w:rFonts w:ascii="Arial" w:hAnsi="Arial" w:cs="Arial"/>
                <w:b/>
                <w:sz w:val="20"/>
                <w:szCs w:val="20"/>
              </w:rPr>
              <w:t>Eje de Política del Plan Estatal</w:t>
            </w:r>
          </w:p>
        </w:tc>
        <w:tc>
          <w:tcPr>
            <w:tcW w:w="2052" w:type="dxa"/>
            <w:tcBorders>
              <w:top w:val="single" w:sz="4" w:space="0" w:color="auto"/>
              <w:left w:val="single" w:sz="4" w:space="0" w:color="auto"/>
              <w:bottom w:val="single" w:sz="4" w:space="0" w:color="auto"/>
              <w:right w:val="single" w:sz="4" w:space="0" w:color="auto"/>
            </w:tcBorders>
            <w:vAlign w:val="center"/>
            <w:hideMark/>
          </w:tcPr>
          <w:p w:rsidR="00906AFB" w:rsidRPr="0084146E" w:rsidRDefault="00906AFB" w:rsidP="0084146E">
            <w:pPr>
              <w:jc w:val="center"/>
              <w:rPr>
                <w:rFonts w:ascii="Arial" w:hAnsi="Arial" w:cs="Arial"/>
                <w:b/>
                <w:sz w:val="20"/>
                <w:szCs w:val="20"/>
              </w:rPr>
            </w:pPr>
            <w:r w:rsidRPr="0084146E">
              <w:rPr>
                <w:rFonts w:ascii="Arial" w:hAnsi="Arial" w:cs="Arial"/>
                <w:b/>
                <w:sz w:val="20"/>
                <w:szCs w:val="20"/>
              </w:rPr>
              <w:t>Asignación Presupuestal</w:t>
            </w:r>
          </w:p>
        </w:tc>
      </w:tr>
      <w:tr w:rsidR="0084146E" w:rsidRPr="00906AFB" w:rsidTr="0084146E">
        <w:trPr>
          <w:trHeight w:val="283"/>
          <w:jc w:val="center"/>
        </w:trPr>
        <w:tc>
          <w:tcPr>
            <w:tcW w:w="497" w:type="dxa"/>
            <w:tcBorders>
              <w:top w:val="single" w:sz="4" w:space="0" w:color="auto"/>
              <w:left w:val="single" w:sz="4" w:space="0" w:color="auto"/>
              <w:bottom w:val="single" w:sz="4" w:space="0" w:color="auto"/>
              <w:right w:val="single" w:sz="4" w:space="0" w:color="auto"/>
            </w:tcBorders>
            <w:vAlign w:val="center"/>
            <w:hideMark/>
          </w:tcPr>
          <w:p w:rsidR="0084146E" w:rsidRPr="00906AFB" w:rsidRDefault="0084146E" w:rsidP="0084146E">
            <w:pPr>
              <w:jc w:val="center"/>
              <w:rPr>
                <w:rFonts w:ascii="Arial" w:hAnsi="Arial" w:cs="Arial"/>
                <w:sz w:val="20"/>
                <w:szCs w:val="20"/>
              </w:rPr>
            </w:pPr>
            <w:r w:rsidRPr="00906AFB">
              <w:rPr>
                <w:rFonts w:ascii="Arial" w:hAnsi="Arial" w:cs="Arial"/>
                <w:sz w:val="20"/>
                <w:szCs w:val="20"/>
              </w:rPr>
              <w:t>I</w:t>
            </w:r>
          </w:p>
        </w:tc>
        <w:tc>
          <w:tcPr>
            <w:tcW w:w="5866" w:type="dxa"/>
            <w:tcBorders>
              <w:top w:val="single" w:sz="4" w:space="0" w:color="auto"/>
              <w:left w:val="single" w:sz="4" w:space="0" w:color="auto"/>
              <w:bottom w:val="single" w:sz="4" w:space="0" w:color="auto"/>
              <w:right w:val="single" w:sz="4" w:space="0" w:color="auto"/>
            </w:tcBorders>
            <w:vAlign w:val="center"/>
            <w:hideMark/>
          </w:tcPr>
          <w:p w:rsidR="0084146E" w:rsidRPr="00906AFB" w:rsidRDefault="0084146E" w:rsidP="0084146E">
            <w:pPr>
              <w:rPr>
                <w:rFonts w:ascii="Arial" w:hAnsi="Arial" w:cs="Arial"/>
                <w:sz w:val="20"/>
                <w:szCs w:val="20"/>
              </w:rPr>
            </w:pPr>
            <w:r w:rsidRPr="00906AFB">
              <w:rPr>
                <w:rFonts w:ascii="Arial" w:hAnsi="Arial" w:cs="Arial"/>
                <w:sz w:val="20"/>
                <w:szCs w:val="20"/>
              </w:rPr>
              <w:t>Colima Competitivo</w:t>
            </w:r>
          </w:p>
        </w:tc>
        <w:tc>
          <w:tcPr>
            <w:tcW w:w="2052" w:type="dxa"/>
            <w:tcBorders>
              <w:top w:val="single" w:sz="4" w:space="0" w:color="auto"/>
              <w:left w:val="single" w:sz="4" w:space="0" w:color="auto"/>
              <w:bottom w:val="single" w:sz="4" w:space="0" w:color="auto"/>
              <w:right w:val="single" w:sz="4" w:space="0" w:color="auto"/>
            </w:tcBorders>
            <w:vAlign w:val="center"/>
          </w:tcPr>
          <w:p w:rsidR="0084146E" w:rsidRPr="0084146E" w:rsidRDefault="0084146E" w:rsidP="0084146E">
            <w:pPr>
              <w:jc w:val="right"/>
              <w:rPr>
                <w:rFonts w:ascii="Arial" w:hAnsi="Arial" w:cs="Arial"/>
                <w:sz w:val="20"/>
                <w:szCs w:val="20"/>
              </w:rPr>
            </w:pPr>
            <w:r w:rsidRPr="0084146E">
              <w:rPr>
                <w:rFonts w:ascii="Arial" w:hAnsi="Arial" w:cs="Arial"/>
                <w:sz w:val="20"/>
                <w:szCs w:val="20"/>
              </w:rPr>
              <w:t xml:space="preserve"> 1,159,727,500 </w:t>
            </w:r>
          </w:p>
        </w:tc>
      </w:tr>
      <w:tr w:rsidR="0084146E" w:rsidRPr="00906AFB" w:rsidTr="0084146E">
        <w:trPr>
          <w:trHeight w:val="283"/>
          <w:jc w:val="center"/>
        </w:trPr>
        <w:tc>
          <w:tcPr>
            <w:tcW w:w="497" w:type="dxa"/>
            <w:tcBorders>
              <w:top w:val="single" w:sz="4" w:space="0" w:color="auto"/>
              <w:left w:val="single" w:sz="4" w:space="0" w:color="auto"/>
              <w:bottom w:val="single" w:sz="4" w:space="0" w:color="auto"/>
              <w:right w:val="single" w:sz="4" w:space="0" w:color="auto"/>
            </w:tcBorders>
            <w:vAlign w:val="center"/>
            <w:hideMark/>
          </w:tcPr>
          <w:p w:rsidR="0084146E" w:rsidRPr="00906AFB" w:rsidRDefault="0084146E" w:rsidP="0084146E">
            <w:pPr>
              <w:jc w:val="center"/>
              <w:rPr>
                <w:rFonts w:ascii="Arial" w:hAnsi="Arial" w:cs="Arial"/>
                <w:sz w:val="20"/>
                <w:szCs w:val="20"/>
              </w:rPr>
            </w:pPr>
            <w:r w:rsidRPr="00906AFB">
              <w:rPr>
                <w:rFonts w:ascii="Arial" w:hAnsi="Arial" w:cs="Arial"/>
                <w:sz w:val="20"/>
                <w:szCs w:val="20"/>
              </w:rPr>
              <w:t>II</w:t>
            </w:r>
          </w:p>
        </w:tc>
        <w:tc>
          <w:tcPr>
            <w:tcW w:w="5866" w:type="dxa"/>
            <w:tcBorders>
              <w:top w:val="single" w:sz="4" w:space="0" w:color="auto"/>
              <w:left w:val="single" w:sz="4" w:space="0" w:color="auto"/>
              <w:bottom w:val="single" w:sz="4" w:space="0" w:color="auto"/>
              <w:right w:val="single" w:sz="4" w:space="0" w:color="auto"/>
            </w:tcBorders>
            <w:vAlign w:val="center"/>
            <w:hideMark/>
          </w:tcPr>
          <w:p w:rsidR="0084146E" w:rsidRPr="00906AFB" w:rsidRDefault="0084146E" w:rsidP="0084146E">
            <w:pPr>
              <w:rPr>
                <w:rFonts w:ascii="Arial" w:hAnsi="Arial" w:cs="Arial"/>
                <w:sz w:val="20"/>
                <w:szCs w:val="20"/>
              </w:rPr>
            </w:pPr>
            <w:r w:rsidRPr="00906AFB">
              <w:rPr>
                <w:rFonts w:ascii="Arial" w:hAnsi="Arial" w:cs="Arial"/>
                <w:sz w:val="20"/>
                <w:szCs w:val="20"/>
              </w:rPr>
              <w:t>Colima con Mayor Calidad de Vida</w:t>
            </w:r>
          </w:p>
        </w:tc>
        <w:tc>
          <w:tcPr>
            <w:tcW w:w="2052" w:type="dxa"/>
            <w:tcBorders>
              <w:top w:val="single" w:sz="4" w:space="0" w:color="auto"/>
              <w:left w:val="single" w:sz="4" w:space="0" w:color="auto"/>
              <w:bottom w:val="single" w:sz="4" w:space="0" w:color="auto"/>
              <w:right w:val="single" w:sz="4" w:space="0" w:color="auto"/>
            </w:tcBorders>
            <w:vAlign w:val="center"/>
          </w:tcPr>
          <w:p w:rsidR="0084146E" w:rsidRPr="0084146E" w:rsidRDefault="0084146E" w:rsidP="0084146E">
            <w:pPr>
              <w:jc w:val="right"/>
              <w:rPr>
                <w:rFonts w:ascii="Arial" w:hAnsi="Arial" w:cs="Arial"/>
                <w:sz w:val="20"/>
                <w:szCs w:val="20"/>
              </w:rPr>
            </w:pPr>
            <w:r w:rsidRPr="0084146E">
              <w:rPr>
                <w:rFonts w:ascii="Arial" w:hAnsi="Arial" w:cs="Arial"/>
                <w:sz w:val="20"/>
                <w:szCs w:val="20"/>
              </w:rPr>
              <w:t xml:space="preserve"> 9,626,820,310 </w:t>
            </w:r>
          </w:p>
        </w:tc>
      </w:tr>
      <w:tr w:rsidR="0084146E" w:rsidRPr="00906AFB" w:rsidTr="0084146E">
        <w:trPr>
          <w:trHeight w:val="283"/>
          <w:jc w:val="center"/>
        </w:trPr>
        <w:tc>
          <w:tcPr>
            <w:tcW w:w="497" w:type="dxa"/>
            <w:tcBorders>
              <w:top w:val="single" w:sz="4" w:space="0" w:color="auto"/>
              <w:left w:val="single" w:sz="4" w:space="0" w:color="auto"/>
              <w:bottom w:val="single" w:sz="4" w:space="0" w:color="auto"/>
              <w:right w:val="single" w:sz="4" w:space="0" w:color="auto"/>
            </w:tcBorders>
            <w:vAlign w:val="center"/>
            <w:hideMark/>
          </w:tcPr>
          <w:p w:rsidR="0084146E" w:rsidRPr="00906AFB" w:rsidRDefault="0084146E" w:rsidP="0084146E">
            <w:pPr>
              <w:jc w:val="center"/>
              <w:rPr>
                <w:rFonts w:ascii="Arial" w:hAnsi="Arial" w:cs="Arial"/>
                <w:sz w:val="20"/>
                <w:szCs w:val="20"/>
              </w:rPr>
            </w:pPr>
            <w:r w:rsidRPr="00906AFB">
              <w:rPr>
                <w:rFonts w:ascii="Arial" w:hAnsi="Arial" w:cs="Arial"/>
                <w:sz w:val="20"/>
                <w:szCs w:val="20"/>
              </w:rPr>
              <w:t>III</w:t>
            </w:r>
          </w:p>
        </w:tc>
        <w:tc>
          <w:tcPr>
            <w:tcW w:w="5866" w:type="dxa"/>
            <w:tcBorders>
              <w:top w:val="single" w:sz="4" w:space="0" w:color="auto"/>
              <w:left w:val="single" w:sz="4" w:space="0" w:color="auto"/>
              <w:bottom w:val="single" w:sz="4" w:space="0" w:color="auto"/>
              <w:right w:val="single" w:sz="4" w:space="0" w:color="auto"/>
            </w:tcBorders>
            <w:vAlign w:val="center"/>
            <w:hideMark/>
          </w:tcPr>
          <w:p w:rsidR="0084146E" w:rsidRPr="00906AFB" w:rsidRDefault="0084146E" w:rsidP="0084146E">
            <w:pPr>
              <w:rPr>
                <w:rFonts w:ascii="Arial" w:hAnsi="Arial" w:cs="Arial"/>
                <w:sz w:val="20"/>
                <w:szCs w:val="20"/>
              </w:rPr>
            </w:pPr>
            <w:r w:rsidRPr="00906AFB">
              <w:rPr>
                <w:rFonts w:ascii="Arial" w:hAnsi="Arial" w:cs="Arial"/>
                <w:sz w:val="20"/>
                <w:szCs w:val="20"/>
              </w:rPr>
              <w:t>Colima Seguro</w:t>
            </w:r>
          </w:p>
        </w:tc>
        <w:tc>
          <w:tcPr>
            <w:tcW w:w="2052" w:type="dxa"/>
            <w:tcBorders>
              <w:top w:val="single" w:sz="4" w:space="0" w:color="auto"/>
              <w:left w:val="single" w:sz="4" w:space="0" w:color="auto"/>
              <w:bottom w:val="single" w:sz="4" w:space="0" w:color="auto"/>
              <w:right w:val="single" w:sz="4" w:space="0" w:color="auto"/>
            </w:tcBorders>
            <w:vAlign w:val="center"/>
          </w:tcPr>
          <w:p w:rsidR="0084146E" w:rsidRPr="0084146E" w:rsidRDefault="0084146E" w:rsidP="0084146E">
            <w:pPr>
              <w:jc w:val="right"/>
              <w:rPr>
                <w:rFonts w:ascii="Arial" w:hAnsi="Arial" w:cs="Arial"/>
                <w:sz w:val="20"/>
                <w:szCs w:val="20"/>
              </w:rPr>
            </w:pPr>
            <w:r w:rsidRPr="0084146E">
              <w:rPr>
                <w:rFonts w:ascii="Arial" w:hAnsi="Arial" w:cs="Arial"/>
                <w:sz w:val="20"/>
                <w:szCs w:val="20"/>
              </w:rPr>
              <w:t xml:space="preserve"> 1,479,579,704 </w:t>
            </w:r>
          </w:p>
        </w:tc>
      </w:tr>
      <w:tr w:rsidR="0084146E" w:rsidRPr="00906AFB" w:rsidTr="0084146E">
        <w:trPr>
          <w:trHeight w:val="283"/>
          <w:jc w:val="center"/>
        </w:trPr>
        <w:tc>
          <w:tcPr>
            <w:tcW w:w="497" w:type="dxa"/>
            <w:tcBorders>
              <w:top w:val="single" w:sz="4" w:space="0" w:color="auto"/>
              <w:left w:val="single" w:sz="4" w:space="0" w:color="auto"/>
              <w:bottom w:val="single" w:sz="4" w:space="0" w:color="auto"/>
              <w:right w:val="single" w:sz="4" w:space="0" w:color="auto"/>
            </w:tcBorders>
            <w:vAlign w:val="center"/>
            <w:hideMark/>
          </w:tcPr>
          <w:p w:rsidR="0084146E" w:rsidRPr="00906AFB" w:rsidRDefault="0084146E" w:rsidP="0084146E">
            <w:pPr>
              <w:jc w:val="center"/>
              <w:rPr>
                <w:rFonts w:ascii="Arial" w:hAnsi="Arial" w:cs="Arial"/>
                <w:sz w:val="20"/>
                <w:szCs w:val="20"/>
              </w:rPr>
            </w:pPr>
            <w:r w:rsidRPr="00906AFB">
              <w:rPr>
                <w:rFonts w:ascii="Arial" w:hAnsi="Arial" w:cs="Arial"/>
                <w:sz w:val="20"/>
                <w:szCs w:val="20"/>
              </w:rPr>
              <w:t>IV</w:t>
            </w:r>
          </w:p>
        </w:tc>
        <w:tc>
          <w:tcPr>
            <w:tcW w:w="5866" w:type="dxa"/>
            <w:tcBorders>
              <w:top w:val="single" w:sz="4" w:space="0" w:color="auto"/>
              <w:left w:val="single" w:sz="4" w:space="0" w:color="auto"/>
              <w:bottom w:val="single" w:sz="4" w:space="0" w:color="auto"/>
              <w:right w:val="single" w:sz="4" w:space="0" w:color="auto"/>
            </w:tcBorders>
            <w:vAlign w:val="center"/>
            <w:hideMark/>
          </w:tcPr>
          <w:p w:rsidR="0084146E" w:rsidRPr="00906AFB" w:rsidRDefault="0084146E" w:rsidP="0084146E">
            <w:pPr>
              <w:rPr>
                <w:rFonts w:ascii="Arial" w:hAnsi="Arial" w:cs="Arial"/>
                <w:sz w:val="20"/>
                <w:szCs w:val="20"/>
              </w:rPr>
            </w:pPr>
            <w:r w:rsidRPr="00906AFB">
              <w:rPr>
                <w:rFonts w:ascii="Arial" w:hAnsi="Arial" w:cs="Arial"/>
                <w:sz w:val="20"/>
                <w:szCs w:val="20"/>
              </w:rPr>
              <w:t>Transversal I. Colima con un Gobierno Moderno, Efectivo y Transparente</w:t>
            </w:r>
          </w:p>
        </w:tc>
        <w:tc>
          <w:tcPr>
            <w:tcW w:w="2052" w:type="dxa"/>
            <w:tcBorders>
              <w:top w:val="single" w:sz="4" w:space="0" w:color="auto"/>
              <w:left w:val="single" w:sz="4" w:space="0" w:color="auto"/>
              <w:bottom w:val="single" w:sz="4" w:space="0" w:color="auto"/>
              <w:right w:val="single" w:sz="4" w:space="0" w:color="auto"/>
            </w:tcBorders>
            <w:vAlign w:val="center"/>
          </w:tcPr>
          <w:p w:rsidR="0084146E" w:rsidRPr="0084146E" w:rsidRDefault="0084146E" w:rsidP="0084146E">
            <w:pPr>
              <w:jc w:val="right"/>
              <w:rPr>
                <w:rFonts w:ascii="Arial" w:hAnsi="Arial" w:cs="Arial"/>
                <w:sz w:val="20"/>
                <w:szCs w:val="20"/>
              </w:rPr>
            </w:pPr>
            <w:r w:rsidRPr="0084146E">
              <w:rPr>
                <w:rFonts w:ascii="Arial" w:hAnsi="Arial" w:cs="Arial"/>
                <w:sz w:val="20"/>
                <w:szCs w:val="20"/>
              </w:rPr>
              <w:t xml:space="preserve"> 3,057,968,121 </w:t>
            </w:r>
          </w:p>
        </w:tc>
      </w:tr>
      <w:tr w:rsidR="0084146E" w:rsidRPr="00906AFB" w:rsidTr="0084146E">
        <w:trPr>
          <w:trHeight w:val="283"/>
          <w:jc w:val="center"/>
        </w:trPr>
        <w:tc>
          <w:tcPr>
            <w:tcW w:w="497" w:type="dxa"/>
            <w:tcBorders>
              <w:top w:val="single" w:sz="4" w:space="0" w:color="auto"/>
              <w:left w:val="single" w:sz="4" w:space="0" w:color="auto"/>
              <w:bottom w:val="single" w:sz="4" w:space="0" w:color="auto"/>
              <w:right w:val="single" w:sz="4" w:space="0" w:color="auto"/>
            </w:tcBorders>
            <w:vAlign w:val="center"/>
            <w:hideMark/>
          </w:tcPr>
          <w:p w:rsidR="0084146E" w:rsidRPr="00906AFB" w:rsidRDefault="0084146E" w:rsidP="0084146E">
            <w:pPr>
              <w:jc w:val="center"/>
              <w:rPr>
                <w:rFonts w:ascii="Arial" w:hAnsi="Arial" w:cs="Arial"/>
                <w:sz w:val="20"/>
                <w:szCs w:val="20"/>
              </w:rPr>
            </w:pPr>
            <w:r w:rsidRPr="00906AFB">
              <w:rPr>
                <w:rFonts w:ascii="Arial" w:hAnsi="Arial" w:cs="Arial"/>
                <w:sz w:val="20"/>
                <w:szCs w:val="20"/>
              </w:rPr>
              <w:t>V</w:t>
            </w:r>
          </w:p>
        </w:tc>
        <w:tc>
          <w:tcPr>
            <w:tcW w:w="5866" w:type="dxa"/>
            <w:tcBorders>
              <w:top w:val="single" w:sz="4" w:space="0" w:color="auto"/>
              <w:left w:val="single" w:sz="4" w:space="0" w:color="auto"/>
              <w:bottom w:val="single" w:sz="4" w:space="0" w:color="auto"/>
              <w:right w:val="single" w:sz="4" w:space="0" w:color="auto"/>
            </w:tcBorders>
            <w:vAlign w:val="center"/>
            <w:hideMark/>
          </w:tcPr>
          <w:p w:rsidR="0084146E" w:rsidRPr="00906AFB" w:rsidRDefault="0084146E" w:rsidP="0084146E">
            <w:pPr>
              <w:rPr>
                <w:rFonts w:ascii="Arial" w:hAnsi="Arial" w:cs="Arial"/>
                <w:sz w:val="20"/>
                <w:szCs w:val="20"/>
              </w:rPr>
            </w:pPr>
            <w:r w:rsidRPr="00906AFB">
              <w:rPr>
                <w:rFonts w:ascii="Arial" w:hAnsi="Arial" w:cs="Arial"/>
                <w:sz w:val="20"/>
                <w:szCs w:val="20"/>
              </w:rPr>
              <w:t>Transversal II. Colima por la Igualdad</w:t>
            </w:r>
          </w:p>
        </w:tc>
        <w:tc>
          <w:tcPr>
            <w:tcW w:w="2052" w:type="dxa"/>
            <w:tcBorders>
              <w:top w:val="single" w:sz="4" w:space="0" w:color="auto"/>
              <w:left w:val="single" w:sz="4" w:space="0" w:color="auto"/>
              <w:bottom w:val="single" w:sz="4" w:space="0" w:color="auto"/>
              <w:right w:val="single" w:sz="4" w:space="0" w:color="auto"/>
            </w:tcBorders>
            <w:vAlign w:val="center"/>
          </w:tcPr>
          <w:p w:rsidR="0084146E" w:rsidRPr="0084146E" w:rsidRDefault="0084146E" w:rsidP="0084146E">
            <w:pPr>
              <w:jc w:val="right"/>
              <w:rPr>
                <w:rFonts w:ascii="Arial" w:hAnsi="Arial" w:cs="Arial"/>
                <w:sz w:val="20"/>
                <w:szCs w:val="20"/>
              </w:rPr>
            </w:pPr>
            <w:r w:rsidRPr="0084146E">
              <w:rPr>
                <w:rFonts w:ascii="Arial" w:hAnsi="Arial" w:cs="Arial"/>
                <w:sz w:val="20"/>
                <w:szCs w:val="20"/>
              </w:rPr>
              <w:t xml:space="preserve"> 59,093,580 </w:t>
            </w:r>
          </w:p>
        </w:tc>
      </w:tr>
      <w:tr w:rsidR="0084146E" w:rsidRPr="00906AFB" w:rsidTr="0084146E">
        <w:trPr>
          <w:trHeight w:val="283"/>
          <w:jc w:val="center"/>
        </w:trPr>
        <w:tc>
          <w:tcPr>
            <w:tcW w:w="497" w:type="dxa"/>
            <w:tcBorders>
              <w:top w:val="single" w:sz="4" w:space="0" w:color="auto"/>
              <w:left w:val="single" w:sz="4" w:space="0" w:color="auto"/>
              <w:bottom w:val="single" w:sz="4" w:space="0" w:color="auto"/>
              <w:right w:val="single" w:sz="4" w:space="0" w:color="auto"/>
            </w:tcBorders>
            <w:vAlign w:val="center"/>
            <w:hideMark/>
          </w:tcPr>
          <w:p w:rsidR="0084146E" w:rsidRPr="00906AFB" w:rsidRDefault="0084146E" w:rsidP="0084146E">
            <w:pPr>
              <w:jc w:val="center"/>
              <w:rPr>
                <w:rFonts w:ascii="Arial" w:hAnsi="Arial" w:cs="Arial"/>
                <w:sz w:val="20"/>
                <w:szCs w:val="20"/>
              </w:rPr>
            </w:pPr>
            <w:r w:rsidRPr="00906AFB">
              <w:rPr>
                <w:rFonts w:ascii="Arial" w:hAnsi="Arial" w:cs="Arial"/>
                <w:sz w:val="20"/>
                <w:szCs w:val="20"/>
              </w:rPr>
              <w:t>VI</w:t>
            </w:r>
          </w:p>
        </w:tc>
        <w:tc>
          <w:tcPr>
            <w:tcW w:w="5866" w:type="dxa"/>
            <w:tcBorders>
              <w:top w:val="single" w:sz="4" w:space="0" w:color="auto"/>
              <w:left w:val="single" w:sz="4" w:space="0" w:color="auto"/>
              <w:bottom w:val="single" w:sz="4" w:space="0" w:color="auto"/>
              <w:right w:val="single" w:sz="4" w:space="0" w:color="auto"/>
            </w:tcBorders>
            <w:vAlign w:val="center"/>
            <w:hideMark/>
          </w:tcPr>
          <w:p w:rsidR="0084146E" w:rsidRPr="00906AFB" w:rsidRDefault="0084146E" w:rsidP="0084146E">
            <w:pPr>
              <w:rPr>
                <w:rFonts w:ascii="Arial" w:hAnsi="Arial" w:cs="Arial"/>
                <w:sz w:val="20"/>
                <w:szCs w:val="20"/>
              </w:rPr>
            </w:pPr>
            <w:r w:rsidRPr="00906AFB">
              <w:rPr>
                <w:rFonts w:ascii="Arial" w:hAnsi="Arial" w:cs="Arial"/>
                <w:sz w:val="20"/>
                <w:szCs w:val="20"/>
              </w:rPr>
              <w:t>Transversal III. Colima Sustentable</w:t>
            </w:r>
          </w:p>
        </w:tc>
        <w:tc>
          <w:tcPr>
            <w:tcW w:w="2052" w:type="dxa"/>
            <w:tcBorders>
              <w:top w:val="single" w:sz="4" w:space="0" w:color="auto"/>
              <w:left w:val="single" w:sz="4" w:space="0" w:color="auto"/>
              <w:bottom w:val="single" w:sz="4" w:space="0" w:color="auto"/>
              <w:right w:val="single" w:sz="4" w:space="0" w:color="auto"/>
            </w:tcBorders>
            <w:vAlign w:val="center"/>
          </w:tcPr>
          <w:p w:rsidR="0084146E" w:rsidRPr="0084146E" w:rsidRDefault="0084146E" w:rsidP="0084146E">
            <w:pPr>
              <w:jc w:val="right"/>
              <w:rPr>
                <w:rFonts w:ascii="Arial" w:hAnsi="Arial" w:cs="Arial"/>
                <w:sz w:val="20"/>
                <w:szCs w:val="20"/>
              </w:rPr>
            </w:pPr>
            <w:r w:rsidRPr="0084146E">
              <w:rPr>
                <w:rFonts w:ascii="Arial" w:hAnsi="Arial" w:cs="Arial"/>
                <w:sz w:val="20"/>
                <w:szCs w:val="20"/>
              </w:rPr>
              <w:t xml:space="preserve"> 134,335,785 </w:t>
            </w:r>
          </w:p>
        </w:tc>
      </w:tr>
      <w:tr w:rsidR="0084146E" w:rsidRPr="00906AFB" w:rsidTr="0084146E">
        <w:trPr>
          <w:trHeight w:val="283"/>
          <w:jc w:val="center"/>
        </w:trPr>
        <w:tc>
          <w:tcPr>
            <w:tcW w:w="497" w:type="dxa"/>
            <w:tcBorders>
              <w:top w:val="single" w:sz="4" w:space="0" w:color="auto"/>
              <w:left w:val="single" w:sz="4" w:space="0" w:color="auto"/>
              <w:bottom w:val="single" w:sz="4" w:space="0" w:color="auto"/>
              <w:right w:val="single" w:sz="4" w:space="0" w:color="auto"/>
            </w:tcBorders>
          </w:tcPr>
          <w:p w:rsidR="0084146E" w:rsidRPr="00906AFB" w:rsidRDefault="0084146E" w:rsidP="0084146E">
            <w:pPr>
              <w:jc w:val="center"/>
              <w:rPr>
                <w:rFonts w:ascii="Arial" w:hAnsi="Arial" w:cs="Arial"/>
                <w:b/>
                <w:sz w:val="20"/>
                <w:szCs w:val="20"/>
              </w:rPr>
            </w:pPr>
          </w:p>
        </w:tc>
        <w:tc>
          <w:tcPr>
            <w:tcW w:w="5866" w:type="dxa"/>
            <w:tcBorders>
              <w:top w:val="single" w:sz="4" w:space="0" w:color="auto"/>
              <w:left w:val="single" w:sz="4" w:space="0" w:color="auto"/>
              <w:bottom w:val="single" w:sz="4" w:space="0" w:color="auto"/>
              <w:right w:val="single" w:sz="4" w:space="0" w:color="auto"/>
            </w:tcBorders>
            <w:vAlign w:val="center"/>
            <w:hideMark/>
          </w:tcPr>
          <w:p w:rsidR="0084146E" w:rsidRPr="00906AFB" w:rsidRDefault="0084146E" w:rsidP="0084146E">
            <w:pPr>
              <w:jc w:val="center"/>
              <w:rPr>
                <w:rFonts w:ascii="Arial" w:hAnsi="Arial" w:cs="Arial"/>
                <w:b/>
                <w:sz w:val="20"/>
                <w:szCs w:val="20"/>
              </w:rPr>
            </w:pPr>
            <w:r w:rsidRPr="00906AFB">
              <w:rPr>
                <w:rFonts w:ascii="Arial" w:hAnsi="Arial" w:cs="Arial"/>
                <w:b/>
                <w:sz w:val="20"/>
                <w:szCs w:val="20"/>
              </w:rPr>
              <w:t>Total</w:t>
            </w:r>
          </w:p>
        </w:tc>
        <w:tc>
          <w:tcPr>
            <w:tcW w:w="2052" w:type="dxa"/>
            <w:tcBorders>
              <w:top w:val="single" w:sz="4" w:space="0" w:color="auto"/>
              <w:left w:val="single" w:sz="4" w:space="0" w:color="auto"/>
              <w:bottom w:val="single" w:sz="4" w:space="0" w:color="auto"/>
              <w:right w:val="single" w:sz="4" w:space="0" w:color="auto"/>
            </w:tcBorders>
            <w:vAlign w:val="center"/>
          </w:tcPr>
          <w:p w:rsidR="0084146E" w:rsidRPr="0084146E" w:rsidRDefault="0084146E" w:rsidP="0084146E">
            <w:pPr>
              <w:jc w:val="right"/>
              <w:rPr>
                <w:rFonts w:ascii="Arial" w:hAnsi="Arial" w:cs="Arial"/>
                <w:b/>
                <w:sz w:val="20"/>
                <w:szCs w:val="20"/>
              </w:rPr>
            </w:pPr>
            <w:r w:rsidRPr="0084146E">
              <w:rPr>
                <w:rFonts w:ascii="Arial" w:hAnsi="Arial" w:cs="Arial"/>
                <w:b/>
                <w:sz w:val="20"/>
                <w:szCs w:val="20"/>
              </w:rPr>
              <w:t xml:space="preserve"> 15,517,525,000 </w:t>
            </w:r>
          </w:p>
        </w:tc>
      </w:tr>
    </w:tbl>
    <w:p w:rsidR="00906AFB" w:rsidRPr="00906AFB" w:rsidRDefault="00906AFB" w:rsidP="00906AFB">
      <w:pPr>
        <w:spacing w:after="0" w:line="240" w:lineRule="auto"/>
        <w:jc w:val="both"/>
        <w:rPr>
          <w:rFonts w:ascii="Arial" w:eastAsia="Calibri" w:hAnsi="Arial" w:cs="Arial"/>
          <w:sz w:val="24"/>
          <w:szCs w:val="24"/>
          <w:lang w:val="es-ES"/>
        </w:rPr>
      </w:pPr>
    </w:p>
    <w:p w:rsidR="00906AFB" w:rsidRPr="00906AFB" w:rsidRDefault="00906AFB" w:rsidP="00906AFB">
      <w:pPr>
        <w:spacing w:after="0" w:line="240" w:lineRule="auto"/>
        <w:jc w:val="both"/>
        <w:rPr>
          <w:rFonts w:ascii="Arial" w:eastAsia="Calibri" w:hAnsi="Arial" w:cs="Arial"/>
          <w:sz w:val="24"/>
          <w:szCs w:val="24"/>
          <w:lang w:val="es-ES"/>
        </w:rPr>
      </w:pPr>
    </w:p>
    <w:p w:rsidR="00906AFB" w:rsidRPr="00906AFB" w:rsidRDefault="00906AFB" w:rsidP="00906AFB">
      <w:pPr>
        <w:keepNext/>
        <w:keepLines/>
        <w:spacing w:after="0" w:line="240" w:lineRule="auto"/>
        <w:jc w:val="center"/>
        <w:outlineLvl w:val="1"/>
        <w:rPr>
          <w:rFonts w:ascii="Arial" w:eastAsia="Times New Roman" w:hAnsi="Arial" w:cs="Times New Roman"/>
          <w:b/>
          <w:sz w:val="20"/>
          <w:szCs w:val="26"/>
          <w:lang w:val="es-ES" w:eastAsia="en-US"/>
        </w:rPr>
      </w:pPr>
      <w:r w:rsidRPr="00906AFB">
        <w:rPr>
          <w:rFonts w:ascii="Arial" w:eastAsia="Times New Roman" w:hAnsi="Arial" w:cs="Times New Roman"/>
          <w:b/>
          <w:sz w:val="20"/>
          <w:szCs w:val="26"/>
          <w:lang w:val="es-ES" w:eastAsia="en-US"/>
        </w:rPr>
        <w:t xml:space="preserve">Tabla </w:t>
      </w:r>
      <w:r w:rsidR="00CF4172">
        <w:rPr>
          <w:rFonts w:ascii="Arial" w:eastAsia="Times New Roman" w:hAnsi="Arial" w:cs="Times New Roman"/>
          <w:b/>
          <w:sz w:val="20"/>
          <w:szCs w:val="26"/>
          <w:lang w:val="es-ES" w:eastAsia="en-US"/>
        </w:rPr>
        <w:t>59</w:t>
      </w:r>
      <w:r w:rsidRPr="00906AFB">
        <w:rPr>
          <w:rFonts w:ascii="Arial" w:eastAsia="Times New Roman" w:hAnsi="Arial" w:cs="Times New Roman"/>
          <w:b/>
          <w:sz w:val="20"/>
          <w:szCs w:val="26"/>
          <w:lang w:val="es-ES" w:eastAsia="en-US"/>
        </w:rPr>
        <w:t>. Líneas de Política del Plan Estatal</w:t>
      </w:r>
    </w:p>
    <w:tbl>
      <w:tblPr>
        <w:tblW w:w="8340" w:type="dxa"/>
        <w:jc w:val="center"/>
        <w:tblCellMar>
          <w:left w:w="70" w:type="dxa"/>
          <w:right w:w="70" w:type="dxa"/>
        </w:tblCellMar>
        <w:tblLook w:val="04A0" w:firstRow="1" w:lastRow="0" w:firstColumn="1" w:lastColumn="0" w:noHBand="0" w:noVBand="1"/>
      </w:tblPr>
      <w:tblGrid>
        <w:gridCol w:w="820"/>
        <w:gridCol w:w="6044"/>
        <w:gridCol w:w="1476"/>
      </w:tblGrid>
      <w:tr w:rsidR="00906AFB" w:rsidRPr="00906AFB" w:rsidTr="0084146E">
        <w:trPr>
          <w:trHeight w:val="283"/>
          <w:jc w:val="center"/>
        </w:trPr>
        <w:tc>
          <w:tcPr>
            <w:tcW w:w="820"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center"/>
              <w:rPr>
                <w:rFonts w:ascii="Arial" w:eastAsia="Times New Roman" w:hAnsi="Arial" w:cs="Arial"/>
                <w:b/>
                <w:bCs/>
                <w:color w:val="000000"/>
                <w:sz w:val="18"/>
                <w:szCs w:val="18"/>
                <w:lang w:val="es-ES" w:eastAsia="es-ES"/>
              </w:rPr>
            </w:pPr>
            <w:r w:rsidRPr="00906AFB">
              <w:rPr>
                <w:rFonts w:ascii="Arial" w:eastAsia="Times New Roman" w:hAnsi="Arial" w:cs="Arial"/>
                <w:b/>
                <w:bCs/>
                <w:color w:val="000000"/>
                <w:sz w:val="18"/>
                <w:szCs w:val="18"/>
                <w:lang w:val="es-ES" w:eastAsia="es-ES"/>
              </w:rPr>
              <w:t>Clave</w:t>
            </w:r>
          </w:p>
        </w:tc>
        <w:tc>
          <w:tcPr>
            <w:tcW w:w="6044" w:type="dxa"/>
            <w:tcBorders>
              <w:top w:val="single" w:sz="4" w:space="0" w:color="auto"/>
              <w:left w:val="nil"/>
              <w:bottom w:val="single" w:sz="4" w:space="0" w:color="auto"/>
              <w:right w:val="single" w:sz="4" w:space="0" w:color="auto"/>
            </w:tcBorders>
            <w:vAlign w:val="center"/>
            <w:hideMark/>
          </w:tcPr>
          <w:p w:rsidR="00906AFB" w:rsidRPr="00906AFB" w:rsidRDefault="00906AFB" w:rsidP="00906AFB">
            <w:pPr>
              <w:spacing w:after="0" w:line="240" w:lineRule="auto"/>
              <w:jc w:val="center"/>
              <w:rPr>
                <w:rFonts w:ascii="Arial" w:eastAsia="Times New Roman" w:hAnsi="Arial" w:cs="Arial"/>
                <w:b/>
                <w:bCs/>
                <w:color w:val="000000"/>
                <w:sz w:val="18"/>
                <w:szCs w:val="18"/>
                <w:lang w:val="es-ES" w:eastAsia="es-ES"/>
              </w:rPr>
            </w:pPr>
            <w:r w:rsidRPr="00906AFB">
              <w:rPr>
                <w:rFonts w:ascii="Arial" w:eastAsia="Times New Roman" w:hAnsi="Arial" w:cs="Arial"/>
                <w:b/>
                <w:bCs/>
                <w:color w:val="000000"/>
                <w:sz w:val="18"/>
                <w:szCs w:val="18"/>
                <w:lang w:val="es-ES" w:eastAsia="es-ES"/>
              </w:rPr>
              <w:t>Líneas de Política del PED</w:t>
            </w:r>
          </w:p>
        </w:tc>
        <w:tc>
          <w:tcPr>
            <w:tcW w:w="1476" w:type="dxa"/>
            <w:tcBorders>
              <w:top w:val="single" w:sz="4" w:space="0" w:color="auto"/>
              <w:left w:val="nil"/>
              <w:bottom w:val="single" w:sz="4" w:space="0" w:color="auto"/>
              <w:right w:val="single" w:sz="4" w:space="0" w:color="auto"/>
            </w:tcBorders>
            <w:vAlign w:val="center"/>
          </w:tcPr>
          <w:p w:rsidR="00906AFB" w:rsidRPr="0084146E" w:rsidRDefault="0084146E" w:rsidP="0084146E">
            <w:pPr>
              <w:spacing w:after="0" w:line="240" w:lineRule="auto"/>
              <w:jc w:val="right"/>
              <w:rPr>
                <w:rFonts w:ascii="Arial" w:eastAsia="Times New Roman" w:hAnsi="Arial" w:cs="Arial"/>
                <w:b/>
                <w:bCs/>
                <w:color w:val="000000"/>
                <w:sz w:val="18"/>
                <w:szCs w:val="20"/>
                <w:lang w:val="es-ES" w:eastAsia="es-ES"/>
              </w:rPr>
            </w:pPr>
            <w:r w:rsidRPr="0084146E">
              <w:rPr>
                <w:rFonts w:ascii="Arial" w:hAnsi="Arial" w:cs="Arial"/>
                <w:b/>
                <w:sz w:val="18"/>
                <w:szCs w:val="20"/>
              </w:rPr>
              <w:t>Asignación Presupuestal</w:t>
            </w:r>
          </w:p>
        </w:tc>
      </w:tr>
      <w:tr w:rsidR="0084146E" w:rsidRPr="00906AFB" w:rsidTr="0084146E">
        <w:trPr>
          <w:trHeight w:val="283"/>
          <w:jc w:val="center"/>
        </w:trPr>
        <w:tc>
          <w:tcPr>
            <w:tcW w:w="820" w:type="dxa"/>
            <w:tcBorders>
              <w:top w:val="nil"/>
              <w:left w:val="single" w:sz="4" w:space="0" w:color="auto"/>
              <w:bottom w:val="single" w:sz="4" w:space="0" w:color="auto"/>
              <w:right w:val="single" w:sz="4" w:space="0" w:color="auto"/>
            </w:tcBorders>
            <w:noWrap/>
            <w:vAlign w:val="center"/>
            <w:hideMark/>
          </w:tcPr>
          <w:p w:rsidR="0084146E" w:rsidRPr="00906AFB" w:rsidRDefault="0084146E" w:rsidP="0084146E">
            <w:pPr>
              <w:spacing w:after="0" w:line="240" w:lineRule="auto"/>
              <w:jc w:val="center"/>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1.1</w:t>
            </w:r>
          </w:p>
        </w:tc>
        <w:tc>
          <w:tcPr>
            <w:tcW w:w="6044" w:type="dxa"/>
            <w:tcBorders>
              <w:top w:val="nil"/>
              <w:left w:val="nil"/>
              <w:bottom w:val="single" w:sz="4" w:space="0" w:color="auto"/>
              <w:right w:val="single" w:sz="4" w:space="0" w:color="auto"/>
            </w:tcBorders>
            <w:vAlign w:val="center"/>
            <w:hideMark/>
          </w:tcPr>
          <w:p w:rsidR="0084146E" w:rsidRPr="00906AFB" w:rsidRDefault="0084146E" w:rsidP="0084146E">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Mejorar la competitividad y productividad de la economía colimense para atraer más inversiones, generar más empleos y mejorar los salarios en el estado.</w:t>
            </w:r>
          </w:p>
        </w:tc>
        <w:tc>
          <w:tcPr>
            <w:tcW w:w="1476" w:type="dxa"/>
            <w:tcBorders>
              <w:top w:val="nil"/>
              <w:left w:val="nil"/>
              <w:bottom w:val="single" w:sz="4" w:space="0" w:color="auto"/>
              <w:right w:val="single" w:sz="4" w:space="0" w:color="auto"/>
            </w:tcBorders>
            <w:noWrap/>
            <w:vAlign w:val="center"/>
          </w:tcPr>
          <w:p w:rsidR="0084146E" w:rsidRPr="0084146E" w:rsidRDefault="0084146E" w:rsidP="0084146E">
            <w:pPr>
              <w:spacing w:after="0" w:line="240" w:lineRule="auto"/>
              <w:jc w:val="right"/>
              <w:rPr>
                <w:rFonts w:ascii="Arial" w:hAnsi="Arial" w:cs="Arial"/>
                <w:sz w:val="18"/>
                <w:szCs w:val="20"/>
              </w:rPr>
            </w:pPr>
            <w:r w:rsidRPr="0084146E">
              <w:rPr>
                <w:rFonts w:ascii="Arial" w:hAnsi="Arial" w:cs="Arial"/>
                <w:sz w:val="18"/>
                <w:szCs w:val="20"/>
              </w:rPr>
              <w:t>63,300,000</w:t>
            </w:r>
          </w:p>
        </w:tc>
      </w:tr>
      <w:tr w:rsidR="0084146E" w:rsidRPr="00906AFB" w:rsidTr="0084146E">
        <w:trPr>
          <w:trHeight w:val="283"/>
          <w:jc w:val="center"/>
        </w:trPr>
        <w:tc>
          <w:tcPr>
            <w:tcW w:w="820" w:type="dxa"/>
            <w:tcBorders>
              <w:top w:val="nil"/>
              <w:left w:val="single" w:sz="4" w:space="0" w:color="auto"/>
              <w:bottom w:val="single" w:sz="4" w:space="0" w:color="auto"/>
              <w:right w:val="single" w:sz="4" w:space="0" w:color="auto"/>
            </w:tcBorders>
            <w:noWrap/>
            <w:vAlign w:val="center"/>
            <w:hideMark/>
          </w:tcPr>
          <w:p w:rsidR="0084146E" w:rsidRPr="00906AFB" w:rsidRDefault="0084146E" w:rsidP="0084146E">
            <w:pPr>
              <w:spacing w:after="0" w:line="240" w:lineRule="auto"/>
              <w:jc w:val="center"/>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1.2</w:t>
            </w:r>
          </w:p>
        </w:tc>
        <w:tc>
          <w:tcPr>
            <w:tcW w:w="6044" w:type="dxa"/>
            <w:tcBorders>
              <w:top w:val="nil"/>
              <w:left w:val="nil"/>
              <w:bottom w:val="single" w:sz="4" w:space="0" w:color="auto"/>
              <w:right w:val="single" w:sz="4" w:space="0" w:color="auto"/>
            </w:tcBorders>
            <w:vAlign w:val="center"/>
            <w:hideMark/>
          </w:tcPr>
          <w:p w:rsidR="0084146E" w:rsidRPr="00906AFB" w:rsidRDefault="0084146E" w:rsidP="0084146E">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Fomentar la creación, el crecimiento y la consolidación de empresas en el estado.</w:t>
            </w:r>
          </w:p>
        </w:tc>
        <w:tc>
          <w:tcPr>
            <w:tcW w:w="1476" w:type="dxa"/>
            <w:tcBorders>
              <w:top w:val="nil"/>
              <w:left w:val="nil"/>
              <w:bottom w:val="single" w:sz="4" w:space="0" w:color="auto"/>
              <w:right w:val="single" w:sz="4" w:space="0" w:color="auto"/>
            </w:tcBorders>
            <w:noWrap/>
            <w:vAlign w:val="center"/>
          </w:tcPr>
          <w:p w:rsidR="0084146E" w:rsidRPr="0084146E" w:rsidRDefault="0084146E" w:rsidP="0084146E">
            <w:pPr>
              <w:spacing w:after="0" w:line="240" w:lineRule="auto"/>
              <w:jc w:val="right"/>
              <w:rPr>
                <w:rFonts w:ascii="Arial" w:hAnsi="Arial" w:cs="Arial"/>
                <w:sz w:val="18"/>
                <w:szCs w:val="20"/>
              </w:rPr>
            </w:pPr>
            <w:r w:rsidRPr="0084146E">
              <w:rPr>
                <w:rFonts w:ascii="Arial" w:hAnsi="Arial" w:cs="Arial"/>
                <w:sz w:val="18"/>
                <w:szCs w:val="20"/>
              </w:rPr>
              <w:t>60,252,433</w:t>
            </w:r>
          </w:p>
        </w:tc>
      </w:tr>
      <w:tr w:rsidR="0084146E" w:rsidRPr="00906AFB" w:rsidTr="0084146E">
        <w:trPr>
          <w:trHeight w:val="283"/>
          <w:jc w:val="center"/>
        </w:trPr>
        <w:tc>
          <w:tcPr>
            <w:tcW w:w="820" w:type="dxa"/>
            <w:tcBorders>
              <w:top w:val="nil"/>
              <w:left w:val="single" w:sz="4" w:space="0" w:color="auto"/>
              <w:bottom w:val="single" w:sz="4" w:space="0" w:color="auto"/>
              <w:right w:val="single" w:sz="4" w:space="0" w:color="auto"/>
            </w:tcBorders>
            <w:noWrap/>
            <w:vAlign w:val="center"/>
            <w:hideMark/>
          </w:tcPr>
          <w:p w:rsidR="0084146E" w:rsidRPr="00906AFB" w:rsidRDefault="0084146E" w:rsidP="0084146E">
            <w:pPr>
              <w:spacing w:after="0" w:line="240" w:lineRule="auto"/>
              <w:jc w:val="center"/>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1.3</w:t>
            </w:r>
          </w:p>
        </w:tc>
        <w:tc>
          <w:tcPr>
            <w:tcW w:w="6044" w:type="dxa"/>
            <w:tcBorders>
              <w:top w:val="nil"/>
              <w:left w:val="nil"/>
              <w:bottom w:val="single" w:sz="4" w:space="0" w:color="auto"/>
              <w:right w:val="single" w:sz="4" w:space="0" w:color="auto"/>
            </w:tcBorders>
            <w:vAlign w:val="center"/>
            <w:hideMark/>
          </w:tcPr>
          <w:p w:rsidR="0084146E" w:rsidRPr="00906AFB" w:rsidRDefault="0084146E" w:rsidP="0084146E">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Desarrollar nueva infraestructura, para mejorar conectividad y la competitividad del estado e impulsar un mayor crecimiento económico, en equilibrio con el medio ambiente.</w:t>
            </w:r>
          </w:p>
        </w:tc>
        <w:tc>
          <w:tcPr>
            <w:tcW w:w="1476" w:type="dxa"/>
            <w:tcBorders>
              <w:top w:val="nil"/>
              <w:left w:val="nil"/>
              <w:bottom w:val="single" w:sz="4" w:space="0" w:color="auto"/>
              <w:right w:val="single" w:sz="4" w:space="0" w:color="auto"/>
            </w:tcBorders>
            <w:noWrap/>
            <w:vAlign w:val="center"/>
          </w:tcPr>
          <w:p w:rsidR="0084146E" w:rsidRPr="0084146E" w:rsidRDefault="0084146E" w:rsidP="0084146E">
            <w:pPr>
              <w:spacing w:after="0" w:line="240" w:lineRule="auto"/>
              <w:jc w:val="right"/>
              <w:rPr>
                <w:rFonts w:ascii="Arial" w:hAnsi="Arial" w:cs="Arial"/>
                <w:sz w:val="18"/>
                <w:szCs w:val="20"/>
              </w:rPr>
            </w:pPr>
            <w:r w:rsidRPr="0084146E">
              <w:rPr>
                <w:rFonts w:ascii="Arial" w:hAnsi="Arial" w:cs="Arial"/>
                <w:sz w:val="18"/>
                <w:szCs w:val="20"/>
              </w:rPr>
              <w:t>128,020,000</w:t>
            </w:r>
          </w:p>
        </w:tc>
      </w:tr>
      <w:tr w:rsidR="0084146E" w:rsidRPr="00906AFB" w:rsidTr="0084146E">
        <w:trPr>
          <w:trHeight w:val="283"/>
          <w:jc w:val="center"/>
        </w:trPr>
        <w:tc>
          <w:tcPr>
            <w:tcW w:w="820" w:type="dxa"/>
            <w:tcBorders>
              <w:top w:val="nil"/>
              <w:left w:val="single" w:sz="4" w:space="0" w:color="auto"/>
              <w:bottom w:val="single" w:sz="4" w:space="0" w:color="auto"/>
              <w:right w:val="single" w:sz="4" w:space="0" w:color="auto"/>
            </w:tcBorders>
            <w:noWrap/>
            <w:vAlign w:val="center"/>
            <w:hideMark/>
          </w:tcPr>
          <w:p w:rsidR="0084146E" w:rsidRPr="00906AFB" w:rsidRDefault="0084146E" w:rsidP="0084146E">
            <w:pPr>
              <w:spacing w:after="0" w:line="240" w:lineRule="auto"/>
              <w:jc w:val="center"/>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1.4</w:t>
            </w:r>
          </w:p>
        </w:tc>
        <w:tc>
          <w:tcPr>
            <w:tcW w:w="6044" w:type="dxa"/>
            <w:tcBorders>
              <w:top w:val="nil"/>
              <w:left w:val="nil"/>
              <w:bottom w:val="single" w:sz="4" w:space="0" w:color="auto"/>
              <w:right w:val="single" w:sz="4" w:space="0" w:color="auto"/>
            </w:tcBorders>
            <w:vAlign w:val="center"/>
            <w:hideMark/>
          </w:tcPr>
          <w:p w:rsidR="0084146E" w:rsidRPr="00906AFB" w:rsidRDefault="0084146E" w:rsidP="0084146E">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Impulsar la conformación de un sector turístico más rentable por medio de la innovación, la profesionalización y el adecuado aprovechamiento de los recursos naturales y culturales.</w:t>
            </w:r>
          </w:p>
        </w:tc>
        <w:tc>
          <w:tcPr>
            <w:tcW w:w="1476" w:type="dxa"/>
            <w:tcBorders>
              <w:top w:val="nil"/>
              <w:left w:val="nil"/>
              <w:bottom w:val="single" w:sz="4" w:space="0" w:color="auto"/>
              <w:right w:val="single" w:sz="4" w:space="0" w:color="auto"/>
            </w:tcBorders>
            <w:noWrap/>
            <w:vAlign w:val="center"/>
          </w:tcPr>
          <w:p w:rsidR="0084146E" w:rsidRPr="0084146E" w:rsidRDefault="0084146E" w:rsidP="0084146E">
            <w:pPr>
              <w:spacing w:after="0" w:line="240" w:lineRule="auto"/>
              <w:jc w:val="right"/>
              <w:rPr>
                <w:rFonts w:ascii="Arial" w:hAnsi="Arial" w:cs="Arial"/>
                <w:sz w:val="18"/>
                <w:szCs w:val="20"/>
              </w:rPr>
            </w:pPr>
            <w:r w:rsidRPr="0084146E">
              <w:rPr>
                <w:rFonts w:ascii="Arial" w:hAnsi="Arial" w:cs="Arial"/>
                <w:sz w:val="18"/>
                <w:szCs w:val="20"/>
              </w:rPr>
              <w:t>85,558,412</w:t>
            </w:r>
          </w:p>
        </w:tc>
      </w:tr>
      <w:tr w:rsidR="0084146E" w:rsidRPr="00906AFB" w:rsidTr="0084146E">
        <w:trPr>
          <w:trHeight w:val="283"/>
          <w:jc w:val="center"/>
        </w:trPr>
        <w:tc>
          <w:tcPr>
            <w:tcW w:w="820" w:type="dxa"/>
            <w:tcBorders>
              <w:top w:val="nil"/>
              <w:left w:val="single" w:sz="4" w:space="0" w:color="auto"/>
              <w:bottom w:val="single" w:sz="4" w:space="0" w:color="auto"/>
              <w:right w:val="single" w:sz="4" w:space="0" w:color="auto"/>
            </w:tcBorders>
            <w:noWrap/>
            <w:vAlign w:val="center"/>
            <w:hideMark/>
          </w:tcPr>
          <w:p w:rsidR="0084146E" w:rsidRPr="00906AFB" w:rsidRDefault="0084146E" w:rsidP="0084146E">
            <w:pPr>
              <w:spacing w:after="0" w:line="240" w:lineRule="auto"/>
              <w:jc w:val="center"/>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lastRenderedPageBreak/>
              <w:t>1.5</w:t>
            </w:r>
          </w:p>
        </w:tc>
        <w:tc>
          <w:tcPr>
            <w:tcW w:w="6044" w:type="dxa"/>
            <w:tcBorders>
              <w:top w:val="nil"/>
              <w:left w:val="nil"/>
              <w:bottom w:val="single" w:sz="4" w:space="0" w:color="auto"/>
              <w:right w:val="single" w:sz="4" w:space="0" w:color="auto"/>
            </w:tcBorders>
            <w:vAlign w:val="center"/>
            <w:hideMark/>
          </w:tcPr>
          <w:p w:rsidR="0084146E" w:rsidRPr="00906AFB" w:rsidRDefault="0084146E" w:rsidP="0084146E">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Incrementar la competitividad y productividad del campo colimense mediante su tecnificación, mayor financiamiento y protección social a los trabajadores.</w:t>
            </w:r>
          </w:p>
        </w:tc>
        <w:tc>
          <w:tcPr>
            <w:tcW w:w="1476" w:type="dxa"/>
            <w:tcBorders>
              <w:top w:val="nil"/>
              <w:left w:val="nil"/>
              <w:bottom w:val="single" w:sz="4" w:space="0" w:color="auto"/>
              <w:right w:val="single" w:sz="4" w:space="0" w:color="auto"/>
            </w:tcBorders>
            <w:noWrap/>
            <w:vAlign w:val="center"/>
          </w:tcPr>
          <w:p w:rsidR="0084146E" w:rsidRPr="0084146E" w:rsidRDefault="0084146E" w:rsidP="0084146E">
            <w:pPr>
              <w:spacing w:after="0" w:line="240" w:lineRule="auto"/>
              <w:jc w:val="right"/>
              <w:rPr>
                <w:rFonts w:ascii="Arial" w:hAnsi="Arial" w:cs="Arial"/>
                <w:sz w:val="18"/>
                <w:szCs w:val="20"/>
              </w:rPr>
            </w:pPr>
            <w:r w:rsidRPr="0084146E">
              <w:rPr>
                <w:rFonts w:ascii="Arial" w:hAnsi="Arial" w:cs="Arial"/>
                <w:sz w:val="18"/>
                <w:szCs w:val="20"/>
              </w:rPr>
              <w:t>822,596,655</w:t>
            </w:r>
          </w:p>
        </w:tc>
      </w:tr>
      <w:tr w:rsidR="0084146E" w:rsidRPr="00906AFB" w:rsidTr="0084146E">
        <w:trPr>
          <w:trHeight w:val="283"/>
          <w:jc w:val="center"/>
        </w:trPr>
        <w:tc>
          <w:tcPr>
            <w:tcW w:w="820" w:type="dxa"/>
            <w:tcBorders>
              <w:top w:val="nil"/>
              <w:left w:val="single" w:sz="4" w:space="0" w:color="auto"/>
              <w:bottom w:val="single" w:sz="4" w:space="0" w:color="auto"/>
              <w:right w:val="single" w:sz="4" w:space="0" w:color="auto"/>
            </w:tcBorders>
            <w:noWrap/>
            <w:vAlign w:val="center"/>
            <w:hideMark/>
          </w:tcPr>
          <w:p w:rsidR="0084146E" w:rsidRPr="00906AFB" w:rsidRDefault="0084146E" w:rsidP="0084146E">
            <w:pPr>
              <w:spacing w:after="0" w:line="240" w:lineRule="auto"/>
              <w:jc w:val="center"/>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1.6</w:t>
            </w:r>
          </w:p>
        </w:tc>
        <w:tc>
          <w:tcPr>
            <w:tcW w:w="6044" w:type="dxa"/>
            <w:tcBorders>
              <w:top w:val="nil"/>
              <w:left w:val="nil"/>
              <w:bottom w:val="single" w:sz="4" w:space="0" w:color="auto"/>
              <w:right w:val="single" w:sz="4" w:space="0" w:color="auto"/>
            </w:tcBorders>
            <w:vAlign w:val="center"/>
            <w:hideMark/>
          </w:tcPr>
          <w:p w:rsidR="0084146E" w:rsidRPr="00906AFB" w:rsidRDefault="0084146E" w:rsidP="0084146E">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Fortalecer la exportación agropecuaria y la generación de productos con valor agregado.</w:t>
            </w:r>
          </w:p>
        </w:tc>
        <w:tc>
          <w:tcPr>
            <w:tcW w:w="1476" w:type="dxa"/>
            <w:tcBorders>
              <w:top w:val="nil"/>
              <w:left w:val="nil"/>
              <w:bottom w:val="single" w:sz="4" w:space="0" w:color="auto"/>
              <w:right w:val="single" w:sz="4" w:space="0" w:color="auto"/>
            </w:tcBorders>
            <w:noWrap/>
            <w:vAlign w:val="center"/>
          </w:tcPr>
          <w:p w:rsidR="0084146E" w:rsidRPr="0084146E" w:rsidRDefault="0084146E" w:rsidP="0084146E">
            <w:pPr>
              <w:spacing w:after="0" w:line="240" w:lineRule="auto"/>
              <w:jc w:val="right"/>
              <w:rPr>
                <w:rFonts w:ascii="Arial" w:hAnsi="Arial" w:cs="Arial"/>
                <w:sz w:val="18"/>
                <w:szCs w:val="20"/>
              </w:rPr>
            </w:pPr>
            <w:r w:rsidRPr="0084146E">
              <w:rPr>
                <w:rFonts w:ascii="Arial" w:hAnsi="Arial" w:cs="Arial"/>
                <w:sz w:val="18"/>
                <w:szCs w:val="20"/>
              </w:rPr>
              <w:t>0</w:t>
            </w:r>
          </w:p>
        </w:tc>
      </w:tr>
      <w:tr w:rsidR="0084146E" w:rsidRPr="00906AFB" w:rsidTr="0084146E">
        <w:trPr>
          <w:trHeight w:val="283"/>
          <w:jc w:val="center"/>
        </w:trPr>
        <w:tc>
          <w:tcPr>
            <w:tcW w:w="820" w:type="dxa"/>
            <w:tcBorders>
              <w:top w:val="nil"/>
              <w:left w:val="single" w:sz="4" w:space="0" w:color="auto"/>
              <w:bottom w:val="single" w:sz="4" w:space="0" w:color="auto"/>
              <w:right w:val="single" w:sz="4" w:space="0" w:color="auto"/>
            </w:tcBorders>
            <w:noWrap/>
            <w:vAlign w:val="center"/>
            <w:hideMark/>
          </w:tcPr>
          <w:p w:rsidR="0084146E" w:rsidRPr="00906AFB" w:rsidRDefault="0084146E" w:rsidP="0084146E">
            <w:pPr>
              <w:spacing w:after="0" w:line="240" w:lineRule="auto"/>
              <w:jc w:val="center"/>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2.1</w:t>
            </w:r>
          </w:p>
        </w:tc>
        <w:tc>
          <w:tcPr>
            <w:tcW w:w="6044" w:type="dxa"/>
            <w:tcBorders>
              <w:top w:val="nil"/>
              <w:left w:val="nil"/>
              <w:bottom w:val="single" w:sz="4" w:space="0" w:color="auto"/>
              <w:right w:val="single" w:sz="4" w:space="0" w:color="auto"/>
            </w:tcBorders>
            <w:vAlign w:val="center"/>
            <w:hideMark/>
          </w:tcPr>
          <w:p w:rsidR="0084146E" w:rsidRPr="00906AFB" w:rsidRDefault="0084146E" w:rsidP="0084146E">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Disminuir la pobreza en el estado, especialmente la pobreza extrema y la carencia de acceso a la alimentación, mediante programas públicos que reduzcan la vulnerabilidad de las familias con menos recursos y les brinden opciones productivas.</w:t>
            </w:r>
          </w:p>
        </w:tc>
        <w:tc>
          <w:tcPr>
            <w:tcW w:w="1476" w:type="dxa"/>
            <w:tcBorders>
              <w:top w:val="nil"/>
              <w:left w:val="nil"/>
              <w:bottom w:val="single" w:sz="4" w:space="0" w:color="auto"/>
              <w:right w:val="single" w:sz="4" w:space="0" w:color="auto"/>
            </w:tcBorders>
            <w:noWrap/>
            <w:vAlign w:val="center"/>
          </w:tcPr>
          <w:p w:rsidR="0084146E" w:rsidRPr="0084146E" w:rsidRDefault="0084146E" w:rsidP="0084146E">
            <w:pPr>
              <w:spacing w:after="0" w:line="240" w:lineRule="auto"/>
              <w:jc w:val="right"/>
              <w:rPr>
                <w:rFonts w:ascii="Arial" w:hAnsi="Arial" w:cs="Arial"/>
                <w:sz w:val="18"/>
                <w:szCs w:val="20"/>
              </w:rPr>
            </w:pPr>
            <w:r w:rsidRPr="0084146E">
              <w:rPr>
                <w:rFonts w:ascii="Arial" w:hAnsi="Arial" w:cs="Arial"/>
                <w:sz w:val="18"/>
                <w:szCs w:val="20"/>
              </w:rPr>
              <w:t>1,307,846,601</w:t>
            </w:r>
          </w:p>
        </w:tc>
      </w:tr>
      <w:tr w:rsidR="0084146E" w:rsidRPr="00906AFB" w:rsidTr="0084146E">
        <w:trPr>
          <w:trHeight w:val="283"/>
          <w:jc w:val="center"/>
        </w:trPr>
        <w:tc>
          <w:tcPr>
            <w:tcW w:w="820" w:type="dxa"/>
            <w:tcBorders>
              <w:top w:val="nil"/>
              <w:left w:val="single" w:sz="4" w:space="0" w:color="auto"/>
              <w:bottom w:val="single" w:sz="4" w:space="0" w:color="auto"/>
              <w:right w:val="single" w:sz="4" w:space="0" w:color="auto"/>
            </w:tcBorders>
            <w:noWrap/>
            <w:vAlign w:val="center"/>
            <w:hideMark/>
          </w:tcPr>
          <w:p w:rsidR="0084146E" w:rsidRPr="00906AFB" w:rsidRDefault="0084146E" w:rsidP="0084146E">
            <w:pPr>
              <w:spacing w:after="0" w:line="240" w:lineRule="auto"/>
              <w:jc w:val="center"/>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2.2</w:t>
            </w:r>
          </w:p>
        </w:tc>
        <w:tc>
          <w:tcPr>
            <w:tcW w:w="6044" w:type="dxa"/>
            <w:tcBorders>
              <w:top w:val="nil"/>
              <w:left w:val="nil"/>
              <w:bottom w:val="single" w:sz="4" w:space="0" w:color="auto"/>
              <w:right w:val="single" w:sz="4" w:space="0" w:color="auto"/>
            </w:tcBorders>
            <w:vAlign w:val="center"/>
            <w:hideMark/>
          </w:tcPr>
          <w:p w:rsidR="0084146E" w:rsidRPr="00906AFB" w:rsidRDefault="0084146E" w:rsidP="0084146E">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Mejorar el bienestar de los colimenses mediante una política de salud enfocada en la prevención, en prestar servicios de calidad y proteger a la población más vulnerable.</w:t>
            </w:r>
          </w:p>
        </w:tc>
        <w:tc>
          <w:tcPr>
            <w:tcW w:w="1476" w:type="dxa"/>
            <w:tcBorders>
              <w:top w:val="nil"/>
              <w:left w:val="nil"/>
              <w:bottom w:val="single" w:sz="4" w:space="0" w:color="auto"/>
              <w:right w:val="single" w:sz="4" w:space="0" w:color="auto"/>
            </w:tcBorders>
            <w:noWrap/>
            <w:vAlign w:val="center"/>
          </w:tcPr>
          <w:p w:rsidR="0084146E" w:rsidRPr="0084146E" w:rsidRDefault="0084146E" w:rsidP="0084146E">
            <w:pPr>
              <w:spacing w:after="0" w:line="240" w:lineRule="auto"/>
              <w:jc w:val="right"/>
              <w:rPr>
                <w:rFonts w:ascii="Arial" w:hAnsi="Arial" w:cs="Arial"/>
                <w:sz w:val="18"/>
                <w:szCs w:val="20"/>
              </w:rPr>
            </w:pPr>
            <w:r w:rsidRPr="0084146E">
              <w:rPr>
                <w:rFonts w:ascii="Arial" w:hAnsi="Arial" w:cs="Arial"/>
                <w:sz w:val="18"/>
                <w:szCs w:val="20"/>
              </w:rPr>
              <w:t>1,644,440,156</w:t>
            </w:r>
          </w:p>
        </w:tc>
      </w:tr>
      <w:tr w:rsidR="0084146E" w:rsidRPr="00906AFB" w:rsidTr="0084146E">
        <w:trPr>
          <w:trHeight w:val="283"/>
          <w:jc w:val="center"/>
        </w:trPr>
        <w:tc>
          <w:tcPr>
            <w:tcW w:w="820" w:type="dxa"/>
            <w:tcBorders>
              <w:top w:val="nil"/>
              <w:left w:val="single" w:sz="4" w:space="0" w:color="auto"/>
              <w:bottom w:val="single" w:sz="4" w:space="0" w:color="auto"/>
              <w:right w:val="single" w:sz="4" w:space="0" w:color="auto"/>
            </w:tcBorders>
            <w:noWrap/>
            <w:vAlign w:val="center"/>
            <w:hideMark/>
          </w:tcPr>
          <w:p w:rsidR="0084146E" w:rsidRPr="00906AFB" w:rsidRDefault="0084146E" w:rsidP="0084146E">
            <w:pPr>
              <w:spacing w:after="0" w:line="240" w:lineRule="auto"/>
              <w:jc w:val="center"/>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2.3</w:t>
            </w:r>
          </w:p>
        </w:tc>
        <w:tc>
          <w:tcPr>
            <w:tcW w:w="6044" w:type="dxa"/>
            <w:tcBorders>
              <w:top w:val="nil"/>
              <w:left w:val="nil"/>
              <w:bottom w:val="single" w:sz="4" w:space="0" w:color="auto"/>
              <w:right w:val="single" w:sz="4" w:space="0" w:color="auto"/>
            </w:tcBorders>
            <w:vAlign w:val="center"/>
            <w:hideMark/>
          </w:tcPr>
          <w:p w:rsidR="0084146E" w:rsidRPr="00906AFB" w:rsidRDefault="0084146E" w:rsidP="0084146E">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Fortalecer la cobertura y la calidad educativa, la investigación y la vinculación entre el sistema educativo y productivo, como bases para mejorar el desarrollo económico de Colima y el bienestar de la población.</w:t>
            </w:r>
          </w:p>
        </w:tc>
        <w:tc>
          <w:tcPr>
            <w:tcW w:w="1476" w:type="dxa"/>
            <w:tcBorders>
              <w:top w:val="nil"/>
              <w:left w:val="nil"/>
              <w:bottom w:val="single" w:sz="4" w:space="0" w:color="auto"/>
              <w:right w:val="single" w:sz="4" w:space="0" w:color="auto"/>
            </w:tcBorders>
            <w:noWrap/>
            <w:vAlign w:val="center"/>
          </w:tcPr>
          <w:p w:rsidR="0084146E" w:rsidRPr="0084146E" w:rsidRDefault="0084146E" w:rsidP="0084146E">
            <w:pPr>
              <w:spacing w:after="0" w:line="240" w:lineRule="auto"/>
              <w:jc w:val="right"/>
              <w:rPr>
                <w:rFonts w:ascii="Arial" w:hAnsi="Arial" w:cs="Arial"/>
                <w:sz w:val="18"/>
                <w:szCs w:val="20"/>
              </w:rPr>
            </w:pPr>
            <w:r w:rsidRPr="0084146E">
              <w:rPr>
                <w:rFonts w:ascii="Arial" w:hAnsi="Arial" w:cs="Arial"/>
                <w:sz w:val="18"/>
                <w:szCs w:val="20"/>
              </w:rPr>
              <w:t>6,057,941,105</w:t>
            </w:r>
          </w:p>
        </w:tc>
      </w:tr>
      <w:tr w:rsidR="0084146E" w:rsidRPr="00906AFB" w:rsidTr="0084146E">
        <w:trPr>
          <w:trHeight w:val="283"/>
          <w:jc w:val="center"/>
        </w:trPr>
        <w:tc>
          <w:tcPr>
            <w:tcW w:w="820" w:type="dxa"/>
            <w:tcBorders>
              <w:top w:val="nil"/>
              <w:left w:val="single" w:sz="4" w:space="0" w:color="auto"/>
              <w:bottom w:val="single" w:sz="4" w:space="0" w:color="auto"/>
              <w:right w:val="single" w:sz="4" w:space="0" w:color="auto"/>
            </w:tcBorders>
            <w:noWrap/>
            <w:vAlign w:val="center"/>
            <w:hideMark/>
          </w:tcPr>
          <w:p w:rsidR="0084146E" w:rsidRPr="00906AFB" w:rsidRDefault="0084146E" w:rsidP="0084146E">
            <w:pPr>
              <w:spacing w:after="0" w:line="240" w:lineRule="auto"/>
              <w:jc w:val="center"/>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2.4</w:t>
            </w:r>
          </w:p>
        </w:tc>
        <w:tc>
          <w:tcPr>
            <w:tcW w:w="6044" w:type="dxa"/>
            <w:tcBorders>
              <w:top w:val="nil"/>
              <w:left w:val="nil"/>
              <w:bottom w:val="single" w:sz="4" w:space="0" w:color="auto"/>
              <w:right w:val="single" w:sz="4" w:space="0" w:color="auto"/>
            </w:tcBorders>
            <w:vAlign w:val="center"/>
            <w:hideMark/>
          </w:tcPr>
          <w:p w:rsidR="0084146E" w:rsidRPr="00906AFB" w:rsidRDefault="0084146E" w:rsidP="0084146E">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Incrementar la calidad de vida de los colimenses mediante mejores bienes y servicios públicos, que coadyuven a reducir la pobreza y a mejorar la competitividad del estado.</w:t>
            </w:r>
          </w:p>
        </w:tc>
        <w:tc>
          <w:tcPr>
            <w:tcW w:w="1476" w:type="dxa"/>
            <w:tcBorders>
              <w:top w:val="nil"/>
              <w:left w:val="nil"/>
              <w:bottom w:val="single" w:sz="4" w:space="0" w:color="auto"/>
              <w:right w:val="single" w:sz="4" w:space="0" w:color="auto"/>
            </w:tcBorders>
            <w:noWrap/>
            <w:vAlign w:val="center"/>
          </w:tcPr>
          <w:p w:rsidR="0084146E" w:rsidRPr="0084146E" w:rsidRDefault="0084146E" w:rsidP="0084146E">
            <w:pPr>
              <w:spacing w:after="0" w:line="240" w:lineRule="auto"/>
              <w:jc w:val="right"/>
              <w:rPr>
                <w:rFonts w:ascii="Arial" w:hAnsi="Arial" w:cs="Arial"/>
                <w:sz w:val="18"/>
                <w:szCs w:val="20"/>
              </w:rPr>
            </w:pPr>
            <w:r w:rsidRPr="0084146E">
              <w:rPr>
                <w:rFonts w:ascii="Arial" w:hAnsi="Arial" w:cs="Arial"/>
                <w:sz w:val="18"/>
                <w:szCs w:val="20"/>
              </w:rPr>
              <w:t>365,143,000</w:t>
            </w:r>
          </w:p>
        </w:tc>
      </w:tr>
      <w:tr w:rsidR="0084146E" w:rsidRPr="00906AFB" w:rsidTr="0084146E">
        <w:trPr>
          <w:trHeight w:val="283"/>
          <w:jc w:val="center"/>
        </w:trPr>
        <w:tc>
          <w:tcPr>
            <w:tcW w:w="820" w:type="dxa"/>
            <w:tcBorders>
              <w:top w:val="nil"/>
              <w:left w:val="single" w:sz="4" w:space="0" w:color="auto"/>
              <w:bottom w:val="single" w:sz="4" w:space="0" w:color="auto"/>
              <w:right w:val="single" w:sz="4" w:space="0" w:color="auto"/>
            </w:tcBorders>
            <w:noWrap/>
            <w:vAlign w:val="center"/>
            <w:hideMark/>
          </w:tcPr>
          <w:p w:rsidR="0084146E" w:rsidRPr="00906AFB" w:rsidRDefault="0084146E" w:rsidP="0084146E">
            <w:pPr>
              <w:spacing w:after="0" w:line="240" w:lineRule="auto"/>
              <w:jc w:val="center"/>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2.5</w:t>
            </w:r>
          </w:p>
        </w:tc>
        <w:tc>
          <w:tcPr>
            <w:tcW w:w="6044" w:type="dxa"/>
            <w:tcBorders>
              <w:top w:val="nil"/>
              <w:left w:val="nil"/>
              <w:bottom w:val="single" w:sz="4" w:space="0" w:color="auto"/>
              <w:right w:val="single" w:sz="4" w:space="0" w:color="auto"/>
            </w:tcBorders>
            <w:vAlign w:val="center"/>
            <w:hideMark/>
          </w:tcPr>
          <w:p w:rsidR="0084146E" w:rsidRPr="00906AFB" w:rsidRDefault="0084146E" w:rsidP="0084146E">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Ampliar el acceso a las actividades culturales y promover el deporte como una forma de vida entre los colimenses.</w:t>
            </w:r>
          </w:p>
        </w:tc>
        <w:tc>
          <w:tcPr>
            <w:tcW w:w="1476" w:type="dxa"/>
            <w:tcBorders>
              <w:top w:val="nil"/>
              <w:left w:val="nil"/>
              <w:bottom w:val="single" w:sz="4" w:space="0" w:color="auto"/>
              <w:right w:val="single" w:sz="4" w:space="0" w:color="auto"/>
            </w:tcBorders>
            <w:noWrap/>
            <w:vAlign w:val="center"/>
          </w:tcPr>
          <w:p w:rsidR="0084146E" w:rsidRPr="0084146E" w:rsidRDefault="0084146E" w:rsidP="0084146E">
            <w:pPr>
              <w:spacing w:after="0" w:line="240" w:lineRule="auto"/>
              <w:jc w:val="right"/>
              <w:rPr>
                <w:rFonts w:ascii="Arial" w:hAnsi="Arial" w:cs="Arial"/>
                <w:sz w:val="18"/>
                <w:szCs w:val="20"/>
              </w:rPr>
            </w:pPr>
            <w:r w:rsidRPr="0084146E">
              <w:rPr>
                <w:rFonts w:ascii="Arial" w:hAnsi="Arial" w:cs="Arial"/>
                <w:sz w:val="18"/>
                <w:szCs w:val="20"/>
              </w:rPr>
              <w:t>242,450,521</w:t>
            </w:r>
          </w:p>
        </w:tc>
      </w:tr>
      <w:tr w:rsidR="0084146E" w:rsidRPr="00906AFB" w:rsidTr="0084146E">
        <w:trPr>
          <w:trHeight w:val="283"/>
          <w:jc w:val="center"/>
        </w:trPr>
        <w:tc>
          <w:tcPr>
            <w:tcW w:w="820" w:type="dxa"/>
            <w:tcBorders>
              <w:top w:val="nil"/>
              <w:left w:val="single" w:sz="4" w:space="0" w:color="auto"/>
              <w:bottom w:val="single" w:sz="4" w:space="0" w:color="auto"/>
              <w:right w:val="single" w:sz="4" w:space="0" w:color="auto"/>
            </w:tcBorders>
            <w:noWrap/>
            <w:vAlign w:val="center"/>
            <w:hideMark/>
          </w:tcPr>
          <w:p w:rsidR="0084146E" w:rsidRPr="00906AFB" w:rsidRDefault="0084146E" w:rsidP="0084146E">
            <w:pPr>
              <w:spacing w:after="0" w:line="240" w:lineRule="auto"/>
              <w:jc w:val="center"/>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2.6</w:t>
            </w:r>
          </w:p>
        </w:tc>
        <w:tc>
          <w:tcPr>
            <w:tcW w:w="6044" w:type="dxa"/>
            <w:tcBorders>
              <w:top w:val="nil"/>
              <w:left w:val="nil"/>
              <w:bottom w:val="single" w:sz="4" w:space="0" w:color="auto"/>
              <w:right w:val="single" w:sz="4" w:space="0" w:color="auto"/>
            </w:tcBorders>
            <w:vAlign w:val="center"/>
            <w:hideMark/>
          </w:tcPr>
          <w:p w:rsidR="0084146E" w:rsidRPr="00906AFB" w:rsidRDefault="0084146E" w:rsidP="0084146E">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Fortalecer otras líneas de política del eje Colima con mayor calidad de vida</w:t>
            </w:r>
          </w:p>
        </w:tc>
        <w:tc>
          <w:tcPr>
            <w:tcW w:w="1476" w:type="dxa"/>
            <w:tcBorders>
              <w:top w:val="nil"/>
              <w:left w:val="nil"/>
              <w:bottom w:val="single" w:sz="4" w:space="0" w:color="auto"/>
              <w:right w:val="single" w:sz="4" w:space="0" w:color="auto"/>
            </w:tcBorders>
            <w:noWrap/>
            <w:vAlign w:val="center"/>
          </w:tcPr>
          <w:p w:rsidR="0084146E" w:rsidRPr="0084146E" w:rsidRDefault="0084146E" w:rsidP="0084146E">
            <w:pPr>
              <w:spacing w:after="0" w:line="240" w:lineRule="auto"/>
              <w:jc w:val="right"/>
              <w:rPr>
                <w:rFonts w:ascii="Arial" w:hAnsi="Arial" w:cs="Arial"/>
                <w:sz w:val="18"/>
                <w:szCs w:val="20"/>
              </w:rPr>
            </w:pPr>
            <w:r w:rsidRPr="0084146E">
              <w:rPr>
                <w:rFonts w:ascii="Arial" w:hAnsi="Arial" w:cs="Arial"/>
                <w:sz w:val="18"/>
                <w:szCs w:val="20"/>
              </w:rPr>
              <w:t>8,998,927</w:t>
            </w:r>
          </w:p>
        </w:tc>
      </w:tr>
      <w:tr w:rsidR="0084146E" w:rsidRPr="00906AFB" w:rsidTr="0084146E">
        <w:trPr>
          <w:trHeight w:val="283"/>
          <w:jc w:val="center"/>
        </w:trPr>
        <w:tc>
          <w:tcPr>
            <w:tcW w:w="820" w:type="dxa"/>
            <w:tcBorders>
              <w:top w:val="nil"/>
              <w:left w:val="single" w:sz="4" w:space="0" w:color="auto"/>
              <w:bottom w:val="single" w:sz="4" w:space="0" w:color="auto"/>
              <w:right w:val="single" w:sz="4" w:space="0" w:color="auto"/>
            </w:tcBorders>
            <w:noWrap/>
            <w:vAlign w:val="center"/>
            <w:hideMark/>
          </w:tcPr>
          <w:p w:rsidR="0084146E" w:rsidRPr="00906AFB" w:rsidRDefault="0084146E" w:rsidP="0084146E">
            <w:pPr>
              <w:spacing w:after="0" w:line="240" w:lineRule="auto"/>
              <w:jc w:val="center"/>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3.1</w:t>
            </w:r>
          </w:p>
        </w:tc>
        <w:tc>
          <w:tcPr>
            <w:tcW w:w="6044" w:type="dxa"/>
            <w:tcBorders>
              <w:top w:val="nil"/>
              <w:left w:val="nil"/>
              <w:bottom w:val="single" w:sz="4" w:space="0" w:color="auto"/>
              <w:right w:val="single" w:sz="4" w:space="0" w:color="auto"/>
            </w:tcBorders>
            <w:vAlign w:val="center"/>
            <w:hideMark/>
          </w:tcPr>
          <w:p w:rsidR="0084146E" w:rsidRPr="00906AFB" w:rsidRDefault="0084146E" w:rsidP="0084146E">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 xml:space="preserve">Disminuir los índices delictivos, recuperar la cohesión social y mejorar la preparación ante eventos contingentes a fin de recobrar la tranquilidad en el estado. </w:t>
            </w:r>
          </w:p>
        </w:tc>
        <w:tc>
          <w:tcPr>
            <w:tcW w:w="1476" w:type="dxa"/>
            <w:tcBorders>
              <w:top w:val="nil"/>
              <w:left w:val="nil"/>
              <w:bottom w:val="single" w:sz="4" w:space="0" w:color="auto"/>
              <w:right w:val="single" w:sz="4" w:space="0" w:color="auto"/>
            </w:tcBorders>
            <w:noWrap/>
            <w:vAlign w:val="center"/>
          </w:tcPr>
          <w:p w:rsidR="0084146E" w:rsidRPr="0084146E" w:rsidRDefault="0084146E" w:rsidP="0084146E">
            <w:pPr>
              <w:spacing w:after="0" w:line="240" w:lineRule="auto"/>
              <w:jc w:val="right"/>
              <w:rPr>
                <w:rFonts w:ascii="Arial" w:hAnsi="Arial" w:cs="Arial"/>
                <w:sz w:val="18"/>
                <w:szCs w:val="20"/>
              </w:rPr>
            </w:pPr>
            <w:r w:rsidRPr="0084146E">
              <w:rPr>
                <w:rFonts w:ascii="Arial" w:hAnsi="Arial" w:cs="Arial"/>
                <w:sz w:val="18"/>
                <w:szCs w:val="20"/>
              </w:rPr>
              <w:t>563,891,915</w:t>
            </w:r>
          </w:p>
        </w:tc>
      </w:tr>
      <w:tr w:rsidR="0084146E" w:rsidRPr="00906AFB" w:rsidTr="0084146E">
        <w:trPr>
          <w:trHeight w:val="283"/>
          <w:jc w:val="center"/>
        </w:trPr>
        <w:tc>
          <w:tcPr>
            <w:tcW w:w="820" w:type="dxa"/>
            <w:tcBorders>
              <w:top w:val="nil"/>
              <w:left w:val="single" w:sz="4" w:space="0" w:color="auto"/>
              <w:bottom w:val="single" w:sz="4" w:space="0" w:color="auto"/>
              <w:right w:val="single" w:sz="4" w:space="0" w:color="auto"/>
            </w:tcBorders>
            <w:noWrap/>
            <w:vAlign w:val="center"/>
            <w:hideMark/>
          </w:tcPr>
          <w:p w:rsidR="0084146E" w:rsidRPr="00906AFB" w:rsidRDefault="0084146E" w:rsidP="0084146E">
            <w:pPr>
              <w:spacing w:after="0" w:line="240" w:lineRule="auto"/>
              <w:jc w:val="center"/>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3.2</w:t>
            </w:r>
          </w:p>
        </w:tc>
        <w:tc>
          <w:tcPr>
            <w:tcW w:w="6044" w:type="dxa"/>
            <w:tcBorders>
              <w:top w:val="nil"/>
              <w:left w:val="nil"/>
              <w:bottom w:val="single" w:sz="4" w:space="0" w:color="auto"/>
              <w:right w:val="single" w:sz="4" w:space="0" w:color="auto"/>
            </w:tcBorders>
            <w:vAlign w:val="center"/>
            <w:hideMark/>
          </w:tcPr>
          <w:p w:rsidR="0084146E" w:rsidRPr="00906AFB" w:rsidRDefault="0084146E" w:rsidP="0084146E">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Contar con un sistema de procuración e impartición de justicia transparente, eficiente y equitativo, que permita recobrar la confianza de la ciudadanía.</w:t>
            </w:r>
          </w:p>
        </w:tc>
        <w:tc>
          <w:tcPr>
            <w:tcW w:w="1476" w:type="dxa"/>
            <w:tcBorders>
              <w:top w:val="nil"/>
              <w:left w:val="nil"/>
              <w:bottom w:val="single" w:sz="4" w:space="0" w:color="auto"/>
              <w:right w:val="single" w:sz="4" w:space="0" w:color="auto"/>
            </w:tcBorders>
            <w:noWrap/>
            <w:vAlign w:val="center"/>
          </w:tcPr>
          <w:p w:rsidR="0084146E" w:rsidRPr="0084146E" w:rsidRDefault="0084146E" w:rsidP="0084146E">
            <w:pPr>
              <w:spacing w:after="0" w:line="240" w:lineRule="auto"/>
              <w:jc w:val="right"/>
              <w:rPr>
                <w:rFonts w:ascii="Arial" w:hAnsi="Arial" w:cs="Arial"/>
                <w:sz w:val="18"/>
                <w:szCs w:val="20"/>
              </w:rPr>
            </w:pPr>
            <w:r w:rsidRPr="0084146E">
              <w:rPr>
                <w:rFonts w:ascii="Arial" w:hAnsi="Arial" w:cs="Arial"/>
                <w:sz w:val="18"/>
                <w:szCs w:val="20"/>
              </w:rPr>
              <w:t>588,927,658</w:t>
            </w:r>
          </w:p>
        </w:tc>
      </w:tr>
      <w:tr w:rsidR="0084146E" w:rsidRPr="00906AFB" w:rsidTr="0084146E">
        <w:trPr>
          <w:trHeight w:val="283"/>
          <w:jc w:val="center"/>
        </w:trPr>
        <w:tc>
          <w:tcPr>
            <w:tcW w:w="820" w:type="dxa"/>
            <w:tcBorders>
              <w:top w:val="nil"/>
              <w:left w:val="single" w:sz="4" w:space="0" w:color="auto"/>
              <w:bottom w:val="single" w:sz="4" w:space="0" w:color="auto"/>
              <w:right w:val="single" w:sz="4" w:space="0" w:color="auto"/>
            </w:tcBorders>
            <w:noWrap/>
            <w:vAlign w:val="center"/>
            <w:hideMark/>
          </w:tcPr>
          <w:p w:rsidR="0084146E" w:rsidRPr="00906AFB" w:rsidRDefault="0084146E" w:rsidP="0084146E">
            <w:pPr>
              <w:spacing w:after="0" w:line="240" w:lineRule="auto"/>
              <w:jc w:val="center"/>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3.3</w:t>
            </w:r>
          </w:p>
        </w:tc>
        <w:tc>
          <w:tcPr>
            <w:tcW w:w="6044" w:type="dxa"/>
            <w:tcBorders>
              <w:top w:val="nil"/>
              <w:left w:val="nil"/>
              <w:bottom w:val="single" w:sz="4" w:space="0" w:color="auto"/>
              <w:right w:val="single" w:sz="4" w:space="0" w:color="auto"/>
            </w:tcBorders>
            <w:vAlign w:val="center"/>
            <w:hideMark/>
          </w:tcPr>
          <w:p w:rsidR="0084146E" w:rsidRPr="00906AFB" w:rsidRDefault="0084146E" w:rsidP="0084146E">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Asegurar y transparentar la debida aplicación de la ley, así como el respeto a los derechos humanos.</w:t>
            </w:r>
          </w:p>
        </w:tc>
        <w:tc>
          <w:tcPr>
            <w:tcW w:w="1476" w:type="dxa"/>
            <w:tcBorders>
              <w:top w:val="nil"/>
              <w:left w:val="nil"/>
              <w:bottom w:val="single" w:sz="4" w:space="0" w:color="auto"/>
              <w:right w:val="single" w:sz="4" w:space="0" w:color="auto"/>
            </w:tcBorders>
            <w:noWrap/>
            <w:vAlign w:val="center"/>
          </w:tcPr>
          <w:p w:rsidR="0084146E" w:rsidRPr="0084146E" w:rsidRDefault="0084146E" w:rsidP="0084146E">
            <w:pPr>
              <w:spacing w:after="0" w:line="240" w:lineRule="auto"/>
              <w:jc w:val="right"/>
              <w:rPr>
                <w:rFonts w:ascii="Arial" w:hAnsi="Arial" w:cs="Arial"/>
                <w:sz w:val="18"/>
                <w:szCs w:val="20"/>
              </w:rPr>
            </w:pPr>
            <w:r w:rsidRPr="0084146E">
              <w:rPr>
                <w:rFonts w:ascii="Arial" w:hAnsi="Arial" w:cs="Arial"/>
                <w:sz w:val="18"/>
                <w:szCs w:val="20"/>
              </w:rPr>
              <w:t>46,871,331</w:t>
            </w:r>
          </w:p>
        </w:tc>
      </w:tr>
      <w:tr w:rsidR="0084146E" w:rsidRPr="00906AFB" w:rsidTr="0084146E">
        <w:trPr>
          <w:trHeight w:val="283"/>
          <w:jc w:val="center"/>
        </w:trPr>
        <w:tc>
          <w:tcPr>
            <w:tcW w:w="820" w:type="dxa"/>
            <w:tcBorders>
              <w:top w:val="nil"/>
              <w:left w:val="single" w:sz="4" w:space="0" w:color="auto"/>
              <w:bottom w:val="single" w:sz="4" w:space="0" w:color="auto"/>
              <w:right w:val="single" w:sz="4" w:space="0" w:color="auto"/>
            </w:tcBorders>
            <w:noWrap/>
            <w:vAlign w:val="center"/>
            <w:hideMark/>
          </w:tcPr>
          <w:p w:rsidR="0084146E" w:rsidRPr="00906AFB" w:rsidRDefault="0084146E" w:rsidP="0084146E">
            <w:pPr>
              <w:spacing w:after="0" w:line="240" w:lineRule="auto"/>
              <w:jc w:val="center"/>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3.4</w:t>
            </w:r>
          </w:p>
        </w:tc>
        <w:tc>
          <w:tcPr>
            <w:tcW w:w="6044" w:type="dxa"/>
            <w:tcBorders>
              <w:top w:val="nil"/>
              <w:left w:val="nil"/>
              <w:bottom w:val="single" w:sz="4" w:space="0" w:color="auto"/>
              <w:right w:val="single" w:sz="4" w:space="0" w:color="auto"/>
            </w:tcBorders>
            <w:vAlign w:val="center"/>
            <w:hideMark/>
          </w:tcPr>
          <w:p w:rsidR="0084146E" w:rsidRPr="00906AFB" w:rsidRDefault="0084146E" w:rsidP="0084146E">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Fortalecer y adecuar la infraestructura de las instituciones de seguridad para mejorar sus capacidades de operación y de respuesta.</w:t>
            </w:r>
          </w:p>
        </w:tc>
        <w:tc>
          <w:tcPr>
            <w:tcW w:w="1476" w:type="dxa"/>
            <w:tcBorders>
              <w:top w:val="nil"/>
              <w:left w:val="nil"/>
              <w:bottom w:val="single" w:sz="4" w:space="0" w:color="auto"/>
              <w:right w:val="single" w:sz="4" w:space="0" w:color="auto"/>
            </w:tcBorders>
            <w:noWrap/>
            <w:vAlign w:val="center"/>
          </w:tcPr>
          <w:p w:rsidR="0084146E" w:rsidRPr="0084146E" w:rsidRDefault="0084146E" w:rsidP="0084146E">
            <w:pPr>
              <w:spacing w:after="0" w:line="240" w:lineRule="auto"/>
              <w:jc w:val="right"/>
              <w:rPr>
                <w:rFonts w:ascii="Arial" w:hAnsi="Arial" w:cs="Arial"/>
                <w:sz w:val="18"/>
                <w:szCs w:val="20"/>
              </w:rPr>
            </w:pPr>
            <w:r w:rsidRPr="0084146E">
              <w:rPr>
                <w:rFonts w:ascii="Arial" w:hAnsi="Arial" w:cs="Arial"/>
                <w:sz w:val="18"/>
                <w:szCs w:val="20"/>
              </w:rPr>
              <w:t>279,888,800</w:t>
            </w:r>
          </w:p>
        </w:tc>
      </w:tr>
      <w:tr w:rsidR="0084146E" w:rsidRPr="00906AFB" w:rsidTr="0084146E">
        <w:trPr>
          <w:trHeight w:val="283"/>
          <w:jc w:val="center"/>
        </w:trPr>
        <w:tc>
          <w:tcPr>
            <w:tcW w:w="820" w:type="dxa"/>
            <w:tcBorders>
              <w:top w:val="nil"/>
              <w:left w:val="single" w:sz="4" w:space="0" w:color="auto"/>
              <w:bottom w:val="single" w:sz="4" w:space="0" w:color="auto"/>
              <w:right w:val="single" w:sz="4" w:space="0" w:color="auto"/>
            </w:tcBorders>
            <w:noWrap/>
            <w:vAlign w:val="center"/>
            <w:hideMark/>
          </w:tcPr>
          <w:p w:rsidR="0084146E" w:rsidRPr="00906AFB" w:rsidRDefault="0084146E" w:rsidP="0084146E">
            <w:pPr>
              <w:spacing w:after="0" w:line="240" w:lineRule="auto"/>
              <w:jc w:val="center"/>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4.1</w:t>
            </w:r>
          </w:p>
        </w:tc>
        <w:tc>
          <w:tcPr>
            <w:tcW w:w="6044" w:type="dxa"/>
            <w:tcBorders>
              <w:top w:val="nil"/>
              <w:left w:val="nil"/>
              <w:bottom w:val="single" w:sz="4" w:space="0" w:color="auto"/>
              <w:right w:val="single" w:sz="4" w:space="0" w:color="auto"/>
            </w:tcBorders>
            <w:vAlign w:val="center"/>
            <w:hideMark/>
          </w:tcPr>
          <w:p w:rsidR="0084146E" w:rsidRPr="00906AFB" w:rsidRDefault="0084146E" w:rsidP="0084146E">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Fortalecer las finanzas públicas del estado mediante la revisión de las políticas de ingresos, egresos y deuda pública.</w:t>
            </w:r>
          </w:p>
        </w:tc>
        <w:tc>
          <w:tcPr>
            <w:tcW w:w="1476" w:type="dxa"/>
            <w:tcBorders>
              <w:top w:val="nil"/>
              <w:left w:val="nil"/>
              <w:bottom w:val="single" w:sz="4" w:space="0" w:color="auto"/>
              <w:right w:val="single" w:sz="4" w:space="0" w:color="auto"/>
            </w:tcBorders>
            <w:noWrap/>
            <w:vAlign w:val="center"/>
          </w:tcPr>
          <w:p w:rsidR="0084146E" w:rsidRPr="0084146E" w:rsidRDefault="0084146E" w:rsidP="0084146E">
            <w:pPr>
              <w:spacing w:after="0" w:line="240" w:lineRule="auto"/>
              <w:jc w:val="right"/>
              <w:rPr>
                <w:rFonts w:ascii="Arial" w:hAnsi="Arial" w:cs="Arial"/>
                <w:sz w:val="18"/>
                <w:szCs w:val="20"/>
              </w:rPr>
            </w:pPr>
            <w:r w:rsidRPr="0084146E">
              <w:rPr>
                <w:rFonts w:ascii="Arial" w:hAnsi="Arial" w:cs="Arial"/>
                <w:sz w:val="18"/>
                <w:szCs w:val="20"/>
              </w:rPr>
              <w:t>2,390,756,257</w:t>
            </w:r>
          </w:p>
        </w:tc>
      </w:tr>
      <w:tr w:rsidR="0084146E" w:rsidRPr="00906AFB" w:rsidTr="0084146E">
        <w:trPr>
          <w:trHeight w:val="283"/>
          <w:jc w:val="center"/>
        </w:trPr>
        <w:tc>
          <w:tcPr>
            <w:tcW w:w="820" w:type="dxa"/>
            <w:tcBorders>
              <w:top w:val="nil"/>
              <w:left w:val="single" w:sz="4" w:space="0" w:color="auto"/>
              <w:bottom w:val="single" w:sz="4" w:space="0" w:color="auto"/>
              <w:right w:val="single" w:sz="4" w:space="0" w:color="auto"/>
            </w:tcBorders>
            <w:noWrap/>
            <w:vAlign w:val="center"/>
            <w:hideMark/>
          </w:tcPr>
          <w:p w:rsidR="0084146E" w:rsidRPr="00906AFB" w:rsidRDefault="0084146E" w:rsidP="0084146E">
            <w:pPr>
              <w:spacing w:after="0" w:line="240" w:lineRule="auto"/>
              <w:jc w:val="center"/>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4.2</w:t>
            </w:r>
          </w:p>
        </w:tc>
        <w:tc>
          <w:tcPr>
            <w:tcW w:w="6044" w:type="dxa"/>
            <w:tcBorders>
              <w:top w:val="nil"/>
              <w:left w:val="nil"/>
              <w:bottom w:val="single" w:sz="4" w:space="0" w:color="auto"/>
              <w:right w:val="single" w:sz="4" w:space="0" w:color="auto"/>
            </w:tcBorders>
            <w:vAlign w:val="center"/>
            <w:hideMark/>
          </w:tcPr>
          <w:p w:rsidR="0084146E" w:rsidRPr="00906AFB" w:rsidRDefault="0084146E" w:rsidP="0084146E">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Modernizar la gestión pública mediante la actualización del marco normativo, la implementación de mejoras regulatorias, la simplificación de trámites, la reducción de costos y la capacitación de servidores públicos.</w:t>
            </w:r>
          </w:p>
        </w:tc>
        <w:tc>
          <w:tcPr>
            <w:tcW w:w="1476" w:type="dxa"/>
            <w:tcBorders>
              <w:top w:val="nil"/>
              <w:left w:val="nil"/>
              <w:bottom w:val="single" w:sz="4" w:space="0" w:color="auto"/>
              <w:right w:val="single" w:sz="4" w:space="0" w:color="auto"/>
            </w:tcBorders>
            <w:noWrap/>
            <w:vAlign w:val="center"/>
          </w:tcPr>
          <w:p w:rsidR="0084146E" w:rsidRPr="0084146E" w:rsidRDefault="0084146E" w:rsidP="0084146E">
            <w:pPr>
              <w:spacing w:after="0" w:line="240" w:lineRule="auto"/>
              <w:jc w:val="right"/>
              <w:rPr>
                <w:rFonts w:ascii="Arial" w:hAnsi="Arial" w:cs="Arial"/>
                <w:sz w:val="18"/>
                <w:szCs w:val="20"/>
              </w:rPr>
            </w:pPr>
            <w:r w:rsidRPr="0084146E">
              <w:rPr>
                <w:rFonts w:ascii="Arial" w:hAnsi="Arial" w:cs="Arial"/>
                <w:sz w:val="18"/>
                <w:szCs w:val="20"/>
              </w:rPr>
              <w:t>238,783,016</w:t>
            </w:r>
          </w:p>
        </w:tc>
      </w:tr>
      <w:tr w:rsidR="0084146E" w:rsidRPr="00906AFB" w:rsidTr="0084146E">
        <w:trPr>
          <w:trHeight w:val="283"/>
          <w:jc w:val="center"/>
        </w:trPr>
        <w:tc>
          <w:tcPr>
            <w:tcW w:w="820" w:type="dxa"/>
            <w:tcBorders>
              <w:top w:val="nil"/>
              <w:left w:val="single" w:sz="4" w:space="0" w:color="auto"/>
              <w:bottom w:val="single" w:sz="4" w:space="0" w:color="auto"/>
              <w:right w:val="single" w:sz="4" w:space="0" w:color="auto"/>
            </w:tcBorders>
            <w:noWrap/>
            <w:vAlign w:val="center"/>
            <w:hideMark/>
          </w:tcPr>
          <w:p w:rsidR="0084146E" w:rsidRPr="00906AFB" w:rsidRDefault="0084146E" w:rsidP="0084146E">
            <w:pPr>
              <w:spacing w:after="0" w:line="240" w:lineRule="auto"/>
              <w:jc w:val="center"/>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4.3</w:t>
            </w:r>
          </w:p>
        </w:tc>
        <w:tc>
          <w:tcPr>
            <w:tcW w:w="6044" w:type="dxa"/>
            <w:tcBorders>
              <w:top w:val="nil"/>
              <w:left w:val="nil"/>
              <w:bottom w:val="single" w:sz="4" w:space="0" w:color="auto"/>
              <w:right w:val="single" w:sz="4" w:space="0" w:color="auto"/>
            </w:tcBorders>
            <w:vAlign w:val="center"/>
            <w:hideMark/>
          </w:tcPr>
          <w:p w:rsidR="0084146E" w:rsidRPr="00906AFB" w:rsidRDefault="0084146E" w:rsidP="0084146E">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Fortalecer la relación entre el gobierno y los ciudadanos mediante la implementación de la agenda de buen gobierno y gobierno electrónico.</w:t>
            </w:r>
          </w:p>
        </w:tc>
        <w:tc>
          <w:tcPr>
            <w:tcW w:w="1476" w:type="dxa"/>
            <w:tcBorders>
              <w:top w:val="nil"/>
              <w:left w:val="nil"/>
              <w:bottom w:val="single" w:sz="4" w:space="0" w:color="auto"/>
              <w:right w:val="single" w:sz="4" w:space="0" w:color="auto"/>
            </w:tcBorders>
            <w:noWrap/>
            <w:vAlign w:val="center"/>
          </w:tcPr>
          <w:p w:rsidR="0084146E" w:rsidRPr="0084146E" w:rsidRDefault="0084146E" w:rsidP="0084146E">
            <w:pPr>
              <w:spacing w:after="0" w:line="240" w:lineRule="auto"/>
              <w:jc w:val="right"/>
              <w:rPr>
                <w:rFonts w:ascii="Arial" w:hAnsi="Arial" w:cs="Arial"/>
                <w:sz w:val="18"/>
                <w:szCs w:val="20"/>
              </w:rPr>
            </w:pPr>
            <w:r w:rsidRPr="0084146E">
              <w:rPr>
                <w:rFonts w:ascii="Arial" w:hAnsi="Arial" w:cs="Arial"/>
                <w:sz w:val="18"/>
                <w:szCs w:val="20"/>
              </w:rPr>
              <w:t>21,342,576</w:t>
            </w:r>
          </w:p>
        </w:tc>
      </w:tr>
      <w:tr w:rsidR="0084146E" w:rsidRPr="00906AFB" w:rsidTr="0084146E">
        <w:trPr>
          <w:trHeight w:val="283"/>
          <w:jc w:val="center"/>
        </w:trPr>
        <w:tc>
          <w:tcPr>
            <w:tcW w:w="820" w:type="dxa"/>
            <w:tcBorders>
              <w:top w:val="nil"/>
              <w:left w:val="single" w:sz="4" w:space="0" w:color="auto"/>
              <w:bottom w:val="single" w:sz="4" w:space="0" w:color="auto"/>
              <w:right w:val="single" w:sz="4" w:space="0" w:color="auto"/>
            </w:tcBorders>
            <w:noWrap/>
            <w:vAlign w:val="center"/>
            <w:hideMark/>
          </w:tcPr>
          <w:p w:rsidR="0084146E" w:rsidRPr="00906AFB" w:rsidRDefault="0084146E" w:rsidP="0084146E">
            <w:pPr>
              <w:spacing w:after="0" w:line="240" w:lineRule="auto"/>
              <w:jc w:val="center"/>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4.4</w:t>
            </w:r>
          </w:p>
        </w:tc>
        <w:tc>
          <w:tcPr>
            <w:tcW w:w="6044" w:type="dxa"/>
            <w:tcBorders>
              <w:top w:val="nil"/>
              <w:left w:val="nil"/>
              <w:bottom w:val="single" w:sz="4" w:space="0" w:color="auto"/>
              <w:right w:val="single" w:sz="4" w:space="0" w:color="auto"/>
            </w:tcBorders>
            <w:vAlign w:val="center"/>
            <w:hideMark/>
          </w:tcPr>
          <w:p w:rsidR="0084146E" w:rsidRPr="00906AFB" w:rsidRDefault="0084146E" w:rsidP="0084146E">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Reducir la corrupción pública mediante mayor transparencia, rendición de cuentas, mecanismos de monitoreo y evaluación y el uso de las tecnologías de la información y comunicación.</w:t>
            </w:r>
          </w:p>
        </w:tc>
        <w:tc>
          <w:tcPr>
            <w:tcW w:w="1476" w:type="dxa"/>
            <w:tcBorders>
              <w:top w:val="nil"/>
              <w:left w:val="nil"/>
              <w:bottom w:val="single" w:sz="4" w:space="0" w:color="auto"/>
              <w:right w:val="single" w:sz="4" w:space="0" w:color="auto"/>
            </w:tcBorders>
            <w:noWrap/>
            <w:vAlign w:val="center"/>
          </w:tcPr>
          <w:p w:rsidR="0084146E" w:rsidRPr="0084146E" w:rsidRDefault="0084146E" w:rsidP="0084146E">
            <w:pPr>
              <w:spacing w:after="0" w:line="240" w:lineRule="auto"/>
              <w:jc w:val="right"/>
              <w:rPr>
                <w:rFonts w:ascii="Arial" w:hAnsi="Arial" w:cs="Arial"/>
                <w:sz w:val="18"/>
                <w:szCs w:val="20"/>
              </w:rPr>
            </w:pPr>
            <w:r w:rsidRPr="0084146E">
              <w:rPr>
                <w:rFonts w:ascii="Arial" w:hAnsi="Arial" w:cs="Arial"/>
                <w:sz w:val="18"/>
                <w:szCs w:val="20"/>
              </w:rPr>
              <w:t>30,219,086</w:t>
            </w:r>
          </w:p>
        </w:tc>
      </w:tr>
      <w:tr w:rsidR="0084146E" w:rsidRPr="00906AFB" w:rsidTr="0084146E">
        <w:trPr>
          <w:trHeight w:val="283"/>
          <w:jc w:val="center"/>
        </w:trPr>
        <w:tc>
          <w:tcPr>
            <w:tcW w:w="820" w:type="dxa"/>
            <w:tcBorders>
              <w:top w:val="nil"/>
              <w:left w:val="single" w:sz="4" w:space="0" w:color="auto"/>
              <w:bottom w:val="single" w:sz="4" w:space="0" w:color="auto"/>
              <w:right w:val="single" w:sz="4" w:space="0" w:color="auto"/>
            </w:tcBorders>
            <w:noWrap/>
            <w:vAlign w:val="center"/>
            <w:hideMark/>
          </w:tcPr>
          <w:p w:rsidR="0084146E" w:rsidRPr="00906AFB" w:rsidRDefault="0084146E" w:rsidP="0084146E">
            <w:pPr>
              <w:spacing w:after="0" w:line="240" w:lineRule="auto"/>
              <w:jc w:val="center"/>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4.5</w:t>
            </w:r>
          </w:p>
        </w:tc>
        <w:tc>
          <w:tcPr>
            <w:tcW w:w="6044" w:type="dxa"/>
            <w:tcBorders>
              <w:top w:val="nil"/>
              <w:left w:val="nil"/>
              <w:bottom w:val="single" w:sz="4" w:space="0" w:color="auto"/>
              <w:right w:val="single" w:sz="4" w:space="0" w:color="auto"/>
            </w:tcBorders>
            <w:vAlign w:val="center"/>
            <w:hideMark/>
          </w:tcPr>
          <w:p w:rsidR="0084146E" w:rsidRPr="00906AFB" w:rsidRDefault="0084146E" w:rsidP="0084146E">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Fortalecer otras líneas de política del eje transversal 1.- Colima con un gobierno moderno, efectivo</w:t>
            </w:r>
          </w:p>
        </w:tc>
        <w:tc>
          <w:tcPr>
            <w:tcW w:w="1476" w:type="dxa"/>
            <w:tcBorders>
              <w:top w:val="nil"/>
              <w:left w:val="nil"/>
              <w:bottom w:val="single" w:sz="4" w:space="0" w:color="auto"/>
              <w:right w:val="single" w:sz="4" w:space="0" w:color="auto"/>
            </w:tcBorders>
            <w:noWrap/>
            <w:vAlign w:val="center"/>
          </w:tcPr>
          <w:p w:rsidR="0084146E" w:rsidRPr="0084146E" w:rsidRDefault="0084146E" w:rsidP="0084146E">
            <w:pPr>
              <w:spacing w:after="0" w:line="240" w:lineRule="auto"/>
              <w:jc w:val="right"/>
              <w:rPr>
                <w:rFonts w:ascii="Arial" w:hAnsi="Arial" w:cs="Arial"/>
                <w:sz w:val="18"/>
                <w:szCs w:val="20"/>
              </w:rPr>
            </w:pPr>
            <w:r w:rsidRPr="0084146E">
              <w:rPr>
                <w:rFonts w:ascii="Arial" w:hAnsi="Arial" w:cs="Arial"/>
                <w:sz w:val="18"/>
                <w:szCs w:val="20"/>
              </w:rPr>
              <w:t>376,867,186</w:t>
            </w:r>
          </w:p>
        </w:tc>
      </w:tr>
      <w:tr w:rsidR="0084146E" w:rsidRPr="00906AFB" w:rsidTr="0084146E">
        <w:trPr>
          <w:trHeight w:val="283"/>
          <w:jc w:val="center"/>
        </w:trPr>
        <w:tc>
          <w:tcPr>
            <w:tcW w:w="820" w:type="dxa"/>
            <w:tcBorders>
              <w:top w:val="nil"/>
              <w:left w:val="single" w:sz="4" w:space="0" w:color="auto"/>
              <w:bottom w:val="single" w:sz="4" w:space="0" w:color="auto"/>
              <w:right w:val="single" w:sz="4" w:space="0" w:color="auto"/>
            </w:tcBorders>
            <w:noWrap/>
            <w:vAlign w:val="center"/>
            <w:hideMark/>
          </w:tcPr>
          <w:p w:rsidR="0084146E" w:rsidRPr="00906AFB" w:rsidRDefault="0084146E" w:rsidP="0084146E">
            <w:pPr>
              <w:spacing w:after="0" w:line="240" w:lineRule="auto"/>
              <w:jc w:val="center"/>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5.1</w:t>
            </w:r>
          </w:p>
        </w:tc>
        <w:tc>
          <w:tcPr>
            <w:tcW w:w="6044" w:type="dxa"/>
            <w:tcBorders>
              <w:top w:val="nil"/>
              <w:left w:val="nil"/>
              <w:bottom w:val="single" w:sz="4" w:space="0" w:color="auto"/>
              <w:right w:val="single" w:sz="4" w:space="0" w:color="auto"/>
            </w:tcBorders>
            <w:vAlign w:val="center"/>
            <w:hideMark/>
          </w:tcPr>
          <w:p w:rsidR="0084146E" w:rsidRPr="00906AFB" w:rsidRDefault="0084146E" w:rsidP="0084146E">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 xml:space="preserve">Impulsar la equidad en el ámbito laboral. </w:t>
            </w:r>
          </w:p>
        </w:tc>
        <w:tc>
          <w:tcPr>
            <w:tcW w:w="1476" w:type="dxa"/>
            <w:tcBorders>
              <w:top w:val="nil"/>
              <w:left w:val="nil"/>
              <w:bottom w:val="single" w:sz="4" w:space="0" w:color="auto"/>
              <w:right w:val="single" w:sz="4" w:space="0" w:color="auto"/>
            </w:tcBorders>
            <w:noWrap/>
            <w:vAlign w:val="center"/>
          </w:tcPr>
          <w:p w:rsidR="0084146E" w:rsidRPr="0084146E" w:rsidRDefault="0084146E" w:rsidP="0084146E">
            <w:pPr>
              <w:spacing w:after="0" w:line="240" w:lineRule="auto"/>
              <w:jc w:val="right"/>
              <w:rPr>
                <w:rFonts w:ascii="Arial" w:hAnsi="Arial" w:cs="Arial"/>
                <w:sz w:val="18"/>
                <w:szCs w:val="20"/>
              </w:rPr>
            </w:pPr>
            <w:r w:rsidRPr="0084146E">
              <w:rPr>
                <w:rFonts w:ascii="Arial" w:hAnsi="Arial" w:cs="Arial"/>
                <w:sz w:val="18"/>
                <w:szCs w:val="20"/>
              </w:rPr>
              <w:t>49,838,946</w:t>
            </w:r>
          </w:p>
        </w:tc>
      </w:tr>
      <w:tr w:rsidR="0084146E" w:rsidRPr="00906AFB" w:rsidTr="0084146E">
        <w:trPr>
          <w:trHeight w:val="283"/>
          <w:jc w:val="center"/>
        </w:trPr>
        <w:tc>
          <w:tcPr>
            <w:tcW w:w="820" w:type="dxa"/>
            <w:tcBorders>
              <w:top w:val="nil"/>
              <w:left w:val="single" w:sz="4" w:space="0" w:color="auto"/>
              <w:bottom w:val="single" w:sz="4" w:space="0" w:color="auto"/>
              <w:right w:val="single" w:sz="4" w:space="0" w:color="auto"/>
            </w:tcBorders>
            <w:noWrap/>
            <w:vAlign w:val="center"/>
            <w:hideMark/>
          </w:tcPr>
          <w:p w:rsidR="0084146E" w:rsidRPr="00906AFB" w:rsidRDefault="0084146E" w:rsidP="0084146E">
            <w:pPr>
              <w:spacing w:after="0" w:line="240" w:lineRule="auto"/>
              <w:jc w:val="center"/>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5.2</w:t>
            </w:r>
          </w:p>
        </w:tc>
        <w:tc>
          <w:tcPr>
            <w:tcW w:w="6044" w:type="dxa"/>
            <w:tcBorders>
              <w:top w:val="nil"/>
              <w:left w:val="nil"/>
              <w:bottom w:val="single" w:sz="4" w:space="0" w:color="auto"/>
              <w:right w:val="single" w:sz="4" w:space="0" w:color="auto"/>
            </w:tcBorders>
            <w:vAlign w:val="center"/>
            <w:hideMark/>
          </w:tcPr>
          <w:p w:rsidR="0084146E" w:rsidRPr="00906AFB" w:rsidRDefault="0084146E" w:rsidP="0084146E">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 xml:space="preserve">Impulsar la equidad en el ámbito educativo. </w:t>
            </w:r>
          </w:p>
        </w:tc>
        <w:tc>
          <w:tcPr>
            <w:tcW w:w="1476" w:type="dxa"/>
            <w:tcBorders>
              <w:top w:val="nil"/>
              <w:left w:val="nil"/>
              <w:bottom w:val="single" w:sz="4" w:space="0" w:color="auto"/>
              <w:right w:val="single" w:sz="4" w:space="0" w:color="auto"/>
            </w:tcBorders>
            <w:noWrap/>
            <w:vAlign w:val="center"/>
          </w:tcPr>
          <w:p w:rsidR="0084146E" w:rsidRPr="0084146E" w:rsidRDefault="0084146E" w:rsidP="0084146E">
            <w:pPr>
              <w:spacing w:after="0" w:line="240" w:lineRule="auto"/>
              <w:jc w:val="right"/>
              <w:rPr>
                <w:rFonts w:ascii="Arial" w:hAnsi="Arial" w:cs="Arial"/>
                <w:sz w:val="18"/>
                <w:szCs w:val="20"/>
              </w:rPr>
            </w:pPr>
            <w:r w:rsidRPr="0084146E">
              <w:rPr>
                <w:rFonts w:ascii="Arial" w:hAnsi="Arial" w:cs="Arial"/>
                <w:sz w:val="18"/>
                <w:szCs w:val="20"/>
              </w:rPr>
              <w:t>0</w:t>
            </w:r>
          </w:p>
        </w:tc>
      </w:tr>
      <w:tr w:rsidR="0084146E" w:rsidRPr="00906AFB" w:rsidTr="0084146E">
        <w:trPr>
          <w:trHeight w:val="283"/>
          <w:jc w:val="center"/>
        </w:trPr>
        <w:tc>
          <w:tcPr>
            <w:tcW w:w="820" w:type="dxa"/>
            <w:tcBorders>
              <w:top w:val="nil"/>
              <w:left w:val="single" w:sz="4" w:space="0" w:color="auto"/>
              <w:bottom w:val="single" w:sz="4" w:space="0" w:color="auto"/>
              <w:right w:val="single" w:sz="4" w:space="0" w:color="auto"/>
            </w:tcBorders>
            <w:noWrap/>
            <w:vAlign w:val="center"/>
            <w:hideMark/>
          </w:tcPr>
          <w:p w:rsidR="0084146E" w:rsidRPr="00906AFB" w:rsidRDefault="0084146E" w:rsidP="0084146E">
            <w:pPr>
              <w:spacing w:after="0" w:line="240" w:lineRule="auto"/>
              <w:jc w:val="center"/>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5.3</w:t>
            </w:r>
          </w:p>
        </w:tc>
        <w:tc>
          <w:tcPr>
            <w:tcW w:w="6044" w:type="dxa"/>
            <w:tcBorders>
              <w:top w:val="nil"/>
              <w:left w:val="nil"/>
              <w:bottom w:val="single" w:sz="4" w:space="0" w:color="auto"/>
              <w:right w:val="single" w:sz="4" w:space="0" w:color="auto"/>
            </w:tcBorders>
            <w:vAlign w:val="center"/>
            <w:hideMark/>
          </w:tcPr>
          <w:p w:rsidR="0084146E" w:rsidRPr="00906AFB" w:rsidRDefault="0084146E" w:rsidP="0084146E">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Fortalecer la inclusión de las mujeres y las personas con discapacidad.</w:t>
            </w:r>
          </w:p>
        </w:tc>
        <w:tc>
          <w:tcPr>
            <w:tcW w:w="1476" w:type="dxa"/>
            <w:tcBorders>
              <w:top w:val="nil"/>
              <w:left w:val="nil"/>
              <w:bottom w:val="single" w:sz="4" w:space="0" w:color="auto"/>
              <w:right w:val="single" w:sz="4" w:space="0" w:color="auto"/>
            </w:tcBorders>
            <w:noWrap/>
            <w:vAlign w:val="center"/>
          </w:tcPr>
          <w:p w:rsidR="0084146E" w:rsidRPr="0084146E" w:rsidRDefault="0084146E" w:rsidP="0084146E">
            <w:pPr>
              <w:spacing w:after="0" w:line="240" w:lineRule="auto"/>
              <w:jc w:val="right"/>
              <w:rPr>
                <w:rFonts w:ascii="Arial" w:hAnsi="Arial" w:cs="Arial"/>
                <w:sz w:val="18"/>
                <w:szCs w:val="20"/>
              </w:rPr>
            </w:pPr>
            <w:r w:rsidRPr="0084146E">
              <w:rPr>
                <w:rFonts w:ascii="Arial" w:hAnsi="Arial" w:cs="Arial"/>
                <w:sz w:val="18"/>
                <w:szCs w:val="20"/>
              </w:rPr>
              <w:t>0</w:t>
            </w:r>
          </w:p>
        </w:tc>
      </w:tr>
      <w:tr w:rsidR="0084146E" w:rsidRPr="00906AFB" w:rsidTr="0084146E">
        <w:trPr>
          <w:trHeight w:val="283"/>
          <w:jc w:val="center"/>
        </w:trPr>
        <w:tc>
          <w:tcPr>
            <w:tcW w:w="820" w:type="dxa"/>
            <w:tcBorders>
              <w:top w:val="nil"/>
              <w:left w:val="single" w:sz="4" w:space="0" w:color="auto"/>
              <w:bottom w:val="single" w:sz="4" w:space="0" w:color="auto"/>
              <w:right w:val="single" w:sz="4" w:space="0" w:color="auto"/>
            </w:tcBorders>
            <w:noWrap/>
            <w:vAlign w:val="center"/>
            <w:hideMark/>
          </w:tcPr>
          <w:p w:rsidR="0084146E" w:rsidRPr="00906AFB" w:rsidRDefault="0084146E" w:rsidP="0084146E">
            <w:pPr>
              <w:spacing w:after="0" w:line="240" w:lineRule="auto"/>
              <w:jc w:val="center"/>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5.4</w:t>
            </w:r>
          </w:p>
        </w:tc>
        <w:tc>
          <w:tcPr>
            <w:tcW w:w="6044" w:type="dxa"/>
            <w:tcBorders>
              <w:top w:val="nil"/>
              <w:left w:val="nil"/>
              <w:bottom w:val="single" w:sz="4" w:space="0" w:color="auto"/>
              <w:right w:val="single" w:sz="4" w:space="0" w:color="auto"/>
            </w:tcBorders>
            <w:vAlign w:val="center"/>
            <w:hideMark/>
          </w:tcPr>
          <w:p w:rsidR="0084146E" w:rsidRPr="00906AFB" w:rsidRDefault="0084146E" w:rsidP="0084146E">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 xml:space="preserve">Fortalecer la prevención y la atención a las víctimas de violencia de género. </w:t>
            </w:r>
          </w:p>
        </w:tc>
        <w:tc>
          <w:tcPr>
            <w:tcW w:w="1476" w:type="dxa"/>
            <w:tcBorders>
              <w:top w:val="nil"/>
              <w:left w:val="nil"/>
              <w:bottom w:val="single" w:sz="4" w:space="0" w:color="auto"/>
              <w:right w:val="single" w:sz="4" w:space="0" w:color="auto"/>
            </w:tcBorders>
            <w:noWrap/>
            <w:vAlign w:val="center"/>
          </w:tcPr>
          <w:p w:rsidR="0084146E" w:rsidRPr="0084146E" w:rsidRDefault="0084146E" w:rsidP="0084146E">
            <w:pPr>
              <w:spacing w:after="0" w:line="240" w:lineRule="auto"/>
              <w:jc w:val="right"/>
              <w:rPr>
                <w:rFonts w:ascii="Arial" w:hAnsi="Arial" w:cs="Arial"/>
                <w:sz w:val="18"/>
                <w:szCs w:val="20"/>
              </w:rPr>
            </w:pPr>
            <w:r w:rsidRPr="0084146E">
              <w:rPr>
                <w:rFonts w:ascii="Arial" w:hAnsi="Arial" w:cs="Arial"/>
                <w:sz w:val="18"/>
                <w:szCs w:val="20"/>
              </w:rPr>
              <w:t>4,611,438</w:t>
            </w:r>
          </w:p>
        </w:tc>
      </w:tr>
      <w:tr w:rsidR="0084146E" w:rsidRPr="00906AFB" w:rsidTr="0084146E">
        <w:trPr>
          <w:trHeight w:val="283"/>
          <w:jc w:val="center"/>
        </w:trPr>
        <w:tc>
          <w:tcPr>
            <w:tcW w:w="820" w:type="dxa"/>
            <w:tcBorders>
              <w:top w:val="nil"/>
              <w:left w:val="single" w:sz="4" w:space="0" w:color="auto"/>
              <w:bottom w:val="single" w:sz="4" w:space="0" w:color="auto"/>
              <w:right w:val="single" w:sz="4" w:space="0" w:color="auto"/>
            </w:tcBorders>
            <w:noWrap/>
            <w:vAlign w:val="center"/>
            <w:hideMark/>
          </w:tcPr>
          <w:p w:rsidR="0084146E" w:rsidRPr="00906AFB" w:rsidRDefault="0084146E" w:rsidP="0084146E">
            <w:pPr>
              <w:spacing w:after="0" w:line="240" w:lineRule="auto"/>
              <w:jc w:val="center"/>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5.5</w:t>
            </w:r>
          </w:p>
        </w:tc>
        <w:tc>
          <w:tcPr>
            <w:tcW w:w="6044" w:type="dxa"/>
            <w:tcBorders>
              <w:top w:val="nil"/>
              <w:left w:val="nil"/>
              <w:bottom w:val="single" w:sz="4" w:space="0" w:color="auto"/>
              <w:right w:val="single" w:sz="4" w:space="0" w:color="auto"/>
            </w:tcBorders>
            <w:vAlign w:val="center"/>
            <w:hideMark/>
          </w:tcPr>
          <w:p w:rsidR="0084146E" w:rsidRPr="00906AFB" w:rsidRDefault="0084146E" w:rsidP="0084146E">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Fortalecer otras líneas de política del eje transversal 1.- Colima por la igualdad</w:t>
            </w:r>
          </w:p>
        </w:tc>
        <w:tc>
          <w:tcPr>
            <w:tcW w:w="1476" w:type="dxa"/>
            <w:tcBorders>
              <w:top w:val="nil"/>
              <w:left w:val="nil"/>
              <w:bottom w:val="single" w:sz="4" w:space="0" w:color="auto"/>
              <w:right w:val="single" w:sz="4" w:space="0" w:color="auto"/>
            </w:tcBorders>
            <w:noWrap/>
            <w:vAlign w:val="center"/>
          </w:tcPr>
          <w:p w:rsidR="0084146E" w:rsidRPr="0084146E" w:rsidRDefault="0084146E" w:rsidP="0084146E">
            <w:pPr>
              <w:spacing w:after="0" w:line="240" w:lineRule="auto"/>
              <w:jc w:val="right"/>
              <w:rPr>
                <w:rFonts w:ascii="Arial" w:hAnsi="Arial" w:cs="Arial"/>
                <w:sz w:val="18"/>
                <w:szCs w:val="20"/>
              </w:rPr>
            </w:pPr>
            <w:r w:rsidRPr="0084146E">
              <w:rPr>
                <w:rFonts w:ascii="Arial" w:hAnsi="Arial" w:cs="Arial"/>
                <w:sz w:val="18"/>
                <w:szCs w:val="20"/>
              </w:rPr>
              <w:t>4,643,196</w:t>
            </w:r>
          </w:p>
        </w:tc>
      </w:tr>
      <w:tr w:rsidR="0084146E" w:rsidRPr="00906AFB" w:rsidTr="0084146E">
        <w:trPr>
          <w:trHeight w:val="283"/>
          <w:jc w:val="center"/>
        </w:trPr>
        <w:tc>
          <w:tcPr>
            <w:tcW w:w="820" w:type="dxa"/>
            <w:tcBorders>
              <w:top w:val="nil"/>
              <w:left w:val="single" w:sz="4" w:space="0" w:color="auto"/>
              <w:bottom w:val="single" w:sz="4" w:space="0" w:color="auto"/>
              <w:right w:val="single" w:sz="4" w:space="0" w:color="auto"/>
            </w:tcBorders>
            <w:noWrap/>
            <w:vAlign w:val="center"/>
            <w:hideMark/>
          </w:tcPr>
          <w:p w:rsidR="0084146E" w:rsidRPr="00906AFB" w:rsidRDefault="0084146E" w:rsidP="0084146E">
            <w:pPr>
              <w:spacing w:after="0" w:line="240" w:lineRule="auto"/>
              <w:jc w:val="center"/>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lastRenderedPageBreak/>
              <w:t>6.1</w:t>
            </w:r>
          </w:p>
        </w:tc>
        <w:tc>
          <w:tcPr>
            <w:tcW w:w="6044" w:type="dxa"/>
            <w:tcBorders>
              <w:top w:val="nil"/>
              <w:left w:val="nil"/>
              <w:bottom w:val="single" w:sz="4" w:space="0" w:color="auto"/>
              <w:right w:val="single" w:sz="4" w:space="0" w:color="auto"/>
            </w:tcBorders>
            <w:vAlign w:val="center"/>
            <w:hideMark/>
          </w:tcPr>
          <w:p w:rsidR="0084146E" w:rsidRPr="00906AFB" w:rsidRDefault="0084146E" w:rsidP="0084146E">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Asegurar que las políticas de desarrollo económico y social del estado sean sustentables y que brinden oportunidades a las comunidades más vulnerables.</w:t>
            </w:r>
          </w:p>
        </w:tc>
        <w:tc>
          <w:tcPr>
            <w:tcW w:w="1476" w:type="dxa"/>
            <w:tcBorders>
              <w:top w:val="nil"/>
              <w:left w:val="nil"/>
              <w:bottom w:val="single" w:sz="4" w:space="0" w:color="auto"/>
              <w:right w:val="single" w:sz="4" w:space="0" w:color="auto"/>
            </w:tcBorders>
            <w:noWrap/>
            <w:vAlign w:val="center"/>
          </w:tcPr>
          <w:p w:rsidR="0084146E" w:rsidRPr="0084146E" w:rsidRDefault="0084146E" w:rsidP="0084146E">
            <w:pPr>
              <w:spacing w:after="0" w:line="240" w:lineRule="auto"/>
              <w:jc w:val="right"/>
              <w:rPr>
                <w:rFonts w:ascii="Arial" w:hAnsi="Arial" w:cs="Arial"/>
                <w:sz w:val="18"/>
                <w:szCs w:val="20"/>
              </w:rPr>
            </w:pPr>
            <w:r w:rsidRPr="0084146E">
              <w:rPr>
                <w:rFonts w:ascii="Arial" w:hAnsi="Arial" w:cs="Arial"/>
                <w:sz w:val="18"/>
                <w:szCs w:val="20"/>
              </w:rPr>
              <w:t>6,510,000</w:t>
            </w:r>
          </w:p>
        </w:tc>
      </w:tr>
      <w:tr w:rsidR="0084146E" w:rsidRPr="00906AFB" w:rsidTr="0084146E">
        <w:trPr>
          <w:trHeight w:val="283"/>
          <w:jc w:val="center"/>
        </w:trPr>
        <w:tc>
          <w:tcPr>
            <w:tcW w:w="820" w:type="dxa"/>
            <w:tcBorders>
              <w:top w:val="nil"/>
              <w:left w:val="single" w:sz="4" w:space="0" w:color="auto"/>
              <w:bottom w:val="single" w:sz="4" w:space="0" w:color="auto"/>
              <w:right w:val="single" w:sz="4" w:space="0" w:color="auto"/>
            </w:tcBorders>
            <w:noWrap/>
            <w:vAlign w:val="center"/>
            <w:hideMark/>
          </w:tcPr>
          <w:p w:rsidR="0084146E" w:rsidRPr="00906AFB" w:rsidRDefault="0084146E" w:rsidP="0084146E">
            <w:pPr>
              <w:spacing w:after="0" w:line="240" w:lineRule="auto"/>
              <w:jc w:val="center"/>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6.2</w:t>
            </w:r>
          </w:p>
        </w:tc>
        <w:tc>
          <w:tcPr>
            <w:tcW w:w="6044" w:type="dxa"/>
            <w:tcBorders>
              <w:top w:val="nil"/>
              <w:left w:val="nil"/>
              <w:bottom w:val="single" w:sz="4" w:space="0" w:color="auto"/>
              <w:right w:val="single" w:sz="4" w:space="0" w:color="auto"/>
            </w:tcBorders>
            <w:vAlign w:val="center"/>
            <w:hideMark/>
          </w:tcPr>
          <w:p w:rsidR="0084146E" w:rsidRPr="00906AFB" w:rsidRDefault="0084146E" w:rsidP="0084146E">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Garantizar el manejo sustentable de los recursos naturales del estado.</w:t>
            </w:r>
          </w:p>
        </w:tc>
        <w:tc>
          <w:tcPr>
            <w:tcW w:w="1476" w:type="dxa"/>
            <w:tcBorders>
              <w:top w:val="nil"/>
              <w:left w:val="nil"/>
              <w:bottom w:val="single" w:sz="4" w:space="0" w:color="auto"/>
              <w:right w:val="single" w:sz="4" w:space="0" w:color="auto"/>
            </w:tcBorders>
            <w:noWrap/>
            <w:vAlign w:val="center"/>
          </w:tcPr>
          <w:p w:rsidR="0084146E" w:rsidRPr="0084146E" w:rsidRDefault="0084146E" w:rsidP="0084146E">
            <w:pPr>
              <w:spacing w:after="0" w:line="240" w:lineRule="auto"/>
              <w:jc w:val="right"/>
              <w:rPr>
                <w:rFonts w:ascii="Arial" w:hAnsi="Arial" w:cs="Arial"/>
                <w:sz w:val="18"/>
                <w:szCs w:val="20"/>
              </w:rPr>
            </w:pPr>
            <w:r w:rsidRPr="0084146E">
              <w:rPr>
                <w:rFonts w:ascii="Arial" w:hAnsi="Arial" w:cs="Arial"/>
                <w:sz w:val="18"/>
                <w:szCs w:val="20"/>
              </w:rPr>
              <w:t>44,303,027</w:t>
            </w:r>
          </w:p>
        </w:tc>
      </w:tr>
      <w:tr w:rsidR="0084146E" w:rsidRPr="00906AFB" w:rsidTr="0084146E">
        <w:trPr>
          <w:trHeight w:val="283"/>
          <w:jc w:val="center"/>
        </w:trPr>
        <w:tc>
          <w:tcPr>
            <w:tcW w:w="820" w:type="dxa"/>
            <w:tcBorders>
              <w:top w:val="nil"/>
              <w:left w:val="single" w:sz="4" w:space="0" w:color="auto"/>
              <w:bottom w:val="single" w:sz="4" w:space="0" w:color="auto"/>
              <w:right w:val="single" w:sz="4" w:space="0" w:color="auto"/>
            </w:tcBorders>
            <w:noWrap/>
            <w:vAlign w:val="center"/>
            <w:hideMark/>
          </w:tcPr>
          <w:p w:rsidR="0084146E" w:rsidRPr="00906AFB" w:rsidRDefault="0084146E" w:rsidP="0084146E">
            <w:pPr>
              <w:spacing w:after="0" w:line="240" w:lineRule="auto"/>
              <w:jc w:val="center"/>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6.3</w:t>
            </w:r>
          </w:p>
        </w:tc>
        <w:tc>
          <w:tcPr>
            <w:tcW w:w="6044" w:type="dxa"/>
            <w:tcBorders>
              <w:top w:val="nil"/>
              <w:left w:val="nil"/>
              <w:bottom w:val="single" w:sz="4" w:space="0" w:color="auto"/>
              <w:right w:val="single" w:sz="4" w:space="0" w:color="auto"/>
            </w:tcBorders>
            <w:vAlign w:val="center"/>
            <w:hideMark/>
          </w:tcPr>
          <w:p w:rsidR="0084146E" w:rsidRPr="00906AFB" w:rsidRDefault="0084146E" w:rsidP="0084146E">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Diseñar e implementar programas de mitigación del cambio climático.</w:t>
            </w:r>
          </w:p>
        </w:tc>
        <w:tc>
          <w:tcPr>
            <w:tcW w:w="1476" w:type="dxa"/>
            <w:tcBorders>
              <w:top w:val="nil"/>
              <w:left w:val="nil"/>
              <w:bottom w:val="single" w:sz="4" w:space="0" w:color="auto"/>
              <w:right w:val="single" w:sz="4" w:space="0" w:color="auto"/>
            </w:tcBorders>
            <w:noWrap/>
            <w:vAlign w:val="center"/>
          </w:tcPr>
          <w:p w:rsidR="0084146E" w:rsidRPr="0084146E" w:rsidRDefault="0084146E" w:rsidP="0084146E">
            <w:pPr>
              <w:spacing w:after="0" w:line="240" w:lineRule="auto"/>
              <w:jc w:val="right"/>
              <w:rPr>
                <w:rFonts w:ascii="Arial" w:hAnsi="Arial" w:cs="Arial"/>
                <w:sz w:val="18"/>
                <w:szCs w:val="20"/>
              </w:rPr>
            </w:pPr>
            <w:r w:rsidRPr="0084146E">
              <w:rPr>
                <w:rFonts w:ascii="Arial" w:hAnsi="Arial" w:cs="Arial"/>
                <w:sz w:val="18"/>
                <w:szCs w:val="20"/>
              </w:rPr>
              <w:t>8,108,508</w:t>
            </w:r>
          </w:p>
        </w:tc>
      </w:tr>
      <w:tr w:rsidR="0084146E" w:rsidRPr="00906AFB" w:rsidTr="0084146E">
        <w:trPr>
          <w:trHeight w:val="283"/>
          <w:jc w:val="center"/>
        </w:trPr>
        <w:tc>
          <w:tcPr>
            <w:tcW w:w="820" w:type="dxa"/>
            <w:tcBorders>
              <w:top w:val="nil"/>
              <w:left w:val="single" w:sz="4" w:space="0" w:color="auto"/>
              <w:bottom w:val="single" w:sz="4" w:space="0" w:color="auto"/>
              <w:right w:val="single" w:sz="4" w:space="0" w:color="auto"/>
            </w:tcBorders>
            <w:noWrap/>
            <w:vAlign w:val="center"/>
            <w:hideMark/>
          </w:tcPr>
          <w:p w:rsidR="0084146E" w:rsidRPr="00906AFB" w:rsidRDefault="0084146E" w:rsidP="0084146E">
            <w:pPr>
              <w:spacing w:after="0" w:line="240" w:lineRule="auto"/>
              <w:jc w:val="center"/>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6.4</w:t>
            </w:r>
          </w:p>
        </w:tc>
        <w:tc>
          <w:tcPr>
            <w:tcW w:w="6044" w:type="dxa"/>
            <w:tcBorders>
              <w:top w:val="nil"/>
              <w:left w:val="nil"/>
              <w:bottom w:val="single" w:sz="4" w:space="0" w:color="auto"/>
              <w:right w:val="single" w:sz="4" w:space="0" w:color="auto"/>
            </w:tcBorders>
            <w:vAlign w:val="center"/>
            <w:hideMark/>
          </w:tcPr>
          <w:p w:rsidR="0084146E" w:rsidRPr="00906AFB" w:rsidRDefault="0084146E" w:rsidP="0084146E">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Mejorar la educación ambiental de los colimenses.</w:t>
            </w:r>
          </w:p>
        </w:tc>
        <w:tc>
          <w:tcPr>
            <w:tcW w:w="1476" w:type="dxa"/>
            <w:tcBorders>
              <w:top w:val="nil"/>
              <w:left w:val="nil"/>
              <w:bottom w:val="single" w:sz="4" w:space="0" w:color="auto"/>
              <w:right w:val="single" w:sz="4" w:space="0" w:color="auto"/>
            </w:tcBorders>
            <w:noWrap/>
            <w:vAlign w:val="center"/>
          </w:tcPr>
          <w:p w:rsidR="0084146E" w:rsidRPr="0084146E" w:rsidRDefault="0084146E" w:rsidP="0084146E">
            <w:pPr>
              <w:spacing w:after="0" w:line="240" w:lineRule="auto"/>
              <w:jc w:val="right"/>
              <w:rPr>
                <w:rFonts w:ascii="Arial" w:hAnsi="Arial" w:cs="Arial"/>
                <w:sz w:val="18"/>
                <w:szCs w:val="20"/>
              </w:rPr>
            </w:pPr>
            <w:r w:rsidRPr="0084146E">
              <w:rPr>
                <w:rFonts w:ascii="Arial" w:hAnsi="Arial" w:cs="Arial"/>
                <w:sz w:val="18"/>
                <w:szCs w:val="20"/>
              </w:rPr>
              <w:t>707,000</w:t>
            </w:r>
          </w:p>
        </w:tc>
      </w:tr>
      <w:tr w:rsidR="0084146E" w:rsidRPr="00906AFB" w:rsidTr="0084146E">
        <w:trPr>
          <w:trHeight w:val="283"/>
          <w:jc w:val="center"/>
        </w:trPr>
        <w:tc>
          <w:tcPr>
            <w:tcW w:w="820" w:type="dxa"/>
            <w:tcBorders>
              <w:top w:val="nil"/>
              <w:left w:val="single" w:sz="4" w:space="0" w:color="auto"/>
              <w:bottom w:val="single" w:sz="4" w:space="0" w:color="auto"/>
              <w:right w:val="single" w:sz="4" w:space="0" w:color="auto"/>
            </w:tcBorders>
            <w:noWrap/>
            <w:vAlign w:val="center"/>
            <w:hideMark/>
          </w:tcPr>
          <w:p w:rsidR="0084146E" w:rsidRPr="00906AFB" w:rsidRDefault="0084146E" w:rsidP="0084146E">
            <w:pPr>
              <w:spacing w:after="0" w:line="240" w:lineRule="auto"/>
              <w:jc w:val="center"/>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6.5</w:t>
            </w:r>
          </w:p>
        </w:tc>
        <w:tc>
          <w:tcPr>
            <w:tcW w:w="6044" w:type="dxa"/>
            <w:tcBorders>
              <w:top w:val="nil"/>
              <w:left w:val="nil"/>
              <w:bottom w:val="single" w:sz="4" w:space="0" w:color="auto"/>
              <w:right w:val="single" w:sz="4" w:space="0" w:color="auto"/>
            </w:tcBorders>
            <w:vAlign w:val="center"/>
            <w:hideMark/>
          </w:tcPr>
          <w:p w:rsidR="0084146E" w:rsidRPr="00906AFB" w:rsidRDefault="0084146E" w:rsidP="0084146E">
            <w:pPr>
              <w:spacing w:after="0" w:line="240" w:lineRule="auto"/>
              <w:rPr>
                <w:rFonts w:ascii="Arial" w:eastAsia="Times New Roman" w:hAnsi="Arial" w:cs="Arial"/>
                <w:color w:val="000000"/>
                <w:sz w:val="18"/>
                <w:szCs w:val="18"/>
                <w:lang w:val="es-ES" w:eastAsia="es-ES"/>
              </w:rPr>
            </w:pPr>
            <w:r w:rsidRPr="00906AFB">
              <w:rPr>
                <w:rFonts w:ascii="Arial" w:eastAsia="Times New Roman" w:hAnsi="Arial" w:cs="Arial"/>
                <w:color w:val="000000"/>
                <w:sz w:val="18"/>
                <w:szCs w:val="18"/>
                <w:lang w:val="es-ES" w:eastAsia="es-ES"/>
              </w:rPr>
              <w:t>Garantizar la disponibilidad de sistemas de movilidad sustentable en todo el estado.</w:t>
            </w:r>
          </w:p>
        </w:tc>
        <w:tc>
          <w:tcPr>
            <w:tcW w:w="1476" w:type="dxa"/>
            <w:tcBorders>
              <w:top w:val="nil"/>
              <w:left w:val="nil"/>
              <w:bottom w:val="single" w:sz="4" w:space="0" w:color="auto"/>
              <w:right w:val="single" w:sz="4" w:space="0" w:color="auto"/>
            </w:tcBorders>
            <w:noWrap/>
            <w:vAlign w:val="center"/>
          </w:tcPr>
          <w:p w:rsidR="0084146E" w:rsidRPr="0084146E" w:rsidRDefault="0084146E" w:rsidP="0084146E">
            <w:pPr>
              <w:spacing w:after="0" w:line="240" w:lineRule="auto"/>
              <w:jc w:val="right"/>
              <w:rPr>
                <w:rFonts w:ascii="Arial" w:hAnsi="Arial" w:cs="Arial"/>
                <w:sz w:val="18"/>
                <w:szCs w:val="20"/>
              </w:rPr>
            </w:pPr>
            <w:r w:rsidRPr="0084146E">
              <w:rPr>
                <w:rFonts w:ascii="Arial" w:hAnsi="Arial" w:cs="Arial"/>
                <w:sz w:val="18"/>
                <w:szCs w:val="20"/>
              </w:rPr>
              <w:t>74,707,250</w:t>
            </w:r>
          </w:p>
        </w:tc>
      </w:tr>
      <w:tr w:rsidR="00906AFB" w:rsidRPr="00906AFB" w:rsidTr="0084146E">
        <w:trPr>
          <w:trHeight w:val="283"/>
          <w:jc w:val="center"/>
        </w:trPr>
        <w:tc>
          <w:tcPr>
            <w:tcW w:w="6864" w:type="dxa"/>
            <w:gridSpan w:val="2"/>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center"/>
              <w:rPr>
                <w:rFonts w:ascii="Arial" w:eastAsia="Times New Roman" w:hAnsi="Arial" w:cs="Arial"/>
                <w:b/>
                <w:bCs/>
                <w:color w:val="000000"/>
                <w:sz w:val="18"/>
                <w:szCs w:val="18"/>
                <w:lang w:val="es-ES" w:eastAsia="es-ES"/>
              </w:rPr>
            </w:pPr>
            <w:r w:rsidRPr="00906AFB">
              <w:rPr>
                <w:rFonts w:ascii="Arial" w:eastAsia="Times New Roman" w:hAnsi="Arial" w:cs="Arial"/>
                <w:b/>
                <w:bCs/>
                <w:color w:val="000000"/>
                <w:sz w:val="18"/>
                <w:szCs w:val="18"/>
                <w:lang w:val="es-ES" w:eastAsia="es-ES"/>
              </w:rPr>
              <w:t>Total</w:t>
            </w:r>
          </w:p>
        </w:tc>
        <w:tc>
          <w:tcPr>
            <w:tcW w:w="1476" w:type="dxa"/>
            <w:tcBorders>
              <w:top w:val="nil"/>
              <w:left w:val="nil"/>
              <w:bottom w:val="single" w:sz="4" w:space="0" w:color="auto"/>
              <w:right w:val="single" w:sz="4" w:space="0" w:color="auto"/>
            </w:tcBorders>
            <w:noWrap/>
            <w:vAlign w:val="center"/>
          </w:tcPr>
          <w:p w:rsidR="00906AFB" w:rsidRPr="0084146E" w:rsidRDefault="0084146E" w:rsidP="0084146E">
            <w:pPr>
              <w:spacing w:after="0" w:line="240" w:lineRule="auto"/>
              <w:jc w:val="right"/>
              <w:rPr>
                <w:rFonts w:ascii="Arial" w:eastAsia="Times New Roman" w:hAnsi="Arial" w:cs="Arial"/>
                <w:b/>
                <w:bCs/>
                <w:color w:val="000000"/>
                <w:sz w:val="18"/>
                <w:szCs w:val="20"/>
                <w:lang w:val="es-ES" w:eastAsia="es-ES"/>
              </w:rPr>
            </w:pPr>
            <w:r w:rsidRPr="0084146E">
              <w:rPr>
                <w:rFonts w:ascii="Arial" w:eastAsia="Times New Roman" w:hAnsi="Arial" w:cs="Arial"/>
                <w:b/>
                <w:bCs/>
                <w:color w:val="000000"/>
                <w:sz w:val="18"/>
                <w:szCs w:val="20"/>
                <w:lang w:val="es-ES" w:eastAsia="es-ES"/>
              </w:rPr>
              <w:t>15,517,525,000</w:t>
            </w:r>
          </w:p>
        </w:tc>
      </w:tr>
    </w:tbl>
    <w:p w:rsidR="00906AFB" w:rsidRPr="00906AFB" w:rsidRDefault="00906AFB" w:rsidP="00906AFB">
      <w:pPr>
        <w:spacing w:after="0" w:line="240" w:lineRule="auto"/>
        <w:rPr>
          <w:rFonts w:ascii="Colaborate-Regular" w:eastAsia="Calibri" w:hAnsi="Colaborate-Regular" w:cs="Times New Roman"/>
          <w:sz w:val="20"/>
          <w:lang w:val="es-ES"/>
        </w:rPr>
      </w:pPr>
    </w:p>
    <w:p w:rsidR="00906AFB" w:rsidRDefault="00906AFB" w:rsidP="00906AFB">
      <w:pPr>
        <w:spacing w:after="0" w:line="240" w:lineRule="auto"/>
        <w:jc w:val="both"/>
        <w:rPr>
          <w:rFonts w:ascii="Arial" w:eastAsia="Calibri" w:hAnsi="Arial" w:cs="Arial"/>
          <w:b/>
          <w:sz w:val="24"/>
          <w:szCs w:val="24"/>
          <w:lang w:val="es-ES" w:eastAsia="en-US"/>
        </w:rPr>
      </w:pPr>
    </w:p>
    <w:p w:rsidR="00FD430F" w:rsidRPr="00906AFB" w:rsidRDefault="00FD430F" w:rsidP="00906AFB">
      <w:pPr>
        <w:spacing w:after="0" w:line="240" w:lineRule="auto"/>
        <w:jc w:val="both"/>
        <w:rPr>
          <w:rFonts w:ascii="Arial" w:eastAsia="Calibri" w:hAnsi="Arial" w:cs="Arial"/>
          <w:b/>
          <w:sz w:val="24"/>
          <w:szCs w:val="24"/>
          <w:lang w:val="es-ES" w:eastAsia="en-US"/>
        </w:rPr>
      </w:pPr>
    </w:p>
    <w:p w:rsid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b/>
          <w:sz w:val="24"/>
          <w:szCs w:val="24"/>
          <w:lang w:val="es-ES" w:eastAsia="en-US"/>
        </w:rPr>
        <w:t>Artículo 76</w:t>
      </w:r>
      <w:r w:rsidRPr="00E22E97">
        <w:rPr>
          <w:rFonts w:ascii="Arial" w:eastAsia="Calibri" w:hAnsi="Arial" w:cs="Arial"/>
          <w:sz w:val="24"/>
          <w:szCs w:val="24"/>
          <w:lang w:val="es-ES" w:eastAsia="en-US"/>
        </w:rPr>
        <w:t>.</w:t>
      </w:r>
      <w:r w:rsidRPr="00906AFB">
        <w:rPr>
          <w:rFonts w:ascii="Arial" w:eastAsia="Calibri" w:hAnsi="Arial" w:cs="Arial"/>
          <w:color w:val="FF0000"/>
          <w:sz w:val="24"/>
          <w:szCs w:val="24"/>
          <w:lang w:val="es-ES" w:eastAsia="en-US"/>
        </w:rPr>
        <w:t xml:space="preserve"> </w:t>
      </w:r>
      <w:r w:rsidRPr="00906AFB">
        <w:rPr>
          <w:rFonts w:ascii="Arial" w:eastAsia="Calibri" w:hAnsi="Arial" w:cs="Arial"/>
          <w:sz w:val="24"/>
          <w:szCs w:val="24"/>
          <w:lang w:val="es-ES" w:eastAsia="en-US"/>
        </w:rPr>
        <w:t>Los Programas Presupuestarios</w:t>
      </w:r>
      <w:r w:rsidRPr="00906AFB">
        <w:rPr>
          <w:rFonts w:ascii="Arial" w:eastAsia="Calibri" w:hAnsi="Arial" w:cs="Arial"/>
          <w:color w:val="FF0000"/>
          <w:sz w:val="24"/>
          <w:szCs w:val="24"/>
          <w:lang w:val="es-ES" w:eastAsia="en-US"/>
        </w:rPr>
        <w:t xml:space="preserve"> </w:t>
      </w:r>
      <w:r w:rsidRPr="00906AFB">
        <w:rPr>
          <w:rFonts w:ascii="Arial" w:eastAsia="Calibri" w:hAnsi="Arial" w:cs="Arial"/>
          <w:sz w:val="24"/>
          <w:szCs w:val="24"/>
          <w:lang w:val="es-ES" w:eastAsia="en-US"/>
        </w:rPr>
        <w:t>que forman parte del Presupuesto basado en Resultados ascienden a la cantidad de 74, tienen asignados en conjunto un total de $12,948,901,972</w:t>
      </w:r>
      <w:r w:rsidRPr="00906AFB">
        <w:rPr>
          <w:rFonts w:ascii="Arial" w:eastAsia="Calibri" w:hAnsi="Arial" w:cs="Arial"/>
          <w:color w:val="FF0000"/>
          <w:sz w:val="24"/>
          <w:szCs w:val="24"/>
          <w:lang w:val="es-ES" w:eastAsia="en-US"/>
        </w:rPr>
        <w:t xml:space="preserve"> </w:t>
      </w:r>
      <w:r w:rsidRPr="00906AFB">
        <w:rPr>
          <w:rFonts w:ascii="Arial" w:eastAsia="Calibri" w:hAnsi="Arial" w:cs="Arial"/>
          <w:sz w:val="24"/>
          <w:szCs w:val="24"/>
          <w:lang w:val="es-ES" w:eastAsia="en-US"/>
        </w:rPr>
        <w:t>y son ejercidos por las Dependencias del Ejecutivo, Entidades del Estado y Organismos autónomos. Su distribución se señala a continuación:</w:t>
      </w:r>
    </w:p>
    <w:p w:rsidR="00FD430F" w:rsidRPr="00906AFB" w:rsidRDefault="00FD430F" w:rsidP="00906AFB">
      <w:pPr>
        <w:spacing w:after="0" w:line="240" w:lineRule="auto"/>
        <w:jc w:val="both"/>
        <w:rPr>
          <w:rFonts w:ascii="Arial" w:eastAsia="Calibri" w:hAnsi="Arial" w:cs="Arial"/>
          <w:sz w:val="24"/>
          <w:szCs w:val="24"/>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Pr="00906AFB" w:rsidRDefault="00723C49" w:rsidP="00906AFB">
      <w:pPr>
        <w:keepNext/>
        <w:keepLines/>
        <w:spacing w:after="0" w:line="240" w:lineRule="auto"/>
        <w:jc w:val="center"/>
        <w:outlineLvl w:val="1"/>
        <w:rPr>
          <w:rFonts w:ascii="Arial" w:eastAsia="Times New Roman" w:hAnsi="Arial" w:cs="Times New Roman"/>
          <w:b/>
          <w:sz w:val="20"/>
          <w:szCs w:val="26"/>
          <w:lang w:val="es-ES" w:eastAsia="en-US"/>
        </w:rPr>
      </w:pPr>
      <w:r>
        <w:rPr>
          <w:rFonts w:ascii="Arial" w:eastAsia="Times New Roman" w:hAnsi="Arial" w:cs="Times New Roman"/>
          <w:b/>
          <w:sz w:val="20"/>
          <w:szCs w:val="26"/>
          <w:lang w:val="es-ES" w:eastAsia="en-US"/>
        </w:rPr>
        <w:t xml:space="preserve">Tabla </w:t>
      </w:r>
      <w:r w:rsidR="00CF4172">
        <w:rPr>
          <w:rFonts w:ascii="Arial" w:eastAsia="Times New Roman" w:hAnsi="Arial" w:cs="Times New Roman"/>
          <w:b/>
          <w:sz w:val="20"/>
          <w:szCs w:val="26"/>
          <w:lang w:val="es-ES" w:eastAsia="en-US"/>
        </w:rPr>
        <w:t>60</w:t>
      </w:r>
      <w:r w:rsidR="00906AFB" w:rsidRPr="00906AFB">
        <w:rPr>
          <w:rFonts w:ascii="Arial" w:eastAsia="Times New Roman" w:hAnsi="Arial" w:cs="Times New Roman"/>
          <w:b/>
          <w:sz w:val="20"/>
          <w:szCs w:val="26"/>
          <w:lang w:val="es-ES" w:eastAsia="en-US"/>
        </w:rPr>
        <w:t>. Programas Presupuestarios (Distribución por Dependencia)</w:t>
      </w:r>
    </w:p>
    <w:tbl>
      <w:tblPr>
        <w:tblStyle w:val="Tablaconcuadrcula2"/>
        <w:tblW w:w="0" w:type="auto"/>
        <w:jc w:val="center"/>
        <w:tblInd w:w="0" w:type="dxa"/>
        <w:tblLayout w:type="fixed"/>
        <w:tblLook w:val="04A0" w:firstRow="1" w:lastRow="0" w:firstColumn="1" w:lastColumn="0" w:noHBand="0" w:noVBand="1"/>
      </w:tblPr>
      <w:tblGrid>
        <w:gridCol w:w="784"/>
        <w:gridCol w:w="2742"/>
        <w:gridCol w:w="660"/>
        <w:gridCol w:w="1313"/>
        <w:gridCol w:w="1097"/>
        <w:gridCol w:w="567"/>
        <w:gridCol w:w="1134"/>
      </w:tblGrid>
      <w:tr w:rsidR="00906AFB" w:rsidRPr="00C50098" w:rsidTr="00FD430F">
        <w:trPr>
          <w:trHeight w:val="283"/>
          <w:jc w:val="center"/>
        </w:trPr>
        <w:tc>
          <w:tcPr>
            <w:tcW w:w="784" w:type="dxa"/>
            <w:vMerge w:val="restart"/>
            <w:tcBorders>
              <w:top w:val="single" w:sz="4" w:space="0" w:color="auto"/>
              <w:left w:val="single" w:sz="4" w:space="0" w:color="auto"/>
              <w:bottom w:val="single" w:sz="4" w:space="0" w:color="auto"/>
              <w:right w:val="single" w:sz="4" w:space="0" w:color="auto"/>
            </w:tcBorders>
            <w:noWrap/>
            <w:vAlign w:val="center"/>
            <w:hideMark/>
          </w:tcPr>
          <w:p w:rsidR="00906AFB" w:rsidRPr="00C50098" w:rsidRDefault="00906AFB" w:rsidP="00906AFB">
            <w:pPr>
              <w:jc w:val="center"/>
              <w:rPr>
                <w:rFonts w:ascii="Arial" w:hAnsi="Arial" w:cs="Arial"/>
                <w:b/>
                <w:bCs/>
                <w:sz w:val="16"/>
                <w:szCs w:val="16"/>
              </w:rPr>
            </w:pPr>
            <w:r w:rsidRPr="00C50098">
              <w:rPr>
                <w:rFonts w:ascii="Arial" w:hAnsi="Arial" w:cs="Arial"/>
                <w:b/>
                <w:bCs/>
                <w:sz w:val="16"/>
                <w:szCs w:val="16"/>
              </w:rPr>
              <w:t xml:space="preserve">  Clave</w:t>
            </w:r>
          </w:p>
        </w:tc>
        <w:tc>
          <w:tcPr>
            <w:tcW w:w="2742" w:type="dxa"/>
            <w:vMerge w:val="restart"/>
            <w:tcBorders>
              <w:top w:val="single" w:sz="4" w:space="0" w:color="auto"/>
              <w:left w:val="single" w:sz="4" w:space="0" w:color="auto"/>
              <w:bottom w:val="single" w:sz="4" w:space="0" w:color="auto"/>
              <w:right w:val="single" w:sz="4" w:space="0" w:color="auto"/>
            </w:tcBorders>
            <w:noWrap/>
            <w:vAlign w:val="center"/>
            <w:hideMark/>
          </w:tcPr>
          <w:p w:rsidR="00906AFB" w:rsidRPr="00C50098" w:rsidRDefault="00906AFB" w:rsidP="00906AFB">
            <w:pPr>
              <w:jc w:val="center"/>
              <w:rPr>
                <w:rFonts w:ascii="Arial" w:hAnsi="Arial" w:cs="Arial"/>
                <w:b/>
                <w:bCs/>
                <w:sz w:val="16"/>
                <w:szCs w:val="16"/>
              </w:rPr>
            </w:pPr>
            <w:r w:rsidRPr="00C50098">
              <w:rPr>
                <w:rFonts w:ascii="Arial" w:hAnsi="Arial" w:cs="Arial"/>
                <w:b/>
                <w:bCs/>
                <w:sz w:val="16"/>
                <w:szCs w:val="16"/>
              </w:rPr>
              <w:t>Dependencia/Entidad</w:t>
            </w:r>
          </w:p>
        </w:tc>
        <w:tc>
          <w:tcPr>
            <w:tcW w:w="1973" w:type="dxa"/>
            <w:gridSpan w:val="2"/>
            <w:tcBorders>
              <w:top w:val="single" w:sz="4" w:space="0" w:color="auto"/>
              <w:left w:val="single" w:sz="4" w:space="0" w:color="auto"/>
              <w:bottom w:val="single" w:sz="4" w:space="0" w:color="auto"/>
              <w:right w:val="single" w:sz="4" w:space="0" w:color="auto"/>
            </w:tcBorders>
            <w:noWrap/>
            <w:vAlign w:val="center"/>
            <w:hideMark/>
          </w:tcPr>
          <w:p w:rsidR="00906AFB" w:rsidRPr="00C50098" w:rsidRDefault="00906AFB" w:rsidP="00906AFB">
            <w:pPr>
              <w:jc w:val="center"/>
              <w:rPr>
                <w:rFonts w:ascii="Arial" w:hAnsi="Arial" w:cs="Arial"/>
                <w:b/>
                <w:bCs/>
                <w:sz w:val="16"/>
                <w:szCs w:val="16"/>
              </w:rPr>
            </w:pPr>
            <w:r w:rsidRPr="00C50098">
              <w:rPr>
                <w:rFonts w:ascii="Arial" w:hAnsi="Arial" w:cs="Arial"/>
                <w:b/>
                <w:bCs/>
                <w:sz w:val="16"/>
                <w:szCs w:val="16"/>
              </w:rPr>
              <w:t>Presupuesto 2017</w:t>
            </w:r>
          </w:p>
        </w:tc>
        <w:tc>
          <w:tcPr>
            <w:tcW w:w="2798" w:type="dxa"/>
            <w:gridSpan w:val="3"/>
            <w:tcBorders>
              <w:top w:val="single" w:sz="4" w:space="0" w:color="auto"/>
              <w:left w:val="single" w:sz="4" w:space="0" w:color="auto"/>
              <w:bottom w:val="single" w:sz="4" w:space="0" w:color="auto"/>
              <w:right w:val="single" w:sz="4" w:space="0" w:color="auto"/>
            </w:tcBorders>
            <w:noWrap/>
            <w:vAlign w:val="center"/>
            <w:hideMark/>
          </w:tcPr>
          <w:p w:rsidR="00906AFB" w:rsidRPr="00C50098" w:rsidRDefault="00906AFB" w:rsidP="00906AFB">
            <w:pPr>
              <w:jc w:val="center"/>
              <w:rPr>
                <w:rFonts w:ascii="Arial" w:hAnsi="Arial" w:cs="Arial"/>
                <w:b/>
                <w:bCs/>
                <w:sz w:val="16"/>
                <w:szCs w:val="16"/>
              </w:rPr>
            </w:pPr>
            <w:r w:rsidRPr="00C50098">
              <w:rPr>
                <w:rFonts w:ascii="Arial" w:hAnsi="Arial" w:cs="Arial"/>
                <w:b/>
                <w:bCs/>
                <w:sz w:val="16"/>
                <w:szCs w:val="16"/>
              </w:rPr>
              <w:t>Presupuesto PbR 2017</w:t>
            </w:r>
          </w:p>
        </w:tc>
      </w:tr>
      <w:tr w:rsidR="00906AFB" w:rsidRPr="00C50098" w:rsidTr="00FD430F">
        <w:trPr>
          <w:trHeight w:val="283"/>
          <w:jc w:val="center"/>
        </w:trPr>
        <w:tc>
          <w:tcPr>
            <w:tcW w:w="784" w:type="dxa"/>
            <w:vMerge/>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rPr>
                <w:rFonts w:ascii="Arial" w:hAnsi="Arial" w:cs="Arial"/>
                <w:b/>
                <w:bCs/>
                <w:sz w:val="16"/>
                <w:szCs w:val="16"/>
              </w:rPr>
            </w:pPr>
          </w:p>
        </w:tc>
        <w:tc>
          <w:tcPr>
            <w:tcW w:w="2742" w:type="dxa"/>
            <w:vMerge/>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rPr>
                <w:rFonts w:ascii="Arial" w:hAnsi="Arial" w:cs="Arial"/>
                <w:b/>
                <w:bCs/>
                <w:sz w:val="16"/>
                <w:szCs w:val="16"/>
              </w:rPr>
            </w:pPr>
          </w:p>
        </w:tc>
        <w:tc>
          <w:tcPr>
            <w:tcW w:w="660"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b/>
                <w:bCs/>
                <w:sz w:val="16"/>
                <w:szCs w:val="16"/>
              </w:rPr>
            </w:pPr>
            <w:r w:rsidRPr="00C50098">
              <w:rPr>
                <w:rFonts w:ascii="Arial" w:hAnsi="Arial" w:cs="Arial"/>
                <w:b/>
                <w:bCs/>
                <w:sz w:val="16"/>
                <w:szCs w:val="16"/>
              </w:rPr>
              <w:t>PP</w:t>
            </w:r>
          </w:p>
        </w:tc>
        <w:tc>
          <w:tcPr>
            <w:tcW w:w="1313"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b/>
                <w:bCs/>
                <w:sz w:val="16"/>
                <w:szCs w:val="16"/>
              </w:rPr>
            </w:pPr>
            <w:r w:rsidRPr="00C50098">
              <w:rPr>
                <w:rFonts w:ascii="Arial" w:hAnsi="Arial" w:cs="Arial"/>
                <w:b/>
                <w:bCs/>
                <w:sz w:val="16"/>
                <w:szCs w:val="16"/>
              </w:rPr>
              <w:t>Asignación Presupuestal</w:t>
            </w:r>
          </w:p>
        </w:tc>
        <w:tc>
          <w:tcPr>
            <w:tcW w:w="1097"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b/>
                <w:bCs/>
                <w:sz w:val="16"/>
                <w:szCs w:val="16"/>
              </w:rPr>
            </w:pPr>
            <w:r w:rsidRPr="00C50098">
              <w:rPr>
                <w:rFonts w:ascii="Arial" w:hAnsi="Arial" w:cs="Arial"/>
                <w:b/>
                <w:bCs/>
                <w:sz w:val="16"/>
                <w:szCs w:val="16"/>
              </w:rPr>
              <w:t>Asignación Presupuestal</w:t>
            </w:r>
            <w:r w:rsidRPr="00C50098">
              <w:rPr>
                <w:rFonts w:ascii="Arial" w:hAnsi="Arial" w:cs="Arial"/>
                <w:b/>
                <w:bCs/>
                <w:sz w:val="16"/>
                <w:szCs w:val="16"/>
              </w:rPr>
              <w:b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b/>
                <w:bCs/>
                <w:sz w:val="16"/>
                <w:szCs w:val="16"/>
              </w:rPr>
            </w:pPr>
            <w:r w:rsidRPr="00C50098">
              <w:rPr>
                <w:rFonts w:ascii="Arial" w:hAnsi="Arial" w:cs="Arial"/>
                <w:b/>
                <w:bCs/>
                <w:sz w:val="16"/>
                <w:szCs w:val="16"/>
              </w:rPr>
              <w:t>MIR</w:t>
            </w:r>
          </w:p>
        </w:tc>
        <w:tc>
          <w:tcPr>
            <w:tcW w:w="1134"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b/>
                <w:bCs/>
                <w:sz w:val="16"/>
                <w:szCs w:val="16"/>
              </w:rPr>
            </w:pPr>
            <w:r w:rsidRPr="00C50098">
              <w:rPr>
                <w:rFonts w:ascii="Arial" w:hAnsi="Arial" w:cs="Arial"/>
                <w:b/>
                <w:bCs/>
                <w:sz w:val="16"/>
                <w:szCs w:val="16"/>
              </w:rPr>
              <w:t>Indicadores para Resultados</w:t>
            </w:r>
          </w:p>
        </w:tc>
      </w:tr>
      <w:tr w:rsidR="00906AFB" w:rsidRPr="00C50098" w:rsidTr="00FD430F">
        <w:trPr>
          <w:trHeight w:val="283"/>
          <w:jc w:val="center"/>
        </w:trPr>
        <w:tc>
          <w:tcPr>
            <w:tcW w:w="784" w:type="dxa"/>
            <w:tcBorders>
              <w:top w:val="single" w:sz="4" w:space="0" w:color="auto"/>
              <w:left w:val="single" w:sz="4" w:space="0" w:color="auto"/>
              <w:bottom w:val="single" w:sz="4" w:space="0" w:color="auto"/>
              <w:right w:val="single" w:sz="4" w:space="0" w:color="auto"/>
            </w:tcBorders>
            <w:noWrap/>
            <w:vAlign w:val="center"/>
            <w:hideMark/>
          </w:tcPr>
          <w:p w:rsidR="00906AFB" w:rsidRPr="00C50098" w:rsidRDefault="00906AFB" w:rsidP="00906AFB">
            <w:pPr>
              <w:spacing w:before="120" w:after="120" w:line="360" w:lineRule="auto"/>
              <w:jc w:val="both"/>
              <w:rPr>
                <w:rFonts w:ascii="Arial" w:hAnsi="Arial" w:cs="Arial"/>
                <w:b/>
                <w:bCs/>
                <w:sz w:val="16"/>
                <w:szCs w:val="16"/>
              </w:rPr>
            </w:pPr>
          </w:p>
        </w:tc>
        <w:tc>
          <w:tcPr>
            <w:tcW w:w="2742" w:type="dxa"/>
            <w:tcBorders>
              <w:top w:val="single" w:sz="4" w:space="0" w:color="auto"/>
              <w:left w:val="single" w:sz="4" w:space="0" w:color="auto"/>
              <w:bottom w:val="single" w:sz="4" w:space="0" w:color="auto"/>
              <w:right w:val="single" w:sz="4" w:space="0" w:color="auto"/>
            </w:tcBorders>
            <w:noWrap/>
            <w:vAlign w:val="center"/>
            <w:hideMark/>
          </w:tcPr>
          <w:p w:rsidR="00906AFB" w:rsidRPr="00C50098" w:rsidRDefault="00906AFB" w:rsidP="00906AFB">
            <w:pPr>
              <w:rPr>
                <w:rFonts w:ascii="Arial" w:hAnsi="Arial" w:cs="Arial"/>
                <w:b/>
                <w:bCs/>
                <w:sz w:val="16"/>
                <w:szCs w:val="16"/>
              </w:rPr>
            </w:pPr>
            <w:r w:rsidRPr="00C50098">
              <w:rPr>
                <w:rFonts w:ascii="Arial" w:hAnsi="Arial" w:cs="Arial"/>
                <w:b/>
                <w:bCs/>
                <w:sz w:val="16"/>
                <w:szCs w:val="16"/>
              </w:rPr>
              <w:t>Poder Ejecutivo</w:t>
            </w:r>
          </w:p>
        </w:tc>
        <w:tc>
          <w:tcPr>
            <w:tcW w:w="660"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spacing w:before="120" w:after="120" w:line="360" w:lineRule="auto"/>
              <w:jc w:val="both"/>
              <w:rPr>
                <w:rFonts w:ascii="Arial" w:hAnsi="Arial" w:cs="Arial"/>
                <w:b/>
                <w:bCs/>
                <w:sz w:val="16"/>
                <w:szCs w:val="16"/>
              </w:rPr>
            </w:pPr>
          </w:p>
        </w:tc>
        <w:tc>
          <w:tcPr>
            <w:tcW w:w="1313"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rPr>
                <w:sz w:val="16"/>
                <w:szCs w:val="16"/>
              </w:rPr>
            </w:pPr>
          </w:p>
        </w:tc>
        <w:tc>
          <w:tcPr>
            <w:tcW w:w="1097"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rPr>
                <w:sz w:val="16"/>
                <w:szCs w:val="16"/>
              </w:rPr>
            </w:pPr>
          </w:p>
        </w:tc>
      </w:tr>
      <w:tr w:rsidR="000B15CD" w:rsidRPr="00C50098" w:rsidTr="000B15CD">
        <w:trPr>
          <w:trHeight w:val="283"/>
          <w:jc w:val="center"/>
        </w:trPr>
        <w:tc>
          <w:tcPr>
            <w:tcW w:w="784" w:type="dxa"/>
            <w:tcBorders>
              <w:top w:val="single" w:sz="4" w:space="0" w:color="auto"/>
              <w:left w:val="single" w:sz="4" w:space="0" w:color="auto"/>
              <w:bottom w:val="single" w:sz="4" w:space="0" w:color="auto"/>
              <w:right w:val="single" w:sz="4" w:space="0" w:color="auto"/>
            </w:tcBorders>
            <w:noWrap/>
            <w:vAlign w:val="center"/>
            <w:hideMark/>
          </w:tcPr>
          <w:p w:rsidR="000B15CD" w:rsidRPr="00C50098" w:rsidRDefault="000B15CD" w:rsidP="000B15CD">
            <w:pPr>
              <w:jc w:val="center"/>
              <w:rPr>
                <w:rFonts w:ascii="Arial" w:hAnsi="Arial" w:cs="Arial"/>
                <w:sz w:val="16"/>
                <w:szCs w:val="16"/>
              </w:rPr>
            </w:pPr>
            <w:r w:rsidRPr="00C50098">
              <w:rPr>
                <w:rFonts w:ascii="Arial" w:hAnsi="Arial" w:cs="Arial"/>
                <w:sz w:val="16"/>
                <w:szCs w:val="16"/>
              </w:rPr>
              <w:t>01</w:t>
            </w:r>
          </w:p>
        </w:tc>
        <w:tc>
          <w:tcPr>
            <w:tcW w:w="2742" w:type="dxa"/>
            <w:tcBorders>
              <w:top w:val="single" w:sz="4" w:space="0" w:color="auto"/>
              <w:left w:val="single" w:sz="4" w:space="0" w:color="auto"/>
              <w:bottom w:val="single" w:sz="4" w:space="0" w:color="auto"/>
              <w:right w:val="single" w:sz="4" w:space="0" w:color="auto"/>
            </w:tcBorders>
            <w:vAlign w:val="center"/>
            <w:hideMark/>
          </w:tcPr>
          <w:p w:rsidR="000B15CD" w:rsidRPr="00C50098" w:rsidRDefault="000B15CD" w:rsidP="000B15CD">
            <w:pPr>
              <w:rPr>
                <w:rFonts w:ascii="Arial" w:hAnsi="Arial" w:cs="Arial"/>
                <w:sz w:val="16"/>
                <w:szCs w:val="16"/>
              </w:rPr>
            </w:pPr>
            <w:r w:rsidRPr="00C50098">
              <w:rPr>
                <w:rFonts w:ascii="Arial" w:hAnsi="Arial" w:cs="Arial"/>
                <w:sz w:val="16"/>
                <w:szCs w:val="16"/>
              </w:rPr>
              <w:t>Poder Ejecutivo del Estado</w:t>
            </w:r>
          </w:p>
        </w:tc>
        <w:tc>
          <w:tcPr>
            <w:tcW w:w="660" w:type="dxa"/>
            <w:tcBorders>
              <w:top w:val="single" w:sz="4" w:space="0" w:color="auto"/>
              <w:left w:val="single" w:sz="4" w:space="0" w:color="auto"/>
              <w:bottom w:val="single" w:sz="4" w:space="0" w:color="auto"/>
              <w:right w:val="single" w:sz="4" w:space="0" w:color="auto"/>
            </w:tcBorders>
            <w:vAlign w:val="center"/>
            <w:hideMark/>
          </w:tcPr>
          <w:p w:rsidR="000B15CD" w:rsidRPr="00C50098" w:rsidRDefault="000B15CD" w:rsidP="000B15CD">
            <w:pPr>
              <w:jc w:val="center"/>
              <w:rPr>
                <w:rFonts w:ascii="Arial" w:hAnsi="Arial" w:cs="Arial"/>
                <w:sz w:val="16"/>
                <w:szCs w:val="16"/>
              </w:rPr>
            </w:pPr>
            <w:r w:rsidRPr="00C50098">
              <w:rPr>
                <w:rFonts w:ascii="Arial" w:hAnsi="Arial" w:cs="Arial"/>
                <w:sz w:val="16"/>
                <w:szCs w:val="16"/>
              </w:rPr>
              <w:t>2</w:t>
            </w:r>
          </w:p>
        </w:tc>
        <w:tc>
          <w:tcPr>
            <w:tcW w:w="1313" w:type="dxa"/>
            <w:tcBorders>
              <w:top w:val="single" w:sz="4" w:space="0" w:color="auto"/>
              <w:left w:val="single" w:sz="4" w:space="0" w:color="auto"/>
              <w:bottom w:val="single" w:sz="4" w:space="0" w:color="auto"/>
              <w:right w:val="single" w:sz="4" w:space="0" w:color="auto"/>
            </w:tcBorders>
            <w:vAlign w:val="center"/>
          </w:tcPr>
          <w:p w:rsidR="000B15CD" w:rsidRPr="000B15CD" w:rsidRDefault="000B15CD" w:rsidP="000B15CD">
            <w:pPr>
              <w:jc w:val="right"/>
              <w:rPr>
                <w:rFonts w:ascii="Arial" w:hAnsi="Arial" w:cs="Arial"/>
                <w:sz w:val="16"/>
                <w:szCs w:val="16"/>
              </w:rPr>
            </w:pPr>
            <w:r w:rsidRPr="000B15CD">
              <w:rPr>
                <w:rFonts w:ascii="Arial" w:hAnsi="Arial" w:cs="Arial"/>
                <w:sz w:val="16"/>
                <w:szCs w:val="16"/>
              </w:rPr>
              <w:t>288,039,202</w:t>
            </w:r>
          </w:p>
        </w:tc>
        <w:tc>
          <w:tcPr>
            <w:tcW w:w="1097" w:type="dxa"/>
            <w:tcBorders>
              <w:top w:val="single" w:sz="4" w:space="0" w:color="auto"/>
              <w:left w:val="single" w:sz="4" w:space="0" w:color="auto"/>
              <w:bottom w:val="single" w:sz="4" w:space="0" w:color="auto"/>
              <w:right w:val="single" w:sz="4" w:space="0" w:color="auto"/>
            </w:tcBorders>
            <w:vAlign w:val="center"/>
            <w:hideMark/>
          </w:tcPr>
          <w:p w:rsidR="000B15CD" w:rsidRPr="00C50098" w:rsidRDefault="000B15CD" w:rsidP="000B15CD">
            <w:pPr>
              <w:jc w:val="center"/>
              <w:rPr>
                <w:rFonts w:ascii="Arial" w:hAnsi="Arial" w:cs="Arial"/>
                <w:sz w:val="16"/>
                <w:szCs w:val="16"/>
              </w:rPr>
            </w:pPr>
            <w:r w:rsidRPr="00C50098">
              <w:rPr>
                <w:rFonts w:ascii="Arial" w:hAnsi="Arial" w:cs="Arial"/>
                <w:sz w:val="16"/>
                <w:szCs w:val="16"/>
              </w:rPr>
              <w:t>100</w:t>
            </w:r>
          </w:p>
        </w:tc>
        <w:tc>
          <w:tcPr>
            <w:tcW w:w="567" w:type="dxa"/>
            <w:tcBorders>
              <w:top w:val="single" w:sz="4" w:space="0" w:color="auto"/>
              <w:left w:val="single" w:sz="4" w:space="0" w:color="auto"/>
              <w:bottom w:val="single" w:sz="4" w:space="0" w:color="auto"/>
              <w:right w:val="single" w:sz="4" w:space="0" w:color="auto"/>
            </w:tcBorders>
            <w:vAlign w:val="center"/>
            <w:hideMark/>
          </w:tcPr>
          <w:p w:rsidR="000B15CD" w:rsidRPr="00C50098" w:rsidRDefault="000B15CD" w:rsidP="000B15CD">
            <w:pPr>
              <w:jc w:val="center"/>
              <w:rPr>
                <w:rFonts w:ascii="Arial" w:hAnsi="Arial" w:cs="Arial"/>
                <w:sz w:val="16"/>
                <w:szCs w:val="16"/>
              </w:rPr>
            </w:pPr>
            <w:r w:rsidRPr="00C50098">
              <w:rPr>
                <w:rFonts w:ascii="Arial" w:hAnsi="Arial" w:cs="Arial"/>
                <w:sz w:val="16"/>
                <w:szCs w:val="16"/>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5CD" w:rsidRPr="00C50098" w:rsidRDefault="000B15CD" w:rsidP="000B15CD">
            <w:pPr>
              <w:jc w:val="center"/>
              <w:rPr>
                <w:rFonts w:ascii="Arial" w:hAnsi="Arial" w:cs="Arial"/>
                <w:sz w:val="16"/>
                <w:szCs w:val="16"/>
              </w:rPr>
            </w:pPr>
            <w:r w:rsidRPr="00C50098">
              <w:rPr>
                <w:rFonts w:ascii="Arial" w:hAnsi="Arial" w:cs="Arial"/>
                <w:sz w:val="16"/>
                <w:szCs w:val="16"/>
              </w:rPr>
              <w:t>49</w:t>
            </w:r>
          </w:p>
        </w:tc>
      </w:tr>
      <w:tr w:rsidR="000B15CD" w:rsidRPr="00C50098" w:rsidTr="000B15CD">
        <w:trPr>
          <w:trHeight w:val="283"/>
          <w:jc w:val="center"/>
        </w:trPr>
        <w:tc>
          <w:tcPr>
            <w:tcW w:w="784" w:type="dxa"/>
            <w:tcBorders>
              <w:top w:val="single" w:sz="4" w:space="0" w:color="auto"/>
              <w:left w:val="single" w:sz="4" w:space="0" w:color="auto"/>
              <w:bottom w:val="single" w:sz="4" w:space="0" w:color="auto"/>
              <w:right w:val="single" w:sz="4" w:space="0" w:color="auto"/>
            </w:tcBorders>
            <w:noWrap/>
            <w:vAlign w:val="center"/>
            <w:hideMark/>
          </w:tcPr>
          <w:p w:rsidR="000B15CD" w:rsidRPr="00C50098" w:rsidRDefault="000B15CD" w:rsidP="000B15CD">
            <w:pPr>
              <w:jc w:val="center"/>
              <w:rPr>
                <w:rFonts w:ascii="Arial" w:hAnsi="Arial" w:cs="Arial"/>
                <w:sz w:val="16"/>
                <w:szCs w:val="16"/>
              </w:rPr>
            </w:pPr>
            <w:r w:rsidRPr="00C50098">
              <w:rPr>
                <w:rFonts w:ascii="Arial" w:hAnsi="Arial" w:cs="Arial"/>
                <w:sz w:val="16"/>
                <w:szCs w:val="16"/>
              </w:rPr>
              <w:t>02</w:t>
            </w:r>
          </w:p>
        </w:tc>
        <w:tc>
          <w:tcPr>
            <w:tcW w:w="2742" w:type="dxa"/>
            <w:tcBorders>
              <w:top w:val="single" w:sz="4" w:space="0" w:color="auto"/>
              <w:left w:val="single" w:sz="4" w:space="0" w:color="auto"/>
              <w:bottom w:val="single" w:sz="4" w:space="0" w:color="auto"/>
              <w:right w:val="single" w:sz="4" w:space="0" w:color="auto"/>
            </w:tcBorders>
            <w:vAlign w:val="center"/>
            <w:hideMark/>
          </w:tcPr>
          <w:p w:rsidR="000B15CD" w:rsidRPr="00C50098" w:rsidRDefault="000B15CD" w:rsidP="000B15CD">
            <w:pPr>
              <w:rPr>
                <w:rFonts w:ascii="Arial" w:hAnsi="Arial" w:cs="Arial"/>
                <w:sz w:val="16"/>
                <w:szCs w:val="16"/>
              </w:rPr>
            </w:pPr>
            <w:r w:rsidRPr="00C50098">
              <w:rPr>
                <w:rFonts w:ascii="Arial" w:hAnsi="Arial" w:cs="Arial"/>
                <w:sz w:val="16"/>
                <w:szCs w:val="16"/>
              </w:rPr>
              <w:t>Secretaría General de Gobierno</w:t>
            </w:r>
          </w:p>
        </w:tc>
        <w:tc>
          <w:tcPr>
            <w:tcW w:w="660" w:type="dxa"/>
            <w:tcBorders>
              <w:top w:val="single" w:sz="4" w:space="0" w:color="auto"/>
              <w:left w:val="single" w:sz="4" w:space="0" w:color="auto"/>
              <w:bottom w:val="single" w:sz="4" w:space="0" w:color="auto"/>
              <w:right w:val="single" w:sz="4" w:space="0" w:color="auto"/>
            </w:tcBorders>
            <w:vAlign w:val="center"/>
            <w:hideMark/>
          </w:tcPr>
          <w:p w:rsidR="000B15CD" w:rsidRPr="00C50098" w:rsidRDefault="000B15CD" w:rsidP="000B15CD">
            <w:pPr>
              <w:jc w:val="center"/>
              <w:rPr>
                <w:rFonts w:ascii="Arial" w:hAnsi="Arial" w:cs="Arial"/>
                <w:sz w:val="16"/>
                <w:szCs w:val="16"/>
              </w:rPr>
            </w:pPr>
            <w:r w:rsidRPr="00C50098">
              <w:rPr>
                <w:rFonts w:ascii="Arial" w:hAnsi="Arial" w:cs="Arial"/>
                <w:sz w:val="16"/>
                <w:szCs w:val="16"/>
              </w:rPr>
              <w:t>2</w:t>
            </w:r>
          </w:p>
        </w:tc>
        <w:tc>
          <w:tcPr>
            <w:tcW w:w="1313" w:type="dxa"/>
            <w:tcBorders>
              <w:top w:val="single" w:sz="4" w:space="0" w:color="auto"/>
              <w:left w:val="single" w:sz="4" w:space="0" w:color="auto"/>
              <w:bottom w:val="single" w:sz="4" w:space="0" w:color="auto"/>
              <w:right w:val="single" w:sz="4" w:space="0" w:color="auto"/>
            </w:tcBorders>
            <w:vAlign w:val="center"/>
          </w:tcPr>
          <w:p w:rsidR="000B15CD" w:rsidRPr="000B15CD" w:rsidRDefault="000B15CD" w:rsidP="000B15CD">
            <w:pPr>
              <w:jc w:val="right"/>
              <w:rPr>
                <w:rFonts w:ascii="Arial" w:hAnsi="Arial" w:cs="Arial"/>
                <w:sz w:val="16"/>
                <w:szCs w:val="16"/>
              </w:rPr>
            </w:pPr>
            <w:r w:rsidRPr="000B15CD">
              <w:rPr>
                <w:rFonts w:ascii="Arial" w:hAnsi="Arial" w:cs="Arial"/>
                <w:sz w:val="16"/>
                <w:szCs w:val="16"/>
              </w:rPr>
              <w:t>358,398,916</w:t>
            </w:r>
          </w:p>
        </w:tc>
        <w:tc>
          <w:tcPr>
            <w:tcW w:w="1097" w:type="dxa"/>
            <w:tcBorders>
              <w:top w:val="single" w:sz="4" w:space="0" w:color="auto"/>
              <w:left w:val="single" w:sz="4" w:space="0" w:color="auto"/>
              <w:bottom w:val="single" w:sz="4" w:space="0" w:color="auto"/>
              <w:right w:val="single" w:sz="4" w:space="0" w:color="auto"/>
            </w:tcBorders>
            <w:vAlign w:val="center"/>
            <w:hideMark/>
          </w:tcPr>
          <w:p w:rsidR="000B15CD" w:rsidRPr="00C50098" w:rsidRDefault="000B15CD" w:rsidP="000B15CD">
            <w:pPr>
              <w:jc w:val="center"/>
              <w:rPr>
                <w:rFonts w:ascii="Arial" w:hAnsi="Arial" w:cs="Arial"/>
                <w:sz w:val="16"/>
                <w:szCs w:val="16"/>
              </w:rPr>
            </w:pPr>
            <w:r w:rsidRPr="00C50098">
              <w:rPr>
                <w:rFonts w:ascii="Arial" w:hAnsi="Arial" w:cs="Arial"/>
                <w:sz w:val="16"/>
                <w:szCs w:val="16"/>
              </w:rPr>
              <w:t>100</w:t>
            </w:r>
          </w:p>
        </w:tc>
        <w:tc>
          <w:tcPr>
            <w:tcW w:w="567" w:type="dxa"/>
            <w:tcBorders>
              <w:top w:val="single" w:sz="4" w:space="0" w:color="auto"/>
              <w:left w:val="single" w:sz="4" w:space="0" w:color="auto"/>
              <w:bottom w:val="single" w:sz="4" w:space="0" w:color="auto"/>
              <w:right w:val="single" w:sz="4" w:space="0" w:color="auto"/>
            </w:tcBorders>
            <w:vAlign w:val="center"/>
            <w:hideMark/>
          </w:tcPr>
          <w:p w:rsidR="000B15CD" w:rsidRPr="00C50098" w:rsidRDefault="000B15CD" w:rsidP="000B15CD">
            <w:pPr>
              <w:jc w:val="center"/>
              <w:rPr>
                <w:rFonts w:ascii="Arial" w:hAnsi="Arial" w:cs="Arial"/>
                <w:sz w:val="16"/>
                <w:szCs w:val="16"/>
              </w:rPr>
            </w:pPr>
            <w:r w:rsidRPr="00C50098">
              <w:rPr>
                <w:rFonts w:ascii="Arial" w:hAnsi="Arial" w:cs="Arial"/>
                <w:sz w:val="16"/>
                <w:szCs w:val="16"/>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5CD" w:rsidRPr="00C50098" w:rsidRDefault="000B15CD" w:rsidP="000B15CD">
            <w:pPr>
              <w:jc w:val="center"/>
              <w:rPr>
                <w:rFonts w:ascii="Arial" w:hAnsi="Arial" w:cs="Arial"/>
                <w:sz w:val="16"/>
                <w:szCs w:val="16"/>
              </w:rPr>
            </w:pPr>
            <w:r w:rsidRPr="00C50098">
              <w:rPr>
                <w:rFonts w:ascii="Arial" w:hAnsi="Arial" w:cs="Arial"/>
                <w:sz w:val="16"/>
                <w:szCs w:val="16"/>
              </w:rPr>
              <w:t>65</w:t>
            </w:r>
          </w:p>
        </w:tc>
      </w:tr>
      <w:tr w:rsidR="000B15CD" w:rsidRPr="00C50098" w:rsidTr="000B15CD">
        <w:trPr>
          <w:trHeight w:val="283"/>
          <w:jc w:val="center"/>
        </w:trPr>
        <w:tc>
          <w:tcPr>
            <w:tcW w:w="784" w:type="dxa"/>
            <w:tcBorders>
              <w:top w:val="single" w:sz="4" w:space="0" w:color="auto"/>
              <w:left w:val="single" w:sz="4" w:space="0" w:color="auto"/>
              <w:bottom w:val="single" w:sz="4" w:space="0" w:color="auto"/>
              <w:right w:val="single" w:sz="4" w:space="0" w:color="auto"/>
            </w:tcBorders>
            <w:noWrap/>
            <w:vAlign w:val="center"/>
            <w:hideMark/>
          </w:tcPr>
          <w:p w:rsidR="000B15CD" w:rsidRPr="00C50098" w:rsidRDefault="000B15CD" w:rsidP="000B15CD">
            <w:pPr>
              <w:jc w:val="center"/>
              <w:rPr>
                <w:rFonts w:ascii="Arial" w:hAnsi="Arial" w:cs="Arial"/>
                <w:sz w:val="16"/>
                <w:szCs w:val="16"/>
              </w:rPr>
            </w:pPr>
            <w:r w:rsidRPr="00C50098">
              <w:rPr>
                <w:rFonts w:ascii="Arial" w:hAnsi="Arial" w:cs="Arial"/>
                <w:sz w:val="16"/>
                <w:szCs w:val="16"/>
              </w:rPr>
              <w:t>03</w:t>
            </w:r>
          </w:p>
        </w:tc>
        <w:tc>
          <w:tcPr>
            <w:tcW w:w="2742" w:type="dxa"/>
            <w:tcBorders>
              <w:top w:val="single" w:sz="4" w:space="0" w:color="auto"/>
              <w:left w:val="single" w:sz="4" w:space="0" w:color="auto"/>
              <w:bottom w:val="single" w:sz="4" w:space="0" w:color="auto"/>
              <w:right w:val="single" w:sz="4" w:space="0" w:color="auto"/>
            </w:tcBorders>
            <w:vAlign w:val="center"/>
            <w:hideMark/>
          </w:tcPr>
          <w:p w:rsidR="000B15CD" w:rsidRPr="00C50098" w:rsidRDefault="000B15CD" w:rsidP="000B15CD">
            <w:pPr>
              <w:rPr>
                <w:rFonts w:ascii="Arial" w:hAnsi="Arial" w:cs="Arial"/>
                <w:sz w:val="16"/>
                <w:szCs w:val="16"/>
              </w:rPr>
            </w:pPr>
            <w:r w:rsidRPr="00C50098">
              <w:rPr>
                <w:rFonts w:ascii="Arial" w:hAnsi="Arial" w:cs="Arial"/>
                <w:sz w:val="16"/>
                <w:szCs w:val="16"/>
              </w:rPr>
              <w:t>Secretaría de Planeación y Finanzas</w:t>
            </w:r>
          </w:p>
        </w:tc>
        <w:tc>
          <w:tcPr>
            <w:tcW w:w="660" w:type="dxa"/>
            <w:tcBorders>
              <w:top w:val="single" w:sz="4" w:space="0" w:color="auto"/>
              <w:left w:val="single" w:sz="4" w:space="0" w:color="auto"/>
              <w:bottom w:val="single" w:sz="4" w:space="0" w:color="auto"/>
              <w:right w:val="single" w:sz="4" w:space="0" w:color="auto"/>
            </w:tcBorders>
            <w:vAlign w:val="center"/>
            <w:hideMark/>
          </w:tcPr>
          <w:p w:rsidR="000B15CD" w:rsidRPr="00C50098" w:rsidRDefault="000B15CD" w:rsidP="000B15CD">
            <w:pPr>
              <w:jc w:val="center"/>
              <w:rPr>
                <w:rFonts w:ascii="Arial" w:hAnsi="Arial" w:cs="Arial"/>
                <w:sz w:val="16"/>
                <w:szCs w:val="16"/>
              </w:rPr>
            </w:pPr>
            <w:r w:rsidRPr="00C50098">
              <w:rPr>
                <w:rFonts w:ascii="Arial" w:hAnsi="Arial" w:cs="Arial"/>
                <w:sz w:val="16"/>
                <w:szCs w:val="16"/>
              </w:rPr>
              <w:t>3</w:t>
            </w:r>
          </w:p>
        </w:tc>
        <w:tc>
          <w:tcPr>
            <w:tcW w:w="1313" w:type="dxa"/>
            <w:tcBorders>
              <w:top w:val="single" w:sz="4" w:space="0" w:color="auto"/>
              <w:left w:val="single" w:sz="4" w:space="0" w:color="auto"/>
              <w:bottom w:val="single" w:sz="4" w:space="0" w:color="auto"/>
              <w:right w:val="single" w:sz="4" w:space="0" w:color="auto"/>
            </w:tcBorders>
            <w:vAlign w:val="center"/>
          </w:tcPr>
          <w:p w:rsidR="000B15CD" w:rsidRPr="000B15CD" w:rsidRDefault="000B15CD" w:rsidP="000B15CD">
            <w:pPr>
              <w:jc w:val="right"/>
              <w:rPr>
                <w:rFonts w:ascii="Arial" w:hAnsi="Arial" w:cs="Arial"/>
                <w:sz w:val="16"/>
                <w:szCs w:val="16"/>
              </w:rPr>
            </w:pPr>
            <w:r w:rsidRPr="000B15CD">
              <w:rPr>
                <w:rFonts w:ascii="Arial" w:hAnsi="Arial" w:cs="Arial"/>
                <w:sz w:val="16"/>
                <w:szCs w:val="16"/>
              </w:rPr>
              <w:t>187,703,995</w:t>
            </w:r>
          </w:p>
        </w:tc>
        <w:tc>
          <w:tcPr>
            <w:tcW w:w="1097" w:type="dxa"/>
            <w:tcBorders>
              <w:top w:val="single" w:sz="4" w:space="0" w:color="auto"/>
              <w:left w:val="single" w:sz="4" w:space="0" w:color="auto"/>
              <w:bottom w:val="single" w:sz="4" w:space="0" w:color="auto"/>
              <w:right w:val="single" w:sz="4" w:space="0" w:color="auto"/>
            </w:tcBorders>
            <w:vAlign w:val="center"/>
            <w:hideMark/>
          </w:tcPr>
          <w:p w:rsidR="000B15CD" w:rsidRPr="00C50098" w:rsidRDefault="000B15CD" w:rsidP="000B15CD">
            <w:pPr>
              <w:jc w:val="center"/>
              <w:rPr>
                <w:rFonts w:ascii="Arial" w:hAnsi="Arial" w:cs="Arial"/>
                <w:sz w:val="16"/>
                <w:szCs w:val="16"/>
              </w:rPr>
            </w:pPr>
            <w:r w:rsidRPr="00C50098">
              <w:rPr>
                <w:rFonts w:ascii="Arial" w:hAnsi="Arial" w:cs="Arial"/>
                <w:sz w:val="16"/>
                <w:szCs w:val="16"/>
              </w:rPr>
              <w:t>100</w:t>
            </w:r>
          </w:p>
        </w:tc>
        <w:tc>
          <w:tcPr>
            <w:tcW w:w="567" w:type="dxa"/>
            <w:tcBorders>
              <w:top w:val="single" w:sz="4" w:space="0" w:color="auto"/>
              <w:left w:val="single" w:sz="4" w:space="0" w:color="auto"/>
              <w:bottom w:val="single" w:sz="4" w:space="0" w:color="auto"/>
              <w:right w:val="single" w:sz="4" w:space="0" w:color="auto"/>
            </w:tcBorders>
            <w:vAlign w:val="center"/>
            <w:hideMark/>
          </w:tcPr>
          <w:p w:rsidR="000B15CD" w:rsidRPr="00C50098" w:rsidRDefault="000B15CD" w:rsidP="000B15CD">
            <w:pPr>
              <w:jc w:val="center"/>
              <w:rPr>
                <w:rFonts w:ascii="Arial" w:hAnsi="Arial" w:cs="Arial"/>
                <w:sz w:val="16"/>
                <w:szCs w:val="16"/>
              </w:rPr>
            </w:pPr>
            <w:r w:rsidRPr="00C50098">
              <w:rPr>
                <w:rFonts w:ascii="Arial" w:hAnsi="Arial" w:cs="Arial"/>
                <w:sz w:val="16"/>
                <w:szCs w:val="16"/>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5CD" w:rsidRPr="00C50098" w:rsidRDefault="000B15CD" w:rsidP="000B15CD">
            <w:pPr>
              <w:jc w:val="center"/>
              <w:rPr>
                <w:rFonts w:ascii="Arial" w:hAnsi="Arial" w:cs="Arial"/>
                <w:sz w:val="16"/>
                <w:szCs w:val="16"/>
              </w:rPr>
            </w:pPr>
            <w:r w:rsidRPr="00C50098">
              <w:rPr>
                <w:rFonts w:ascii="Arial" w:hAnsi="Arial" w:cs="Arial"/>
                <w:sz w:val="16"/>
                <w:szCs w:val="16"/>
              </w:rPr>
              <w:t>46</w:t>
            </w:r>
          </w:p>
        </w:tc>
      </w:tr>
      <w:tr w:rsidR="000B15CD" w:rsidRPr="00C50098" w:rsidTr="000B15CD">
        <w:trPr>
          <w:trHeight w:val="283"/>
          <w:jc w:val="center"/>
        </w:trPr>
        <w:tc>
          <w:tcPr>
            <w:tcW w:w="784" w:type="dxa"/>
            <w:tcBorders>
              <w:top w:val="single" w:sz="4" w:space="0" w:color="auto"/>
              <w:left w:val="single" w:sz="4" w:space="0" w:color="auto"/>
              <w:bottom w:val="single" w:sz="4" w:space="0" w:color="auto"/>
              <w:right w:val="single" w:sz="4" w:space="0" w:color="auto"/>
            </w:tcBorders>
            <w:noWrap/>
            <w:vAlign w:val="center"/>
            <w:hideMark/>
          </w:tcPr>
          <w:p w:rsidR="000B15CD" w:rsidRPr="00C50098" w:rsidRDefault="000B15CD" w:rsidP="000B15CD">
            <w:pPr>
              <w:jc w:val="center"/>
              <w:rPr>
                <w:rFonts w:ascii="Arial" w:hAnsi="Arial" w:cs="Arial"/>
                <w:sz w:val="16"/>
                <w:szCs w:val="16"/>
              </w:rPr>
            </w:pPr>
            <w:r w:rsidRPr="00C50098">
              <w:rPr>
                <w:rFonts w:ascii="Arial" w:hAnsi="Arial" w:cs="Arial"/>
                <w:sz w:val="16"/>
                <w:szCs w:val="16"/>
              </w:rPr>
              <w:t>04</w:t>
            </w:r>
          </w:p>
        </w:tc>
        <w:tc>
          <w:tcPr>
            <w:tcW w:w="2742" w:type="dxa"/>
            <w:tcBorders>
              <w:top w:val="single" w:sz="4" w:space="0" w:color="auto"/>
              <w:left w:val="single" w:sz="4" w:space="0" w:color="auto"/>
              <w:bottom w:val="single" w:sz="4" w:space="0" w:color="auto"/>
              <w:right w:val="single" w:sz="4" w:space="0" w:color="auto"/>
            </w:tcBorders>
            <w:vAlign w:val="center"/>
            <w:hideMark/>
          </w:tcPr>
          <w:p w:rsidR="000B15CD" w:rsidRPr="00C50098" w:rsidRDefault="000B15CD" w:rsidP="000B15CD">
            <w:pPr>
              <w:rPr>
                <w:rFonts w:ascii="Arial" w:hAnsi="Arial" w:cs="Arial"/>
                <w:sz w:val="16"/>
                <w:szCs w:val="16"/>
              </w:rPr>
            </w:pPr>
            <w:r w:rsidRPr="00C50098">
              <w:rPr>
                <w:rFonts w:ascii="Arial" w:hAnsi="Arial" w:cs="Arial"/>
                <w:sz w:val="16"/>
                <w:szCs w:val="16"/>
              </w:rPr>
              <w:t>Secretaría de Desarrollo Social</w:t>
            </w:r>
          </w:p>
        </w:tc>
        <w:tc>
          <w:tcPr>
            <w:tcW w:w="660" w:type="dxa"/>
            <w:tcBorders>
              <w:top w:val="single" w:sz="4" w:space="0" w:color="auto"/>
              <w:left w:val="single" w:sz="4" w:space="0" w:color="auto"/>
              <w:bottom w:val="single" w:sz="4" w:space="0" w:color="auto"/>
              <w:right w:val="single" w:sz="4" w:space="0" w:color="auto"/>
            </w:tcBorders>
            <w:vAlign w:val="center"/>
            <w:hideMark/>
          </w:tcPr>
          <w:p w:rsidR="000B15CD" w:rsidRPr="00C50098" w:rsidRDefault="000B15CD" w:rsidP="000B15CD">
            <w:pPr>
              <w:jc w:val="center"/>
              <w:rPr>
                <w:rFonts w:ascii="Arial" w:hAnsi="Arial" w:cs="Arial"/>
                <w:sz w:val="16"/>
                <w:szCs w:val="16"/>
              </w:rPr>
            </w:pPr>
            <w:r w:rsidRPr="00C50098">
              <w:rPr>
                <w:rFonts w:ascii="Arial" w:hAnsi="Arial" w:cs="Arial"/>
                <w:sz w:val="16"/>
                <w:szCs w:val="16"/>
              </w:rPr>
              <w:t>5</w:t>
            </w:r>
          </w:p>
        </w:tc>
        <w:tc>
          <w:tcPr>
            <w:tcW w:w="1313" w:type="dxa"/>
            <w:tcBorders>
              <w:top w:val="single" w:sz="4" w:space="0" w:color="auto"/>
              <w:left w:val="single" w:sz="4" w:space="0" w:color="auto"/>
              <w:bottom w:val="single" w:sz="4" w:space="0" w:color="auto"/>
              <w:right w:val="single" w:sz="4" w:space="0" w:color="auto"/>
            </w:tcBorders>
            <w:vAlign w:val="center"/>
          </w:tcPr>
          <w:p w:rsidR="000B15CD" w:rsidRPr="000B15CD" w:rsidRDefault="000B15CD" w:rsidP="000B15CD">
            <w:pPr>
              <w:jc w:val="right"/>
              <w:rPr>
                <w:rFonts w:ascii="Arial" w:hAnsi="Arial" w:cs="Arial"/>
                <w:sz w:val="16"/>
                <w:szCs w:val="16"/>
              </w:rPr>
            </w:pPr>
            <w:r w:rsidRPr="000B15CD">
              <w:rPr>
                <w:rFonts w:ascii="Arial" w:hAnsi="Arial" w:cs="Arial"/>
                <w:sz w:val="16"/>
                <w:szCs w:val="16"/>
              </w:rPr>
              <w:t>124,082,574</w:t>
            </w:r>
          </w:p>
        </w:tc>
        <w:tc>
          <w:tcPr>
            <w:tcW w:w="1097" w:type="dxa"/>
            <w:tcBorders>
              <w:top w:val="single" w:sz="4" w:space="0" w:color="auto"/>
              <w:left w:val="single" w:sz="4" w:space="0" w:color="auto"/>
              <w:bottom w:val="single" w:sz="4" w:space="0" w:color="auto"/>
              <w:right w:val="single" w:sz="4" w:space="0" w:color="auto"/>
            </w:tcBorders>
            <w:vAlign w:val="center"/>
            <w:hideMark/>
          </w:tcPr>
          <w:p w:rsidR="000B15CD" w:rsidRPr="00C50098" w:rsidRDefault="000B15CD" w:rsidP="000B15CD">
            <w:pPr>
              <w:jc w:val="center"/>
              <w:rPr>
                <w:rFonts w:ascii="Arial" w:hAnsi="Arial" w:cs="Arial"/>
                <w:sz w:val="16"/>
                <w:szCs w:val="16"/>
              </w:rPr>
            </w:pPr>
            <w:r w:rsidRPr="00C50098">
              <w:rPr>
                <w:rFonts w:ascii="Arial" w:hAnsi="Arial" w:cs="Arial"/>
                <w:sz w:val="16"/>
                <w:szCs w:val="16"/>
              </w:rPr>
              <w:t>100</w:t>
            </w:r>
          </w:p>
        </w:tc>
        <w:tc>
          <w:tcPr>
            <w:tcW w:w="567" w:type="dxa"/>
            <w:tcBorders>
              <w:top w:val="single" w:sz="4" w:space="0" w:color="auto"/>
              <w:left w:val="single" w:sz="4" w:space="0" w:color="auto"/>
              <w:bottom w:val="single" w:sz="4" w:space="0" w:color="auto"/>
              <w:right w:val="single" w:sz="4" w:space="0" w:color="auto"/>
            </w:tcBorders>
            <w:vAlign w:val="center"/>
            <w:hideMark/>
          </w:tcPr>
          <w:p w:rsidR="000B15CD" w:rsidRPr="00C50098" w:rsidRDefault="000B15CD" w:rsidP="000B15CD">
            <w:pPr>
              <w:jc w:val="center"/>
              <w:rPr>
                <w:rFonts w:ascii="Arial" w:hAnsi="Arial" w:cs="Arial"/>
                <w:sz w:val="16"/>
                <w:szCs w:val="16"/>
              </w:rPr>
            </w:pPr>
            <w:r w:rsidRPr="00C50098">
              <w:rPr>
                <w:rFonts w:ascii="Arial" w:hAnsi="Arial" w:cs="Arial"/>
                <w:sz w:val="16"/>
                <w:szCs w:val="16"/>
              </w:rPr>
              <w:t>5</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5CD" w:rsidRPr="00C50098" w:rsidRDefault="000B15CD" w:rsidP="000B15CD">
            <w:pPr>
              <w:jc w:val="center"/>
              <w:rPr>
                <w:rFonts w:ascii="Arial" w:hAnsi="Arial" w:cs="Arial"/>
                <w:sz w:val="16"/>
                <w:szCs w:val="16"/>
              </w:rPr>
            </w:pPr>
            <w:r w:rsidRPr="00C50098">
              <w:rPr>
                <w:rFonts w:ascii="Arial" w:hAnsi="Arial" w:cs="Arial"/>
                <w:sz w:val="16"/>
                <w:szCs w:val="16"/>
              </w:rPr>
              <w:t>39</w:t>
            </w:r>
          </w:p>
        </w:tc>
      </w:tr>
      <w:tr w:rsidR="000B15CD" w:rsidRPr="00C50098" w:rsidTr="000B15CD">
        <w:trPr>
          <w:trHeight w:val="283"/>
          <w:jc w:val="center"/>
        </w:trPr>
        <w:tc>
          <w:tcPr>
            <w:tcW w:w="784" w:type="dxa"/>
            <w:tcBorders>
              <w:top w:val="single" w:sz="4" w:space="0" w:color="auto"/>
              <w:left w:val="single" w:sz="4" w:space="0" w:color="auto"/>
              <w:bottom w:val="single" w:sz="4" w:space="0" w:color="auto"/>
              <w:right w:val="single" w:sz="4" w:space="0" w:color="auto"/>
            </w:tcBorders>
            <w:noWrap/>
            <w:vAlign w:val="center"/>
            <w:hideMark/>
          </w:tcPr>
          <w:p w:rsidR="000B15CD" w:rsidRPr="00C50098" w:rsidRDefault="000B15CD" w:rsidP="000B15CD">
            <w:pPr>
              <w:jc w:val="center"/>
              <w:rPr>
                <w:rFonts w:ascii="Arial" w:hAnsi="Arial" w:cs="Arial"/>
                <w:sz w:val="16"/>
                <w:szCs w:val="16"/>
              </w:rPr>
            </w:pPr>
            <w:r w:rsidRPr="00C50098">
              <w:rPr>
                <w:rFonts w:ascii="Arial" w:hAnsi="Arial" w:cs="Arial"/>
                <w:sz w:val="16"/>
                <w:szCs w:val="16"/>
              </w:rPr>
              <w:t>05</w:t>
            </w:r>
          </w:p>
        </w:tc>
        <w:tc>
          <w:tcPr>
            <w:tcW w:w="2742" w:type="dxa"/>
            <w:tcBorders>
              <w:top w:val="single" w:sz="4" w:space="0" w:color="auto"/>
              <w:left w:val="single" w:sz="4" w:space="0" w:color="auto"/>
              <w:bottom w:val="single" w:sz="4" w:space="0" w:color="auto"/>
              <w:right w:val="single" w:sz="4" w:space="0" w:color="auto"/>
            </w:tcBorders>
            <w:vAlign w:val="center"/>
            <w:hideMark/>
          </w:tcPr>
          <w:p w:rsidR="000B15CD" w:rsidRPr="00C50098" w:rsidRDefault="000B15CD" w:rsidP="000B15CD">
            <w:pPr>
              <w:rPr>
                <w:rFonts w:ascii="Arial" w:hAnsi="Arial" w:cs="Arial"/>
                <w:sz w:val="16"/>
                <w:szCs w:val="16"/>
              </w:rPr>
            </w:pPr>
            <w:r w:rsidRPr="00C50098">
              <w:rPr>
                <w:rFonts w:ascii="Arial" w:hAnsi="Arial" w:cs="Arial"/>
                <w:sz w:val="16"/>
                <w:szCs w:val="16"/>
              </w:rPr>
              <w:t xml:space="preserve">Secretaria de Infraestructura y Desarrollo Urbano </w:t>
            </w:r>
          </w:p>
        </w:tc>
        <w:tc>
          <w:tcPr>
            <w:tcW w:w="660" w:type="dxa"/>
            <w:tcBorders>
              <w:top w:val="single" w:sz="4" w:space="0" w:color="auto"/>
              <w:left w:val="single" w:sz="4" w:space="0" w:color="auto"/>
              <w:bottom w:val="single" w:sz="4" w:space="0" w:color="auto"/>
              <w:right w:val="single" w:sz="4" w:space="0" w:color="auto"/>
            </w:tcBorders>
            <w:vAlign w:val="center"/>
            <w:hideMark/>
          </w:tcPr>
          <w:p w:rsidR="000B15CD" w:rsidRPr="00C50098" w:rsidRDefault="000B15CD" w:rsidP="000B15CD">
            <w:pPr>
              <w:jc w:val="center"/>
              <w:rPr>
                <w:rFonts w:ascii="Arial" w:hAnsi="Arial" w:cs="Arial"/>
                <w:sz w:val="16"/>
                <w:szCs w:val="16"/>
              </w:rPr>
            </w:pPr>
            <w:r w:rsidRPr="00C50098">
              <w:rPr>
                <w:rFonts w:ascii="Arial" w:hAnsi="Arial" w:cs="Arial"/>
                <w:sz w:val="16"/>
                <w:szCs w:val="16"/>
              </w:rPr>
              <w:t>8</w:t>
            </w:r>
          </w:p>
        </w:tc>
        <w:tc>
          <w:tcPr>
            <w:tcW w:w="1313" w:type="dxa"/>
            <w:tcBorders>
              <w:top w:val="single" w:sz="4" w:space="0" w:color="auto"/>
              <w:left w:val="single" w:sz="4" w:space="0" w:color="auto"/>
              <w:bottom w:val="single" w:sz="4" w:space="0" w:color="auto"/>
              <w:right w:val="single" w:sz="4" w:space="0" w:color="auto"/>
            </w:tcBorders>
            <w:vAlign w:val="center"/>
          </w:tcPr>
          <w:p w:rsidR="000B15CD" w:rsidRPr="000B15CD" w:rsidRDefault="000B15CD" w:rsidP="000B15CD">
            <w:pPr>
              <w:jc w:val="right"/>
              <w:rPr>
                <w:rFonts w:ascii="Arial" w:hAnsi="Arial" w:cs="Arial"/>
                <w:sz w:val="16"/>
                <w:szCs w:val="16"/>
              </w:rPr>
            </w:pPr>
            <w:r w:rsidRPr="000B15CD">
              <w:rPr>
                <w:rFonts w:ascii="Arial" w:hAnsi="Arial" w:cs="Arial"/>
                <w:sz w:val="16"/>
                <w:szCs w:val="16"/>
              </w:rPr>
              <w:t>658,010,760</w:t>
            </w:r>
          </w:p>
        </w:tc>
        <w:tc>
          <w:tcPr>
            <w:tcW w:w="1097" w:type="dxa"/>
            <w:tcBorders>
              <w:top w:val="single" w:sz="4" w:space="0" w:color="auto"/>
              <w:left w:val="single" w:sz="4" w:space="0" w:color="auto"/>
              <w:bottom w:val="single" w:sz="4" w:space="0" w:color="auto"/>
              <w:right w:val="single" w:sz="4" w:space="0" w:color="auto"/>
            </w:tcBorders>
            <w:vAlign w:val="center"/>
            <w:hideMark/>
          </w:tcPr>
          <w:p w:rsidR="000B15CD" w:rsidRPr="00C50098" w:rsidRDefault="000B15CD" w:rsidP="000B15CD">
            <w:pPr>
              <w:jc w:val="center"/>
              <w:rPr>
                <w:rFonts w:ascii="Arial" w:hAnsi="Arial" w:cs="Arial"/>
                <w:sz w:val="16"/>
                <w:szCs w:val="16"/>
              </w:rPr>
            </w:pPr>
            <w:r w:rsidRPr="00C50098">
              <w:rPr>
                <w:rFonts w:ascii="Arial" w:hAnsi="Arial" w:cs="Arial"/>
                <w:sz w:val="16"/>
                <w:szCs w:val="16"/>
              </w:rPr>
              <w:t>100</w:t>
            </w:r>
          </w:p>
        </w:tc>
        <w:tc>
          <w:tcPr>
            <w:tcW w:w="567" w:type="dxa"/>
            <w:tcBorders>
              <w:top w:val="single" w:sz="4" w:space="0" w:color="auto"/>
              <w:left w:val="single" w:sz="4" w:space="0" w:color="auto"/>
              <w:bottom w:val="single" w:sz="4" w:space="0" w:color="auto"/>
              <w:right w:val="single" w:sz="4" w:space="0" w:color="auto"/>
            </w:tcBorders>
            <w:vAlign w:val="center"/>
            <w:hideMark/>
          </w:tcPr>
          <w:p w:rsidR="000B15CD" w:rsidRPr="00C50098" w:rsidRDefault="000B15CD" w:rsidP="000B15CD">
            <w:pPr>
              <w:jc w:val="center"/>
              <w:rPr>
                <w:rFonts w:ascii="Arial" w:hAnsi="Arial" w:cs="Arial"/>
                <w:sz w:val="16"/>
                <w:szCs w:val="16"/>
              </w:rPr>
            </w:pPr>
            <w:r w:rsidRPr="00C50098">
              <w:rPr>
                <w:rFonts w:ascii="Arial" w:hAnsi="Arial" w:cs="Arial"/>
                <w:sz w:val="16"/>
                <w:szCs w:val="16"/>
              </w:rPr>
              <w:t>8</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5CD" w:rsidRPr="00C50098" w:rsidRDefault="000B15CD" w:rsidP="000B15CD">
            <w:pPr>
              <w:jc w:val="center"/>
              <w:rPr>
                <w:rFonts w:ascii="Arial" w:hAnsi="Arial" w:cs="Arial"/>
                <w:sz w:val="16"/>
                <w:szCs w:val="16"/>
              </w:rPr>
            </w:pPr>
            <w:r w:rsidRPr="00C50098">
              <w:rPr>
                <w:rFonts w:ascii="Arial" w:hAnsi="Arial" w:cs="Arial"/>
                <w:sz w:val="16"/>
                <w:szCs w:val="16"/>
              </w:rPr>
              <w:t>79</w:t>
            </w:r>
          </w:p>
        </w:tc>
      </w:tr>
      <w:tr w:rsidR="000B15CD" w:rsidRPr="00C50098" w:rsidTr="000B15CD">
        <w:trPr>
          <w:trHeight w:val="283"/>
          <w:jc w:val="center"/>
        </w:trPr>
        <w:tc>
          <w:tcPr>
            <w:tcW w:w="784" w:type="dxa"/>
            <w:tcBorders>
              <w:top w:val="single" w:sz="4" w:space="0" w:color="auto"/>
              <w:left w:val="single" w:sz="4" w:space="0" w:color="auto"/>
              <w:bottom w:val="single" w:sz="4" w:space="0" w:color="auto"/>
              <w:right w:val="single" w:sz="4" w:space="0" w:color="auto"/>
            </w:tcBorders>
            <w:noWrap/>
            <w:vAlign w:val="center"/>
            <w:hideMark/>
          </w:tcPr>
          <w:p w:rsidR="000B15CD" w:rsidRPr="00C50098" w:rsidRDefault="000B15CD" w:rsidP="000B15CD">
            <w:pPr>
              <w:jc w:val="center"/>
              <w:rPr>
                <w:rFonts w:ascii="Arial" w:hAnsi="Arial" w:cs="Arial"/>
                <w:sz w:val="16"/>
                <w:szCs w:val="16"/>
              </w:rPr>
            </w:pPr>
            <w:r w:rsidRPr="00C50098">
              <w:rPr>
                <w:rFonts w:ascii="Arial" w:hAnsi="Arial" w:cs="Arial"/>
                <w:sz w:val="16"/>
                <w:szCs w:val="16"/>
              </w:rPr>
              <w:t>06</w:t>
            </w:r>
          </w:p>
        </w:tc>
        <w:tc>
          <w:tcPr>
            <w:tcW w:w="2742" w:type="dxa"/>
            <w:tcBorders>
              <w:top w:val="single" w:sz="4" w:space="0" w:color="auto"/>
              <w:left w:val="single" w:sz="4" w:space="0" w:color="auto"/>
              <w:bottom w:val="single" w:sz="4" w:space="0" w:color="auto"/>
              <w:right w:val="single" w:sz="4" w:space="0" w:color="auto"/>
            </w:tcBorders>
            <w:vAlign w:val="center"/>
            <w:hideMark/>
          </w:tcPr>
          <w:p w:rsidR="000B15CD" w:rsidRPr="00C50098" w:rsidRDefault="000B15CD" w:rsidP="000B15CD">
            <w:pPr>
              <w:rPr>
                <w:rFonts w:ascii="Arial" w:hAnsi="Arial" w:cs="Arial"/>
                <w:sz w:val="16"/>
                <w:szCs w:val="16"/>
              </w:rPr>
            </w:pPr>
            <w:r w:rsidRPr="00C50098">
              <w:rPr>
                <w:rFonts w:ascii="Arial" w:hAnsi="Arial" w:cs="Arial"/>
                <w:sz w:val="16"/>
                <w:szCs w:val="16"/>
              </w:rPr>
              <w:t>Secretaría de Desarrollo Rural</w:t>
            </w:r>
          </w:p>
        </w:tc>
        <w:tc>
          <w:tcPr>
            <w:tcW w:w="660" w:type="dxa"/>
            <w:tcBorders>
              <w:top w:val="single" w:sz="4" w:space="0" w:color="auto"/>
              <w:left w:val="single" w:sz="4" w:space="0" w:color="auto"/>
              <w:bottom w:val="single" w:sz="4" w:space="0" w:color="auto"/>
              <w:right w:val="single" w:sz="4" w:space="0" w:color="auto"/>
            </w:tcBorders>
            <w:vAlign w:val="center"/>
            <w:hideMark/>
          </w:tcPr>
          <w:p w:rsidR="000B15CD" w:rsidRPr="00C50098" w:rsidRDefault="000B15CD" w:rsidP="000B15CD">
            <w:pPr>
              <w:jc w:val="center"/>
              <w:rPr>
                <w:rFonts w:ascii="Arial" w:hAnsi="Arial" w:cs="Arial"/>
                <w:sz w:val="16"/>
                <w:szCs w:val="16"/>
              </w:rPr>
            </w:pPr>
            <w:r w:rsidRPr="00C50098">
              <w:rPr>
                <w:rFonts w:ascii="Arial" w:hAnsi="Arial" w:cs="Arial"/>
                <w:sz w:val="16"/>
                <w:szCs w:val="16"/>
              </w:rPr>
              <w:t>1</w:t>
            </w:r>
          </w:p>
        </w:tc>
        <w:tc>
          <w:tcPr>
            <w:tcW w:w="1313" w:type="dxa"/>
            <w:tcBorders>
              <w:top w:val="single" w:sz="4" w:space="0" w:color="auto"/>
              <w:left w:val="single" w:sz="4" w:space="0" w:color="auto"/>
              <w:bottom w:val="single" w:sz="4" w:space="0" w:color="auto"/>
              <w:right w:val="single" w:sz="4" w:space="0" w:color="auto"/>
            </w:tcBorders>
            <w:vAlign w:val="center"/>
          </w:tcPr>
          <w:p w:rsidR="000B15CD" w:rsidRPr="000B15CD" w:rsidRDefault="000B15CD" w:rsidP="000B15CD">
            <w:pPr>
              <w:jc w:val="right"/>
              <w:rPr>
                <w:rFonts w:ascii="Arial" w:hAnsi="Arial" w:cs="Arial"/>
                <w:sz w:val="16"/>
                <w:szCs w:val="16"/>
              </w:rPr>
            </w:pPr>
            <w:r w:rsidRPr="000B15CD">
              <w:rPr>
                <w:rFonts w:ascii="Arial" w:hAnsi="Arial" w:cs="Arial"/>
                <w:sz w:val="16"/>
                <w:szCs w:val="16"/>
              </w:rPr>
              <w:t>822,596,655</w:t>
            </w:r>
          </w:p>
        </w:tc>
        <w:tc>
          <w:tcPr>
            <w:tcW w:w="1097" w:type="dxa"/>
            <w:tcBorders>
              <w:top w:val="single" w:sz="4" w:space="0" w:color="auto"/>
              <w:left w:val="single" w:sz="4" w:space="0" w:color="auto"/>
              <w:bottom w:val="single" w:sz="4" w:space="0" w:color="auto"/>
              <w:right w:val="single" w:sz="4" w:space="0" w:color="auto"/>
            </w:tcBorders>
            <w:vAlign w:val="center"/>
            <w:hideMark/>
          </w:tcPr>
          <w:p w:rsidR="000B15CD" w:rsidRPr="00C50098" w:rsidRDefault="000B15CD" w:rsidP="000B15CD">
            <w:pPr>
              <w:jc w:val="center"/>
              <w:rPr>
                <w:rFonts w:ascii="Arial" w:hAnsi="Arial" w:cs="Arial"/>
                <w:sz w:val="16"/>
                <w:szCs w:val="16"/>
              </w:rPr>
            </w:pPr>
            <w:r w:rsidRPr="00C50098">
              <w:rPr>
                <w:rFonts w:ascii="Arial" w:hAnsi="Arial" w:cs="Arial"/>
                <w:sz w:val="16"/>
                <w:szCs w:val="16"/>
              </w:rPr>
              <w:t>100</w:t>
            </w:r>
          </w:p>
        </w:tc>
        <w:tc>
          <w:tcPr>
            <w:tcW w:w="567" w:type="dxa"/>
            <w:tcBorders>
              <w:top w:val="single" w:sz="4" w:space="0" w:color="auto"/>
              <w:left w:val="single" w:sz="4" w:space="0" w:color="auto"/>
              <w:bottom w:val="single" w:sz="4" w:space="0" w:color="auto"/>
              <w:right w:val="single" w:sz="4" w:space="0" w:color="auto"/>
            </w:tcBorders>
            <w:vAlign w:val="center"/>
            <w:hideMark/>
          </w:tcPr>
          <w:p w:rsidR="000B15CD" w:rsidRPr="00C50098" w:rsidRDefault="000B15CD" w:rsidP="000B15CD">
            <w:pPr>
              <w:jc w:val="center"/>
              <w:rPr>
                <w:rFonts w:ascii="Arial" w:hAnsi="Arial" w:cs="Arial"/>
                <w:sz w:val="16"/>
                <w:szCs w:val="16"/>
              </w:rPr>
            </w:pPr>
            <w:r w:rsidRPr="00C50098">
              <w:rPr>
                <w:rFonts w:ascii="Arial" w:hAnsi="Arial" w:cs="Arial"/>
                <w:sz w:val="16"/>
                <w:szCs w:val="16"/>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5CD" w:rsidRPr="00C50098" w:rsidRDefault="000B15CD" w:rsidP="000B15CD">
            <w:pPr>
              <w:jc w:val="center"/>
              <w:rPr>
                <w:rFonts w:ascii="Arial" w:hAnsi="Arial" w:cs="Arial"/>
                <w:sz w:val="16"/>
                <w:szCs w:val="16"/>
              </w:rPr>
            </w:pPr>
            <w:r w:rsidRPr="00C50098">
              <w:rPr>
                <w:rFonts w:ascii="Arial" w:hAnsi="Arial" w:cs="Arial"/>
                <w:sz w:val="16"/>
                <w:szCs w:val="16"/>
              </w:rPr>
              <w:t>40</w:t>
            </w:r>
          </w:p>
        </w:tc>
      </w:tr>
      <w:tr w:rsidR="000B15CD" w:rsidRPr="00C50098" w:rsidTr="000B15CD">
        <w:trPr>
          <w:trHeight w:val="283"/>
          <w:jc w:val="center"/>
        </w:trPr>
        <w:tc>
          <w:tcPr>
            <w:tcW w:w="784" w:type="dxa"/>
            <w:tcBorders>
              <w:top w:val="single" w:sz="4" w:space="0" w:color="auto"/>
              <w:left w:val="single" w:sz="4" w:space="0" w:color="auto"/>
              <w:bottom w:val="single" w:sz="4" w:space="0" w:color="auto"/>
              <w:right w:val="single" w:sz="4" w:space="0" w:color="auto"/>
            </w:tcBorders>
            <w:noWrap/>
            <w:vAlign w:val="center"/>
            <w:hideMark/>
          </w:tcPr>
          <w:p w:rsidR="000B15CD" w:rsidRPr="00C50098" w:rsidRDefault="000B15CD" w:rsidP="000B15CD">
            <w:pPr>
              <w:jc w:val="center"/>
              <w:rPr>
                <w:rFonts w:ascii="Arial" w:hAnsi="Arial" w:cs="Arial"/>
                <w:sz w:val="16"/>
                <w:szCs w:val="16"/>
              </w:rPr>
            </w:pPr>
            <w:r w:rsidRPr="00C50098">
              <w:rPr>
                <w:rFonts w:ascii="Arial" w:hAnsi="Arial" w:cs="Arial"/>
                <w:sz w:val="16"/>
                <w:szCs w:val="16"/>
              </w:rPr>
              <w:t>07</w:t>
            </w:r>
          </w:p>
        </w:tc>
        <w:tc>
          <w:tcPr>
            <w:tcW w:w="2742" w:type="dxa"/>
            <w:tcBorders>
              <w:top w:val="single" w:sz="4" w:space="0" w:color="auto"/>
              <w:left w:val="single" w:sz="4" w:space="0" w:color="auto"/>
              <w:bottom w:val="single" w:sz="4" w:space="0" w:color="auto"/>
              <w:right w:val="single" w:sz="4" w:space="0" w:color="auto"/>
            </w:tcBorders>
            <w:vAlign w:val="center"/>
            <w:hideMark/>
          </w:tcPr>
          <w:p w:rsidR="000B15CD" w:rsidRPr="00C50098" w:rsidRDefault="000B15CD" w:rsidP="000B15CD">
            <w:pPr>
              <w:rPr>
                <w:rFonts w:ascii="Arial" w:hAnsi="Arial" w:cs="Arial"/>
                <w:sz w:val="16"/>
                <w:szCs w:val="16"/>
              </w:rPr>
            </w:pPr>
            <w:r w:rsidRPr="00C50098">
              <w:rPr>
                <w:rFonts w:ascii="Arial" w:hAnsi="Arial" w:cs="Arial"/>
                <w:sz w:val="16"/>
                <w:szCs w:val="16"/>
              </w:rPr>
              <w:t>Secretaría de Educación</w:t>
            </w:r>
          </w:p>
        </w:tc>
        <w:tc>
          <w:tcPr>
            <w:tcW w:w="660" w:type="dxa"/>
            <w:tcBorders>
              <w:top w:val="single" w:sz="4" w:space="0" w:color="auto"/>
              <w:left w:val="single" w:sz="4" w:space="0" w:color="auto"/>
              <w:bottom w:val="single" w:sz="4" w:space="0" w:color="auto"/>
              <w:right w:val="single" w:sz="4" w:space="0" w:color="auto"/>
            </w:tcBorders>
            <w:vAlign w:val="center"/>
            <w:hideMark/>
          </w:tcPr>
          <w:p w:rsidR="000B15CD" w:rsidRPr="00C50098" w:rsidRDefault="000B15CD" w:rsidP="000B15CD">
            <w:pPr>
              <w:jc w:val="center"/>
              <w:rPr>
                <w:rFonts w:ascii="Arial" w:hAnsi="Arial" w:cs="Arial"/>
                <w:sz w:val="16"/>
                <w:szCs w:val="16"/>
              </w:rPr>
            </w:pPr>
            <w:r w:rsidRPr="00C50098">
              <w:rPr>
                <w:rFonts w:ascii="Arial" w:hAnsi="Arial" w:cs="Arial"/>
                <w:sz w:val="16"/>
                <w:szCs w:val="16"/>
              </w:rPr>
              <w:t>5</w:t>
            </w:r>
          </w:p>
        </w:tc>
        <w:tc>
          <w:tcPr>
            <w:tcW w:w="1313" w:type="dxa"/>
            <w:tcBorders>
              <w:top w:val="single" w:sz="4" w:space="0" w:color="auto"/>
              <w:left w:val="single" w:sz="4" w:space="0" w:color="auto"/>
              <w:bottom w:val="single" w:sz="4" w:space="0" w:color="auto"/>
              <w:right w:val="single" w:sz="4" w:space="0" w:color="auto"/>
            </w:tcBorders>
            <w:vAlign w:val="center"/>
          </w:tcPr>
          <w:p w:rsidR="000B15CD" w:rsidRPr="000B15CD" w:rsidRDefault="000B15CD" w:rsidP="000B15CD">
            <w:pPr>
              <w:jc w:val="right"/>
              <w:rPr>
                <w:rFonts w:ascii="Arial" w:hAnsi="Arial" w:cs="Arial"/>
                <w:sz w:val="16"/>
                <w:szCs w:val="16"/>
              </w:rPr>
            </w:pPr>
            <w:r w:rsidRPr="000B15CD">
              <w:rPr>
                <w:rFonts w:ascii="Arial" w:hAnsi="Arial" w:cs="Arial"/>
                <w:sz w:val="16"/>
                <w:szCs w:val="16"/>
              </w:rPr>
              <w:t>6,083,395,383</w:t>
            </w:r>
          </w:p>
        </w:tc>
        <w:tc>
          <w:tcPr>
            <w:tcW w:w="1097" w:type="dxa"/>
            <w:tcBorders>
              <w:top w:val="single" w:sz="4" w:space="0" w:color="auto"/>
              <w:left w:val="single" w:sz="4" w:space="0" w:color="auto"/>
              <w:bottom w:val="single" w:sz="4" w:space="0" w:color="auto"/>
              <w:right w:val="single" w:sz="4" w:space="0" w:color="auto"/>
            </w:tcBorders>
            <w:vAlign w:val="center"/>
            <w:hideMark/>
          </w:tcPr>
          <w:p w:rsidR="000B15CD" w:rsidRPr="00C50098" w:rsidRDefault="000B15CD" w:rsidP="000B15CD">
            <w:pPr>
              <w:jc w:val="center"/>
              <w:rPr>
                <w:rFonts w:ascii="Arial" w:hAnsi="Arial" w:cs="Arial"/>
                <w:sz w:val="16"/>
                <w:szCs w:val="16"/>
              </w:rPr>
            </w:pPr>
            <w:r w:rsidRPr="00C50098">
              <w:rPr>
                <w:rFonts w:ascii="Arial" w:hAnsi="Arial" w:cs="Arial"/>
                <w:sz w:val="16"/>
                <w:szCs w:val="16"/>
              </w:rPr>
              <w:t>100</w:t>
            </w:r>
          </w:p>
        </w:tc>
        <w:tc>
          <w:tcPr>
            <w:tcW w:w="567" w:type="dxa"/>
            <w:tcBorders>
              <w:top w:val="single" w:sz="4" w:space="0" w:color="auto"/>
              <w:left w:val="single" w:sz="4" w:space="0" w:color="auto"/>
              <w:bottom w:val="single" w:sz="4" w:space="0" w:color="auto"/>
              <w:right w:val="single" w:sz="4" w:space="0" w:color="auto"/>
            </w:tcBorders>
            <w:vAlign w:val="center"/>
            <w:hideMark/>
          </w:tcPr>
          <w:p w:rsidR="000B15CD" w:rsidRPr="00C50098" w:rsidRDefault="000B15CD" w:rsidP="000B15CD">
            <w:pPr>
              <w:jc w:val="center"/>
              <w:rPr>
                <w:rFonts w:ascii="Arial" w:hAnsi="Arial" w:cs="Arial"/>
                <w:sz w:val="16"/>
                <w:szCs w:val="16"/>
              </w:rPr>
            </w:pPr>
            <w:r w:rsidRPr="00C50098">
              <w:rPr>
                <w:rFonts w:ascii="Arial" w:hAnsi="Arial" w:cs="Arial"/>
                <w:sz w:val="16"/>
                <w:szCs w:val="16"/>
              </w:rPr>
              <w:t>5</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5CD" w:rsidRPr="00C50098" w:rsidRDefault="000B15CD" w:rsidP="000B15CD">
            <w:pPr>
              <w:jc w:val="center"/>
              <w:rPr>
                <w:rFonts w:ascii="Arial" w:hAnsi="Arial" w:cs="Arial"/>
                <w:sz w:val="16"/>
                <w:szCs w:val="16"/>
              </w:rPr>
            </w:pPr>
            <w:r w:rsidRPr="00C50098">
              <w:rPr>
                <w:rFonts w:ascii="Arial" w:hAnsi="Arial" w:cs="Arial"/>
                <w:sz w:val="16"/>
                <w:szCs w:val="16"/>
              </w:rPr>
              <w:t>67</w:t>
            </w:r>
          </w:p>
        </w:tc>
      </w:tr>
      <w:tr w:rsidR="000B15CD" w:rsidRPr="00C50098" w:rsidTr="000B15CD">
        <w:trPr>
          <w:trHeight w:val="283"/>
          <w:jc w:val="center"/>
        </w:trPr>
        <w:tc>
          <w:tcPr>
            <w:tcW w:w="784" w:type="dxa"/>
            <w:tcBorders>
              <w:top w:val="single" w:sz="4" w:space="0" w:color="auto"/>
              <w:left w:val="single" w:sz="4" w:space="0" w:color="auto"/>
              <w:bottom w:val="single" w:sz="4" w:space="0" w:color="auto"/>
              <w:right w:val="single" w:sz="4" w:space="0" w:color="auto"/>
            </w:tcBorders>
            <w:noWrap/>
            <w:vAlign w:val="center"/>
            <w:hideMark/>
          </w:tcPr>
          <w:p w:rsidR="000B15CD" w:rsidRPr="00C50098" w:rsidRDefault="000B15CD" w:rsidP="000B15CD">
            <w:pPr>
              <w:jc w:val="center"/>
              <w:rPr>
                <w:rFonts w:ascii="Arial" w:hAnsi="Arial" w:cs="Arial"/>
                <w:sz w:val="16"/>
                <w:szCs w:val="16"/>
              </w:rPr>
            </w:pPr>
            <w:r w:rsidRPr="00C50098">
              <w:rPr>
                <w:rFonts w:ascii="Arial" w:hAnsi="Arial" w:cs="Arial"/>
                <w:sz w:val="16"/>
                <w:szCs w:val="16"/>
              </w:rPr>
              <w:t>08</w:t>
            </w:r>
          </w:p>
        </w:tc>
        <w:tc>
          <w:tcPr>
            <w:tcW w:w="2742" w:type="dxa"/>
            <w:tcBorders>
              <w:top w:val="single" w:sz="4" w:space="0" w:color="auto"/>
              <w:left w:val="single" w:sz="4" w:space="0" w:color="auto"/>
              <w:bottom w:val="single" w:sz="4" w:space="0" w:color="auto"/>
              <w:right w:val="single" w:sz="4" w:space="0" w:color="auto"/>
            </w:tcBorders>
            <w:vAlign w:val="center"/>
            <w:hideMark/>
          </w:tcPr>
          <w:p w:rsidR="000B15CD" w:rsidRPr="00C50098" w:rsidRDefault="000B15CD" w:rsidP="000B15CD">
            <w:pPr>
              <w:rPr>
                <w:rFonts w:ascii="Arial" w:hAnsi="Arial" w:cs="Arial"/>
                <w:sz w:val="16"/>
                <w:szCs w:val="16"/>
              </w:rPr>
            </w:pPr>
            <w:r w:rsidRPr="00C50098">
              <w:rPr>
                <w:rFonts w:ascii="Arial" w:hAnsi="Arial" w:cs="Arial"/>
                <w:sz w:val="16"/>
                <w:szCs w:val="16"/>
              </w:rPr>
              <w:t>Secretaría de Salud y Bienestar Social</w:t>
            </w:r>
          </w:p>
        </w:tc>
        <w:tc>
          <w:tcPr>
            <w:tcW w:w="660" w:type="dxa"/>
            <w:tcBorders>
              <w:top w:val="single" w:sz="4" w:space="0" w:color="auto"/>
              <w:left w:val="single" w:sz="4" w:space="0" w:color="auto"/>
              <w:bottom w:val="single" w:sz="4" w:space="0" w:color="auto"/>
              <w:right w:val="single" w:sz="4" w:space="0" w:color="auto"/>
            </w:tcBorders>
            <w:vAlign w:val="center"/>
            <w:hideMark/>
          </w:tcPr>
          <w:p w:rsidR="000B15CD" w:rsidRPr="00C50098" w:rsidRDefault="000B15CD" w:rsidP="000B15CD">
            <w:pPr>
              <w:jc w:val="center"/>
              <w:rPr>
                <w:rFonts w:ascii="Arial" w:hAnsi="Arial" w:cs="Arial"/>
                <w:sz w:val="16"/>
                <w:szCs w:val="16"/>
              </w:rPr>
            </w:pPr>
            <w:r w:rsidRPr="00C50098">
              <w:rPr>
                <w:rFonts w:ascii="Arial" w:hAnsi="Arial" w:cs="Arial"/>
                <w:sz w:val="16"/>
                <w:szCs w:val="16"/>
              </w:rPr>
              <w:t>1</w:t>
            </w:r>
          </w:p>
        </w:tc>
        <w:tc>
          <w:tcPr>
            <w:tcW w:w="1313" w:type="dxa"/>
            <w:tcBorders>
              <w:top w:val="single" w:sz="4" w:space="0" w:color="auto"/>
              <w:left w:val="single" w:sz="4" w:space="0" w:color="auto"/>
              <w:bottom w:val="single" w:sz="4" w:space="0" w:color="auto"/>
              <w:right w:val="single" w:sz="4" w:space="0" w:color="auto"/>
            </w:tcBorders>
            <w:vAlign w:val="center"/>
          </w:tcPr>
          <w:p w:rsidR="000B15CD" w:rsidRPr="000B15CD" w:rsidRDefault="000B15CD" w:rsidP="000B15CD">
            <w:pPr>
              <w:jc w:val="right"/>
              <w:rPr>
                <w:rFonts w:ascii="Arial" w:hAnsi="Arial" w:cs="Arial"/>
                <w:sz w:val="16"/>
                <w:szCs w:val="16"/>
              </w:rPr>
            </w:pPr>
            <w:r w:rsidRPr="000B15CD">
              <w:rPr>
                <w:rFonts w:ascii="Arial" w:hAnsi="Arial" w:cs="Arial"/>
                <w:sz w:val="16"/>
                <w:szCs w:val="16"/>
              </w:rPr>
              <w:t>1,684,613,156</w:t>
            </w:r>
          </w:p>
        </w:tc>
        <w:tc>
          <w:tcPr>
            <w:tcW w:w="1097" w:type="dxa"/>
            <w:tcBorders>
              <w:top w:val="single" w:sz="4" w:space="0" w:color="auto"/>
              <w:left w:val="single" w:sz="4" w:space="0" w:color="auto"/>
              <w:bottom w:val="single" w:sz="4" w:space="0" w:color="auto"/>
              <w:right w:val="single" w:sz="4" w:space="0" w:color="auto"/>
            </w:tcBorders>
            <w:vAlign w:val="center"/>
            <w:hideMark/>
          </w:tcPr>
          <w:p w:rsidR="000B15CD" w:rsidRPr="00C50098" w:rsidRDefault="000B15CD" w:rsidP="000B15CD">
            <w:pPr>
              <w:jc w:val="center"/>
              <w:rPr>
                <w:rFonts w:ascii="Arial" w:hAnsi="Arial" w:cs="Arial"/>
                <w:sz w:val="16"/>
                <w:szCs w:val="16"/>
              </w:rPr>
            </w:pPr>
            <w:r w:rsidRPr="00C50098">
              <w:rPr>
                <w:rFonts w:ascii="Arial" w:hAnsi="Arial" w:cs="Arial"/>
                <w:sz w:val="16"/>
                <w:szCs w:val="16"/>
              </w:rPr>
              <w:t>100</w:t>
            </w:r>
          </w:p>
        </w:tc>
        <w:tc>
          <w:tcPr>
            <w:tcW w:w="567" w:type="dxa"/>
            <w:tcBorders>
              <w:top w:val="single" w:sz="4" w:space="0" w:color="auto"/>
              <w:left w:val="single" w:sz="4" w:space="0" w:color="auto"/>
              <w:bottom w:val="single" w:sz="4" w:space="0" w:color="auto"/>
              <w:right w:val="single" w:sz="4" w:space="0" w:color="auto"/>
            </w:tcBorders>
            <w:vAlign w:val="center"/>
            <w:hideMark/>
          </w:tcPr>
          <w:p w:rsidR="000B15CD" w:rsidRPr="00C50098" w:rsidRDefault="000B15CD" w:rsidP="000B15CD">
            <w:pPr>
              <w:jc w:val="center"/>
              <w:rPr>
                <w:rFonts w:ascii="Arial" w:hAnsi="Arial" w:cs="Arial"/>
                <w:sz w:val="16"/>
                <w:szCs w:val="16"/>
              </w:rPr>
            </w:pPr>
            <w:r w:rsidRPr="00C50098">
              <w:rPr>
                <w:rFonts w:ascii="Arial" w:hAnsi="Arial" w:cs="Arial"/>
                <w:sz w:val="16"/>
                <w:szCs w:val="16"/>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5CD" w:rsidRPr="00C50098" w:rsidRDefault="000B15CD" w:rsidP="000B15CD">
            <w:pPr>
              <w:jc w:val="center"/>
              <w:rPr>
                <w:rFonts w:ascii="Arial" w:hAnsi="Arial" w:cs="Arial"/>
                <w:sz w:val="16"/>
                <w:szCs w:val="16"/>
              </w:rPr>
            </w:pPr>
            <w:r w:rsidRPr="00C50098">
              <w:rPr>
                <w:rFonts w:ascii="Arial" w:hAnsi="Arial" w:cs="Arial"/>
                <w:sz w:val="16"/>
                <w:szCs w:val="16"/>
              </w:rPr>
              <w:t>9</w:t>
            </w:r>
          </w:p>
        </w:tc>
      </w:tr>
      <w:tr w:rsidR="000B15CD" w:rsidRPr="00C50098" w:rsidTr="000B15CD">
        <w:trPr>
          <w:trHeight w:val="283"/>
          <w:jc w:val="center"/>
        </w:trPr>
        <w:tc>
          <w:tcPr>
            <w:tcW w:w="784" w:type="dxa"/>
            <w:tcBorders>
              <w:top w:val="single" w:sz="4" w:space="0" w:color="auto"/>
              <w:left w:val="single" w:sz="4" w:space="0" w:color="auto"/>
              <w:bottom w:val="single" w:sz="4" w:space="0" w:color="auto"/>
              <w:right w:val="single" w:sz="4" w:space="0" w:color="auto"/>
            </w:tcBorders>
            <w:noWrap/>
            <w:vAlign w:val="center"/>
            <w:hideMark/>
          </w:tcPr>
          <w:p w:rsidR="000B15CD" w:rsidRPr="00C50098" w:rsidRDefault="000B15CD" w:rsidP="000B15CD">
            <w:pPr>
              <w:jc w:val="center"/>
              <w:rPr>
                <w:rFonts w:ascii="Arial" w:hAnsi="Arial" w:cs="Arial"/>
                <w:sz w:val="16"/>
                <w:szCs w:val="16"/>
              </w:rPr>
            </w:pPr>
            <w:r w:rsidRPr="00C50098">
              <w:rPr>
                <w:rFonts w:ascii="Arial" w:hAnsi="Arial" w:cs="Arial"/>
                <w:sz w:val="16"/>
                <w:szCs w:val="16"/>
              </w:rPr>
              <w:t>09</w:t>
            </w:r>
          </w:p>
        </w:tc>
        <w:tc>
          <w:tcPr>
            <w:tcW w:w="2742" w:type="dxa"/>
            <w:tcBorders>
              <w:top w:val="single" w:sz="4" w:space="0" w:color="auto"/>
              <w:left w:val="single" w:sz="4" w:space="0" w:color="auto"/>
              <w:bottom w:val="single" w:sz="4" w:space="0" w:color="auto"/>
              <w:right w:val="single" w:sz="4" w:space="0" w:color="auto"/>
            </w:tcBorders>
            <w:vAlign w:val="center"/>
            <w:hideMark/>
          </w:tcPr>
          <w:p w:rsidR="000B15CD" w:rsidRPr="00C50098" w:rsidRDefault="000B15CD" w:rsidP="000B15CD">
            <w:pPr>
              <w:rPr>
                <w:rFonts w:ascii="Arial" w:hAnsi="Arial" w:cs="Arial"/>
                <w:sz w:val="16"/>
                <w:szCs w:val="16"/>
              </w:rPr>
            </w:pPr>
            <w:r w:rsidRPr="00C50098">
              <w:rPr>
                <w:rFonts w:ascii="Arial" w:hAnsi="Arial" w:cs="Arial"/>
                <w:sz w:val="16"/>
                <w:szCs w:val="16"/>
              </w:rPr>
              <w:t>Secretaria de Administración y Gestión Publica</w:t>
            </w:r>
          </w:p>
        </w:tc>
        <w:tc>
          <w:tcPr>
            <w:tcW w:w="660" w:type="dxa"/>
            <w:tcBorders>
              <w:top w:val="single" w:sz="4" w:space="0" w:color="auto"/>
              <w:left w:val="single" w:sz="4" w:space="0" w:color="auto"/>
              <w:bottom w:val="single" w:sz="4" w:space="0" w:color="auto"/>
              <w:right w:val="single" w:sz="4" w:space="0" w:color="auto"/>
            </w:tcBorders>
            <w:vAlign w:val="center"/>
            <w:hideMark/>
          </w:tcPr>
          <w:p w:rsidR="000B15CD" w:rsidRPr="00C50098" w:rsidRDefault="000B15CD" w:rsidP="000B15CD">
            <w:pPr>
              <w:jc w:val="center"/>
              <w:rPr>
                <w:rFonts w:ascii="Arial" w:hAnsi="Arial" w:cs="Arial"/>
                <w:sz w:val="16"/>
                <w:szCs w:val="16"/>
              </w:rPr>
            </w:pPr>
            <w:r w:rsidRPr="00C50098">
              <w:rPr>
                <w:rFonts w:ascii="Arial" w:hAnsi="Arial" w:cs="Arial"/>
                <w:sz w:val="16"/>
                <w:szCs w:val="16"/>
              </w:rPr>
              <w:t>1</w:t>
            </w:r>
          </w:p>
        </w:tc>
        <w:tc>
          <w:tcPr>
            <w:tcW w:w="1313" w:type="dxa"/>
            <w:tcBorders>
              <w:top w:val="single" w:sz="4" w:space="0" w:color="auto"/>
              <w:left w:val="single" w:sz="4" w:space="0" w:color="auto"/>
              <w:bottom w:val="single" w:sz="4" w:space="0" w:color="auto"/>
              <w:right w:val="single" w:sz="4" w:space="0" w:color="auto"/>
            </w:tcBorders>
            <w:vAlign w:val="center"/>
          </w:tcPr>
          <w:p w:rsidR="000B15CD" w:rsidRPr="000B15CD" w:rsidRDefault="000B15CD" w:rsidP="000B15CD">
            <w:pPr>
              <w:jc w:val="right"/>
              <w:rPr>
                <w:rFonts w:ascii="Arial" w:hAnsi="Arial" w:cs="Arial"/>
                <w:sz w:val="16"/>
                <w:szCs w:val="16"/>
              </w:rPr>
            </w:pPr>
            <w:r w:rsidRPr="000B15CD">
              <w:rPr>
                <w:rFonts w:ascii="Arial" w:hAnsi="Arial" w:cs="Arial"/>
                <w:sz w:val="16"/>
                <w:szCs w:val="16"/>
              </w:rPr>
              <w:t>224,414,733</w:t>
            </w:r>
          </w:p>
        </w:tc>
        <w:tc>
          <w:tcPr>
            <w:tcW w:w="1097" w:type="dxa"/>
            <w:tcBorders>
              <w:top w:val="single" w:sz="4" w:space="0" w:color="auto"/>
              <w:left w:val="single" w:sz="4" w:space="0" w:color="auto"/>
              <w:bottom w:val="single" w:sz="4" w:space="0" w:color="auto"/>
              <w:right w:val="single" w:sz="4" w:space="0" w:color="auto"/>
            </w:tcBorders>
            <w:vAlign w:val="center"/>
            <w:hideMark/>
          </w:tcPr>
          <w:p w:rsidR="000B15CD" w:rsidRPr="00C50098" w:rsidRDefault="000B15CD" w:rsidP="000B15CD">
            <w:pPr>
              <w:jc w:val="center"/>
              <w:rPr>
                <w:rFonts w:ascii="Arial" w:hAnsi="Arial" w:cs="Arial"/>
                <w:sz w:val="16"/>
                <w:szCs w:val="16"/>
              </w:rPr>
            </w:pPr>
            <w:r w:rsidRPr="00C50098">
              <w:rPr>
                <w:rFonts w:ascii="Arial" w:hAnsi="Arial" w:cs="Arial"/>
                <w:sz w:val="16"/>
                <w:szCs w:val="16"/>
              </w:rPr>
              <w:t>100</w:t>
            </w:r>
          </w:p>
        </w:tc>
        <w:tc>
          <w:tcPr>
            <w:tcW w:w="567" w:type="dxa"/>
            <w:tcBorders>
              <w:top w:val="single" w:sz="4" w:space="0" w:color="auto"/>
              <w:left w:val="single" w:sz="4" w:space="0" w:color="auto"/>
              <w:bottom w:val="single" w:sz="4" w:space="0" w:color="auto"/>
              <w:right w:val="single" w:sz="4" w:space="0" w:color="auto"/>
            </w:tcBorders>
            <w:vAlign w:val="center"/>
            <w:hideMark/>
          </w:tcPr>
          <w:p w:rsidR="000B15CD" w:rsidRPr="00C50098" w:rsidRDefault="000B15CD" w:rsidP="000B15CD">
            <w:pPr>
              <w:jc w:val="center"/>
              <w:rPr>
                <w:rFonts w:ascii="Arial" w:hAnsi="Arial" w:cs="Arial"/>
                <w:sz w:val="16"/>
                <w:szCs w:val="16"/>
              </w:rPr>
            </w:pPr>
            <w:r w:rsidRPr="00C50098">
              <w:rPr>
                <w:rFonts w:ascii="Arial" w:hAnsi="Arial" w:cs="Arial"/>
                <w:sz w:val="16"/>
                <w:szCs w:val="16"/>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5CD" w:rsidRPr="00C50098" w:rsidRDefault="000B15CD" w:rsidP="000B15CD">
            <w:pPr>
              <w:jc w:val="center"/>
              <w:rPr>
                <w:rFonts w:ascii="Arial" w:hAnsi="Arial" w:cs="Arial"/>
                <w:sz w:val="16"/>
                <w:szCs w:val="16"/>
              </w:rPr>
            </w:pPr>
            <w:r w:rsidRPr="00C50098">
              <w:rPr>
                <w:rFonts w:ascii="Arial" w:hAnsi="Arial" w:cs="Arial"/>
                <w:sz w:val="16"/>
                <w:szCs w:val="16"/>
              </w:rPr>
              <w:t>31</w:t>
            </w:r>
          </w:p>
        </w:tc>
      </w:tr>
      <w:tr w:rsidR="000B15CD" w:rsidRPr="00C50098" w:rsidTr="000B15CD">
        <w:trPr>
          <w:trHeight w:val="283"/>
          <w:jc w:val="center"/>
        </w:trPr>
        <w:tc>
          <w:tcPr>
            <w:tcW w:w="784" w:type="dxa"/>
            <w:tcBorders>
              <w:top w:val="single" w:sz="4" w:space="0" w:color="auto"/>
              <w:left w:val="single" w:sz="4" w:space="0" w:color="auto"/>
              <w:bottom w:val="single" w:sz="4" w:space="0" w:color="auto"/>
              <w:right w:val="single" w:sz="4" w:space="0" w:color="auto"/>
            </w:tcBorders>
            <w:noWrap/>
            <w:vAlign w:val="center"/>
            <w:hideMark/>
          </w:tcPr>
          <w:p w:rsidR="000B15CD" w:rsidRPr="00C50098" w:rsidRDefault="000B15CD" w:rsidP="000B15CD">
            <w:pPr>
              <w:jc w:val="center"/>
              <w:rPr>
                <w:rFonts w:ascii="Arial" w:hAnsi="Arial" w:cs="Arial"/>
                <w:sz w:val="16"/>
                <w:szCs w:val="16"/>
              </w:rPr>
            </w:pPr>
            <w:r w:rsidRPr="00C50098">
              <w:rPr>
                <w:rFonts w:ascii="Arial" w:hAnsi="Arial" w:cs="Arial"/>
                <w:sz w:val="16"/>
                <w:szCs w:val="16"/>
              </w:rPr>
              <w:t>10</w:t>
            </w:r>
          </w:p>
        </w:tc>
        <w:tc>
          <w:tcPr>
            <w:tcW w:w="2742" w:type="dxa"/>
            <w:tcBorders>
              <w:top w:val="single" w:sz="4" w:space="0" w:color="auto"/>
              <w:left w:val="single" w:sz="4" w:space="0" w:color="auto"/>
              <w:bottom w:val="single" w:sz="4" w:space="0" w:color="auto"/>
              <w:right w:val="single" w:sz="4" w:space="0" w:color="auto"/>
            </w:tcBorders>
            <w:vAlign w:val="center"/>
            <w:hideMark/>
          </w:tcPr>
          <w:p w:rsidR="000B15CD" w:rsidRPr="00C50098" w:rsidRDefault="000B15CD" w:rsidP="000B15CD">
            <w:pPr>
              <w:rPr>
                <w:rFonts w:ascii="Arial" w:hAnsi="Arial" w:cs="Arial"/>
                <w:sz w:val="16"/>
                <w:szCs w:val="16"/>
              </w:rPr>
            </w:pPr>
            <w:r w:rsidRPr="00C50098">
              <w:rPr>
                <w:rFonts w:ascii="Arial" w:hAnsi="Arial" w:cs="Arial"/>
                <w:sz w:val="16"/>
                <w:szCs w:val="16"/>
              </w:rPr>
              <w:t>Secretaría de Fomento Económico</w:t>
            </w:r>
          </w:p>
        </w:tc>
        <w:tc>
          <w:tcPr>
            <w:tcW w:w="660" w:type="dxa"/>
            <w:tcBorders>
              <w:top w:val="single" w:sz="4" w:space="0" w:color="auto"/>
              <w:left w:val="single" w:sz="4" w:space="0" w:color="auto"/>
              <w:bottom w:val="single" w:sz="4" w:space="0" w:color="auto"/>
              <w:right w:val="single" w:sz="4" w:space="0" w:color="auto"/>
            </w:tcBorders>
            <w:vAlign w:val="center"/>
            <w:hideMark/>
          </w:tcPr>
          <w:p w:rsidR="000B15CD" w:rsidRPr="00C50098" w:rsidRDefault="000B15CD" w:rsidP="000B15CD">
            <w:pPr>
              <w:jc w:val="center"/>
              <w:rPr>
                <w:rFonts w:ascii="Arial" w:hAnsi="Arial" w:cs="Arial"/>
                <w:sz w:val="16"/>
                <w:szCs w:val="16"/>
              </w:rPr>
            </w:pPr>
            <w:r w:rsidRPr="00C50098">
              <w:rPr>
                <w:rFonts w:ascii="Arial" w:hAnsi="Arial" w:cs="Arial"/>
                <w:sz w:val="16"/>
                <w:szCs w:val="16"/>
              </w:rPr>
              <w:t>1</w:t>
            </w:r>
          </w:p>
        </w:tc>
        <w:tc>
          <w:tcPr>
            <w:tcW w:w="1313" w:type="dxa"/>
            <w:tcBorders>
              <w:top w:val="single" w:sz="4" w:space="0" w:color="auto"/>
              <w:left w:val="single" w:sz="4" w:space="0" w:color="auto"/>
              <w:bottom w:val="single" w:sz="4" w:space="0" w:color="auto"/>
              <w:right w:val="single" w:sz="4" w:space="0" w:color="auto"/>
            </w:tcBorders>
            <w:vAlign w:val="center"/>
          </w:tcPr>
          <w:p w:rsidR="000B15CD" w:rsidRPr="000B15CD" w:rsidRDefault="000B15CD" w:rsidP="000B15CD">
            <w:pPr>
              <w:jc w:val="right"/>
              <w:rPr>
                <w:rFonts w:ascii="Arial" w:hAnsi="Arial" w:cs="Arial"/>
                <w:sz w:val="16"/>
                <w:szCs w:val="16"/>
              </w:rPr>
            </w:pPr>
            <w:r w:rsidRPr="000B15CD">
              <w:rPr>
                <w:rFonts w:ascii="Arial" w:hAnsi="Arial" w:cs="Arial"/>
                <w:sz w:val="16"/>
                <w:szCs w:val="16"/>
              </w:rPr>
              <w:t>217,040,733</w:t>
            </w:r>
          </w:p>
        </w:tc>
        <w:tc>
          <w:tcPr>
            <w:tcW w:w="1097" w:type="dxa"/>
            <w:tcBorders>
              <w:top w:val="single" w:sz="4" w:space="0" w:color="auto"/>
              <w:left w:val="single" w:sz="4" w:space="0" w:color="auto"/>
              <w:bottom w:val="single" w:sz="4" w:space="0" w:color="auto"/>
              <w:right w:val="single" w:sz="4" w:space="0" w:color="auto"/>
            </w:tcBorders>
            <w:vAlign w:val="center"/>
            <w:hideMark/>
          </w:tcPr>
          <w:p w:rsidR="000B15CD" w:rsidRPr="00C50098" w:rsidRDefault="000B15CD" w:rsidP="000B15CD">
            <w:pPr>
              <w:jc w:val="center"/>
              <w:rPr>
                <w:rFonts w:ascii="Arial" w:hAnsi="Arial" w:cs="Arial"/>
                <w:sz w:val="16"/>
                <w:szCs w:val="16"/>
              </w:rPr>
            </w:pPr>
            <w:r w:rsidRPr="00C50098">
              <w:rPr>
                <w:rFonts w:ascii="Arial" w:hAnsi="Arial" w:cs="Arial"/>
                <w:sz w:val="16"/>
                <w:szCs w:val="16"/>
              </w:rPr>
              <w:t>100</w:t>
            </w:r>
          </w:p>
        </w:tc>
        <w:tc>
          <w:tcPr>
            <w:tcW w:w="567" w:type="dxa"/>
            <w:tcBorders>
              <w:top w:val="single" w:sz="4" w:space="0" w:color="auto"/>
              <w:left w:val="single" w:sz="4" w:space="0" w:color="auto"/>
              <w:bottom w:val="single" w:sz="4" w:space="0" w:color="auto"/>
              <w:right w:val="single" w:sz="4" w:space="0" w:color="auto"/>
            </w:tcBorders>
            <w:vAlign w:val="center"/>
            <w:hideMark/>
          </w:tcPr>
          <w:p w:rsidR="000B15CD" w:rsidRPr="00C50098" w:rsidRDefault="000B15CD" w:rsidP="000B15CD">
            <w:pPr>
              <w:jc w:val="center"/>
              <w:rPr>
                <w:rFonts w:ascii="Arial" w:hAnsi="Arial" w:cs="Arial"/>
                <w:sz w:val="16"/>
                <w:szCs w:val="16"/>
              </w:rPr>
            </w:pPr>
            <w:r w:rsidRPr="00C50098">
              <w:rPr>
                <w:rFonts w:ascii="Arial" w:hAnsi="Arial" w:cs="Arial"/>
                <w:sz w:val="16"/>
                <w:szCs w:val="16"/>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5CD" w:rsidRPr="00C50098" w:rsidRDefault="000B15CD" w:rsidP="000B15CD">
            <w:pPr>
              <w:jc w:val="center"/>
              <w:rPr>
                <w:rFonts w:ascii="Arial" w:hAnsi="Arial" w:cs="Arial"/>
                <w:sz w:val="16"/>
                <w:szCs w:val="16"/>
              </w:rPr>
            </w:pPr>
            <w:r w:rsidRPr="00C50098">
              <w:rPr>
                <w:rFonts w:ascii="Arial" w:hAnsi="Arial" w:cs="Arial"/>
                <w:sz w:val="16"/>
                <w:szCs w:val="16"/>
              </w:rPr>
              <w:t>39</w:t>
            </w:r>
          </w:p>
        </w:tc>
      </w:tr>
      <w:tr w:rsidR="000B15CD" w:rsidRPr="00C50098" w:rsidTr="000B15CD">
        <w:trPr>
          <w:trHeight w:val="283"/>
          <w:jc w:val="center"/>
        </w:trPr>
        <w:tc>
          <w:tcPr>
            <w:tcW w:w="784" w:type="dxa"/>
            <w:tcBorders>
              <w:top w:val="single" w:sz="4" w:space="0" w:color="auto"/>
              <w:left w:val="single" w:sz="4" w:space="0" w:color="auto"/>
              <w:bottom w:val="single" w:sz="4" w:space="0" w:color="auto"/>
              <w:right w:val="single" w:sz="4" w:space="0" w:color="auto"/>
            </w:tcBorders>
            <w:noWrap/>
            <w:vAlign w:val="center"/>
            <w:hideMark/>
          </w:tcPr>
          <w:p w:rsidR="000B15CD" w:rsidRPr="00C50098" w:rsidRDefault="000B15CD" w:rsidP="000B15CD">
            <w:pPr>
              <w:jc w:val="center"/>
              <w:rPr>
                <w:rFonts w:ascii="Arial" w:hAnsi="Arial" w:cs="Arial"/>
                <w:sz w:val="16"/>
                <w:szCs w:val="16"/>
              </w:rPr>
            </w:pPr>
            <w:r w:rsidRPr="00C50098">
              <w:rPr>
                <w:rFonts w:ascii="Arial" w:hAnsi="Arial" w:cs="Arial"/>
                <w:sz w:val="16"/>
                <w:szCs w:val="16"/>
              </w:rPr>
              <w:t>11</w:t>
            </w:r>
          </w:p>
        </w:tc>
        <w:tc>
          <w:tcPr>
            <w:tcW w:w="2742" w:type="dxa"/>
            <w:tcBorders>
              <w:top w:val="single" w:sz="4" w:space="0" w:color="auto"/>
              <w:left w:val="single" w:sz="4" w:space="0" w:color="auto"/>
              <w:bottom w:val="single" w:sz="4" w:space="0" w:color="auto"/>
              <w:right w:val="single" w:sz="4" w:space="0" w:color="auto"/>
            </w:tcBorders>
            <w:vAlign w:val="center"/>
            <w:hideMark/>
          </w:tcPr>
          <w:p w:rsidR="000B15CD" w:rsidRPr="00C50098" w:rsidRDefault="000B15CD" w:rsidP="000B15CD">
            <w:pPr>
              <w:rPr>
                <w:rFonts w:ascii="Arial" w:hAnsi="Arial" w:cs="Arial"/>
                <w:sz w:val="16"/>
                <w:szCs w:val="16"/>
              </w:rPr>
            </w:pPr>
            <w:r w:rsidRPr="00C50098">
              <w:rPr>
                <w:rFonts w:ascii="Arial" w:hAnsi="Arial" w:cs="Arial"/>
                <w:sz w:val="16"/>
                <w:szCs w:val="16"/>
              </w:rPr>
              <w:t>Secretaría de Cultura</w:t>
            </w:r>
          </w:p>
        </w:tc>
        <w:tc>
          <w:tcPr>
            <w:tcW w:w="660" w:type="dxa"/>
            <w:tcBorders>
              <w:top w:val="single" w:sz="4" w:space="0" w:color="auto"/>
              <w:left w:val="single" w:sz="4" w:space="0" w:color="auto"/>
              <w:bottom w:val="single" w:sz="4" w:space="0" w:color="auto"/>
              <w:right w:val="single" w:sz="4" w:space="0" w:color="auto"/>
            </w:tcBorders>
            <w:vAlign w:val="center"/>
            <w:hideMark/>
          </w:tcPr>
          <w:p w:rsidR="000B15CD" w:rsidRPr="00C50098" w:rsidRDefault="000B15CD" w:rsidP="000B15CD">
            <w:pPr>
              <w:jc w:val="center"/>
              <w:rPr>
                <w:rFonts w:ascii="Arial" w:hAnsi="Arial" w:cs="Arial"/>
                <w:sz w:val="16"/>
                <w:szCs w:val="16"/>
              </w:rPr>
            </w:pPr>
            <w:r w:rsidRPr="00C50098">
              <w:rPr>
                <w:rFonts w:ascii="Arial" w:hAnsi="Arial" w:cs="Arial"/>
                <w:sz w:val="16"/>
                <w:szCs w:val="16"/>
              </w:rPr>
              <w:t>1</w:t>
            </w:r>
          </w:p>
        </w:tc>
        <w:tc>
          <w:tcPr>
            <w:tcW w:w="1313" w:type="dxa"/>
            <w:tcBorders>
              <w:top w:val="single" w:sz="4" w:space="0" w:color="auto"/>
              <w:left w:val="single" w:sz="4" w:space="0" w:color="auto"/>
              <w:bottom w:val="single" w:sz="4" w:space="0" w:color="auto"/>
              <w:right w:val="single" w:sz="4" w:space="0" w:color="auto"/>
            </w:tcBorders>
            <w:vAlign w:val="center"/>
          </w:tcPr>
          <w:p w:rsidR="000B15CD" w:rsidRPr="000B15CD" w:rsidRDefault="000B15CD" w:rsidP="000B15CD">
            <w:pPr>
              <w:jc w:val="right"/>
              <w:rPr>
                <w:rFonts w:ascii="Arial" w:hAnsi="Arial" w:cs="Arial"/>
                <w:sz w:val="16"/>
                <w:szCs w:val="16"/>
              </w:rPr>
            </w:pPr>
            <w:r w:rsidRPr="000B15CD">
              <w:rPr>
                <w:rFonts w:ascii="Arial" w:hAnsi="Arial" w:cs="Arial"/>
                <w:sz w:val="16"/>
                <w:szCs w:val="16"/>
              </w:rPr>
              <w:t>130,445,152</w:t>
            </w:r>
          </w:p>
        </w:tc>
        <w:tc>
          <w:tcPr>
            <w:tcW w:w="1097" w:type="dxa"/>
            <w:tcBorders>
              <w:top w:val="single" w:sz="4" w:space="0" w:color="auto"/>
              <w:left w:val="single" w:sz="4" w:space="0" w:color="auto"/>
              <w:bottom w:val="single" w:sz="4" w:space="0" w:color="auto"/>
              <w:right w:val="single" w:sz="4" w:space="0" w:color="auto"/>
            </w:tcBorders>
            <w:vAlign w:val="center"/>
            <w:hideMark/>
          </w:tcPr>
          <w:p w:rsidR="000B15CD" w:rsidRPr="00C50098" w:rsidRDefault="000B15CD" w:rsidP="000B15CD">
            <w:pPr>
              <w:jc w:val="center"/>
              <w:rPr>
                <w:rFonts w:ascii="Arial" w:hAnsi="Arial" w:cs="Arial"/>
                <w:sz w:val="16"/>
                <w:szCs w:val="16"/>
              </w:rPr>
            </w:pPr>
            <w:r w:rsidRPr="00C50098">
              <w:rPr>
                <w:rFonts w:ascii="Arial" w:hAnsi="Arial" w:cs="Arial"/>
                <w:sz w:val="16"/>
                <w:szCs w:val="16"/>
              </w:rPr>
              <w:t>100</w:t>
            </w:r>
          </w:p>
        </w:tc>
        <w:tc>
          <w:tcPr>
            <w:tcW w:w="567" w:type="dxa"/>
            <w:tcBorders>
              <w:top w:val="single" w:sz="4" w:space="0" w:color="auto"/>
              <w:left w:val="single" w:sz="4" w:space="0" w:color="auto"/>
              <w:bottom w:val="single" w:sz="4" w:space="0" w:color="auto"/>
              <w:right w:val="single" w:sz="4" w:space="0" w:color="auto"/>
            </w:tcBorders>
            <w:vAlign w:val="center"/>
            <w:hideMark/>
          </w:tcPr>
          <w:p w:rsidR="000B15CD" w:rsidRPr="00C50098" w:rsidRDefault="000B15CD" w:rsidP="000B15CD">
            <w:pPr>
              <w:jc w:val="center"/>
              <w:rPr>
                <w:rFonts w:ascii="Arial" w:hAnsi="Arial" w:cs="Arial"/>
                <w:sz w:val="16"/>
                <w:szCs w:val="16"/>
              </w:rPr>
            </w:pPr>
            <w:r w:rsidRPr="00C50098">
              <w:rPr>
                <w:rFonts w:ascii="Arial" w:hAnsi="Arial" w:cs="Arial"/>
                <w:sz w:val="16"/>
                <w:szCs w:val="16"/>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5CD" w:rsidRPr="00C50098" w:rsidRDefault="000B15CD" w:rsidP="000B15CD">
            <w:pPr>
              <w:jc w:val="center"/>
              <w:rPr>
                <w:rFonts w:ascii="Arial" w:hAnsi="Arial" w:cs="Arial"/>
                <w:sz w:val="16"/>
                <w:szCs w:val="16"/>
              </w:rPr>
            </w:pPr>
            <w:r w:rsidRPr="00C50098">
              <w:rPr>
                <w:rFonts w:ascii="Arial" w:hAnsi="Arial" w:cs="Arial"/>
                <w:sz w:val="16"/>
                <w:szCs w:val="16"/>
              </w:rPr>
              <w:t>18</w:t>
            </w:r>
          </w:p>
        </w:tc>
      </w:tr>
      <w:tr w:rsidR="000B15CD" w:rsidRPr="00C50098" w:rsidTr="000B15CD">
        <w:trPr>
          <w:trHeight w:val="283"/>
          <w:jc w:val="center"/>
        </w:trPr>
        <w:tc>
          <w:tcPr>
            <w:tcW w:w="784" w:type="dxa"/>
            <w:tcBorders>
              <w:top w:val="single" w:sz="4" w:space="0" w:color="auto"/>
              <w:left w:val="single" w:sz="4" w:space="0" w:color="auto"/>
              <w:bottom w:val="single" w:sz="4" w:space="0" w:color="auto"/>
              <w:right w:val="single" w:sz="4" w:space="0" w:color="auto"/>
            </w:tcBorders>
            <w:noWrap/>
            <w:vAlign w:val="center"/>
            <w:hideMark/>
          </w:tcPr>
          <w:p w:rsidR="000B15CD" w:rsidRPr="00C50098" w:rsidRDefault="000B15CD" w:rsidP="000B15CD">
            <w:pPr>
              <w:jc w:val="center"/>
              <w:rPr>
                <w:rFonts w:ascii="Arial" w:hAnsi="Arial" w:cs="Arial"/>
                <w:sz w:val="16"/>
                <w:szCs w:val="16"/>
              </w:rPr>
            </w:pPr>
            <w:r w:rsidRPr="00C50098">
              <w:rPr>
                <w:rFonts w:ascii="Arial" w:hAnsi="Arial" w:cs="Arial"/>
                <w:sz w:val="16"/>
                <w:szCs w:val="16"/>
              </w:rPr>
              <w:t>12</w:t>
            </w:r>
          </w:p>
        </w:tc>
        <w:tc>
          <w:tcPr>
            <w:tcW w:w="2742" w:type="dxa"/>
            <w:tcBorders>
              <w:top w:val="single" w:sz="4" w:space="0" w:color="auto"/>
              <w:left w:val="single" w:sz="4" w:space="0" w:color="auto"/>
              <w:bottom w:val="single" w:sz="4" w:space="0" w:color="auto"/>
              <w:right w:val="single" w:sz="4" w:space="0" w:color="auto"/>
            </w:tcBorders>
            <w:vAlign w:val="center"/>
            <w:hideMark/>
          </w:tcPr>
          <w:p w:rsidR="000B15CD" w:rsidRPr="00C50098" w:rsidRDefault="000B15CD" w:rsidP="000B15CD">
            <w:pPr>
              <w:rPr>
                <w:rFonts w:ascii="Arial" w:hAnsi="Arial" w:cs="Arial"/>
                <w:sz w:val="16"/>
                <w:szCs w:val="16"/>
              </w:rPr>
            </w:pPr>
            <w:r w:rsidRPr="00C50098">
              <w:rPr>
                <w:rFonts w:ascii="Arial" w:hAnsi="Arial" w:cs="Arial"/>
                <w:sz w:val="16"/>
                <w:szCs w:val="16"/>
              </w:rPr>
              <w:t>Secretaría de Turismo</w:t>
            </w:r>
          </w:p>
        </w:tc>
        <w:tc>
          <w:tcPr>
            <w:tcW w:w="660" w:type="dxa"/>
            <w:tcBorders>
              <w:top w:val="single" w:sz="4" w:space="0" w:color="auto"/>
              <w:left w:val="single" w:sz="4" w:space="0" w:color="auto"/>
              <w:bottom w:val="single" w:sz="4" w:space="0" w:color="auto"/>
              <w:right w:val="single" w:sz="4" w:space="0" w:color="auto"/>
            </w:tcBorders>
            <w:vAlign w:val="center"/>
            <w:hideMark/>
          </w:tcPr>
          <w:p w:rsidR="000B15CD" w:rsidRPr="00C50098" w:rsidRDefault="000B15CD" w:rsidP="000B15CD">
            <w:pPr>
              <w:jc w:val="center"/>
              <w:rPr>
                <w:rFonts w:ascii="Arial" w:hAnsi="Arial" w:cs="Arial"/>
                <w:sz w:val="16"/>
                <w:szCs w:val="16"/>
              </w:rPr>
            </w:pPr>
            <w:r w:rsidRPr="00C50098">
              <w:rPr>
                <w:rFonts w:ascii="Arial" w:hAnsi="Arial" w:cs="Arial"/>
                <w:sz w:val="16"/>
                <w:szCs w:val="16"/>
              </w:rPr>
              <w:t>1</w:t>
            </w:r>
          </w:p>
        </w:tc>
        <w:tc>
          <w:tcPr>
            <w:tcW w:w="1313" w:type="dxa"/>
            <w:tcBorders>
              <w:top w:val="single" w:sz="4" w:space="0" w:color="auto"/>
              <w:left w:val="single" w:sz="4" w:space="0" w:color="auto"/>
              <w:bottom w:val="single" w:sz="4" w:space="0" w:color="auto"/>
              <w:right w:val="single" w:sz="4" w:space="0" w:color="auto"/>
            </w:tcBorders>
            <w:vAlign w:val="center"/>
          </w:tcPr>
          <w:p w:rsidR="000B15CD" w:rsidRPr="000B15CD" w:rsidRDefault="000B15CD" w:rsidP="000B15CD">
            <w:pPr>
              <w:jc w:val="right"/>
              <w:rPr>
                <w:rFonts w:ascii="Arial" w:hAnsi="Arial" w:cs="Arial"/>
                <w:sz w:val="16"/>
                <w:szCs w:val="16"/>
              </w:rPr>
            </w:pPr>
            <w:r w:rsidRPr="000B15CD">
              <w:rPr>
                <w:rFonts w:ascii="Arial" w:hAnsi="Arial" w:cs="Arial"/>
                <w:sz w:val="16"/>
                <w:szCs w:val="16"/>
              </w:rPr>
              <w:t>44,058,412</w:t>
            </w:r>
          </w:p>
        </w:tc>
        <w:tc>
          <w:tcPr>
            <w:tcW w:w="1097" w:type="dxa"/>
            <w:tcBorders>
              <w:top w:val="single" w:sz="4" w:space="0" w:color="auto"/>
              <w:left w:val="single" w:sz="4" w:space="0" w:color="auto"/>
              <w:bottom w:val="single" w:sz="4" w:space="0" w:color="auto"/>
              <w:right w:val="single" w:sz="4" w:space="0" w:color="auto"/>
            </w:tcBorders>
            <w:vAlign w:val="center"/>
            <w:hideMark/>
          </w:tcPr>
          <w:p w:rsidR="000B15CD" w:rsidRPr="00C50098" w:rsidRDefault="000B15CD" w:rsidP="000B15CD">
            <w:pPr>
              <w:jc w:val="center"/>
              <w:rPr>
                <w:rFonts w:ascii="Arial" w:hAnsi="Arial" w:cs="Arial"/>
                <w:sz w:val="16"/>
                <w:szCs w:val="16"/>
              </w:rPr>
            </w:pPr>
            <w:r w:rsidRPr="00C50098">
              <w:rPr>
                <w:rFonts w:ascii="Arial" w:hAnsi="Arial" w:cs="Arial"/>
                <w:sz w:val="16"/>
                <w:szCs w:val="16"/>
              </w:rPr>
              <w:t>100</w:t>
            </w:r>
          </w:p>
        </w:tc>
        <w:tc>
          <w:tcPr>
            <w:tcW w:w="567" w:type="dxa"/>
            <w:tcBorders>
              <w:top w:val="single" w:sz="4" w:space="0" w:color="auto"/>
              <w:left w:val="single" w:sz="4" w:space="0" w:color="auto"/>
              <w:bottom w:val="single" w:sz="4" w:space="0" w:color="auto"/>
              <w:right w:val="single" w:sz="4" w:space="0" w:color="auto"/>
            </w:tcBorders>
            <w:vAlign w:val="center"/>
            <w:hideMark/>
          </w:tcPr>
          <w:p w:rsidR="000B15CD" w:rsidRPr="00C50098" w:rsidRDefault="000B15CD" w:rsidP="000B15CD">
            <w:pPr>
              <w:jc w:val="center"/>
              <w:rPr>
                <w:rFonts w:ascii="Arial" w:hAnsi="Arial" w:cs="Arial"/>
                <w:sz w:val="16"/>
                <w:szCs w:val="16"/>
              </w:rPr>
            </w:pPr>
            <w:r w:rsidRPr="00C50098">
              <w:rPr>
                <w:rFonts w:ascii="Arial" w:hAnsi="Arial" w:cs="Arial"/>
                <w:sz w:val="16"/>
                <w:szCs w:val="16"/>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5CD" w:rsidRPr="00C50098" w:rsidRDefault="000B15CD" w:rsidP="000B15CD">
            <w:pPr>
              <w:jc w:val="center"/>
              <w:rPr>
                <w:rFonts w:ascii="Arial" w:hAnsi="Arial" w:cs="Arial"/>
                <w:sz w:val="16"/>
                <w:szCs w:val="16"/>
              </w:rPr>
            </w:pPr>
            <w:r w:rsidRPr="00C50098">
              <w:rPr>
                <w:rFonts w:ascii="Arial" w:hAnsi="Arial" w:cs="Arial"/>
                <w:sz w:val="16"/>
                <w:szCs w:val="16"/>
              </w:rPr>
              <w:t>19</w:t>
            </w:r>
          </w:p>
        </w:tc>
      </w:tr>
      <w:tr w:rsidR="000B15CD" w:rsidRPr="00C50098" w:rsidTr="000B15CD">
        <w:trPr>
          <w:trHeight w:val="283"/>
          <w:jc w:val="center"/>
        </w:trPr>
        <w:tc>
          <w:tcPr>
            <w:tcW w:w="784" w:type="dxa"/>
            <w:tcBorders>
              <w:top w:val="single" w:sz="4" w:space="0" w:color="auto"/>
              <w:left w:val="single" w:sz="4" w:space="0" w:color="auto"/>
              <w:bottom w:val="single" w:sz="4" w:space="0" w:color="auto"/>
              <w:right w:val="single" w:sz="4" w:space="0" w:color="auto"/>
            </w:tcBorders>
            <w:noWrap/>
            <w:vAlign w:val="center"/>
            <w:hideMark/>
          </w:tcPr>
          <w:p w:rsidR="000B15CD" w:rsidRPr="00C50098" w:rsidRDefault="000B15CD" w:rsidP="000B15CD">
            <w:pPr>
              <w:jc w:val="center"/>
              <w:rPr>
                <w:rFonts w:ascii="Arial" w:hAnsi="Arial" w:cs="Arial"/>
                <w:sz w:val="16"/>
                <w:szCs w:val="16"/>
              </w:rPr>
            </w:pPr>
            <w:r w:rsidRPr="00C50098">
              <w:rPr>
                <w:rFonts w:ascii="Arial" w:hAnsi="Arial" w:cs="Arial"/>
                <w:sz w:val="16"/>
                <w:szCs w:val="16"/>
              </w:rPr>
              <w:t>13</w:t>
            </w:r>
          </w:p>
        </w:tc>
        <w:tc>
          <w:tcPr>
            <w:tcW w:w="2742" w:type="dxa"/>
            <w:tcBorders>
              <w:top w:val="single" w:sz="4" w:space="0" w:color="auto"/>
              <w:left w:val="single" w:sz="4" w:space="0" w:color="auto"/>
              <w:bottom w:val="single" w:sz="4" w:space="0" w:color="auto"/>
              <w:right w:val="single" w:sz="4" w:space="0" w:color="auto"/>
            </w:tcBorders>
            <w:vAlign w:val="center"/>
            <w:hideMark/>
          </w:tcPr>
          <w:p w:rsidR="000B15CD" w:rsidRPr="00C50098" w:rsidRDefault="000B15CD" w:rsidP="000B15CD">
            <w:pPr>
              <w:rPr>
                <w:rFonts w:ascii="Arial" w:hAnsi="Arial" w:cs="Arial"/>
                <w:sz w:val="16"/>
                <w:szCs w:val="16"/>
              </w:rPr>
            </w:pPr>
            <w:r w:rsidRPr="00C50098">
              <w:rPr>
                <w:rFonts w:ascii="Arial" w:hAnsi="Arial" w:cs="Arial"/>
                <w:sz w:val="16"/>
                <w:szCs w:val="16"/>
              </w:rPr>
              <w:t>Procuraduría General de Justicia</w:t>
            </w:r>
          </w:p>
        </w:tc>
        <w:tc>
          <w:tcPr>
            <w:tcW w:w="660" w:type="dxa"/>
            <w:tcBorders>
              <w:top w:val="single" w:sz="4" w:space="0" w:color="auto"/>
              <w:left w:val="single" w:sz="4" w:space="0" w:color="auto"/>
              <w:bottom w:val="single" w:sz="4" w:space="0" w:color="auto"/>
              <w:right w:val="single" w:sz="4" w:space="0" w:color="auto"/>
            </w:tcBorders>
            <w:vAlign w:val="center"/>
            <w:hideMark/>
          </w:tcPr>
          <w:p w:rsidR="000B15CD" w:rsidRPr="00C50098" w:rsidRDefault="000B15CD" w:rsidP="000B15CD">
            <w:pPr>
              <w:jc w:val="center"/>
              <w:rPr>
                <w:rFonts w:ascii="Arial" w:hAnsi="Arial" w:cs="Arial"/>
                <w:sz w:val="16"/>
                <w:szCs w:val="16"/>
              </w:rPr>
            </w:pPr>
            <w:r w:rsidRPr="00C50098">
              <w:rPr>
                <w:rFonts w:ascii="Arial" w:hAnsi="Arial" w:cs="Arial"/>
                <w:sz w:val="16"/>
                <w:szCs w:val="16"/>
              </w:rPr>
              <w:t>1</w:t>
            </w:r>
          </w:p>
        </w:tc>
        <w:tc>
          <w:tcPr>
            <w:tcW w:w="1313" w:type="dxa"/>
            <w:tcBorders>
              <w:top w:val="single" w:sz="4" w:space="0" w:color="auto"/>
              <w:left w:val="single" w:sz="4" w:space="0" w:color="auto"/>
              <w:bottom w:val="single" w:sz="4" w:space="0" w:color="auto"/>
              <w:right w:val="single" w:sz="4" w:space="0" w:color="auto"/>
            </w:tcBorders>
            <w:vAlign w:val="center"/>
          </w:tcPr>
          <w:p w:rsidR="000B15CD" w:rsidRPr="000B15CD" w:rsidRDefault="000B15CD" w:rsidP="000B15CD">
            <w:pPr>
              <w:jc w:val="right"/>
              <w:rPr>
                <w:rFonts w:ascii="Arial" w:hAnsi="Arial" w:cs="Arial"/>
                <w:sz w:val="16"/>
                <w:szCs w:val="16"/>
              </w:rPr>
            </w:pPr>
            <w:r w:rsidRPr="000B15CD">
              <w:rPr>
                <w:rFonts w:ascii="Arial" w:hAnsi="Arial" w:cs="Arial"/>
                <w:sz w:val="16"/>
                <w:szCs w:val="16"/>
              </w:rPr>
              <w:t>361,288,958</w:t>
            </w:r>
          </w:p>
        </w:tc>
        <w:tc>
          <w:tcPr>
            <w:tcW w:w="1097" w:type="dxa"/>
            <w:tcBorders>
              <w:top w:val="single" w:sz="4" w:space="0" w:color="auto"/>
              <w:left w:val="single" w:sz="4" w:space="0" w:color="auto"/>
              <w:bottom w:val="single" w:sz="4" w:space="0" w:color="auto"/>
              <w:right w:val="single" w:sz="4" w:space="0" w:color="auto"/>
            </w:tcBorders>
            <w:vAlign w:val="center"/>
            <w:hideMark/>
          </w:tcPr>
          <w:p w:rsidR="000B15CD" w:rsidRPr="00C50098" w:rsidRDefault="000B15CD" w:rsidP="000B15CD">
            <w:pPr>
              <w:jc w:val="center"/>
              <w:rPr>
                <w:rFonts w:ascii="Arial" w:hAnsi="Arial" w:cs="Arial"/>
                <w:sz w:val="16"/>
                <w:szCs w:val="16"/>
              </w:rPr>
            </w:pPr>
            <w:r w:rsidRPr="00C50098">
              <w:rPr>
                <w:rFonts w:ascii="Arial" w:hAnsi="Arial" w:cs="Arial"/>
                <w:sz w:val="16"/>
                <w:szCs w:val="16"/>
              </w:rPr>
              <w:t>100</w:t>
            </w:r>
          </w:p>
        </w:tc>
        <w:tc>
          <w:tcPr>
            <w:tcW w:w="567" w:type="dxa"/>
            <w:tcBorders>
              <w:top w:val="single" w:sz="4" w:space="0" w:color="auto"/>
              <w:left w:val="single" w:sz="4" w:space="0" w:color="auto"/>
              <w:bottom w:val="single" w:sz="4" w:space="0" w:color="auto"/>
              <w:right w:val="single" w:sz="4" w:space="0" w:color="auto"/>
            </w:tcBorders>
            <w:vAlign w:val="center"/>
            <w:hideMark/>
          </w:tcPr>
          <w:p w:rsidR="000B15CD" w:rsidRPr="00C50098" w:rsidRDefault="000B15CD" w:rsidP="000B15CD">
            <w:pPr>
              <w:jc w:val="center"/>
              <w:rPr>
                <w:rFonts w:ascii="Arial" w:hAnsi="Arial" w:cs="Arial"/>
                <w:sz w:val="16"/>
                <w:szCs w:val="16"/>
              </w:rPr>
            </w:pPr>
            <w:r w:rsidRPr="00C50098">
              <w:rPr>
                <w:rFonts w:ascii="Arial" w:hAnsi="Arial" w:cs="Arial"/>
                <w:sz w:val="16"/>
                <w:szCs w:val="16"/>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5CD" w:rsidRPr="00C50098" w:rsidRDefault="000B15CD" w:rsidP="000B15CD">
            <w:pPr>
              <w:jc w:val="center"/>
              <w:rPr>
                <w:rFonts w:ascii="Arial" w:hAnsi="Arial" w:cs="Arial"/>
                <w:sz w:val="16"/>
                <w:szCs w:val="16"/>
              </w:rPr>
            </w:pPr>
            <w:r w:rsidRPr="00C50098">
              <w:rPr>
                <w:rFonts w:ascii="Arial" w:hAnsi="Arial" w:cs="Arial"/>
                <w:sz w:val="16"/>
                <w:szCs w:val="16"/>
              </w:rPr>
              <w:t>21</w:t>
            </w:r>
          </w:p>
        </w:tc>
      </w:tr>
      <w:tr w:rsidR="000B15CD" w:rsidRPr="00C50098" w:rsidTr="000B15CD">
        <w:trPr>
          <w:trHeight w:val="283"/>
          <w:jc w:val="center"/>
        </w:trPr>
        <w:tc>
          <w:tcPr>
            <w:tcW w:w="784" w:type="dxa"/>
            <w:tcBorders>
              <w:top w:val="single" w:sz="4" w:space="0" w:color="auto"/>
              <w:left w:val="single" w:sz="4" w:space="0" w:color="auto"/>
              <w:bottom w:val="single" w:sz="4" w:space="0" w:color="auto"/>
              <w:right w:val="single" w:sz="4" w:space="0" w:color="auto"/>
            </w:tcBorders>
            <w:noWrap/>
            <w:vAlign w:val="center"/>
            <w:hideMark/>
          </w:tcPr>
          <w:p w:rsidR="000B15CD" w:rsidRPr="00C50098" w:rsidRDefault="000B15CD" w:rsidP="000B15CD">
            <w:pPr>
              <w:jc w:val="center"/>
              <w:rPr>
                <w:rFonts w:ascii="Arial" w:hAnsi="Arial" w:cs="Arial"/>
                <w:sz w:val="16"/>
                <w:szCs w:val="16"/>
              </w:rPr>
            </w:pPr>
            <w:r w:rsidRPr="00C50098">
              <w:rPr>
                <w:rFonts w:ascii="Arial" w:hAnsi="Arial" w:cs="Arial"/>
                <w:sz w:val="16"/>
                <w:szCs w:val="16"/>
              </w:rPr>
              <w:t>14</w:t>
            </w:r>
          </w:p>
        </w:tc>
        <w:tc>
          <w:tcPr>
            <w:tcW w:w="2742" w:type="dxa"/>
            <w:tcBorders>
              <w:top w:val="single" w:sz="4" w:space="0" w:color="auto"/>
              <w:left w:val="single" w:sz="4" w:space="0" w:color="auto"/>
              <w:bottom w:val="single" w:sz="4" w:space="0" w:color="auto"/>
              <w:right w:val="single" w:sz="4" w:space="0" w:color="auto"/>
            </w:tcBorders>
            <w:vAlign w:val="center"/>
            <w:hideMark/>
          </w:tcPr>
          <w:p w:rsidR="000B15CD" w:rsidRPr="00C50098" w:rsidRDefault="000B15CD" w:rsidP="000B15CD">
            <w:pPr>
              <w:rPr>
                <w:rFonts w:ascii="Arial" w:hAnsi="Arial" w:cs="Arial"/>
                <w:sz w:val="16"/>
                <w:szCs w:val="16"/>
              </w:rPr>
            </w:pPr>
            <w:r w:rsidRPr="00C50098">
              <w:rPr>
                <w:rFonts w:ascii="Arial" w:hAnsi="Arial" w:cs="Arial"/>
                <w:sz w:val="16"/>
                <w:szCs w:val="16"/>
              </w:rPr>
              <w:t>Secretaría de Seguridad Publica</w:t>
            </w:r>
          </w:p>
        </w:tc>
        <w:tc>
          <w:tcPr>
            <w:tcW w:w="660" w:type="dxa"/>
            <w:tcBorders>
              <w:top w:val="single" w:sz="4" w:space="0" w:color="auto"/>
              <w:left w:val="single" w:sz="4" w:space="0" w:color="auto"/>
              <w:bottom w:val="single" w:sz="4" w:space="0" w:color="auto"/>
              <w:right w:val="single" w:sz="4" w:space="0" w:color="auto"/>
            </w:tcBorders>
            <w:vAlign w:val="center"/>
            <w:hideMark/>
          </w:tcPr>
          <w:p w:rsidR="000B15CD" w:rsidRPr="00C50098" w:rsidRDefault="000B15CD" w:rsidP="000B15CD">
            <w:pPr>
              <w:jc w:val="center"/>
              <w:rPr>
                <w:rFonts w:ascii="Arial" w:hAnsi="Arial" w:cs="Arial"/>
                <w:sz w:val="16"/>
                <w:szCs w:val="16"/>
              </w:rPr>
            </w:pPr>
            <w:r w:rsidRPr="00C50098">
              <w:rPr>
                <w:rFonts w:ascii="Arial" w:hAnsi="Arial" w:cs="Arial"/>
                <w:sz w:val="16"/>
                <w:szCs w:val="16"/>
              </w:rPr>
              <w:t>1</w:t>
            </w:r>
          </w:p>
        </w:tc>
        <w:tc>
          <w:tcPr>
            <w:tcW w:w="1313" w:type="dxa"/>
            <w:tcBorders>
              <w:top w:val="single" w:sz="4" w:space="0" w:color="auto"/>
              <w:left w:val="single" w:sz="4" w:space="0" w:color="auto"/>
              <w:bottom w:val="single" w:sz="4" w:space="0" w:color="auto"/>
              <w:right w:val="single" w:sz="4" w:space="0" w:color="auto"/>
            </w:tcBorders>
            <w:vAlign w:val="center"/>
          </w:tcPr>
          <w:p w:rsidR="000B15CD" w:rsidRPr="000B15CD" w:rsidRDefault="000B15CD" w:rsidP="000B15CD">
            <w:pPr>
              <w:jc w:val="right"/>
              <w:rPr>
                <w:rFonts w:ascii="Arial" w:hAnsi="Arial" w:cs="Arial"/>
                <w:sz w:val="16"/>
                <w:szCs w:val="16"/>
              </w:rPr>
            </w:pPr>
            <w:r w:rsidRPr="000B15CD">
              <w:rPr>
                <w:rFonts w:ascii="Arial" w:hAnsi="Arial" w:cs="Arial"/>
                <w:sz w:val="16"/>
                <w:szCs w:val="16"/>
              </w:rPr>
              <w:t>588,755,915</w:t>
            </w:r>
          </w:p>
        </w:tc>
        <w:tc>
          <w:tcPr>
            <w:tcW w:w="1097" w:type="dxa"/>
            <w:tcBorders>
              <w:top w:val="single" w:sz="4" w:space="0" w:color="auto"/>
              <w:left w:val="single" w:sz="4" w:space="0" w:color="auto"/>
              <w:bottom w:val="single" w:sz="4" w:space="0" w:color="auto"/>
              <w:right w:val="single" w:sz="4" w:space="0" w:color="auto"/>
            </w:tcBorders>
            <w:vAlign w:val="center"/>
            <w:hideMark/>
          </w:tcPr>
          <w:p w:rsidR="000B15CD" w:rsidRPr="00C50098" w:rsidRDefault="000B15CD" w:rsidP="000B15CD">
            <w:pPr>
              <w:jc w:val="center"/>
              <w:rPr>
                <w:rFonts w:ascii="Arial" w:hAnsi="Arial" w:cs="Arial"/>
                <w:sz w:val="16"/>
                <w:szCs w:val="16"/>
              </w:rPr>
            </w:pPr>
            <w:r w:rsidRPr="00C50098">
              <w:rPr>
                <w:rFonts w:ascii="Arial" w:hAnsi="Arial" w:cs="Arial"/>
                <w:sz w:val="16"/>
                <w:szCs w:val="16"/>
              </w:rPr>
              <w:t>100</w:t>
            </w:r>
          </w:p>
        </w:tc>
        <w:tc>
          <w:tcPr>
            <w:tcW w:w="567" w:type="dxa"/>
            <w:tcBorders>
              <w:top w:val="single" w:sz="4" w:space="0" w:color="auto"/>
              <w:left w:val="single" w:sz="4" w:space="0" w:color="auto"/>
              <w:bottom w:val="single" w:sz="4" w:space="0" w:color="auto"/>
              <w:right w:val="single" w:sz="4" w:space="0" w:color="auto"/>
            </w:tcBorders>
            <w:vAlign w:val="center"/>
            <w:hideMark/>
          </w:tcPr>
          <w:p w:rsidR="000B15CD" w:rsidRPr="00C50098" w:rsidRDefault="000B15CD" w:rsidP="000B15CD">
            <w:pPr>
              <w:jc w:val="center"/>
              <w:rPr>
                <w:rFonts w:ascii="Arial" w:hAnsi="Arial" w:cs="Arial"/>
                <w:sz w:val="16"/>
                <w:szCs w:val="16"/>
              </w:rPr>
            </w:pPr>
            <w:r w:rsidRPr="00C50098">
              <w:rPr>
                <w:rFonts w:ascii="Arial" w:hAnsi="Arial" w:cs="Arial"/>
                <w:sz w:val="16"/>
                <w:szCs w:val="16"/>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5CD" w:rsidRPr="00C50098" w:rsidRDefault="000B15CD" w:rsidP="000B15CD">
            <w:pPr>
              <w:jc w:val="center"/>
              <w:rPr>
                <w:rFonts w:ascii="Arial" w:hAnsi="Arial" w:cs="Arial"/>
                <w:sz w:val="16"/>
                <w:szCs w:val="16"/>
              </w:rPr>
            </w:pPr>
            <w:r w:rsidRPr="00C50098">
              <w:rPr>
                <w:rFonts w:ascii="Arial" w:hAnsi="Arial" w:cs="Arial"/>
                <w:sz w:val="16"/>
                <w:szCs w:val="16"/>
              </w:rPr>
              <w:t>15</w:t>
            </w:r>
          </w:p>
        </w:tc>
      </w:tr>
      <w:tr w:rsidR="000B15CD" w:rsidRPr="00C50098" w:rsidTr="000B15CD">
        <w:trPr>
          <w:trHeight w:val="283"/>
          <w:jc w:val="center"/>
        </w:trPr>
        <w:tc>
          <w:tcPr>
            <w:tcW w:w="784" w:type="dxa"/>
            <w:tcBorders>
              <w:top w:val="single" w:sz="4" w:space="0" w:color="auto"/>
              <w:left w:val="single" w:sz="4" w:space="0" w:color="auto"/>
              <w:bottom w:val="single" w:sz="4" w:space="0" w:color="auto"/>
              <w:right w:val="single" w:sz="4" w:space="0" w:color="auto"/>
            </w:tcBorders>
            <w:noWrap/>
            <w:vAlign w:val="center"/>
            <w:hideMark/>
          </w:tcPr>
          <w:p w:rsidR="000B15CD" w:rsidRPr="00C50098" w:rsidRDefault="000B15CD" w:rsidP="000B15CD">
            <w:pPr>
              <w:jc w:val="center"/>
              <w:rPr>
                <w:rFonts w:ascii="Arial" w:hAnsi="Arial" w:cs="Arial"/>
                <w:sz w:val="16"/>
                <w:szCs w:val="16"/>
              </w:rPr>
            </w:pPr>
            <w:r w:rsidRPr="00C50098">
              <w:rPr>
                <w:rFonts w:ascii="Arial" w:hAnsi="Arial" w:cs="Arial"/>
                <w:sz w:val="16"/>
                <w:szCs w:val="16"/>
              </w:rPr>
              <w:t>15</w:t>
            </w:r>
          </w:p>
        </w:tc>
        <w:tc>
          <w:tcPr>
            <w:tcW w:w="2742" w:type="dxa"/>
            <w:tcBorders>
              <w:top w:val="single" w:sz="4" w:space="0" w:color="auto"/>
              <w:left w:val="single" w:sz="4" w:space="0" w:color="auto"/>
              <w:bottom w:val="single" w:sz="4" w:space="0" w:color="auto"/>
              <w:right w:val="single" w:sz="4" w:space="0" w:color="auto"/>
            </w:tcBorders>
            <w:vAlign w:val="center"/>
            <w:hideMark/>
          </w:tcPr>
          <w:p w:rsidR="000B15CD" w:rsidRPr="00C50098" w:rsidRDefault="000B15CD" w:rsidP="000B15CD">
            <w:pPr>
              <w:rPr>
                <w:rFonts w:ascii="Arial" w:hAnsi="Arial" w:cs="Arial"/>
                <w:sz w:val="16"/>
                <w:szCs w:val="16"/>
              </w:rPr>
            </w:pPr>
            <w:r w:rsidRPr="00C50098">
              <w:rPr>
                <w:rFonts w:ascii="Arial" w:hAnsi="Arial" w:cs="Arial"/>
                <w:sz w:val="16"/>
                <w:szCs w:val="16"/>
              </w:rPr>
              <w:t>Secretaría de la Juventud</w:t>
            </w:r>
          </w:p>
        </w:tc>
        <w:tc>
          <w:tcPr>
            <w:tcW w:w="660" w:type="dxa"/>
            <w:tcBorders>
              <w:top w:val="single" w:sz="4" w:space="0" w:color="auto"/>
              <w:left w:val="single" w:sz="4" w:space="0" w:color="auto"/>
              <w:bottom w:val="single" w:sz="4" w:space="0" w:color="auto"/>
              <w:right w:val="single" w:sz="4" w:space="0" w:color="auto"/>
            </w:tcBorders>
            <w:vAlign w:val="center"/>
            <w:hideMark/>
          </w:tcPr>
          <w:p w:rsidR="000B15CD" w:rsidRPr="00C50098" w:rsidRDefault="000B15CD" w:rsidP="000B15CD">
            <w:pPr>
              <w:jc w:val="center"/>
              <w:rPr>
                <w:rFonts w:ascii="Arial" w:hAnsi="Arial" w:cs="Arial"/>
                <w:sz w:val="16"/>
                <w:szCs w:val="16"/>
              </w:rPr>
            </w:pPr>
            <w:r w:rsidRPr="00C50098">
              <w:rPr>
                <w:rFonts w:ascii="Arial" w:hAnsi="Arial" w:cs="Arial"/>
                <w:sz w:val="16"/>
                <w:szCs w:val="16"/>
              </w:rPr>
              <w:t>1</w:t>
            </w:r>
          </w:p>
        </w:tc>
        <w:tc>
          <w:tcPr>
            <w:tcW w:w="1313" w:type="dxa"/>
            <w:tcBorders>
              <w:top w:val="single" w:sz="4" w:space="0" w:color="auto"/>
              <w:left w:val="single" w:sz="4" w:space="0" w:color="auto"/>
              <w:bottom w:val="single" w:sz="4" w:space="0" w:color="auto"/>
              <w:right w:val="single" w:sz="4" w:space="0" w:color="auto"/>
            </w:tcBorders>
            <w:vAlign w:val="center"/>
          </w:tcPr>
          <w:p w:rsidR="000B15CD" w:rsidRPr="000B15CD" w:rsidRDefault="000B15CD" w:rsidP="000B15CD">
            <w:pPr>
              <w:jc w:val="right"/>
              <w:rPr>
                <w:rFonts w:ascii="Arial" w:hAnsi="Arial" w:cs="Arial"/>
                <w:sz w:val="16"/>
                <w:szCs w:val="16"/>
              </w:rPr>
            </w:pPr>
            <w:r w:rsidRPr="000B15CD">
              <w:rPr>
                <w:rFonts w:ascii="Arial" w:hAnsi="Arial" w:cs="Arial"/>
                <w:sz w:val="16"/>
                <w:szCs w:val="16"/>
              </w:rPr>
              <w:t>16,169,447</w:t>
            </w:r>
          </w:p>
        </w:tc>
        <w:tc>
          <w:tcPr>
            <w:tcW w:w="1097" w:type="dxa"/>
            <w:tcBorders>
              <w:top w:val="single" w:sz="4" w:space="0" w:color="auto"/>
              <w:left w:val="single" w:sz="4" w:space="0" w:color="auto"/>
              <w:bottom w:val="single" w:sz="4" w:space="0" w:color="auto"/>
              <w:right w:val="single" w:sz="4" w:space="0" w:color="auto"/>
            </w:tcBorders>
            <w:vAlign w:val="center"/>
            <w:hideMark/>
          </w:tcPr>
          <w:p w:rsidR="000B15CD" w:rsidRPr="00C50098" w:rsidRDefault="000B15CD" w:rsidP="000B15CD">
            <w:pPr>
              <w:jc w:val="center"/>
              <w:rPr>
                <w:rFonts w:ascii="Arial" w:hAnsi="Arial" w:cs="Arial"/>
                <w:sz w:val="16"/>
                <w:szCs w:val="16"/>
              </w:rPr>
            </w:pPr>
            <w:r w:rsidRPr="00C50098">
              <w:rPr>
                <w:rFonts w:ascii="Arial" w:hAnsi="Arial" w:cs="Arial"/>
                <w:sz w:val="16"/>
                <w:szCs w:val="16"/>
              </w:rPr>
              <w:t>100</w:t>
            </w:r>
          </w:p>
        </w:tc>
        <w:tc>
          <w:tcPr>
            <w:tcW w:w="567" w:type="dxa"/>
            <w:tcBorders>
              <w:top w:val="single" w:sz="4" w:space="0" w:color="auto"/>
              <w:left w:val="single" w:sz="4" w:space="0" w:color="auto"/>
              <w:bottom w:val="single" w:sz="4" w:space="0" w:color="auto"/>
              <w:right w:val="single" w:sz="4" w:space="0" w:color="auto"/>
            </w:tcBorders>
            <w:vAlign w:val="center"/>
            <w:hideMark/>
          </w:tcPr>
          <w:p w:rsidR="000B15CD" w:rsidRPr="00C50098" w:rsidRDefault="000B15CD" w:rsidP="000B15CD">
            <w:pPr>
              <w:jc w:val="center"/>
              <w:rPr>
                <w:rFonts w:ascii="Arial" w:hAnsi="Arial" w:cs="Arial"/>
                <w:sz w:val="16"/>
                <w:szCs w:val="16"/>
              </w:rPr>
            </w:pPr>
            <w:r w:rsidRPr="00C50098">
              <w:rPr>
                <w:rFonts w:ascii="Arial" w:hAnsi="Arial" w:cs="Arial"/>
                <w:sz w:val="16"/>
                <w:szCs w:val="16"/>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5CD" w:rsidRPr="00C50098" w:rsidRDefault="000B15CD" w:rsidP="000B15CD">
            <w:pPr>
              <w:jc w:val="center"/>
              <w:rPr>
                <w:rFonts w:ascii="Arial" w:hAnsi="Arial" w:cs="Arial"/>
                <w:sz w:val="16"/>
                <w:szCs w:val="16"/>
              </w:rPr>
            </w:pPr>
            <w:r w:rsidRPr="00C50098">
              <w:rPr>
                <w:rFonts w:ascii="Arial" w:hAnsi="Arial" w:cs="Arial"/>
                <w:sz w:val="16"/>
                <w:szCs w:val="16"/>
              </w:rPr>
              <w:t>15</w:t>
            </w:r>
          </w:p>
        </w:tc>
      </w:tr>
      <w:tr w:rsidR="000B15CD" w:rsidRPr="00C50098" w:rsidTr="000B15CD">
        <w:trPr>
          <w:trHeight w:val="283"/>
          <w:jc w:val="center"/>
        </w:trPr>
        <w:tc>
          <w:tcPr>
            <w:tcW w:w="784" w:type="dxa"/>
            <w:tcBorders>
              <w:top w:val="single" w:sz="4" w:space="0" w:color="auto"/>
              <w:left w:val="single" w:sz="4" w:space="0" w:color="auto"/>
              <w:bottom w:val="single" w:sz="4" w:space="0" w:color="auto"/>
              <w:right w:val="single" w:sz="4" w:space="0" w:color="auto"/>
            </w:tcBorders>
            <w:noWrap/>
            <w:vAlign w:val="center"/>
            <w:hideMark/>
          </w:tcPr>
          <w:p w:rsidR="000B15CD" w:rsidRPr="00C50098" w:rsidRDefault="000B15CD" w:rsidP="000B15CD">
            <w:pPr>
              <w:jc w:val="center"/>
              <w:rPr>
                <w:rFonts w:ascii="Arial" w:hAnsi="Arial" w:cs="Arial"/>
                <w:sz w:val="16"/>
                <w:szCs w:val="16"/>
              </w:rPr>
            </w:pPr>
            <w:r w:rsidRPr="00C50098">
              <w:rPr>
                <w:rFonts w:ascii="Arial" w:hAnsi="Arial" w:cs="Arial"/>
                <w:sz w:val="16"/>
                <w:szCs w:val="16"/>
              </w:rPr>
              <w:lastRenderedPageBreak/>
              <w:t>16</w:t>
            </w:r>
          </w:p>
        </w:tc>
        <w:tc>
          <w:tcPr>
            <w:tcW w:w="2742" w:type="dxa"/>
            <w:tcBorders>
              <w:top w:val="single" w:sz="4" w:space="0" w:color="auto"/>
              <w:left w:val="single" w:sz="4" w:space="0" w:color="auto"/>
              <w:bottom w:val="single" w:sz="4" w:space="0" w:color="auto"/>
              <w:right w:val="single" w:sz="4" w:space="0" w:color="auto"/>
            </w:tcBorders>
            <w:vAlign w:val="center"/>
            <w:hideMark/>
          </w:tcPr>
          <w:p w:rsidR="000B15CD" w:rsidRPr="00C50098" w:rsidRDefault="000B15CD" w:rsidP="000B15CD">
            <w:pPr>
              <w:rPr>
                <w:rFonts w:ascii="Arial" w:hAnsi="Arial" w:cs="Arial"/>
                <w:sz w:val="16"/>
                <w:szCs w:val="16"/>
              </w:rPr>
            </w:pPr>
            <w:r w:rsidRPr="00C50098">
              <w:rPr>
                <w:rFonts w:ascii="Arial" w:hAnsi="Arial" w:cs="Arial"/>
                <w:sz w:val="16"/>
                <w:szCs w:val="16"/>
              </w:rPr>
              <w:t>Secretaría del Trabajo y Previsión Social</w:t>
            </w:r>
          </w:p>
        </w:tc>
        <w:tc>
          <w:tcPr>
            <w:tcW w:w="660" w:type="dxa"/>
            <w:tcBorders>
              <w:top w:val="single" w:sz="4" w:space="0" w:color="auto"/>
              <w:left w:val="single" w:sz="4" w:space="0" w:color="auto"/>
              <w:bottom w:val="single" w:sz="4" w:space="0" w:color="auto"/>
              <w:right w:val="single" w:sz="4" w:space="0" w:color="auto"/>
            </w:tcBorders>
            <w:vAlign w:val="center"/>
            <w:hideMark/>
          </w:tcPr>
          <w:p w:rsidR="000B15CD" w:rsidRPr="00C50098" w:rsidRDefault="000B15CD" w:rsidP="000B15CD">
            <w:pPr>
              <w:jc w:val="center"/>
              <w:rPr>
                <w:rFonts w:ascii="Arial" w:hAnsi="Arial" w:cs="Arial"/>
                <w:sz w:val="16"/>
                <w:szCs w:val="16"/>
              </w:rPr>
            </w:pPr>
            <w:r w:rsidRPr="00C50098">
              <w:rPr>
                <w:rFonts w:ascii="Arial" w:hAnsi="Arial" w:cs="Arial"/>
                <w:sz w:val="16"/>
                <w:szCs w:val="16"/>
              </w:rPr>
              <w:t>1</w:t>
            </w:r>
          </w:p>
        </w:tc>
        <w:tc>
          <w:tcPr>
            <w:tcW w:w="1313" w:type="dxa"/>
            <w:tcBorders>
              <w:top w:val="single" w:sz="4" w:space="0" w:color="auto"/>
              <w:left w:val="single" w:sz="4" w:space="0" w:color="auto"/>
              <w:bottom w:val="single" w:sz="4" w:space="0" w:color="auto"/>
              <w:right w:val="single" w:sz="4" w:space="0" w:color="auto"/>
            </w:tcBorders>
            <w:vAlign w:val="center"/>
          </w:tcPr>
          <w:p w:rsidR="000B15CD" w:rsidRPr="000B15CD" w:rsidRDefault="000B15CD" w:rsidP="000B15CD">
            <w:pPr>
              <w:jc w:val="right"/>
              <w:rPr>
                <w:rFonts w:ascii="Arial" w:hAnsi="Arial" w:cs="Arial"/>
                <w:sz w:val="16"/>
                <w:szCs w:val="16"/>
              </w:rPr>
            </w:pPr>
            <w:r w:rsidRPr="000B15CD">
              <w:rPr>
                <w:rFonts w:ascii="Arial" w:hAnsi="Arial" w:cs="Arial"/>
                <w:sz w:val="16"/>
                <w:szCs w:val="16"/>
              </w:rPr>
              <w:t>35,087,946</w:t>
            </w:r>
          </w:p>
        </w:tc>
        <w:tc>
          <w:tcPr>
            <w:tcW w:w="1097" w:type="dxa"/>
            <w:tcBorders>
              <w:top w:val="single" w:sz="4" w:space="0" w:color="auto"/>
              <w:left w:val="single" w:sz="4" w:space="0" w:color="auto"/>
              <w:bottom w:val="single" w:sz="4" w:space="0" w:color="auto"/>
              <w:right w:val="single" w:sz="4" w:space="0" w:color="auto"/>
            </w:tcBorders>
            <w:vAlign w:val="center"/>
            <w:hideMark/>
          </w:tcPr>
          <w:p w:rsidR="000B15CD" w:rsidRPr="00C50098" w:rsidRDefault="000B15CD" w:rsidP="000B15CD">
            <w:pPr>
              <w:jc w:val="center"/>
              <w:rPr>
                <w:rFonts w:ascii="Arial" w:hAnsi="Arial" w:cs="Arial"/>
                <w:sz w:val="16"/>
                <w:szCs w:val="16"/>
              </w:rPr>
            </w:pPr>
            <w:r w:rsidRPr="00C50098">
              <w:rPr>
                <w:rFonts w:ascii="Arial" w:hAnsi="Arial" w:cs="Arial"/>
                <w:sz w:val="16"/>
                <w:szCs w:val="16"/>
              </w:rPr>
              <w:t>100</w:t>
            </w:r>
          </w:p>
        </w:tc>
        <w:tc>
          <w:tcPr>
            <w:tcW w:w="567" w:type="dxa"/>
            <w:tcBorders>
              <w:top w:val="single" w:sz="4" w:space="0" w:color="auto"/>
              <w:left w:val="single" w:sz="4" w:space="0" w:color="auto"/>
              <w:bottom w:val="single" w:sz="4" w:space="0" w:color="auto"/>
              <w:right w:val="single" w:sz="4" w:space="0" w:color="auto"/>
            </w:tcBorders>
            <w:vAlign w:val="center"/>
            <w:hideMark/>
          </w:tcPr>
          <w:p w:rsidR="000B15CD" w:rsidRPr="00C50098" w:rsidRDefault="000B15CD" w:rsidP="000B15CD">
            <w:pPr>
              <w:jc w:val="center"/>
              <w:rPr>
                <w:rFonts w:ascii="Arial" w:hAnsi="Arial" w:cs="Arial"/>
                <w:sz w:val="16"/>
                <w:szCs w:val="16"/>
              </w:rPr>
            </w:pPr>
            <w:r w:rsidRPr="00C50098">
              <w:rPr>
                <w:rFonts w:ascii="Arial" w:hAnsi="Arial" w:cs="Arial"/>
                <w:sz w:val="16"/>
                <w:szCs w:val="16"/>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5CD" w:rsidRPr="00C50098" w:rsidRDefault="000B15CD" w:rsidP="000B15CD">
            <w:pPr>
              <w:jc w:val="center"/>
              <w:rPr>
                <w:rFonts w:ascii="Arial" w:hAnsi="Arial" w:cs="Arial"/>
                <w:sz w:val="16"/>
                <w:szCs w:val="16"/>
              </w:rPr>
            </w:pPr>
            <w:r w:rsidRPr="00C50098">
              <w:rPr>
                <w:rFonts w:ascii="Arial" w:hAnsi="Arial" w:cs="Arial"/>
                <w:sz w:val="16"/>
                <w:szCs w:val="16"/>
              </w:rPr>
              <w:t>10</w:t>
            </w:r>
          </w:p>
        </w:tc>
      </w:tr>
      <w:tr w:rsidR="000B15CD" w:rsidRPr="00C50098" w:rsidTr="000B15CD">
        <w:trPr>
          <w:trHeight w:val="283"/>
          <w:jc w:val="center"/>
        </w:trPr>
        <w:tc>
          <w:tcPr>
            <w:tcW w:w="784" w:type="dxa"/>
            <w:tcBorders>
              <w:top w:val="single" w:sz="4" w:space="0" w:color="auto"/>
              <w:left w:val="single" w:sz="4" w:space="0" w:color="auto"/>
              <w:bottom w:val="single" w:sz="4" w:space="0" w:color="auto"/>
              <w:right w:val="single" w:sz="4" w:space="0" w:color="auto"/>
            </w:tcBorders>
            <w:noWrap/>
            <w:vAlign w:val="center"/>
            <w:hideMark/>
          </w:tcPr>
          <w:p w:rsidR="000B15CD" w:rsidRPr="00C50098" w:rsidRDefault="000B15CD" w:rsidP="000B15CD">
            <w:pPr>
              <w:jc w:val="center"/>
              <w:rPr>
                <w:rFonts w:ascii="Arial" w:hAnsi="Arial" w:cs="Arial"/>
                <w:sz w:val="16"/>
                <w:szCs w:val="16"/>
              </w:rPr>
            </w:pPr>
            <w:r w:rsidRPr="00C50098">
              <w:rPr>
                <w:rFonts w:ascii="Arial" w:hAnsi="Arial" w:cs="Arial"/>
                <w:sz w:val="16"/>
                <w:szCs w:val="16"/>
              </w:rPr>
              <w:t>17</w:t>
            </w:r>
          </w:p>
        </w:tc>
        <w:tc>
          <w:tcPr>
            <w:tcW w:w="2742" w:type="dxa"/>
            <w:tcBorders>
              <w:top w:val="single" w:sz="4" w:space="0" w:color="auto"/>
              <w:left w:val="single" w:sz="4" w:space="0" w:color="auto"/>
              <w:bottom w:val="single" w:sz="4" w:space="0" w:color="auto"/>
              <w:right w:val="single" w:sz="4" w:space="0" w:color="auto"/>
            </w:tcBorders>
            <w:vAlign w:val="center"/>
            <w:hideMark/>
          </w:tcPr>
          <w:p w:rsidR="000B15CD" w:rsidRPr="00C50098" w:rsidRDefault="000B15CD" w:rsidP="000B15CD">
            <w:pPr>
              <w:rPr>
                <w:rFonts w:ascii="Arial" w:hAnsi="Arial" w:cs="Arial"/>
                <w:sz w:val="16"/>
                <w:szCs w:val="16"/>
              </w:rPr>
            </w:pPr>
            <w:r w:rsidRPr="00C50098">
              <w:rPr>
                <w:rFonts w:ascii="Arial" w:hAnsi="Arial" w:cs="Arial"/>
                <w:sz w:val="16"/>
                <w:szCs w:val="16"/>
              </w:rPr>
              <w:t>Secretaría de Movilidad</w:t>
            </w:r>
          </w:p>
        </w:tc>
        <w:tc>
          <w:tcPr>
            <w:tcW w:w="660" w:type="dxa"/>
            <w:tcBorders>
              <w:top w:val="single" w:sz="4" w:space="0" w:color="auto"/>
              <w:left w:val="single" w:sz="4" w:space="0" w:color="auto"/>
              <w:bottom w:val="single" w:sz="4" w:space="0" w:color="auto"/>
              <w:right w:val="single" w:sz="4" w:space="0" w:color="auto"/>
            </w:tcBorders>
            <w:vAlign w:val="center"/>
            <w:hideMark/>
          </w:tcPr>
          <w:p w:rsidR="000B15CD" w:rsidRPr="00C50098" w:rsidRDefault="000B15CD" w:rsidP="000B15CD">
            <w:pPr>
              <w:jc w:val="center"/>
              <w:rPr>
                <w:rFonts w:ascii="Arial" w:hAnsi="Arial" w:cs="Arial"/>
                <w:sz w:val="16"/>
                <w:szCs w:val="16"/>
              </w:rPr>
            </w:pPr>
            <w:r w:rsidRPr="00C50098">
              <w:rPr>
                <w:rFonts w:ascii="Arial" w:hAnsi="Arial" w:cs="Arial"/>
                <w:sz w:val="16"/>
                <w:szCs w:val="16"/>
              </w:rPr>
              <w:t>1</w:t>
            </w:r>
          </w:p>
        </w:tc>
        <w:tc>
          <w:tcPr>
            <w:tcW w:w="1313" w:type="dxa"/>
            <w:tcBorders>
              <w:top w:val="single" w:sz="4" w:space="0" w:color="auto"/>
              <w:left w:val="single" w:sz="4" w:space="0" w:color="auto"/>
              <w:bottom w:val="single" w:sz="4" w:space="0" w:color="auto"/>
              <w:right w:val="single" w:sz="4" w:space="0" w:color="auto"/>
            </w:tcBorders>
            <w:vAlign w:val="center"/>
          </w:tcPr>
          <w:p w:rsidR="000B15CD" w:rsidRPr="000B15CD" w:rsidRDefault="000B15CD" w:rsidP="000B15CD">
            <w:pPr>
              <w:jc w:val="right"/>
              <w:rPr>
                <w:rFonts w:ascii="Arial" w:hAnsi="Arial" w:cs="Arial"/>
                <w:sz w:val="16"/>
                <w:szCs w:val="16"/>
              </w:rPr>
            </w:pPr>
            <w:r w:rsidRPr="000B15CD">
              <w:rPr>
                <w:rFonts w:ascii="Arial" w:hAnsi="Arial" w:cs="Arial"/>
                <w:sz w:val="16"/>
                <w:szCs w:val="16"/>
              </w:rPr>
              <w:t>58,707,250</w:t>
            </w:r>
          </w:p>
        </w:tc>
        <w:tc>
          <w:tcPr>
            <w:tcW w:w="1097" w:type="dxa"/>
            <w:tcBorders>
              <w:top w:val="single" w:sz="4" w:space="0" w:color="auto"/>
              <w:left w:val="single" w:sz="4" w:space="0" w:color="auto"/>
              <w:bottom w:val="single" w:sz="4" w:space="0" w:color="auto"/>
              <w:right w:val="single" w:sz="4" w:space="0" w:color="auto"/>
            </w:tcBorders>
            <w:vAlign w:val="center"/>
            <w:hideMark/>
          </w:tcPr>
          <w:p w:rsidR="000B15CD" w:rsidRPr="00C50098" w:rsidRDefault="000B15CD" w:rsidP="000B15CD">
            <w:pPr>
              <w:jc w:val="center"/>
              <w:rPr>
                <w:rFonts w:ascii="Arial" w:hAnsi="Arial" w:cs="Arial"/>
                <w:sz w:val="16"/>
                <w:szCs w:val="16"/>
              </w:rPr>
            </w:pPr>
            <w:r w:rsidRPr="00C50098">
              <w:rPr>
                <w:rFonts w:ascii="Arial" w:hAnsi="Arial" w:cs="Arial"/>
                <w:sz w:val="16"/>
                <w:szCs w:val="16"/>
              </w:rPr>
              <w:t>100</w:t>
            </w:r>
          </w:p>
        </w:tc>
        <w:tc>
          <w:tcPr>
            <w:tcW w:w="567" w:type="dxa"/>
            <w:tcBorders>
              <w:top w:val="single" w:sz="4" w:space="0" w:color="auto"/>
              <w:left w:val="single" w:sz="4" w:space="0" w:color="auto"/>
              <w:bottom w:val="single" w:sz="4" w:space="0" w:color="auto"/>
              <w:right w:val="single" w:sz="4" w:space="0" w:color="auto"/>
            </w:tcBorders>
            <w:vAlign w:val="center"/>
            <w:hideMark/>
          </w:tcPr>
          <w:p w:rsidR="000B15CD" w:rsidRPr="00C50098" w:rsidRDefault="000B15CD" w:rsidP="000B15CD">
            <w:pPr>
              <w:jc w:val="center"/>
              <w:rPr>
                <w:rFonts w:ascii="Arial" w:hAnsi="Arial" w:cs="Arial"/>
                <w:sz w:val="16"/>
                <w:szCs w:val="16"/>
              </w:rPr>
            </w:pPr>
            <w:r w:rsidRPr="00C50098">
              <w:rPr>
                <w:rFonts w:ascii="Arial" w:hAnsi="Arial" w:cs="Arial"/>
                <w:sz w:val="16"/>
                <w:szCs w:val="16"/>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5CD" w:rsidRPr="00C50098" w:rsidRDefault="000B15CD" w:rsidP="000B15CD">
            <w:pPr>
              <w:jc w:val="center"/>
              <w:rPr>
                <w:rFonts w:ascii="Arial" w:hAnsi="Arial" w:cs="Arial"/>
                <w:sz w:val="16"/>
                <w:szCs w:val="16"/>
              </w:rPr>
            </w:pPr>
            <w:r w:rsidRPr="00C50098">
              <w:rPr>
                <w:rFonts w:ascii="Arial" w:hAnsi="Arial" w:cs="Arial"/>
                <w:sz w:val="16"/>
                <w:szCs w:val="16"/>
              </w:rPr>
              <w:t>18</w:t>
            </w:r>
          </w:p>
        </w:tc>
      </w:tr>
      <w:tr w:rsidR="000B15CD" w:rsidRPr="00C50098" w:rsidTr="000B15CD">
        <w:trPr>
          <w:trHeight w:val="283"/>
          <w:jc w:val="center"/>
        </w:trPr>
        <w:tc>
          <w:tcPr>
            <w:tcW w:w="784" w:type="dxa"/>
            <w:tcBorders>
              <w:top w:val="single" w:sz="4" w:space="0" w:color="auto"/>
              <w:left w:val="single" w:sz="4" w:space="0" w:color="auto"/>
              <w:bottom w:val="single" w:sz="4" w:space="0" w:color="auto"/>
              <w:right w:val="single" w:sz="4" w:space="0" w:color="auto"/>
            </w:tcBorders>
            <w:noWrap/>
            <w:vAlign w:val="center"/>
            <w:hideMark/>
          </w:tcPr>
          <w:p w:rsidR="000B15CD" w:rsidRPr="00C50098" w:rsidRDefault="000B15CD" w:rsidP="000B15CD">
            <w:pPr>
              <w:jc w:val="center"/>
              <w:rPr>
                <w:rFonts w:ascii="Arial" w:hAnsi="Arial" w:cs="Arial"/>
                <w:sz w:val="16"/>
                <w:szCs w:val="16"/>
              </w:rPr>
            </w:pPr>
            <w:r w:rsidRPr="00C50098">
              <w:rPr>
                <w:rFonts w:ascii="Arial" w:hAnsi="Arial" w:cs="Arial"/>
                <w:sz w:val="16"/>
                <w:szCs w:val="16"/>
              </w:rPr>
              <w:t>18</w:t>
            </w:r>
          </w:p>
        </w:tc>
        <w:tc>
          <w:tcPr>
            <w:tcW w:w="2742" w:type="dxa"/>
            <w:tcBorders>
              <w:top w:val="single" w:sz="4" w:space="0" w:color="auto"/>
              <w:left w:val="single" w:sz="4" w:space="0" w:color="auto"/>
              <w:bottom w:val="single" w:sz="4" w:space="0" w:color="auto"/>
              <w:right w:val="single" w:sz="4" w:space="0" w:color="auto"/>
            </w:tcBorders>
            <w:vAlign w:val="center"/>
            <w:hideMark/>
          </w:tcPr>
          <w:p w:rsidR="000B15CD" w:rsidRPr="00C50098" w:rsidRDefault="000B15CD" w:rsidP="000B15CD">
            <w:pPr>
              <w:rPr>
                <w:rFonts w:ascii="Arial" w:hAnsi="Arial" w:cs="Arial"/>
                <w:sz w:val="16"/>
                <w:szCs w:val="16"/>
              </w:rPr>
            </w:pPr>
            <w:r w:rsidRPr="00C50098">
              <w:rPr>
                <w:rFonts w:ascii="Arial" w:hAnsi="Arial" w:cs="Arial"/>
                <w:sz w:val="16"/>
                <w:szCs w:val="16"/>
              </w:rPr>
              <w:t>Consejería Jurídica</w:t>
            </w:r>
          </w:p>
        </w:tc>
        <w:tc>
          <w:tcPr>
            <w:tcW w:w="660" w:type="dxa"/>
            <w:tcBorders>
              <w:top w:val="single" w:sz="4" w:space="0" w:color="auto"/>
              <w:left w:val="single" w:sz="4" w:space="0" w:color="auto"/>
              <w:bottom w:val="single" w:sz="4" w:space="0" w:color="auto"/>
              <w:right w:val="single" w:sz="4" w:space="0" w:color="auto"/>
            </w:tcBorders>
            <w:vAlign w:val="center"/>
            <w:hideMark/>
          </w:tcPr>
          <w:p w:rsidR="000B15CD" w:rsidRPr="00C50098" w:rsidRDefault="000B15CD" w:rsidP="000B15CD">
            <w:pPr>
              <w:jc w:val="center"/>
              <w:rPr>
                <w:rFonts w:ascii="Arial" w:hAnsi="Arial" w:cs="Arial"/>
                <w:sz w:val="16"/>
                <w:szCs w:val="16"/>
              </w:rPr>
            </w:pPr>
            <w:r w:rsidRPr="00C50098">
              <w:rPr>
                <w:rFonts w:ascii="Arial" w:hAnsi="Arial" w:cs="Arial"/>
                <w:sz w:val="16"/>
                <w:szCs w:val="16"/>
              </w:rPr>
              <w:t>1</w:t>
            </w:r>
          </w:p>
        </w:tc>
        <w:tc>
          <w:tcPr>
            <w:tcW w:w="1313" w:type="dxa"/>
            <w:tcBorders>
              <w:top w:val="single" w:sz="4" w:space="0" w:color="auto"/>
              <w:left w:val="single" w:sz="4" w:space="0" w:color="auto"/>
              <w:bottom w:val="single" w:sz="4" w:space="0" w:color="auto"/>
              <w:right w:val="single" w:sz="4" w:space="0" w:color="auto"/>
            </w:tcBorders>
            <w:vAlign w:val="center"/>
          </w:tcPr>
          <w:p w:rsidR="000B15CD" w:rsidRPr="000B15CD" w:rsidRDefault="000B15CD" w:rsidP="000B15CD">
            <w:pPr>
              <w:jc w:val="right"/>
              <w:rPr>
                <w:rFonts w:ascii="Arial" w:hAnsi="Arial" w:cs="Arial"/>
                <w:sz w:val="16"/>
                <w:szCs w:val="16"/>
              </w:rPr>
            </w:pPr>
            <w:r w:rsidRPr="000B15CD">
              <w:rPr>
                <w:rFonts w:ascii="Arial" w:hAnsi="Arial" w:cs="Arial"/>
                <w:sz w:val="16"/>
                <w:szCs w:val="16"/>
              </w:rPr>
              <w:t>39,993,151</w:t>
            </w:r>
          </w:p>
        </w:tc>
        <w:tc>
          <w:tcPr>
            <w:tcW w:w="1097" w:type="dxa"/>
            <w:tcBorders>
              <w:top w:val="single" w:sz="4" w:space="0" w:color="auto"/>
              <w:left w:val="single" w:sz="4" w:space="0" w:color="auto"/>
              <w:bottom w:val="single" w:sz="4" w:space="0" w:color="auto"/>
              <w:right w:val="single" w:sz="4" w:space="0" w:color="auto"/>
            </w:tcBorders>
            <w:vAlign w:val="center"/>
            <w:hideMark/>
          </w:tcPr>
          <w:p w:rsidR="000B15CD" w:rsidRPr="00C50098" w:rsidRDefault="000B15CD" w:rsidP="000B15CD">
            <w:pPr>
              <w:jc w:val="center"/>
              <w:rPr>
                <w:rFonts w:ascii="Arial" w:hAnsi="Arial" w:cs="Arial"/>
                <w:sz w:val="16"/>
                <w:szCs w:val="16"/>
              </w:rPr>
            </w:pPr>
            <w:r w:rsidRPr="00C50098">
              <w:rPr>
                <w:rFonts w:ascii="Arial" w:hAnsi="Arial" w:cs="Arial"/>
                <w:sz w:val="16"/>
                <w:szCs w:val="16"/>
              </w:rPr>
              <w:t>100</w:t>
            </w:r>
          </w:p>
        </w:tc>
        <w:tc>
          <w:tcPr>
            <w:tcW w:w="567" w:type="dxa"/>
            <w:tcBorders>
              <w:top w:val="single" w:sz="4" w:space="0" w:color="auto"/>
              <w:left w:val="single" w:sz="4" w:space="0" w:color="auto"/>
              <w:bottom w:val="single" w:sz="4" w:space="0" w:color="auto"/>
              <w:right w:val="single" w:sz="4" w:space="0" w:color="auto"/>
            </w:tcBorders>
            <w:vAlign w:val="center"/>
            <w:hideMark/>
          </w:tcPr>
          <w:p w:rsidR="000B15CD" w:rsidRPr="00C50098" w:rsidRDefault="000B15CD" w:rsidP="000B15CD">
            <w:pPr>
              <w:jc w:val="center"/>
              <w:rPr>
                <w:rFonts w:ascii="Arial" w:hAnsi="Arial" w:cs="Arial"/>
                <w:sz w:val="16"/>
                <w:szCs w:val="16"/>
              </w:rPr>
            </w:pPr>
            <w:r w:rsidRPr="00C50098">
              <w:rPr>
                <w:rFonts w:ascii="Arial" w:hAnsi="Arial" w:cs="Arial"/>
                <w:sz w:val="16"/>
                <w:szCs w:val="16"/>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5CD" w:rsidRPr="00C50098" w:rsidRDefault="000B15CD" w:rsidP="000B15CD">
            <w:pPr>
              <w:jc w:val="center"/>
              <w:rPr>
                <w:rFonts w:ascii="Arial" w:hAnsi="Arial" w:cs="Arial"/>
                <w:sz w:val="16"/>
                <w:szCs w:val="16"/>
              </w:rPr>
            </w:pPr>
            <w:r w:rsidRPr="00C50098">
              <w:rPr>
                <w:rFonts w:ascii="Arial" w:hAnsi="Arial" w:cs="Arial"/>
                <w:sz w:val="16"/>
                <w:szCs w:val="16"/>
              </w:rPr>
              <w:t>22</w:t>
            </w:r>
          </w:p>
        </w:tc>
      </w:tr>
      <w:tr w:rsidR="00906AFB" w:rsidRPr="00C50098" w:rsidTr="000B15CD">
        <w:trPr>
          <w:trHeight w:val="283"/>
          <w:jc w:val="center"/>
        </w:trPr>
        <w:tc>
          <w:tcPr>
            <w:tcW w:w="784" w:type="dxa"/>
            <w:tcBorders>
              <w:top w:val="single" w:sz="4" w:space="0" w:color="auto"/>
              <w:left w:val="single" w:sz="4" w:space="0" w:color="auto"/>
              <w:bottom w:val="single" w:sz="4" w:space="0" w:color="auto"/>
              <w:right w:val="single" w:sz="4" w:space="0" w:color="auto"/>
            </w:tcBorders>
            <w:noWrap/>
            <w:vAlign w:val="center"/>
            <w:hideMark/>
          </w:tcPr>
          <w:p w:rsidR="00906AFB" w:rsidRPr="00C50098" w:rsidRDefault="00906AFB" w:rsidP="00906AFB">
            <w:pPr>
              <w:spacing w:before="120" w:after="120" w:line="360" w:lineRule="auto"/>
              <w:jc w:val="both"/>
              <w:rPr>
                <w:rFonts w:ascii="Arial" w:hAnsi="Arial" w:cs="Arial"/>
                <w:sz w:val="16"/>
                <w:szCs w:val="16"/>
              </w:rPr>
            </w:pPr>
          </w:p>
        </w:tc>
        <w:tc>
          <w:tcPr>
            <w:tcW w:w="2742"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rPr>
                <w:rFonts w:ascii="Arial" w:hAnsi="Arial" w:cs="Arial"/>
                <w:b/>
                <w:bCs/>
                <w:sz w:val="16"/>
                <w:szCs w:val="16"/>
              </w:rPr>
            </w:pPr>
            <w:r w:rsidRPr="00C50098">
              <w:rPr>
                <w:rFonts w:ascii="Arial" w:hAnsi="Arial" w:cs="Arial"/>
                <w:b/>
                <w:bCs/>
                <w:sz w:val="16"/>
                <w:szCs w:val="16"/>
              </w:rPr>
              <w:t>Poder Legislativo</w:t>
            </w:r>
          </w:p>
        </w:tc>
        <w:tc>
          <w:tcPr>
            <w:tcW w:w="660"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spacing w:before="120" w:after="120" w:line="360" w:lineRule="auto"/>
              <w:jc w:val="both"/>
              <w:rPr>
                <w:rFonts w:ascii="Arial" w:hAnsi="Arial" w:cs="Arial"/>
                <w:b/>
                <w:bCs/>
                <w:sz w:val="16"/>
                <w:szCs w:val="16"/>
              </w:rPr>
            </w:pPr>
          </w:p>
        </w:tc>
        <w:tc>
          <w:tcPr>
            <w:tcW w:w="1313"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0B15CD">
            <w:pPr>
              <w:jc w:val="right"/>
              <w:rPr>
                <w:sz w:val="16"/>
                <w:szCs w:val="16"/>
              </w:rPr>
            </w:pPr>
          </w:p>
        </w:tc>
        <w:tc>
          <w:tcPr>
            <w:tcW w:w="1097"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rPr>
                <w:sz w:val="16"/>
                <w:szCs w:val="16"/>
              </w:rPr>
            </w:pPr>
          </w:p>
        </w:tc>
      </w:tr>
      <w:tr w:rsidR="00906AFB" w:rsidRPr="00C50098" w:rsidTr="000B15CD">
        <w:trPr>
          <w:trHeight w:val="283"/>
          <w:jc w:val="center"/>
        </w:trPr>
        <w:tc>
          <w:tcPr>
            <w:tcW w:w="784" w:type="dxa"/>
            <w:tcBorders>
              <w:top w:val="single" w:sz="4" w:space="0" w:color="auto"/>
              <w:left w:val="single" w:sz="4" w:space="0" w:color="auto"/>
              <w:bottom w:val="single" w:sz="4" w:space="0" w:color="auto"/>
              <w:right w:val="single" w:sz="4" w:space="0" w:color="auto"/>
            </w:tcBorders>
            <w:noWrap/>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41201</w:t>
            </w:r>
          </w:p>
        </w:tc>
        <w:tc>
          <w:tcPr>
            <w:tcW w:w="2742"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rPr>
                <w:rFonts w:ascii="Arial" w:hAnsi="Arial" w:cs="Arial"/>
                <w:sz w:val="16"/>
                <w:szCs w:val="16"/>
              </w:rPr>
            </w:pPr>
            <w:r w:rsidRPr="00C50098">
              <w:rPr>
                <w:rFonts w:ascii="Arial" w:hAnsi="Arial" w:cs="Arial"/>
                <w:sz w:val="16"/>
                <w:szCs w:val="16"/>
              </w:rPr>
              <w:t>H. Congreso del Estado de Colima</w:t>
            </w:r>
          </w:p>
        </w:tc>
        <w:tc>
          <w:tcPr>
            <w:tcW w:w="660"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1</w:t>
            </w:r>
          </w:p>
        </w:tc>
        <w:tc>
          <w:tcPr>
            <w:tcW w:w="1313"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0B15CD">
            <w:pPr>
              <w:jc w:val="right"/>
              <w:rPr>
                <w:rFonts w:ascii="Arial" w:hAnsi="Arial" w:cs="Arial"/>
                <w:sz w:val="16"/>
                <w:szCs w:val="16"/>
              </w:rPr>
            </w:pPr>
            <w:r w:rsidRPr="00C50098">
              <w:rPr>
                <w:rFonts w:ascii="Arial" w:hAnsi="Arial" w:cs="Arial"/>
                <w:sz w:val="16"/>
                <w:szCs w:val="16"/>
              </w:rPr>
              <w:t>93,280,000</w:t>
            </w:r>
          </w:p>
        </w:tc>
        <w:tc>
          <w:tcPr>
            <w:tcW w:w="1097"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100</w:t>
            </w:r>
          </w:p>
        </w:tc>
        <w:tc>
          <w:tcPr>
            <w:tcW w:w="567"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5</w:t>
            </w:r>
          </w:p>
        </w:tc>
      </w:tr>
      <w:tr w:rsidR="00906AFB" w:rsidRPr="00C50098" w:rsidTr="000B15CD">
        <w:trPr>
          <w:trHeight w:val="283"/>
          <w:jc w:val="center"/>
        </w:trPr>
        <w:tc>
          <w:tcPr>
            <w:tcW w:w="784" w:type="dxa"/>
            <w:tcBorders>
              <w:top w:val="single" w:sz="4" w:space="0" w:color="auto"/>
              <w:left w:val="single" w:sz="4" w:space="0" w:color="auto"/>
              <w:bottom w:val="single" w:sz="4" w:space="0" w:color="auto"/>
              <w:right w:val="single" w:sz="4" w:space="0" w:color="auto"/>
            </w:tcBorders>
            <w:noWrap/>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41203</w:t>
            </w:r>
          </w:p>
        </w:tc>
        <w:tc>
          <w:tcPr>
            <w:tcW w:w="2742"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rPr>
                <w:rFonts w:ascii="Arial" w:hAnsi="Arial" w:cs="Arial"/>
                <w:sz w:val="16"/>
                <w:szCs w:val="16"/>
              </w:rPr>
            </w:pPr>
            <w:r w:rsidRPr="00C50098">
              <w:rPr>
                <w:rFonts w:ascii="Arial" w:hAnsi="Arial" w:cs="Arial"/>
                <w:sz w:val="16"/>
                <w:szCs w:val="16"/>
              </w:rPr>
              <w:t xml:space="preserve">Órgano Superior de Auditoría y Fiscalización </w:t>
            </w:r>
          </w:p>
        </w:tc>
        <w:tc>
          <w:tcPr>
            <w:tcW w:w="660"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1</w:t>
            </w:r>
          </w:p>
        </w:tc>
        <w:tc>
          <w:tcPr>
            <w:tcW w:w="1313"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0B15CD">
            <w:pPr>
              <w:jc w:val="right"/>
              <w:rPr>
                <w:rFonts w:ascii="Arial" w:hAnsi="Arial" w:cs="Arial"/>
                <w:sz w:val="16"/>
                <w:szCs w:val="16"/>
              </w:rPr>
            </w:pPr>
            <w:r w:rsidRPr="00C50098">
              <w:rPr>
                <w:rFonts w:ascii="Arial" w:hAnsi="Arial" w:cs="Arial"/>
                <w:sz w:val="16"/>
                <w:szCs w:val="16"/>
              </w:rPr>
              <w:t>30,000,000</w:t>
            </w:r>
          </w:p>
        </w:tc>
        <w:tc>
          <w:tcPr>
            <w:tcW w:w="1097"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100</w:t>
            </w:r>
          </w:p>
        </w:tc>
        <w:tc>
          <w:tcPr>
            <w:tcW w:w="567"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7</w:t>
            </w:r>
          </w:p>
        </w:tc>
      </w:tr>
      <w:tr w:rsidR="00906AFB" w:rsidRPr="00C50098" w:rsidTr="000B15CD">
        <w:trPr>
          <w:trHeight w:val="283"/>
          <w:jc w:val="center"/>
        </w:trPr>
        <w:tc>
          <w:tcPr>
            <w:tcW w:w="784" w:type="dxa"/>
            <w:tcBorders>
              <w:top w:val="single" w:sz="4" w:space="0" w:color="auto"/>
              <w:left w:val="single" w:sz="4" w:space="0" w:color="auto"/>
              <w:bottom w:val="single" w:sz="4" w:space="0" w:color="auto"/>
              <w:right w:val="single" w:sz="4" w:space="0" w:color="auto"/>
            </w:tcBorders>
            <w:noWrap/>
            <w:vAlign w:val="center"/>
            <w:hideMark/>
          </w:tcPr>
          <w:p w:rsidR="00906AFB" w:rsidRPr="00C50098" w:rsidRDefault="00906AFB" w:rsidP="00906AFB">
            <w:pPr>
              <w:spacing w:before="120" w:after="120" w:line="360" w:lineRule="auto"/>
              <w:jc w:val="both"/>
              <w:rPr>
                <w:rFonts w:ascii="Arial" w:hAnsi="Arial" w:cs="Arial"/>
                <w:sz w:val="16"/>
                <w:szCs w:val="16"/>
              </w:rPr>
            </w:pPr>
          </w:p>
        </w:tc>
        <w:tc>
          <w:tcPr>
            <w:tcW w:w="2742"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rPr>
                <w:rFonts w:ascii="Arial" w:hAnsi="Arial" w:cs="Arial"/>
                <w:b/>
                <w:bCs/>
                <w:sz w:val="16"/>
                <w:szCs w:val="16"/>
              </w:rPr>
            </w:pPr>
            <w:r w:rsidRPr="00C50098">
              <w:rPr>
                <w:rFonts w:ascii="Arial" w:hAnsi="Arial" w:cs="Arial"/>
                <w:b/>
                <w:bCs/>
                <w:sz w:val="16"/>
                <w:szCs w:val="16"/>
              </w:rPr>
              <w:t>Poder Judicial</w:t>
            </w:r>
          </w:p>
        </w:tc>
        <w:tc>
          <w:tcPr>
            <w:tcW w:w="660"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spacing w:before="120" w:after="120" w:line="360" w:lineRule="auto"/>
              <w:jc w:val="both"/>
              <w:rPr>
                <w:rFonts w:ascii="Arial" w:hAnsi="Arial" w:cs="Arial"/>
                <w:b/>
                <w:bCs/>
                <w:sz w:val="16"/>
                <w:szCs w:val="16"/>
              </w:rPr>
            </w:pPr>
          </w:p>
        </w:tc>
        <w:tc>
          <w:tcPr>
            <w:tcW w:w="1313"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0B15CD">
            <w:pPr>
              <w:jc w:val="right"/>
              <w:rPr>
                <w:sz w:val="16"/>
                <w:szCs w:val="16"/>
              </w:rPr>
            </w:pPr>
          </w:p>
        </w:tc>
        <w:tc>
          <w:tcPr>
            <w:tcW w:w="1097"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rPr>
                <w:sz w:val="16"/>
                <w:szCs w:val="16"/>
              </w:rPr>
            </w:pPr>
          </w:p>
        </w:tc>
      </w:tr>
      <w:tr w:rsidR="00906AFB" w:rsidRPr="00C50098" w:rsidTr="000B15CD">
        <w:trPr>
          <w:trHeight w:val="283"/>
          <w:jc w:val="center"/>
        </w:trPr>
        <w:tc>
          <w:tcPr>
            <w:tcW w:w="784" w:type="dxa"/>
            <w:tcBorders>
              <w:top w:val="single" w:sz="4" w:space="0" w:color="auto"/>
              <w:left w:val="single" w:sz="4" w:space="0" w:color="auto"/>
              <w:bottom w:val="single" w:sz="4" w:space="0" w:color="auto"/>
              <w:right w:val="single" w:sz="4" w:space="0" w:color="auto"/>
            </w:tcBorders>
            <w:noWrap/>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41301</w:t>
            </w:r>
          </w:p>
        </w:tc>
        <w:tc>
          <w:tcPr>
            <w:tcW w:w="2742"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rPr>
                <w:rFonts w:ascii="Arial" w:hAnsi="Arial" w:cs="Arial"/>
                <w:sz w:val="16"/>
                <w:szCs w:val="16"/>
              </w:rPr>
            </w:pPr>
            <w:r w:rsidRPr="00C50098">
              <w:rPr>
                <w:rFonts w:ascii="Arial" w:hAnsi="Arial" w:cs="Arial"/>
                <w:sz w:val="16"/>
                <w:szCs w:val="16"/>
              </w:rPr>
              <w:t>Poder Judicial</w:t>
            </w:r>
          </w:p>
        </w:tc>
        <w:tc>
          <w:tcPr>
            <w:tcW w:w="660"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1</w:t>
            </w:r>
          </w:p>
        </w:tc>
        <w:tc>
          <w:tcPr>
            <w:tcW w:w="1313"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0B15CD">
            <w:pPr>
              <w:jc w:val="right"/>
              <w:rPr>
                <w:rFonts w:ascii="Arial" w:hAnsi="Arial" w:cs="Arial"/>
                <w:sz w:val="16"/>
                <w:szCs w:val="16"/>
              </w:rPr>
            </w:pPr>
            <w:r w:rsidRPr="00C50098">
              <w:rPr>
                <w:rFonts w:ascii="Arial" w:hAnsi="Arial" w:cs="Arial"/>
                <w:sz w:val="16"/>
                <w:szCs w:val="16"/>
              </w:rPr>
              <w:t>185,878,250</w:t>
            </w:r>
          </w:p>
        </w:tc>
        <w:tc>
          <w:tcPr>
            <w:tcW w:w="1097"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100</w:t>
            </w:r>
          </w:p>
        </w:tc>
        <w:tc>
          <w:tcPr>
            <w:tcW w:w="567"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21</w:t>
            </w:r>
          </w:p>
        </w:tc>
      </w:tr>
      <w:tr w:rsidR="00906AFB" w:rsidRPr="00C50098" w:rsidTr="000B15CD">
        <w:trPr>
          <w:trHeight w:val="283"/>
          <w:jc w:val="center"/>
        </w:trPr>
        <w:tc>
          <w:tcPr>
            <w:tcW w:w="784" w:type="dxa"/>
            <w:tcBorders>
              <w:top w:val="single" w:sz="4" w:space="0" w:color="auto"/>
              <w:left w:val="single" w:sz="4" w:space="0" w:color="auto"/>
              <w:bottom w:val="single" w:sz="4" w:space="0" w:color="auto"/>
              <w:right w:val="single" w:sz="4" w:space="0" w:color="auto"/>
            </w:tcBorders>
            <w:noWrap/>
            <w:vAlign w:val="center"/>
            <w:hideMark/>
          </w:tcPr>
          <w:p w:rsidR="00906AFB" w:rsidRPr="00C50098" w:rsidRDefault="00906AFB" w:rsidP="00906AFB">
            <w:pPr>
              <w:spacing w:before="120" w:after="120" w:line="360" w:lineRule="auto"/>
              <w:jc w:val="both"/>
              <w:rPr>
                <w:rFonts w:ascii="Arial" w:hAnsi="Arial" w:cs="Arial"/>
                <w:sz w:val="16"/>
                <w:szCs w:val="16"/>
              </w:rPr>
            </w:pPr>
          </w:p>
        </w:tc>
        <w:tc>
          <w:tcPr>
            <w:tcW w:w="2742"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rPr>
                <w:rFonts w:ascii="Arial" w:hAnsi="Arial" w:cs="Arial"/>
                <w:b/>
                <w:bCs/>
                <w:sz w:val="16"/>
                <w:szCs w:val="16"/>
              </w:rPr>
            </w:pPr>
            <w:r w:rsidRPr="00C50098">
              <w:rPr>
                <w:rFonts w:ascii="Arial" w:hAnsi="Arial" w:cs="Arial"/>
                <w:b/>
                <w:bCs/>
                <w:sz w:val="16"/>
                <w:szCs w:val="16"/>
              </w:rPr>
              <w:t>Organismos Autónomos</w:t>
            </w:r>
          </w:p>
        </w:tc>
        <w:tc>
          <w:tcPr>
            <w:tcW w:w="660"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spacing w:before="120" w:after="120" w:line="360" w:lineRule="auto"/>
              <w:jc w:val="both"/>
              <w:rPr>
                <w:rFonts w:ascii="Arial" w:hAnsi="Arial" w:cs="Arial"/>
                <w:b/>
                <w:bCs/>
                <w:sz w:val="16"/>
                <w:szCs w:val="16"/>
              </w:rPr>
            </w:pPr>
          </w:p>
        </w:tc>
        <w:tc>
          <w:tcPr>
            <w:tcW w:w="1313"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0B15CD">
            <w:pPr>
              <w:jc w:val="right"/>
              <w:rPr>
                <w:sz w:val="16"/>
                <w:szCs w:val="16"/>
              </w:rPr>
            </w:pPr>
          </w:p>
        </w:tc>
        <w:tc>
          <w:tcPr>
            <w:tcW w:w="1097"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rPr>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rPr>
                <w:sz w:val="16"/>
                <w:szCs w:val="16"/>
              </w:rPr>
            </w:pPr>
          </w:p>
        </w:tc>
      </w:tr>
      <w:tr w:rsidR="00906AFB" w:rsidRPr="00C50098" w:rsidTr="000B15CD">
        <w:trPr>
          <w:trHeight w:val="283"/>
          <w:jc w:val="center"/>
        </w:trPr>
        <w:tc>
          <w:tcPr>
            <w:tcW w:w="784" w:type="dxa"/>
            <w:tcBorders>
              <w:top w:val="single" w:sz="4" w:space="0" w:color="auto"/>
              <w:left w:val="single" w:sz="4" w:space="0" w:color="auto"/>
              <w:bottom w:val="single" w:sz="4" w:space="0" w:color="auto"/>
              <w:right w:val="single" w:sz="4" w:space="0" w:color="auto"/>
            </w:tcBorders>
            <w:noWrap/>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41401</w:t>
            </w:r>
          </w:p>
        </w:tc>
        <w:tc>
          <w:tcPr>
            <w:tcW w:w="2742"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rPr>
                <w:rFonts w:ascii="Arial" w:hAnsi="Arial" w:cs="Arial"/>
                <w:sz w:val="16"/>
                <w:szCs w:val="16"/>
              </w:rPr>
            </w:pPr>
            <w:r w:rsidRPr="00C50098">
              <w:rPr>
                <w:rFonts w:ascii="Arial" w:hAnsi="Arial" w:cs="Arial"/>
                <w:sz w:val="16"/>
                <w:szCs w:val="16"/>
              </w:rPr>
              <w:t>Universidad de Colima</w:t>
            </w:r>
          </w:p>
        </w:tc>
        <w:tc>
          <w:tcPr>
            <w:tcW w:w="660"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1</w:t>
            </w:r>
          </w:p>
        </w:tc>
        <w:tc>
          <w:tcPr>
            <w:tcW w:w="1313"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0B15CD">
            <w:pPr>
              <w:jc w:val="right"/>
              <w:rPr>
                <w:rFonts w:ascii="Arial" w:hAnsi="Arial" w:cs="Arial"/>
                <w:sz w:val="16"/>
                <w:szCs w:val="16"/>
              </w:rPr>
            </w:pPr>
            <w:r w:rsidRPr="00C50098">
              <w:rPr>
                <w:rFonts w:ascii="Arial" w:hAnsi="Arial" w:cs="Arial"/>
                <w:sz w:val="16"/>
                <w:szCs w:val="16"/>
              </w:rPr>
              <w:t>251,605,272</w:t>
            </w:r>
          </w:p>
        </w:tc>
        <w:tc>
          <w:tcPr>
            <w:tcW w:w="1097"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100</w:t>
            </w:r>
          </w:p>
        </w:tc>
        <w:tc>
          <w:tcPr>
            <w:tcW w:w="567"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20</w:t>
            </w:r>
          </w:p>
        </w:tc>
      </w:tr>
      <w:tr w:rsidR="00906AFB" w:rsidRPr="00C50098" w:rsidTr="000B15CD">
        <w:trPr>
          <w:trHeight w:val="283"/>
          <w:jc w:val="center"/>
        </w:trPr>
        <w:tc>
          <w:tcPr>
            <w:tcW w:w="784" w:type="dxa"/>
            <w:tcBorders>
              <w:top w:val="single" w:sz="4" w:space="0" w:color="auto"/>
              <w:left w:val="single" w:sz="4" w:space="0" w:color="auto"/>
              <w:bottom w:val="single" w:sz="4" w:space="0" w:color="auto"/>
              <w:right w:val="single" w:sz="4" w:space="0" w:color="auto"/>
            </w:tcBorders>
            <w:noWrap/>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41402</w:t>
            </w:r>
          </w:p>
        </w:tc>
        <w:tc>
          <w:tcPr>
            <w:tcW w:w="2742"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rPr>
                <w:rFonts w:ascii="Arial" w:hAnsi="Arial" w:cs="Arial"/>
                <w:sz w:val="16"/>
                <w:szCs w:val="16"/>
              </w:rPr>
            </w:pPr>
            <w:r w:rsidRPr="00C50098">
              <w:rPr>
                <w:rFonts w:ascii="Arial" w:hAnsi="Arial" w:cs="Arial"/>
                <w:sz w:val="16"/>
                <w:szCs w:val="16"/>
              </w:rPr>
              <w:t>Instituto de Transparencia y Acceso a la Información</w:t>
            </w:r>
          </w:p>
        </w:tc>
        <w:tc>
          <w:tcPr>
            <w:tcW w:w="660"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1</w:t>
            </w:r>
          </w:p>
        </w:tc>
        <w:tc>
          <w:tcPr>
            <w:tcW w:w="1313"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0B15CD">
            <w:pPr>
              <w:jc w:val="right"/>
              <w:rPr>
                <w:rFonts w:ascii="Arial" w:hAnsi="Arial" w:cs="Arial"/>
                <w:sz w:val="16"/>
                <w:szCs w:val="16"/>
              </w:rPr>
            </w:pPr>
            <w:r w:rsidRPr="00C50098">
              <w:rPr>
                <w:rFonts w:ascii="Arial" w:hAnsi="Arial" w:cs="Arial"/>
                <w:sz w:val="16"/>
                <w:szCs w:val="16"/>
              </w:rPr>
              <w:t>7,000,000</w:t>
            </w:r>
          </w:p>
        </w:tc>
        <w:tc>
          <w:tcPr>
            <w:tcW w:w="1097"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100</w:t>
            </w:r>
          </w:p>
        </w:tc>
        <w:tc>
          <w:tcPr>
            <w:tcW w:w="567"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4</w:t>
            </w:r>
          </w:p>
        </w:tc>
      </w:tr>
      <w:tr w:rsidR="00906AFB" w:rsidRPr="00C50098" w:rsidTr="000B15CD">
        <w:trPr>
          <w:trHeight w:val="283"/>
          <w:jc w:val="center"/>
        </w:trPr>
        <w:tc>
          <w:tcPr>
            <w:tcW w:w="784" w:type="dxa"/>
            <w:tcBorders>
              <w:top w:val="single" w:sz="4" w:space="0" w:color="auto"/>
              <w:left w:val="single" w:sz="4" w:space="0" w:color="auto"/>
              <w:bottom w:val="single" w:sz="4" w:space="0" w:color="auto"/>
              <w:right w:val="single" w:sz="4" w:space="0" w:color="auto"/>
            </w:tcBorders>
            <w:noWrap/>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41403</w:t>
            </w:r>
          </w:p>
        </w:tc>
        <w:tc>
          <w:tcPr>
            <w:tcW w:w="2742"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rPr>
                <w:rFonts w:ascii="Arial" w:hAnsi="Arial" w:cs="Arial"/>
                <w:sz w:val="16"/>
                <w:szCs w:val="16"/>
              </w:rPr>
            </w:pPr>
            <w:r w:rsidRPr="00C50098">
              <w:rPr>
                <w:rFonts w:ascii="Arial" w:hAnsi="Arial" w:cs="Arial"/>
                <w:sz w:val="16"/>
                <w:szCs w:val="16"/>
              </w:rPr>
              <w:t>Comisión Estatal de los Derechos Humanos</w:t>
            </w:r>
          </w:p>
        </w:tc>
        <w:tc>
          <w:tcPr>
            <w:tcW w:w="660"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1</w:t>
            </w:r>
          </w:p>
        </w:tc>
        <w:tc>
          <w:tcPr>
            <w:tcW w:w="1313"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0B15CD">
            <w:pPr>
              <w:jc w:val="right"/>
              <w:rPr>
                <w:rFonts w:ascii="Arial" w:hAnsi="Arial" w:cs="Arial"/>
                <w:sz w:val="16"/>
                <w:szCs w:val="16"/>
              </w:rPr>
            </w:pPr>
            <w:r w:rsidRPr="00C50098">
              <w:rPr>
                <w:rFonts w:ascii="Arial" w:hAnsi="Arial" w:cs="Arial"/>
                <w:sz w:val="16"/>
                <w:szCs w:val="16"/>
              </w:rPr>
              <w:t>6,878,180</w:t>
            </w:r>
          </w:p>
        </w:tc>
        <w:tc>
          <w:tcPr>
            <w:tcW w:w="1097"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100</w:t>
            </w:r>
          </w:p>
        </w:tc>
        <w:tc>
          <w:tcPr>
            <w:tcW w:w="567"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8</w:t>
            </w:r>
          </w:p>
        </w:tc>
      </w:tr>
      <w:tr w:rsidR="00906AFB" w:rsidRPr="00C50098" w:rsidTr="000B15CD">
        <w:trPr>
          <w:trHeight w:val="283"/>
          <w:jc w:val="center"/>
        </w:trPr>
        <w:tc>
          <w:tcPr>
            <w:tcW w:w="784" w:type="dxa"/>
            <w:tcBorders>
              <w:top w:val="single" w:sz="4" w:space="0" w:color="auto"/>
              <w:left w:val="single" w:sz="4" w:space="0" w:color="auto"/>
              <w:bottom w:val="single" w:sz="4" w:space="0" w:color="auto"/>
              <w:right w:val="single" w:sz="4" w:space="0" w:color="auto"/>
            </w:tcBorders>
            <w:noWrap/>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41404</w:t>
            </w:r>
          </w:p>
        </w:tc>
        <w:tc>
          <w:tcPr>
            <w:tcW w:w="2742"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rPr>
                <w:rFonts w:ascii="Arial" w:hAnsi="Arial" w:cs="Arial"/>
                <w:sz w:val="16"/>
                <w:szCs w:val="16"/>
              </w:rPr>
            </w:pPr>
            <w:r w:rsidRPr="00C50098">
              <w:rPr>
                <w:rFonts w:ascii="Arial" w:hAnsi="Arial" w:cs="Arial"/>
                <w:sz w:val="16"/>
                <w:szCs w:val="16"/>
              </w:rPr>
              <w:t>Tribunal de Arbitraje y Escalafón</w:t>
            </w:r>
          </w:p>
        </w:tc>
        <w:tc>
          <w:tcPr>
            <w:tcW w:w="660"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1</w:t>
            </w:r>
          </w:p>
        </w:tc>
        <w:tc>
          <w:tcPr>
            <w:tcW w:w="1313"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0B15CD">
            <w:pPr>
              <w:jc w:val="right"/>
              <w:rPr>
                <w:rFonts w:ascii="Arial" w:hAnsi="Arial" w:cs="Arial"/>
                <w:sz w:val="16"/>
                <w:szCs w:val="16"/>
              </w:rPr>
            </w:pPr>
            <w:r w:rsidRPr="00C50098">
              <w:rPr>
                <w:rFonts w:ascii="Arial" w:hAnsi="Arial" w:cs="Arial"/>
                <w:sz w:val="16"/>
                <w:szCs w:val="16"/>
              </w:rPr>
              <w:t>4,484,944</w:t>
            </w:r>
          </w:p>
        </w:tc>
        <w:tc>
          <w:tcPr>
            <w:tcW w:w="1097"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100</w:t>
            </w:r>
          </w:p>
        </w:tc>
        <w:tc>
          <w:tcPr>
            <w:tcW w:w="567"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4</w:t>
            </w:r>
          </w:p>
        </w:tc>
      </w:tr>
      <w:tr w:rsidR="00906AFB" w:rsidRPr="00C50098" w:rsidTr="000B15CD">
        <w:trPr>
          <w:trHeight w:val="283"/>
          <w:jc w:val="center"/>
        </w:trPr>
        <w:tc>
          <w:tcPr>
            <w:tcW w:w="784" w:type="dxa"/>
            <w:tcBorders>
              <w:top w:val="single" w:sz="4" w:space="0" w:color="auto"/>
              <w:left w:val="single" w:sz="4" w:space="0" w:color="auto"/>
              <w:bottom w:val="single" w:sz="4" w:space="0" w:color="auto"/>
              <w:right w:val="single" w:sz="4" w:space="0" w:color="auto"/>
            </w:tcBorders>
            <w:noWrap/>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41405</w:t>
            </w:r>
          </w:p>
        </w:tc>
        <w:tc>
          <w:tcPr>
            <w:tcW w:w="2742"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rPr>
                <w:rFonts w:ascii="Arial" w:hAnsi="Arial" w:cs="Arial"/>
                <w:sz w:val="16"/>
                <w:szCs w:val="16"/>
              </w:rPr>
            </w:pPr>
            <w:r w:rsidRPr="00C50098">
              <w:rPr>
                <w:rFonts w:ascii="Arial" w:hAnsi="Arial" w:cs="Arial"/>
                <w:sz w:val="16"/>
                <w:szCs w:val="16"/>
              </w:rPr>
              <w:t>Tribunal de lo Contencioso Administrativo</w:t>
            </w:r>
          </w:p>
        </w:tc>
        <w:tc>
          <w:tcPr>
            <w:tcW w:w="660"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1</w:t>
            </w:r>
          </w:p>
        </w:tc>
        <w:tc>
          <w:tcPr>
            <w:tcW w:w="1313"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0B15CD">
            <w:pPr>
              <w:jc w:val="right"/>
              <w:rPr>
                <w:rFonts w:ascii="Arial" w:hAnsi="Arial" w:cs="Arial"/>
                <w:sz w:val="16"/>
                <w:szCs w:val="16"/>
              </w:rPr>
            </w:pPr>
            <w:r w:rsidRPr="00C50098">
              <w:rPr>
                <w:rFonts w:ascii="Arial" w:hAnsi="Arial" w:cs="Arial"/>
                <w:sz w:val="16"/>
                <w:szCs w:val="16"/>
              </w:rPr>
              <w:t>7,040,350</w:t>
            </w:r>
          </w:p>
        </w:tc>
        <w:tc>
          <w:tcPr>
            <w:tcW w:w="1097"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100</w:t>
            </w:r>
          </w:p>
        </w:tc>
        <w:tc>
          <w:tcPr>
            <w:tcW w:w="567"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5</w:t>
            </w:r>
          </w:p>
        </w:tc>
      </w:tr>
      <w:tr w:rsidR="00906AFB" w:rsidRPr="00C50098" w:rsidTr="000B15CD">
        <w:trPr>
          <w:trHeight w:val="283"/>
          <w:jc w:val="center"/>
        </w:trPr>
        <w:tc>
          <w:tcPr>
            <w:tcW w:w="784" w:type="dxa"/>
            <w:tcBorders>
              <w:top w:val="single" w:sz="4" w:space="0" w:color="auto"/>
              <w:left w:val="single" w:sz="4" w:space="0" w:color="auto"/>
              <w:bottom w:val="single" w:sz="4" w:space="0" w:color="auto"/>
              <w:right w:val="single" w:sz="4" w:space="0" w:color="auto"/>
            </w:tcBorders>
            <w:noWrap/>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41406</w:t>
            </w:r>
          </w:p>
        </w:tc>
        <w:tc>
          <w:tcPr>
            <w:tcW w:w="2742"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rPr>
                <w:rFonts w:ascii="Arial" w:hAnsi="Arial" w:cs="Arial"/>
                <w:sz w:val="16"/>
                <w:szCs w:val="16"/>
              </w:rPr>
            </w:pPr>
            <w:r w:rsidRPr="00C50098">
              <w:rPr>
                <w:rFonts w:ascii="Arial" w:hAnsi="Arial" w:cs="Arial"/>
                <w:sz w:val="16"/>
                <w:szCs w:val="16"/>
              </w:rPr>
              <w:t xml:space="preserve"> Instituto Electoral del Estado </w:t>
            </w:r>
          </w:p>
        </w:tc>
        <w:tc>
          <w:tcPr>
            <w:tcW w:w="660"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1</w:t>
            </w:r>
          </w:p>
        </w:tc>
        <w:tc>
          <w:tcPr>
            <w:tcW w:w="1313"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0B15CD">
            <w:pPr>
              <w:jc w:val="right"/>
              <w:rPr>
                <w:rFonts w:ascii="Arial" w:hAnsi="Arial" w:cs="Arial"/>
                <w:sz w:val="16"/>
                <w:szCs w:val="16"/>
              </w:rPr>
            </w:pPr>
            <w:r w:rsidRPr="00C50098">
              <w:rPr>
                <w:rFonts w:ascii="Arial" w:hAnsi="Arial" w:cs="Arial"/>
                <w:sz w:val="16"/>
                <w:szCs w:val="16"/>
              </w:rPr>
              <w:t>46,903,498</w:t>
            </w:r>
          </w:p>
        </w:tc>
        <w:tc>
          <w:tcPr>
            <w:tcW w:w="1097"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100</w:t>
            </w:r>
          </w:p>
        </w:tc>
        <w:tc>
          <w:tcPr>
            <w:tcW w:w="567"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9</w:t>
            </w:r>
          </w:p>
        </w:tc>
      </w:tr>
      <w:tr w:rsidR="00906AFB" w:rsidRPr="00C50098" w:rsidTr="000B15CD">
        <w:trPr>
          <w:trHeight w:val="283"/>
          <w:jc w:val="center"/>
        </w:trPr>
        <w:tc>
          <w:tcPr>
            <w:tcW w:w="784" w:type="dxa"/>
            <w:tcBorders>
              <w:top w:val="single" w:sz="4" w:space="0" w:color="auto"/>
              <w:left w:val="single" w:sz="4" w:space="0" w:color="auto"/>
              <w:bottom w:val="single" w:sz="4" w:space="0" w:color="auto"/>
              <w:right w:val="single" w:sz="4" w:space="0" w:color="auto"/>
            </w:tcBorders>
            <w:noWrap/>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41407</w:t>
            </w:r>
          </w:p>
        </w:tc>
        <w:tc>
          <w:tcPr>
            <w:tcW w:w="2742"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rPr>
                <w:rFonts w:ascii="Arial" w:hAnsi="Arial" w:cs="Arial"/>
                <w:sz w:val="16"/>
                <w:szCs w:val="16"/>
              </w:rPr>
            </w:pPr>
            <w:r w:rsidRPr="00C50098">
              <w:rPr>
                <w:rFonts w:ascii="Arial" w:hAnsi="Arial" w:cs="Arial"/>
                <w:sz w:val="16"/>
                <w:szCs w:val="16"/>
              </w:rPr>
              <w:t>Tribunal Electoral del Estado</w:t>
            </w:r>
          </w:p>
        </w:tc>
        <w:tc>
          <w:tcPr>
            <w:tcW w:w="660"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1</w:t>
            </w:r>
          </w:p>
        </w:tc>
        <w:tc>
          <w:tcPr>
            <w:tcW w:w="1313"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0B15CD">
            <w:pPr>
              <w:jc w:val="right"/>
              <w:rPr>
                <w:rFonts w:ascii="Arial" w:hAnsi="Arial" w:cs="Arial"/>
                <w:sz w:val="16"/>
                <w:szCs w:val="16"/>
              </w:rPr>
            </w:pPr>
            <w:r w:rsidRPr="00C50098">
              <w:rPr>
                <w:rFonts w:ascii="Arial" w:hAnsi="Arial" w:cs="Arial"/>
                <w:sz w:val="16"/>
                <w:szCs w:val="16"/>
              </w:rPr>
              <w:t>10,500,000</w:t>
            </w:r>
          </w:p>
        </w:tc>
        <w:tc>
          <w:tcPr>
            <w:tcW w:w="1097"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100</w:t>
            </w:r>
          </w:p>
        </w:tc>
        <w:tc>
          <w:tcPr>
            <w:tcW w:w="567"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6</w:t>
            </w:r>
          </w:p>
        </w:tc>
      </w:tr>
      <w:tr w:rsidR="00906AFB" w:rsidRPr="00C50098" w:rsidTr="000B15CD">
        <w:trPr>
          <w:trHeight w:val="283"/>
          <w:jc w:val="center"/>
        </w:trPr>
        <w:tc>
          <w:tcPr>
            <w:tcW w:w="784" w:type="dxa"/>
            <w:tcBorders>
              <w:top w:val="single" w:sz="4" w:space="0" w:color="auto"/>
              <w:left w:val="single" w:sz="4" w:space="0" w:color="auto"/>
              <w:bottom w:val="single" w:sz="4" w:space="0" w:color="auto"/>
              <w:right w:val="single" w:sz="4" w:space="0" w:color="auto"/>
            </w:tcBorders>
            <w:noWrap/>
            <w:vAlign w:val="center"/>
            <w:hideMark/>
          </w:tcPr>
          <w:p w:rsidR="00906AFB" w:rsidRPr="00C50098" w:rsidRDefault="00906AFB" w:rsidP="00906AFB">
            <w:pPr>
              <w:spacing w:before="120" w:after="120" w:line="360" w:lineRule="auto"/>
              <w:jc w:val="both"/>
              <w:rPr>
                <w:rFonts w:ascii="Arial" w:hAnsi="Arial" w:cs="Arial"/>
                <w:sz w:val="16"/>
                <w:szCs w:val="16"/>
              </w:rPr>
            </w:pPr>
          </w:p>
        </w:tc>
        <w:tc>
          <w:tcPr>
            <w:tcW w:w="2742" w:type="dxa"/>
            <w:tcBorders>
              <w:top w:val="single" w:sz="4" w:space="0" w:color="auto"/>
              <w:left w:val="single" w:sz="4" w:space="0" w:color="auto"/>
              <w:bottom w:val="single" w:sz="4" w:space="0" w:color="auto"/>
              <w:right w:val="single" w:sz="4" w:space="0" w:color="auto"/>
            </w:tcBorders>
            <w:noWrap/>
            <w:vAlign w:val="center"/>
            <w:hideMark/>
          </w:tcPr>
          <w:p w:rsidR="00906AFB" w:rsidRPr="00C50098" w:rsidRDefault="00906AFB" w:rsidP="00906AFB">
            <w:pPr>
              <w:rPr>
                <w:rFonts w:ascii="Arial" w:hAnsi="Arial" w:cs="Arial"/>
                <w:b/>
                <w:bCs/>
                <w:sz w:val="16"/>
                <w:szCs w:val="16"/>
              </w:rPr>
            </w:pPr>
            <w:r w:rsidRPr="00C50098">
              <w:rPr>
                <w:rFonts w:ascii="Arial" w:hAnsi="Arial" w:cs="Arial"/>
                <w:b/>
                <w:bCs/>
                <w:sz w:val="16"/>
                <w:szCs w:val="16"/>
              </w:rPr>
              <w:t>Entidades del Estado</w:t>
            </w:r>
          </w:p>
        </w:tc>
        <w:tc>
          <w:tcPr>
            <w:tcW w:w="660" w:type="dxa"/>
            <w:tcBorders>
              <w:top w:val="single" w:sz="4" w:space="0" w:color="auto"/>
              <w:left w:val="single" w:sz="4" w:space="0" w:color="auto"/>
              <w:bottom w:val="single" w:sz="4" w:space="0" w:color="auto"/>
              <w:right w:val="single" w:sz="4" w:space="0" w:color="auto"/>
            </w:tcBorders>
            <w:noWrap/>
            <w:vAlign w:val="center"/>
            <w:hideMark/>
          </w:tcPr>
          <w:p w:rsidR="00906AFB" w:rsidRPr="00C50098" w:rsidRDefault="00906AFB" w:rsidP="00906AFB">
            <w:pPr>
              <w:spacing w:before="120" w:after="120" w:line="360" w:lineRule="auto"/>
              <w:jc w:val="both"/>
              <w:rPr>
                <w:rFonts w:ascii="Arial" w:hAnsi="Arial" w:cs="Arial"/>
                <w:b/>
                <w:bCs/>
                <w:sz w:val="16"/>
                <w:szCs w:val="16"/>
              </w:rPr>
            </w:pPr>
          </w:p>
        </w:tc>
        <w:tc>
          <w:tcPr>
            <w:tcW w:w="1313" w:type="dxa"/>
            <w:tcBorders>
              <w:top w:val="single" w:sz="4" w:space="0" w:color="auto"/>
              <w:left w:val="single" w:sz="4" w:space="0" w:color="auto"/>
              <w:bottom w:val="single" w:sz="4" w:space="0" w:color="auto"/>
              <w:right w:val="single" w:sz="4" w:space="0" w:color="auto"/>
            </w:tcBorders>
            <w:noWrap/>
            <w:vAlign w:val="center"/>
            <w:hideMark/>
          </w:tcPr>
          <w:p w:rsidR="00906AFB" w:rsidRPr="00C50098" w:rsidRDefault="00906AFB" w:rsidP="000B15CD">
            <w:pPr>
              <w:jc w:val="right"/>
              <w:rPr>
                <w:sz w:val="16"/>
                <w:szCs w:val="16"/>
              </w:rPr>
            </w:pPr>
          </w:p>
        </w:tc>
        <w:tc>
          <w:tcPr>
            <w:tcW w:w="1097" w:type="dxa"/>
            <w:tcBorders>
              <w:top w:val="single" w:sz="4" w:space="0" w:color="auto"/>
              <w:left w:val="single" w:sz="4" w:space="0" w:color="auto"/>
              <w:bottom w:val="single" w:sz="4" w:space="0" w:color="auto"/>
              <w:right w:val="single" w:sz="4" w:space="0" w:color="auto"/>
            </w:tcBorders>
            <w:noWrap/>
            <w:vAlign w:val="center"/>
            <w:hideMark/>
          </w:tcPr>
          <w:p w:rsidR="00906AFB" w:rsidRPr="00C50098" w:rsidRDefault="00906AFB" w:rsidP="00906AFB">
            <w:pPr>
              <w:rPr>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906AFB" w:rsidRPr="00C50098" w:rsidRDefault="00906AFB" w:rsidP="00906AFB">
            <w:pPr>
              <w:rPr>
                <w:sz w:val="16"/>
                <w:szCs w:val="16"/>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906AFB" w:rsidRPr="00C50098" w:rsidRDefault="00906AFB" w:rsidP="00906AFB">
            <w:pPr>
              <w:rPr>
                <w:sz w:val="16"/>
                <w:szCs w:val="16"/>
              </w:rPr>
            </w:pPr>
          </w:p>
        </w:tc>
      </w:tr>
      <w:tr w:rsidR="00906AFB" w:rsidRPr="00C50098" w:rsidTr="000B15CD">
        <w:trPr>
          <w:trHeight w:val="283"/>
          <w:jc w:val="center"/>
        </w:trPr>
        <w:tc>
          <w:tcPr>
            <w:tcW w:w="784" w:type="dxa"/>
            <w:tcBorders>
              <w:top w:val="single" w:sz="4" w:space="0" w:color="auto"/>
              <w:left w:val="single" w:sz="4" w:space="0" w:color="auto"/>
              <w:bottom w:val="single" w:sz="4" w:space="0" w:color="auto"/>
              <w:right w:val="single" w:sz="4" w:space="0" w:color="auto"/>
            </w:tcBorders>
            <w:noWrap/>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41109</w:t>
            </w:r>
          </w:p>
        </w:tc>
        <w:tc>
          <w:tcPr>
            <w:tcW w:w="2742" w:type="dxa"/>
            <w:tcBorders>
              <w:top w:val="single" w:sz="4" w:space="0" w:color="auto"/>
              <w:left w:val="single" w:sz="4" w:space="0" w:color="auto"/>
              <w:bottom w:val="single" w:sz="4" w:space="0" w:color="auto"/>
              <w:right w:val="single" w:sz="4" w:space="0" w:color="auto"/>
            </w:tcBorders>
            <w:noWrap/>
            <w:vAlign w:val="center"/>
            <w:hideMark/>
          </w:tcPr>
          <w:p w:rsidR="00906AFB" w:rsidRPr="00C50098" w:rsidRDefault="00906AFB" w:rsidP="00906AFB">
            <w:pPr>
              <w:rPr>
                <w:rFonts w:ascii="Arial" w:hAnsi="Arial" w:cs="Arial"/>
                <w:sz w:val="16"/>
                <w:szCs w:val="16"/>
              </w:rPr>
            </w:pPr>
            <w:r w:rsidRPr="00C50098">
              <w:rPr>
                <w:rFonts w:ascii="Arial" w:hAnsi="Arial" w:cs="Arial"/>
                <w:sz w:val="16"/>
                <w:szCs w:val="16"/>
              </w:rPr>
              <w:t xml:space="preserve"> Modulo Servicios Delegación Colima (SRE)</w:t>
            </w:r>
          </w:p>
        </w:tc>
        <w:tc>
          <w:tcPr>
            <w:tcW w:w="660"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1</w:t>
            </w:r>
          </w:p>
        </w:tc>
        <w:tc>
          <w:tcPr>
            <w:tcW w:w="1313"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0B15CD">
            <w:pPr>
              <w:jc w:val="right"/>
              <w:rPr>
                <w:rFonts w:ascii="Arial" w:hAnsi="Arial" w:cs="Arial"/>
                <w:sz w:val="16"/>
                <w:szCs w:val="16"/>
              </w:rPr>
            </w:pPr>
            <w:r w:rsidRPr="00C50098">
              <w:rPr>
                <w:rFonts w:ascii="Arial" w:hAnsi="Arial" w:cs="Arial"/>
                <w:sz w:val="16"/>
                <w:szCs w:val="16"/>
              </w:rPr>
              <w:t>2,505,600</w:t>
            </w:r>
          </w:p>
        </w:tc>
        <w:tc>
          <w:tcPr>
            <w:tcW w:w="1097"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100</w:t>
            </w:r>
          </w:p>
        </w:tc>
        <w:tc>
          <w:tcPr>
            <w:tcW w:w="567"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20</w:t>
            </w:r>
          </w:p>
        </w:tc>
      </w:tr>
      <w:tr w:rsidR="00906AFB" w:rsidRPr="00C50098" w:rsidTr="000B15CD">
        <w:trPr>
          <w:trHeight w:val="283"/>
          <w:jc w:val="center"/>
        </w:trPr>
        <w:tc>
          <w:tcPr>
            <w:tcW w:w="784" w:type="dxa"/>
            <w:tcBorders>
              <w:top w:val="single" w:sz="4" w:space="0" w:color="auto"/>
              <w:left w:val="single" w:sz="4" w:space="0" w:color="auto"/>
              <w:bottom w:val="single" w:sz="4" w:space="0" w:color="auto"/>
              <w:right w:val="single" w:sz="4" w:space="0" w:color="auto"/>
            </w:tcBorders>
            <w:noWrap/>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41502</w:t>
            </w:r>
          </w:p>
        </w:tc>
        <w:tc>
          <w:tcPr>
            <w:tcW w:w="2742" w:type="dxa"/>
            <w:tcBorders>
              <w:top w:val="single" w:sz="4" w:space="0" w:color="auto"/>
              <w:left w:val="single" w:sz="4" w:space="0" w:color="auto"/>
              <w:bottom w:val="single" w:sz="4" w:space="0" w:color="auto"/>
              <w:right w:val="single" w:sz="4" w:space="0" w:color="auto"/>
            </w:tcBorders>
            <w:noWrap/>
            <w:vAlign w:val="center"/>
            <w:hideMark/>
          </w:tcPr>
          <w:p w:rsidR="00906AFB" w:rsidRPr="00C50098" w:rsidRDefault="00906AFB" w:rsidP="00906AFB">
            <w:pPr>
              <w:rPr>
                <w:rFonts w:ascii="Arial" w:hAnsi="Arial" w:cs="Arial"/>
                <w:sz w:val="16"/>
                <w:szCs w:val="16"/>
              </w:rPr>
            </w:pPr>
            <w:r w:rsidRPr="00C50098">
              <w:rPr>
                <w:rFonts w:ascii="Arial" w:hAnsi="Arial" w:cs="Arial"/>
                <w:sz w:val="16"/>
                <w:szCs w:val="16"/>
              </w:rPr>
              <w:t>Sistema para el DIF</w:t>
            </w:r>
          </w:p>
        </w:tc>
        <w:tc>
          <w:tcPr>
            <w:tcW w:w="660"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1</w:t>
            </w:r>
          </w:p>
        </w:tc>
        <w:tc>
          <w:tcPr>
            <w:tcW w:w="1313"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0B15CD">
            <w:pPr>
              <w:jc w:val="right"/>
              <w:rPr>
                <w:rFonts w:ascii="Arial" w:hAnsi="Arial" w:cs="Arial"/>
                <w:sz w:val="16"/>
                <w:szCs w:val="16"/>
              </w:rPr>
            </w:pPr>
            <w:r w:rsidRPr="00C50098">
              <w:rPr>
                <w:rFonts w:ascii="Arial" w:hAnsi="Arial" w:cs="Arial"/>
                <w:sz w:val="16"/>
                <w:szCs w:val="16"/>
              </w:rPr>
              <w:t>156,000,000</w:t>
            </w:r>
          </w:p>
        </w:tc>
        <w:tc>
          <w:tcPr>
            <w:tcW w:w="1097"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100</w:t>
            </w:r>
          </w:p>
        </w:tc>
        <w:tc>
          <w:tcPr>
            <w:tcW w:w="567"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27</w:t>
            </w:r>
          </w:p>
        </w:tc>
      </w:tr>
      <w:tr w:rsidR="00906AFB" w:rsidRPr="00C50098" w:rsidTr="000B15CD">
        <w:trPr>
          <w:trHeight w:val="283"/>
          <w:jc w:val="center"/>
        </w:trPr>
        <w:tc>
          <w:tcPr>
            <w:tcW w:w="784" w:type="dxa"/>
            <w:tcBorders>
              <w:top w:val="single" w:sz="4" w:space="0" w:color="auto"/>
              <w:left w:val="single" w:sz="4" w:space="0" w:color="auto"/>
              <w:bottom w:val="single" w:sz="4" w:space="0" w:color="auto"/>
              <w:right w:val="single" w:sz="4" w:space="0" w:color="auto"/>
            </w:tcBorders>
            <w:noWrap/>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41503</w:t>
            </w:r>
          </w:p>
        </w:tc>
        <w:tc>
          <w:tcPr>
            <w:tcW w:w="2742" w:type="dxa"/>
            <w:tcBorders>
              <w:top w:val="single" w:sz="4" w:space="0" w:color="auto"/>
              <w:left w:val="single" w:sz="4" w:space="0" w:color="auto"/>
              <w:bottom w:val="single" w:sz="4" w:space="0" w:color="auto"/>
              <w:right w:val="single" w:sz="4" w:space="0" w:color="auto"/>
            </w:tcBorders>
            <w:noWrap/>
            <w:vAlign w:val="center"/>
            <w:hideMark/>
          </w:tcPr>
          <w:p w:rsidR="00906AFB" w:rsidRPr="00C50098" w:rsidRDefault="00906AFB" w:rsidP="00906AFB">
            <w:pPr>
              <w:rPr>
                <w:rFonts w:ascii="Arial" w:hAnsi="Arial" w:cs="Arial"/>
                <w:sz w:val="16"/>
                <w:szCs w:val="16"/>
              </w:rPr>
            </w:pPr>
            <w:r w:rsidRPr="00C50098">
              <w:rPr>
                <w:rFonts w:ascii="Arial" w:hAnsi="Arial" w:cs="Arial"/>
                <w:sz w:val="16"/>
                <w:szCs w:val="16"/>
              </w:rPr>
              <w:t>Instituto Colimense del Deporte</w:t>
            </w:r>
          </w:p>
        </w:tc>
        <w:tc>
          <w:tcPr>
            <w:tcW w:w="660"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1</w:t>
            </w:r>
          </w:p>
        </w:tc>
        <w:tc>
          <w:tcPr>
            <w:tcW w:w="1313"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0B15CD">
            <w:pPr>
              <w:jc w:val="right"/>
              <w:rPr>
                <w:rFonts w:ascii="Arial" w:hAnsi="Arial" w:cs="Arial"/>
                <w:sz w:val="16"/>
                <w:szCs w:val="16"/>
              </w:rPr>
            </w:pPr>
            <w:r w:rsidRPr="00C50098">
              <w:rPr>
                <w:rFonts w:ascii="Arial" w:hAnsi="Arial" w:cs="Arial"/>
                <w:sz w:val="16"/>
                <w:szCs w:val="16"/>
              </w:rPr>
              <w:t>43,702,978</w:t>
            </w:r>
          </w:p>
        </w:tc>
        <w:tc>
          <w:tcPr>
            <w:tcW w:w="1097"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100</w:t>
            </w:r>
          </w:p>
        </w:tc>
        <w:tc>
          <w:tcPr>
            <w:tcW w:w="567"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14</w:t>
            </w:r>
          </w:p>
        </w:tc>
      </w:tr>
      <w:tr w:rsidR="00906AFB" w:rsidRPr="00C50098" w:rsidTr="000B15CD">
        <w:trPr>
          <w:trHeight w:val="283"/>
          <w:jc w:val="center"/>
        </w:trPr>
        <w:tc>
          <w:tcPr>
            <w:tcW w:w="784" w:type="dxa"/>
            <w:tcBorders>
              <w:top w:val="single" w:sz="4" w:space="0" w:color="auto"/>
              <w:left w:val="single" w:sz="4" w:space="0" w:color="auto"/>
              <w:bottom w:val="single" w:sz="4" w:space="0" w:color="auto"/>
              <w:right w:val="single" w:sz="4" w:space="0" w:color="auto"/>
            </w:tcBorders>
            <w:noWrap/>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41504</w:t>
            </w:r>
          </w:p>
        </w:tc>
        <w:tc>
          <w:tcPr>
            <w:tcW w:w="2742" w:type="dxa"/>
            <w:tcBorders>
              <w:top w:val="single" w:sz="4" w:space="0" w:color="auto"/>
              <w:left w:val="single" w:sz="4" w:space="0" w:color="auto"/>
              <w:bottom w:val="single" w:sz="4" w:space="0" w:color="auto"/>
              <w:right w:val="single" w:sz="4" w:space="0" w:color="auto"/>
            </w:tcBorders>
            <w:noWrap/>
            <w:vAlign w:val="center"/>
            <w:hideMark/>
          </w:tcPr>
          <w:p w:rsidR="00906AFB" w:rsidRPr="00C50098" w:rsidRDefault="00906AFB" w:rsidP="00906AFB">
            <w:pPr>
              <w:rPr>
                <w:rFonts w:ascii="Arial" w:hAnsi="Arial" w:cs="Arial"/>
                <w:sz w:val="16"/>
                <w:szCs w:val="16"/>
              </w:rPr>
            </w:pPr>
            <w:r w:rsidRPr="00C50098">
              <w:rPr>
                <w:rFonts w:ascii="Arial" w:hAnsi="Arial" w:cs="Arial"/>
                <w:sz w:val="16"/>
                <w:szCs w:val="16"/>
              </w:rPr>
              <w:t>Consejo de Participación Social del Estado de Colima</w:t>
            </w:r>
          </w:p>
        </w:tc>
        <w:tc>
          <w:tcPr>
            <w:tcW w:w="660"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1</w:t>
            </w:r>
          </w:p>
        </w:tc>
        <w:tc>
          <w:tcPr>
            <w:tcW w:w="1313"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0B15CD">
            <w:pPr>
              <w:jc w:val="right"/>
              <w:rPr>
                <w:rFonts w:ascii="Arial" w:hAnsi="Arial" w:cs="Arial"/>
                <w:sz w:val="16"/>
                <w:szCs w:val="16"/>
              </w:rPr>
            </w:pPr>
            <w:r w:rsidRPr="00C50098">
              <w:rPr>
                <w:rFonts w:ascii="Arial" w:hAnsi="Arial" w:cs="Arial"/>
                <w:sz w:val="16"/>
                <w:szCs w:val="16"/>
              </w:rPr>
              <w:t>823,214</w:t>
            </w:r>
          </w:p>
        </w:tc>
        <w:tc>
          <w:tcPr>
            <w:tcW w:w="1097"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100</w:t>
            </w:r>
          </w:p>
        </w:tc>
        <w:tc>
          <w:tcPr>
            <w:tcW w:w="567"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15</w:t>
            </w:r>
          </w:p>
        </w:tc>
      </w:tr>
      <w:tr w:rsidR="00906AFB" w:rsidRPr="00C50098" w:rsidTr="000B15CD">
        <w:trPr>
          <w:trHeight w:val="283"/>
          <w:jc w:val="center"/>
        </w:trPr>
        <w:tc>
          <w:tcPr>
            <w:tcW w:w="784" w:type="dxa"/>
            <w:tcBorders>
              <w:top w:val="single" w:sz="4" w:space="0" w:color="auto"/>
              <w:left w:val="single" w:sz="4" w:space="0" w:color="auto"/>
              <w:bottom w:val="single" w:sz="4" w:space="0" w:color="auto"/>
              <w:right w:val="single" w:sz="4" w:space="0" w:color="auto"/>
            </w:tcBorders>
            <w:noWrap/>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41505</w:t>
            </w:r>
          </w:p>
        </w:tc>
        <w:tc>
          <w:tcPr>
            <w:tcW w:w="2742" w:type="dxa"/>
            <w:tcBorders>
              <w:top w:val="single" w:sz="4" w:space="0" w:color="auto"/>
              <w:left w:val="single" w:sz="4" w:space="0" w:color="auto"/>
              <w:bottom w:val="single" w:sz="4" w:space="0" w:color="auto"/>
              <w:right w:val="single" w:sz="4" w:space="0" w:color="auto"/>
            </w:tcBorders>
            <w:noWrap/>
            <w:vAlign w:val="center"/>
            <w:hideMark/>
          </w:tcPr>
          <w:p w:rsidR="00906AFB" w:rsidRPr="00C50098" w:rsidRDefault="00906AFB" w:rsidP="00906AFB">
            <w:pPr>
              <w:rPr>
                <w:rFonts w:ascii="Arial" w:hAnsi="Arial" w:cs="Arial"/>
                <w:sz w:val="16"/>
                <w:szCs w:val="16"/>
              </w:rPr>
            </w:pPr>
            <w:r w:rsidRPr="00C50098">
              <w:rPr>
                <w:rFonts w:ascii="Arial" w:hAnsi="Arial" w:cs="Arial"/>
                <w:sz w:val="16"/>
                <w:szCs w:val="16"/>
              </w:rPr>
              <w:t>Coordinación de Desarrollo Municipal</w:t>
            </w:r>
          </w:p>
        </w:tc>
        <w:tc>
          <w:tcPr>
            <w:tcW w:w="660" w:type="dxa"/>
            <w:tcBorders>
              <w:top w:val="single" w:sz="4" w:space="0" w:color="auto"/>
              <w:left w:val="single" w:sz="4" w:space="0" w:color="auto"/>
              <w:bottom w:val="single" w:sz="4" w:space="0" w:color="auto"/>
              <w:right w:val="single" w:sz="4" w:space="0" w:color="auto"/>
            </w:tcBorders>
            <w:noWrap/>
            <w:vAlign w:val="center"/>
            <w:hideMark/>
          </w:tcPr>
          <w:p w:rsidR="00906AFB" w:rsidRPr="00C50098" w:rsidRDefault="00906AFB" w:rsidP="00906AFB">
            <w:pPr>
              <w:spacing w:before="120" w:after="120" w:line="360" w:lineRule="auto"/>
              <w:jc w:val="both"/>
              <w:rPr>
                <w:rFonts w:ascii="Arial" w:hAnsi="Arial" w:cs="Arial"/>
                <w:sz w:val="16"/>
                <w:szCs w:val="16"/>
              </w:rPr>
            </w:pPr>
          </w:p>
        </w:tc>
        <w:tc>
          <w:tcPr>
            <w:tcW w:w="1313" w:type="dxa"/>
            <w:tcBorders>
              <w:top w:val="single" w:sz="4" w:space="0" w:color="auto"/>
              <w:left w:val="single" w:sz="4" w:space="0" w:color="auto"/>
              <w:bottom w:val="single" w:sz="4" w:space="0" w:color="auto"/>
              <w:right w:val="single" w:sz="4" w:space="0" w:color="auto"/>
            </w:tcBorders>
            <w:noWrap/>
            <w:vAlign w:val="center"/>
            <w:hideMark/>
          </w:tcPr>
          <w:p w:rsidR="00906AFB" w:rsidRPr="00C50098" w:rsidRDefault="00906AFB" w:rsidP="000B15CD">
            <w:pPr>
              <w:jc w:val="right"/>
              <w:rPr>
                <w:rFonts w:ascii="Arial" w:hAnsi="Arial" w:cs="Arial"/>
                <w:sz w:val="16"/>
                <w:szCs w:val="16"/>
              </w:rPr>
            </w:pPr>
            <w:r w:rsidRPr="00C50098">
              <w:rPr>
                <w:rFonts w:ascii="Arial" w:hAnsi="Arial" w:cs="Arial"/>
                <w:sz w:val="16"/>
                <w:szCs w:val="16"/>
              </w:rPr>
              <w:t>1,284,396</w:t>
            </w:r>
          </w:p>
        </w:tc>
        <w:tc>
          <w:tcPr>
            <w:tcW w:w="1097" w:type="dxa"/>
            <w:tcBorders>
              <w:top w:val="single" w:sz="4" w:space="0" w:color="auto"/>
              <w:left w:val="single" w:sz="4" w:space="0" w:color="auto"/>
              <w:bottom w:val="single" w:sz="4" w:space="0" w:color="auto"/>
              <w:right w:val="single" w:sz="4" w:space="0" w:color="auto"/>
            </w:tcBorders>
            <w:noWrap/>
            <w:vAlign w:val="center"/>
            <w:hideMark/>
          </w:tcPr>
          <w:p w:rsidR="00906AFB" w:rsidRPr="00C50098" w:rsidRDefault="00906AFB" w:rsidP="00906AFB">
            <w:pPr>
              <w:spacing w:before="120" w:after="120" w:line="360" w:lineRule="auto"/>
              <w:jc w:val="both"/>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906AFB" w:rsidRPr="00C50098" w:rsidRDefault="00906AFB" w:rsidP="00906AFB">
            <w:pPr>
              <w:rPr>
                <w:sz w:val="16"/>
                <w:szCs w:val="16"/>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906AFB" w:rsidRPr="00C50098" w:rsidRDefault="00906AFB" w:rsidP="00906AFB">
            <w:pPr>
              <w:rPr>
                <w:sz w:val="16"/>
                <w:szCs w:val="16"/>
              </w:rPr>
            </w:pPr>
          </w:p>
        </w:tc>
      </w:tr>
      <w:tr w:rsidR="00906AFB" w:rsidRPr="00C50098" w:rsidTr="000B15CD">
        <w:trPr>
          <w:trHeight w:val="283"/>
          <w:jc w:val="center"/>
        </w:trPr>
        <w:tc>
          <w:tcPr>
            <w:tcW w:w="784" w:type="dxa"/>
            <w:tcBorders>
              <w:top w:val="single" w:sz="4" w:space="0" w:color="auto"/>
              <w:left w:val="single" w:sz="4" w:space="0" w:color="auto"/>
              <w:bottom w:val="single" w:sz="4" w:space="0" w:color="auto"/>
              <w:right w:val="single" w:sz="4" w:space="0" w:color="auto"/>
            </w:tcBorders>
            <w:noWrap/>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41506</w:t>
            </w:r>
          </w:p>
        </w:tc>
        <w:tc>
          <w:tcPr>
            <w:tcW w:w="2742" w:type="dxa"/>
            <w:tcBorders>
              <w:top w:val="single" w:sz="4" w:space="0" w:color="auto"/>
              <w:left w:val="single" w:sz="4" w:space="0" w:color="auto"/>
              <w:bottom w:val="single" w:sz="4" w:space="0" w:color="auto"/>
              <w:right w:val="single" w:sz="4" w:space="0" w:color="auto"/>
            </w:tcBorders>
            <w:noWrap/>
            <w:vAlign w:val="center"/>
            <w:hideMark/>
          </w:tcPr>
          <w:p w:rsidR="00906AFB" w:rsidRPr="00C50098" w:rsidRDefault="00906AFB" w:rsidP="00906AFB">
            <w:pPr>
              <w:rPr>
                <w:rFonts w:ascii="Arial" w:hAnsi="Arial" w:cs="Arial"/>
                <w:sz w:val="16"/>
                <w:szCs w:val="16"/>
              </w:rPr>
            </w:pPr>
            <w:r w:rsidRPr="00C50098">
              <w:rPr>
                <w:rFonts w:ascii="Arial" w:hAnsi="Arial" w:cs="Arial"/>
                <w:sz w:val="16"/>
                <w:szCs w:val="16"/>
              </w:rPr>
              <w:t>Instituto para la Atención de los Adultos en Plenitud</w:t>
            </w:r>
          </w:p>
        </w:tc>
        <w:tc>
          <w:tcPr>
            <w:tcW w:w="660"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1</w:t>
            </w:r>
          </w:p>
        </w:tc>
        <w:tc>
          <w:tcPr>
            <w:tcW w:w="1313"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0B15CD">
            <w:pPr>
              <w:jc w:val="right"/>
              <w:rPr>
                <w:rFonts w:ascii="Arial" w:hAnsi="Arial" w:cs="Arial"/>
                <w:sz w:val="16"/>
                <w:szCs w:val="16"/>
              </w:rPr>
            </w:pPr>
            <w:r w:rsidRPr="00C50098">
              <w:rPr>
                <w:rFonts w:ascii="Arial" w:hAnsi="Arial" w:cs="Arial"/>
                <w:sz w:val="16"/>
                <w:szCs w:val="16"/>
              </w:rPr>
              <w:t>40,000,000</w:t>
            </w:r>
          </w:p>
        </w:tc>
        <w:tc>
          <w:tcPr>
            <w:tcW w:w="1097"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100</w:t>
            </w:r>
          </w:p>
        </w:tc>
        <w:tc>
          <w:tcPr>
            <w:tcW w:w="567"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6</w:t>
            </w:r>
          </w:p>
        </w:tc>
      </w:tr>
      <w:tr w:rsidR="00906AFB" w:rsidRPr="00C50098" w:rsidTr="000B15CD">
        <w:trPr>
          <w:trHeight w:val="283"/>
          <w:jc w:val="center"/>
        </w:trPr>
        <w:tc>
          <w:tcPr>
            <w:tcW w:w="784" w:type="dxa"/>
            <w:tcBorders>
              <w:top w:val="single" w:sz="4" w:space="0" w:color="auto"/>
              <w:left w:val="single" w:sz="4" w:space="0" w:color="auto"/>
              <w:bottom w:val="single" w:sz="4" w:space="0" w:color="auto"/>
              <w:right w:val="single" w:sz="4" w:space="0" w:color="auto"/>
            </w:tcBorders>
            <w:noWrap/>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41507</w:t>
            </w:r>
          </w:p>
        </w:tc>
        <w:tc>
          <w:tcPr>
            <w:tcW w:w="2742" w:type="dxa"/>
            <w:tcBorders>
              <w:top w:val="single" w:sz="4" w:space="0" w:color="auto"/>
              <w:left w:val="single" w:sz="4" w:space="0" w:color="auto"/>
              <w:bottom w:val="single" w:sz="4" w:space="0" w:color="auto"/>
              <w:right w:val="single" w:sz="4" w:space="0" w:color="auto"/>
            </w:tcBorders>
            <w:noWrap/>
            <w:vAlign w:val="center"/>
            <w:hideMark/>
          </w:tcPr>
          <w:p w:rsidR="00906AFB" w:rsidRPr="00C50098" w:rsidRDefault="00906AFB" w:rsidP="00906AFB">
            <w:pPr>
              <w:rPr>
                <w:rFonts w:ascii="Arial" w:hAnsi="Arial" w:cs="Arial"/>
                <w:sz w:val="16"/>
                <w:szCs w:val="16"/>
              </w:rPr>
            </w:pPr>
            <w:r w:rsidRPr="00C50098">
              <w:rPr>
                <w:rFonts w:ascii="Arial" w:hAnsi="Arial" w:cs="Arial"/>
                <w:sz w:val="16"/>
                <w:szCs w:val="16"/>
              </w:rPr>
              <w:t>Instituto Colimense de Infraestructura Física Educativa</w:t>
            </w:r>
          </w:p>
        </w:tc>
        <w:tc>
          <w:tcPr>
            <w:tcW w:w="660"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1</w:t>
            </w:r>
          </w:p>
        </w:tc>
        <w:tc>
          <w:tcPr>
            <w:tcW w:w="1313"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0B15CD">
            <w:pPr>
              <w:jc w:val="right"/>
              <w:rPr>
                <w:rFonts w:ascii="Arial" w:hAnsi="Arial" w:cs="Arial"/>
                <w:sz w:val="16"/>
                <w:szCs w:val="16"/>
              </w:rPr>
            </w:pPr>
            <w:r w:rsidRPr="00C50098">
              <w:rPr>
                <w:rFonts w:ascii="Arial" w:hAnsi="Arial" w:cs="Arial"/>
                <w:sz w:val="16"/>
                <w:szCs w:val="16"/>
              </w:rPr>
              <w:t>7,032,564</w:t>
            </w:r>
          </w:p>
        </w:tc>
        <w:tc>
          <w:tcPr>
            <w:tcW w:w="1097"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100</w:t>
            </w:r>
          </w:p>
        </w:tc>
        <w:tc>
          <w:tcPr>
            <w:tcW w:w="567"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10</w:t>
            </w:r>
          </w:p>
        </w:tc>
      </w:tr>
      <w:tr w:rsidR="00906AFB" w:rsidRPr="00C50098" w:rsidTr="000B15CD">
        <w:trPr>
          <w:trHeight w:val="283"/>
          <w:jc w:val="center"/>
        </w:trPr>
        <w:tc>
          <w:tcPr>
            <w:tcW w:w="784" w:type="dxa"/>
            <w:tcBorders>
              <w:top w:val="single" w:sz="4" w:space="0" w:color="auto"/>
              <w:left w:val="single" w:sz="4" w:space="0" w:color="auto"/>
              <w:bottom w:val="single" w:sz="4" w:space="0" w:color="auto"/>
              <w:right w:val="single" w:sz="4" w:space="0" w:color="auto"/>
            </w:tcBorders>
            <w:noWrap/>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41508</w:t>
            </w:r>
          </w:p>
        </w:tc>
        <w:tc>
          <w:tcPr>
            <w:tcW w:w="2742" w:type="dxa"/>
            <w:tcBorders>
              <w:top w:val="single" w:sz="4" w:space="0" w:color="auto"/>
              <w:left w:val="single" w:sz="4" w:space="0" w:color="auto"/>
              <w:bottom w:val="single" w:sz="4" w:space="0" w:color="auto"/>
              <w:right w:val="single" w:sz="4" w:space="0" w:color="auto"/>
            </w:tcBorders>
            <w:noWrap/>
            <w:vAlign w:val="center"/>
            <w:hideMark/>
          </w:tcPr>
          <w:p w:rsidR="00906AFB" w:rsidRPr="00C50098" w:rsidRDefault="00906AFB" w:rsidP="00906AFB">
            <w:pPr>
              <w:rPr>
                <w:rFonts w:ascii="Arial" w:hAnsi="Arial" w:cs="Arial"/>
                <w:sz w:val="16"/>
                <w:szCs w:val="16"/>
              </w:rPr>
            </w:pPr>
            <w:r w:rsidRPr="00C50098">
              <w:rPr>
                <w:rFonts w:ascii="Arial" w:hAnsi="Arial" w:cs="Arial"/>
                <w:sz w:val="16"/>
                <w:szCs w:val="16"/>
              </w:rPr>
              <w:t>Junta de Asistencia Privada</w:t>
            </w:r>
          </w:p>
        </w:tc>
        <w:tc>
          <w:tcPr>
            <w:tcW w:w="660"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1</w:t>
            </w:r>
          </w:p>
        </w:tc>
        <w:tc>
          <w:tcPr>
            <w:tcW w:w="1313"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0B15CD">
            <w:pPr>
              <w:jc w:val="right"/>
              <w:rPr>
                <w:rFonts w:ascii="Arial" w:hAnsi="Arial" w:cs="Arial"/>
                <w:sz w:val="16"/>
                <w:szCs w:val="16"/>
              </w:rPr>
            </w:pPr>
            <w:r w:rsidRPr="00C50098">
              <w:rPr>
                <w:rFonts w:ascii="Arial" w:hAnsi="Arial" w:cs="Arial"/>
                <w:sz w:val="16"/>
                <w:szCs w:val="16"/>
              </w:rPr>
              <w:t>1,675,509</w:t>
            </w:r>
          </w:p>
        </w:tc>
        <w:tc>
          <w:tcPr>
            <w:tcW w:w="1097"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100</w:t>
            </w:r>
          </w:p>
        </w:tc>
        <w:tc>
          <w:tcPr>
            <w:tcW w:w="567"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4</w:t>
            </w:r>
          </w:p>
        </w:tc>
      </w:tr>
      <w:tr w:rsidR="00906AFB" w:rsidRPr="00C50098" w:rsidTr="000B15CD">
        <w:trPr>
          <w:trHeight w:val="283"/>
          <w:jc w:val="center"/>
        </w:trPr>
        <w:tc>
          <w:tcPr>
            <w:tcW w:w="784" w:type="dxa"/>
            <w:tcBorders>
              <w:top w:val="single" w:sz="4" w:space="0" w:color="auto"/>
              <w:left w:val="single" w:sz="4" w:space="0" w:color="auto"/>
              <w:bottom w:val="single" w:sz="4" w:space="0" w:color="auto"/>
              <w:right w:val="single" w:sz="4" w:space="0" w:color="auto"/>
            </w:tcBorders>
            <w:noWrap/>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41509</w:t>
            </w:r>
          </w:p>
        </w:tc>
        <w:tc>
          <w:tcPr>
            <w:tcW w:w="2742" w:type="dxa"/>
            <w:tcBorders>
              <w:top w:val="single" w:sz="4" w:space="0" w:color="auto"/>
              <w:left w:val="single" w:sz="4" w:space="0" w:color="auto"/>
              <w:bottom w:val="single" w:sz="4" w:space="0" w:color="auto"/>
              <w:right w:val="single" w:sz="4" w:space="0" w:color="auto"/>
            </w:tcBorders>
            <w:noWrap/>
            <w:vAlign w:val="center"/>
            <w:hideMark/>
          </w:tcPr>
          <w:p w:rsidR="00906AFB" w:rsidRPr="00C50098" w:rsidRDefault="00906AFB" w:rsidP="00906AFB">
            <w:pPr>
              <w:rPr>
                <w:rFonts w:ascii="Arial" w:hAnsi="Arial" w:cs="Arial"/>
                <w:sz w:val="16"/>
                <w:szCs w:val="16"/>
              </w:rPr>
            </w:pPr>
            <w:r w:rsidRPr="00C50098">
              <w:rPr>
                <w:rFonts w:ascii="Arial" w:hAnsi="Arial" w:cs="Arial"/>
                <w:sz w:val="16"/>
                <w:szCs w:val="16"/>
              </w:rPr>
              <w:t>Universidad Tecnológica de Manzanillo</w:t>
            </w:r>
          </w:p>
        </w:tc>
        <w:tc>
          <w:tcPr>
            <w:tcW w:w="660"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1</w:t>
            </w:r>
          </w:p>
        </w:tc>
        <w:tc>
          <w:tcPr>
            <w:tcW w:w="1313"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0B15CD">
            <w:pPr>
              <w:jc w:val="right"/>
              <w:rPr>
                <w:rFonts w:ascii="Arial" w:hAnsi="Arial" w:cs="Arial"/>
                <w:sz w:val="16"/>
                <w:szCs w:val="16"/>
              </w:rPr>
            </w:pPr>
            <w:r w:rsidRPr="00C50098">
              <w:rPr>
                <w:rFonts w:ascii="Arial" w:hAnsi="Arial" w:cs="Arial"/>
                <w:sz w:val="16"/>
                <w:szCs w:val="16"/>
              </w:rPr>
              <w:t>9,877,463</w:t>
            </w:r>
          </w:p>
        </w:tc>
        <w:tc>
          <w:tcPr>
            <w:tcW w:w="1097"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100</w:t>
            </w:r>
          </w:p>
        </w:tc>
        <w:tc>
          <w:tcPr>
            <w:tcW w:w="567"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12</w:t>
            </w:r>
          </w:p>
        </w:tc>
      </w:tr>
      <w:tr w:rsidR="00906AFB" w:rsidRPr="00C50098" w:rsidTr="000B15CD">
        <w:trPr>
          <w:trHeight w:val="283"/>
          <w:jc w:val="center"/>
        </w:trPr>
        <w:tc>
          <w:tcPr>
            <w:tcW w:w="784" w:type="dxa"/>
            <w:tcBorders>
              <w:top w:val="single" w:sz="4" w:space="0" w:color="auto"/>
              <w:left w:val="single" w:sz="4" w:space="0" w:color="auto"/>
              <w:bottom w:val="single" w:sz="4" w:space="0" w:color="auto"/>
              <w:right w:val="single" w:sz="4" w:space="0" w:color="auto"/>
            </w:tcBorders>
            <w:noWrap/>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41510</w:t>
            </w:r>
          </w:p>
        </w:tc>
        <w:tc>
          <w:tcPr>
            <w:tcW w:w="2742" w:type="dxa"/>
            <w:tcBorders>
              <w:top w:val="single" w:sz="4" w:space="0" w:color="auto"/>
              <w:left w:val="single" w:sz="4" w:space="0" w:color="auto"/>
              <w:bottom w:val="single" w:sz="4" w:space="0" w:color="auto"/>
              <w:right w:val="single" w:sz="4" w:space="0" w:color="auto"/>
            </w:tcBorders>
            <w:noWrap/>
            <w:vAlign w:val="center"/>
            <w:hideMark/>
          </w:tcPr>
          <w:p w:rsidR="00906AFB" w:rsidRPr="00C50098" w:rsidRDefault="00906AFB" w:rsidP="00906AFB">
            <w:pPr>
              <w:rPr>
                <w:rFonts w:ascii="Arial" w:hAnsi="Arial" w:cs="Arial"/>
                <w:sz w:val="16"/>
                <w:szCs w:val="16"/>
              </w:rPr>
            </w:pPr>
            <w:r w:rsidRPr="00C50098">
              <w:rPr>
                <w:rFonts w:ascii="Arial" w:hAnsi="Arial" w:cs="Arial"/>
                <w:sz w:val="16"/>
                <w:szCs w:val="16"/>
              </w:rPr>
              <w:t>Instituto Colimense de Radio y Televisión</w:t>
            </w:r>
          </w:p>
        </w:tc>
        <w:tc>
          <w:tcPr>
            <w:tcW w:w="660"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1</w:t>
            </w:r>
          </w:p>
        </w:tc>
        <w:tc>
          <w:tcPr>
            <w:tcW w:w="1313"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0B15CD">
            <w:pPr>
              <w:jc w:val="right"/>
              <w:rPr>
                <w:rFonts w:ascii="Arial" w:hAnsi="Arial" w:cs="Arial"/>
                <w:sz w:val="16"/>
                <w:szCs w:val="16"/>
              </w:rPr>
            </w:pPr>
            <w:r w:rsidRPr="00C50098">
              <w:rPr>
                <w:rFonts w:ascii="Arial" w:hAnsi="Arial" w:cs="Arial"/>
                <w:sz w:val="16"/>
                <w:szCs w:val="16"/>
              </w:rPr>
              <w:t>18,627,280</w:t>
            </w:r>
          </w:p>
        </w:tc>
        <w:tc>
          <w:tcPr>
            <w:tcW w:w="1097"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100</w:t>
            </w:r>
          </w:p>
        </w:tc>
        <w:tc>
          <w:tcPr>
            <w:tcW w:w="567"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5</w:t>
            </w:r>
          </w:p>
        </w:tc>
      </w:tr>
      <w:tr w:rsidR="00906AFB" w:rsidRPr="00C50098" w:rsidTr="000B15CD">
        <w:trPr>
          <w:trHeight w:val="283"/>
          <w:jc w:val="center"/>
        </w:trPr>
        <w:tc>
          <w:tcPr>
            <w:tcW w:w="784" w:type="dxa"/>
            <w:tcBorders>
              <w:top w:val="single" w:sz="4" w:space="0" w:color="auto"/>
              <w:left w:val="single" w:sz="4" w:space="0" w:color="auto"/>
              <w:bottom w:val="single" w:sz="4" w:space="0" w:color="auto"/>
              <w:right w:val="single" w:sz="4" w:space="0" w:color="auto"/>
            </w:tcBorders>
            <w:noWrap/>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41513</w:t>
            </w:r>
          </w:p>
        </w:tc>
        <w:tc>
          <w:tcPr>
            <w:tcW w:w="2742" w:type="dxa"/>
            <w:tcBorders>
              <w:top w:val="single" w:sz="4" w:space="0" w:color="auto"/>
              <w:left w:val="single" w:sz="4" w:space="0" w:color="auto"/>
              <w:bottom w:val="single" w:sz="4" w:space="0" w:color="auto"/>
              <w:right w:val="single" w:sz="4" w:space="0" w:color="auto"/>
            </w:tcBorders>
            <w:noWrap/>
            <w:vAlign w:val="center"/>
            <w:hideMark/>
          </w:tcPr>
          <w:p w:rsidR="00906AFB" w:rsidRPr="00C50098" w:rsidRDefault="00906AFB" w:rsidP="00906AFB">
            <w:pPr>
              <w:rPr>
                <w:rFonts w:ascii="Arial" w:hAnsi="Arial" w:cs="Arial"/>
                <w:sz w:val="16"/>
                <w:szCs w:val="16"/>
              </w:rPr>
            </w:pPr>
            <w:r w:rsidRPr="00C50098">
              <w:rPr>
                <w:rFonts w:ascii="Arial" w:hAnsi="Arial" w:cs="Arial"/>
                <w:sz w:val="16"/>
                <w:szCs w:val="16"/>
              </w:rPr>
              <w:t>Instituto Colimense para la Discapacidad</w:t>
            </w:r>
          </w:p>
        </w:tc>
        <w:tc>
          <w:tcPr>
            <w:tcW w:w="660"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1</w:t>
            </w:r>
          </w:p>
        </w:tc>
        <w:tc>
          <w:tcPr>
            <w:tcW w:w="1313"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0B15CD">
            <w:pPr>
              <w:jc w:val="right"/>
              <w:rPr>
                <w:rFonts w:ascii="Arial" w:hAnsi="Arial" w:cs="Arial"/>
                <w:sz w:val="16"/>
                <w:szCs w:val="16"/>
              </w:rPr>
            </w:pPr>
            <w:r w:rsidRPr="00C50098">
              <w:rPr>
                <w:rFonts w:ascii="Arial" w:hAnsi="Arial" w:cs="Arial"/>
                <w:sz w:val="16"/>
                <w:szCs w:val="16"/>
              </w:rPr>
              <w:t>1,998,053</w:t>
            </w:r>
          </w:p>
        </w:tc>
        <w:tc>
          <w:tcPr>
            <w:tcW w:w="1097"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100</w:t>
            </w:r>
          </w:p>
        </w:tc>
        <w:tc>
          <w:tcPr>
            <w:tcW w:w="567"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5</w:t>
            </w:r>
          </w:p>
        </w:tc>
      </w:tr>
      <w:tr w:rsidR="00906AFB" w:rsidRPr="00C50098" w:rsidTr="000B15CD">
        <w:trPr>
          <w:trHeight w:val="283"/>
          <w:jc w:val="center"/>
        </w:trPr>
        <w:tc>
          <w:tcPr>
            <w:tcW w:w="784" w:type="dxa"/>
            <w:tcBorders>
              <w:top w:val="single" w:sz="4" w:space="0" w:color="auto"/>
              <w:left w:val="single" w:sz="4" w:space="0" w:color="auto"/>
              <w:bottom w:val="single" w:sz="4" w:space="0" w:color="auto"/>
              <w:right w:val="single" w:sz="4" w:space="0" w:color="auto"/>
            </w:tcBorders>
            <w:noWrap/>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41514</w:t>
            </w:r>
          </w:p>
        </w:tc>
        <w:tc>
          <w:tcPr>
            <w:tcW w:w="2742" w:type="dxa"/>
            <w:tcBorders>
              <w:top w:val="single" w:sz="4" w:space="0" w:color="auto"/>
              <w:left w:val="single" w:sz="4" w:space="0" w:color="auto"/>
              <w:bottom w:val="single" w:sz="4" w:space="0" w:color="auto"/>
              <w:right w:val="single" w:sz="4" w:space="0" w:color="auto"/>
            </w:tcBorders>
            <w:noWrap/>
            <w:vAlign w:val="center"/>
            <w:hideMark/>
          </w:tcPr>
          <w:p w:rsidR="00906AFB" w:rsidRPr="00C50098" w:rsidRDefault="00906AFB" w:rsidP="00906AFB">
            <w:pPr>
              <w:rPr>
                <w:rFonts w:ascii="Arial" w:hAnsi="Arial" w:cs="Arial"/>
                <w:sz w:val="16"/>
                <w:szCs w:val="16"/>
              </w:rPr>
            </w:pPr>
            <w:r w:rsidRPr="00C50098">
              <w:rPr>
                <w:rFonts w:ascii="Arial" w:hAnsi="Arial" w:cs="Arial"/>
                <w:sz w:val="16"/>
                <w:szCs w:val="16"/>
              </w:rPr>
              <w:t>Comisión Estatal del Agua</w:t>
            </w:r>
          </w:p>
        </w:tc>
        <w:tc>
          <w:tcPr>
            <w:tcW w:w="660"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1</w:t>
            </w:r>
          </w:p>
        </w:tc>
        <w:tc>
          <w:tcPr>
            <w:tcW w:w="1313"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0B15CD">
            <w:pPr>
              <w:jc w:val="right"/>
              <w:rPr>
                <w:rFonts w:ascii="Arial" w:hAnsi="Arial" w:cs="Arial"/>
                <w:sz w:val="16"/>
                <w:szCs w:val="16"/>
              </w:rPr>
            </w:pPr>
            <w:r w:rsidRPr="00C50098">
              <w:rPr>
                <w:rFonts w:ascii="Arial" w:hAnsi="Arial" w:cs="Arial"/>
                <w:sz w:val="16"/>
                <w:szCs w:val="16"/>
              </w:rPr>
              <w:t>2,704,027</w:t>
            </w:r>
          </w:p>
        </w:tc>
        <w:tc>
          <w:tcPr>
            <w:tcW w:w="1097"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100</w:t>
            </w:r>
          </w:p>
        </w:tc>
        <w:tc>
          <w:tcPr>
            <w:tcW w:w="567"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11</w:t>
            </w:r>
          </w:p>
        </w:tc>
      </w:tr>
      <w:tr w:rsidR="00906AFB" w:rsidRPr="00C50098" w:rsidTr="000B15CD">
        <w:trPr>
          <w:trHeight w:val="283"/>
          <w:jc w:val="center"/>
        </w:trPr>
        <w:tc>
          <w:tcPr>
            <w:tcW w:w="784" w:type="dxa"/>
            <w:tcBorders>
              <w:top w:val="single" w:sz="4" w:space="0" w:color="auto"/>
              <w:left w:val="single" w:sz="4" w:space="0" w:color="auto"/>
              <w:bottom w:val="single" w:sz="4" w:space="0" w:color="auto"/>
              <w:right w:val="single" w:sz="4" w:space="0" w:color="auto"/>
            </w:tcBorders>
            <w:noWrap/>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41515</w:t>
            </w:r>
          </w:p>
        </w:tc>
        <w:tc>
          <w:tcPr>
            <w:tcW w:w="2742" w:type="dxa"/>
            <w:tcBorders>
              <w:top w:val="single" w:sz="4" w:space="0" w:color="auto"/>
              <w:left w:val="single" w:sz="4" w:space="0" w:color="auto"/>
              <w:bottom w:val="single" w:sz="4" w:space="0" w:color="auto"/>
              <w:right w:val="single" w:sz="4" w:space="0" w:color="auto"/>
            </w:tcBorders>
            <w:noWrap/>
            <w:vAlign w:val="center"/>
            <w:hideMark/>
          </w:tcPr>
          <w:p w:rsidR="00906AFB" w:rsidRPr="00C50098" w:rsidRDefault="00906AFB" w:rsidP="00906AFB">
            <w:pPr>
              <w:rPr>
                <w:rFonts w:ascii="Arial" w:hAnsi="Arial" w:cs="Arial"/>
                <w:sz w:val="16"/>
                <w:szCs w:val="16"/>
              </w:rPr>
            </w:pPr>
            <w:r w:rsidRPr="00C50098">
              <w:rPr>
                <w:rFonts w:ascii="Arial" w:hAnsi="Arial" w:cs="Arial"/>
                <w:sz w:val="16"/>
                <w:szCs w:val="16"/>
              </w:rPr>
              <w:t>Instituto Colimense de las Mujeres</w:t>
            </w:r>
          </w:p>
        </w:tc>
        <w:tc>
          <w:tcPr>
            <w:tcW w:w="660"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1</w:t>
            </w:r>
          </w:p>
        </w:tc>
        <w:tc>
          <w:tcPr>
            <w:tcW w:w="1313"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0B15CD">
            <w:pPr>
              <w:jc w:val="right"/>
              <w:rPr>
                <w:rFonts w:ascii="Arial" w:hAnsi="Arial" w:cs="Arial"/>
                <w:sz w:val="16"/>
                <w:szCs w:val="16"/>
              </w:rPr>
            </w:pPr>
            <w:r w:rsidRPr="00C50098">
              <w:rPr>
                <w:rFonts w:ascii="Arial" w:hAnsi="Arial" w:cs="Arial"/>
                <w:sz w:val="16"/>
                <w:szCs w:val="16"/>
              </w:rPr>
              <w:t>4,643,196</w:t>
            </w:r>
          </w:p>
        </w:tc>
        <w:tc>
          <w:tcPr>
            <w:tcW w:w="1097"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100</w:t>
            </w:r>
          </w:p>
        </w:tc>
        <w:tc>
          <w:tcPr>
            <w:tcW w:w="567"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7</w:t>
            </w:r>
          </w:p>
        </w:tc>
      </w:tr>
      <w:tr w:rsidR="00906AFB" w:rsidRPr="00C50098" w:rsidTr="000B15CD">
        <w:trPr>
          <w:trHeight w:val="283"/>
          <w:jc w:val="center"/>
        </w:trPr>
        <w:tc>
          <w:tcPr>
            <w:tcW w:w="784" w:type="dxa"/>
            <w:tcBorders>
              <w:top w:val="single" w:sz="4" w:space="0" w:color="auto"/>
              <w:left w:val="single" w:sz="4" w:space="0" w:color="auto"/>
              <w:bottom w:val="single" w:sz="4" w:space="0" w:color="auto"/>
              <w:right w:val="single" w:sz="4" w:space="0" w:color="auto"/>
            </w:tcBorders>
            <w:noWrap/>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41517</w:t>
            </w:r>
          </w:p>
        </w:tc>
        <w:tc>
          <w:tcPr>
            <w:tcW w:w="2742" w:type="dxa"/>
            <w:tcBorders>
              <w:top w:val="single" w:sz="4" w:space="0" w:color="auto"/>
              <w:left w:val="single" w:sz="4" w:space="0" w:color="auto"/>
              <w:bottom w:val="single" w:sz="4" w:space="0" w:color="auto"/>
              <w:right w:val="single" w:sz="4" w:space="0" w:color="auto"/>
            </w:tcBorders>
            <w:noWrap/>
            <w:vAlign w:val="center"/>
            <w:hideMark/>
          </w:tcPr>
          <w:p w:rsidR="00906AFB" w:rsidRPr="00C50098" w:rsidRDefault="00906AFB" w:rsidP="00906AFB">
            <w:pPr>
              <w:rPr>
                <w:rFonts w:ascii="Arial" w:hAnsi="Arial" w:cs="Arial"/>
                <w:sz w:val="16"/>
                <w:szCs w:val="16"/>
              </w:rPr>
            </w:pPr>
            <w:r w:rsidRPr="00C50098">
              <w:rPr>
                <w:rFonts w:ascii="Arial" w:hAnsi="Arial" w:cs="Arial"/>
                <w:sz w:val="16"/>
                <w:szCs w:val="16"/>
              </w:rPr>
              <w:t>Colegio de Educación Profesional Técnica del Estado</w:t>
            </w:r>
          </w:p>
        </w:tc>
        <w:tc>
          <w:tcPr>
            <w:tcW w:w="660"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1</w:t>
            </w:r>
          </w:p>
        </w:tc>
        <w:tc>
          <w:tcPr>
            <w:tcW w:w="1313"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0B15CD">
            <w:pPr>
              <w:jc w:val="right"/>
              <w:rPr>
                <w:rFonts w:ascii="Arial" w:hAnsi="Arial" w:cs="Arial"/>
                <w:sz w:val="16"/>
                <w:szCs w:val="16"/>
              </w:rPr>
            </w:pPr>
            <w:r w:rsidRPr="00C50098">
              <w:rPr>
                <w:rFonts w:ascii="Arial" w:hAnsi="Arial" w:cs="Arial"/>
                <w:sz w:val="16"/>
                <w:szCs w:val="16"/>
              </w:rPr>
              <w:t>3,005,600</w:t>
            </w:r>
          </w:p>
        </w:tc>
        <w:tc>
          <w:tcPr>
            <w:tcW w:w="1097"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100</w:t>
            </w:r>
          </w:p>
        </w:tc>
        <w:tc>
          <w:tcPr>
            <w:tcW w:w="567"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10</w:t>
            </w:r>
          </w:p>
        </w:tc>
      </w:tr>
      <w:tr w:rsidR="00906AFB" w:rsidRPr="00C50098" w:rsidTr="000B15CD">
        <w:trPr>
          <w:trHeight w:val="283"/>
          <w:jc w:val="center"/>
        </w:trPr>
        <w:tc>
          <w:tcPr>
            <w:tcW w:w="784" w:type="dxa"/>
            <w:tcBorders>
              <w:top w:val="single" w:sz="4" w:space="0" w:color="auto"/>
              <w:left w:val="single" w:sz="4" w:space="0" w:color="auto"/>
              <w:bottom w:val="single" w:sz="4" w:space="0" w:color="auto"/>
              <w:right w:val="single" w:sz="4" w:space="0" w:color="auto"/>
            </w:tcBorders>
            <w:noWrap/>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41518</w:t>
            </w:r>
          </w:p>
        </w:tc>
        <w:tc>
          <w:tcPr>
            <w:tcW w:w="2742" w:type="dxa"/>
            <w:tcBorders>
              <w:top w:val="single" w:sz="4" w:space="0" w:color="auto"/>
              <w:left w:val="single" w:sz="4" w:space="0" w:color="auto"/>
              <w:bottom w:val="single" w:sz="4" w:space="0" w:color="auto"/>
              <w:right w:val="single" w:sz="4" w:space="0" w:color="auto"/>
            </w:tcBorders>
            <w:noWrap/>
            <w:vAlign w:val="center"/>
            <w:hideMark/>
          </w:tcPr>
          <w:p w:rsidR="00906AFB" w:rsidRPr="00C50098" w:rsidRDefault="00906AFB" w:rsidP="00906AFB">
            <w:pPr>
              <w:rPr>
                <w:rFonts w:ascii="Arial" w:hAnsi="Arial" w:cs="Arial"/>
                <w:sz w:val="16"/>
                <w:szCs w:val="16"/>
              </w:rPr>
            </w:pPr>
            <w:r w:rsidRPr="00C50098">
              <w:rPr>
                <w:rFonts w:ascii="Arial" w:hAnsi="Arial" w:cs="Arial"/>
                <w:sz w:val="16"/>
                <w:szCs w:val="16"/>
              </w:rPr>
              <w:t>Comisión Estatal de Conciliación y Arbitraje</w:t>
            </w:r>
          </w:p>
        </w:tc>
        <w:tc>
          <w:tcPr>
            <w:tcW w:w="660" w:type="dxa"/>
            <w:tcBorders>
              <w:top w:val="single" w:sz="4" w:space="0" w:color="auto"/>
              <w:left w:val="single" w:sz="4" w:space="0" w:color="auto"/>
              <w:bottom w:val="single" w:sz="4" w:space="0" w:color="auto"/>
              <w:right w:val="single" w:sz="4" w:space="0" w:color="auto"/>
            </w:tcBorders>
            <w:noWrap/>
            <w:vAlign w:val="center"/>
            <w:hideMark/>
          </w:tcPr>
          <w:p w:rsidR="00906AFB" w:rsidRPr="00C50098" w:rsidRDefault="00906AFB" w:rsidP="00906AFB">
            <w:pPr>
              <w:spacing w:before="120" w:after="120" w:line="360" w:lineRule="auto"/>
              <w:jc w:val="both"/>
              <w:rPr>
                <w:rFonts w:ascii="Arial" w:hAnsi="Arial" w:cs="Arial"/>
                <w:sz w:val="16"/>
                <w:szCs w:val="16"/>
              </w:rPr>
            </w:pPr>
          </w:p>
        </w:tc>
        <w:tc>
          <w:tcPr>
            <w:tcW w:w="1313" w:type="dxa"/>
            <w:tcBorders>
              <w:top w:val="single" w:sz="4" w:space="0" w:color="auto"/>
              <w:left w:val="single" w:sz="4" w:space="0" w:color="auto"/>
              <w:bottom w:val="single" w:sz="4" w:space="0" w:color="auto"/>
              <w:right w:val="single" w:sz="4" w:space="0" w:color="auto"/>
            </w:tcBorders>
            <w:noWrap/>
            <w:vAlign w:val="center"/>
            <w:hideMark/>
          </w:tcPr>
          <w:p w:rsidR="00906AFB" w:rsidRPr="00C50098" w:rsidRDefault="00906AFB" w:rsidP="000B15CD">
            <w:pPr>
              <w:jc w:val="right"/>
              <w:rPr>
                <w:rFonts w:ascii="Arial" w:hAnsi="Arial" w:cs="Arial"/>
                <w:sz w:val="16"/>
                <w:szCs w:val="16"/>
              </w:rPr>
            </w:pPr>
            <w:r w:rsidRPr="00C50098">
              <w:rPr>
                <w:rFonts w:ascii="Arial" w:hAnsi="Arial" w:cs="Arial"/>
                <w:sz w:val="16"/>
                <w:szCs w:val="16"/>
              </w:rPr>
              <w:t>1,963,841</w:t>
            </w:r>
          </w:p>
        </w:tc>
        <w:tc>
          <w:tcPr>
            <w:tcW w:w="1097" w:type="dxa"/>
            <w:tcBorders>
              <w:top w:val="single" w:sz="4" w:space="0" w:color="auto"/>
              <w:left w:val="single" w:sz="4" w:space="0" w:color="auto"/>
              <w:bottom w:val="single" w:sz="4" w:space="0" w:color="auto"/>
              <w:right w:val="single" w:sz="4" w:space="0" w:color="auto"/>
            </w:tcBorders>
            <w:noWrap/>
            <w:vAlign w:val="center"/>
            <w:hideMark/>
          </w:tcPr>
          <w:p w:rsidR="00906AFB" w:rsidRPr="00C50098" w:rsidRDefault="00906AFB" w:rsidP="00906AFB">
            <w:pPr>
              <w:spacing w:before="120" w:after="120" w:line="360" w:lineRule="auto"/>
              <w:jc w:val="both"/>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906AFB" w:rsidRPr="00C50098" w:rsidRDefault="00906AFB" w:rsidP="00906AFB">
            <w:pPr>
              <w:rPr>
                <w:sz w:val="16"/>
                <w:szCs w:val="16"/>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906AFB" w:rsidRPr="00C50098" w:rsidRDefault="00906AFB" w:rsidP="00906AFB">
            <w:pPr>
              <w:rPr>
                <w:sz w:val="16"/>
                <w:szCs w:val="16"/>
              </w:rPr>
            </w:pPr>
          </w:p>
        </w:tc>
      </w:tr>
      <w:tr w:rsidR="00906AFB" w:rsidRPr="00C50098" w:rsidTr="000B15CD">
        <w:trPr>
          <w:trHeight w:val="283"/>
          <w:jc w:val="center"/>
        </w:trPr>
        <w:tc>
          <w:tcPr>
            <w:tcW w:w="784" w:type="dxa"/>
            <w:tcBorders>
              <w:top w:val="single" w:sz="4" w:space="0" w:color="auto"/>
              <w:left w:val="single" w:sz="4" w:space="0" w:color="auto"/>
              <w:bottom w:val="single" w:sz="4" w:space="0" w:color="auto"/>
              <w:right w:val="single" w:sz="4" w:space="0" w:color="auto"/>
            </w:tcBorders>
            <w:noWrap/>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41521</w:t>
            </w:r>
          </w:p>
        </w:tc>
        <w:tc>
          <w:tcPr>
            <w:tcW w:w="2742"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rPr>
                <w:rFonts w:ascii="Arial" w:hAnsi="Arial" w:cs="Arial"/>
                <w:sz w:val="16"/>
                <w:szCs w:val="16"/>
              </w:rPr>
            </w:pPr>
            <w:r w:rsidRPr="00C50098">
              <w:rPr>
                <w:rFonts w:ascii="Arial" w:hAnsi="Arial" w:cs="Arial"/>
                <w:sz w:val="16"/>
                <w:szCs w:val="16"/>
              </w:rPr>
              <w:t xml:space="preserve">Instituto Colimense para la Sociedad de la Información y el Conocimiento. </w:t>
            </w:r>
          </w:p>
        </w:tc>
        <w:tc>
          <w:tcPr>
            <w:tcW w:w="660"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1</w:t>
            </w:r>
          </w:p>
        </w:tc>
        <w:tc>
          <w:tcPr>
            <w:tcW w:w="1313"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0B15CD">
            <w:pPr>
              <w:jc w:val="right"/>
              <w:rPr>
                <w:rFonts w:ascii="Arial" w:hAnsi="Arial" w:cs="Arial"/>
                <w:sz w:val="16"/>
                <w:szCs w:val="16"/>
              </w:rPr>
            </w:pPr>
            <w:r w:rsidRPr="00C50098">
              <w:rPr>
                <w:rFonts w:ascii="Arial" w:hAnsi="Arial" w:cs="Arial"/>
                <w:sz w:val="16"/>
                <w:szCs w:val="16"/>
              </w:rPr>
              <w:t>15,468,352</w:t>
            </w:r>
          </w:p>
        </w:tc>
        <w:tc>
          <w:tcPr>
            <w:tcW w:w="1097"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100</w:t>
            </w:r>
          </w:p>
        </w:tc>
        <w:tc>
          <w:tcPr>
            <w:tcW w:w="567"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11</w:t>
            </w:r>
          </w:p>
        </w:tc>
      </w:tr>
      <w:tr w:rsidR="00906AFB" w:rsidRPr="00C50098" w:rsidTr="000B15CD">
        <w:trPr>
          <w:trHeight w:val="283"/>
          <w:jc w:val="center"/>
        </w:trPr>
        <w:tc>
          <w:tcPr>
            <w:tcW w:w="784" w:type="dxa"/>
            <w:tcBorders>
              <w:top w:val="single" w:sz="4" w:space="0" w:color="auto"/>
              <w:left w:val="single" w:sz="4" w:space="0" w:color="auto"/>
              <w:bottom w:val="single" w:sz="4" w:space="0" w:color="auto"/>
              <w:right w:val="single" w:sz="4" w:space="0" w:color="auto"/>
            </w:tcBorders>
            <w:noWrap/>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lastRenderedPageBreak/>
              <w:t>41522</w:t>
            </w:r>
          </w:p>
        </w:tc>
        <w:tc>
          <w:tcPr>
            <w:tcW w:w="2742"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rPr>
                <w:rFonts w:ascii="Arial" w:hAnsi="Arial" w:cs="Arial"/>
                <w:sz w:val="16"/>
                <w:szCs w:val="16"/>
              </w:rPr>
            </w:pPr>
            <w:r w:rsidRPr="00C50098">
              <w:rPr>
                <w:rFonts w:ascii="Arial" w:hAnsi="Arial" w:cs="Arial"/>
                <w:sz w:val="16"/>
                <w:szCs w:val="16"/>
              </w:rPr>
              <w:t>Instituto para el Medio Ambiente y Desarrollo Sustentable de Colima</w:t>
            </w:r>
          </w:p>
        </w:tc>
        <w:tc>
          <w:tcPr>
            <w:tcW w:w="660"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1</w:t>
            </w:r>
          </w:p>
        </w:tc>
        <w:tc>
          <w:tcPr>
            <w:tcW w:w="1313"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0B15CD">
            <w:pPr>
              <w:jc w:val="right"/>
              <w:rPr>
                <w:rFonts w:ascii="Arial" w:hAnsi="Arial" w:cs="Arial"/>
                <w:sz w:val="16"/>
                <w:szCs w:val="16"/>
              </w:rPr>
            </w:pPr>
            <w:r w:rsidRPr="00C50098">
              <w:rPr>
                <w:rFonts w:ascii="Arial" w:hAnsi="Arial" w:cs="Arial"/>
                <w:sz w:val="16"/>
                <w:szCs w:val="16"/>
              </w:rPr>
              <w:t>8,206,508</w:t>
            </w:r>
          </w:p>
        </w:tc>
        <w:tc>
          <w:tcPr>
            <w:tcW w:w="1097"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100</w:t>
            </w:r>
          </w:p>
        </w:tc>
        <w:tc>
          <w:tcPr>
            <w:tcW w:w="567"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10</w:t>
            </w:r>
          </w:p>
        </w:tc>
      </w:tr>
      <w:tr w:rsidR="00906AFB" w:rsidRPr="00C50098" w:rsidTr="000B15CD">
        <w:trPr>
          <w:trHeight w:val="283"/>
          <w:jc w:val="center"/>
        </w:trPr>
        <w:tc>
          <w:tcPr>
            <w:tcW w:w="784" w:type="dxa"/>
            <w:tcBorders>
              <w:top w:val="single" w:sz="4" w:space="0" w:color="auto"/>
              <w:left w:val="single" w:sz="4" w:space="0" w:color="auto"/>
              <w:bottom w:val="single" w:sz="4" w:space="0" w:color="auto"/>
              <w:right w:val="single" w:sz="4" w:space="0" w:color="auto"/>
            </w:tcBorders>
            <w:noWrap/>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41523</w:t>
            </w:r>
          </w:p>
        </w:tc>
        <w:tc>
          <w:tcPr>
            <w:tcW w:w="2742" w:type="dxa"/>
            <w:tcBorders>
              <w:top w:val="single" w:sz="4" w:space="0" w:color="auto"/>
              <w:left w:val="single" w:sz="4" w:space="0" w:color="auto"/>
              <w:bottom w:val="single" w:sz="4" w:space="0" w:color="auto"/>
              <w:right w:val="single" w:sz="4" w:space="0" w:color="auto"/>
            </w:tcBorders>
            <w:noWrap/>
            <w:vAlign w:val="center"/>
            <w:hideMark/>
          </w:tcPr>
          <w:p w:rsidR="00906AFB" w:rsidRPr="00C50098" w:rsidRDefault="00906AFB" w:rsidP="00906AFB">
            <w:pPr>
              <w:rPr>
                <w:rFonts w:ascii="Arial" w:hAnsi="Arial" w:cs="Arial"/>
                <w:sz w:val="16"/>
                <w:szCs w:val="16"/>
              </w:rPr>
            </w:pPr>
            <w:r w:rsidRPr="00C50098">
              <w:rPr>
                <w:rFonts w:ascii="Arial" w:hAnsi="Arial" w:cs="Arial"/>
                <w:sz w:val="16"/>
                <w:szCs w:val="16"/>
              </w:rPr>
              <w:t>Instituto para el Registro del Territorio</w:t>
            </w:r>
          </w:p>
        </w:tc>
        <w:tc>
          <w:tcPr>
            <w:tcW w:w="660"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1</w:t>
            </w:r>
          </w:p>
        </w:tc>
        <w:tc>
          <w:tcPr>
            <w:tcW w:w="1313"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0B15CD">
            <w:pPr>
              <w:tabs>
                <w:tab w:val="center" w:pos="600"/>
                <w:tab w:val="right" w:pos="1201"/>
              </w:tabs>
              <w:jc w:val="right"/>
              <w:rPr>
                <w:rFonts w:ascii="Arial" w:hAnsi="Arial" w:cs="Arial"/>
                <w:sz w:val="16"/>
                <w:szCs w:val="16"/>
              </w:rPr>
            </w:pPr>
            <w:r w:rsidRPr="00C50098">
              <w:rPr>
                <w:rFonts w:ascii="Arial" w:hAnsi="Arial" w:cs="Arial"/>
                <w:sz w:val="16"/>
                <w:szCs w:val="16"/>
              </w:rPr>
              <w:t>25,774,686</w:t>
            </w:r>
          </w:p>
        </w:tc>
        <w:tc>
          <w:tcPr>
            <w:tcW w:w="1097"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100</w:t>
            </w:r>
          </w:p>
        </w:tc>
        <w:tc>
          <w:tcPr>
            <w:tcW w:w="567"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11</w:t>
            </w:r>
          </w:p>
        </w:tc>
      </w:tr>
      <w:tr w:rsidR="00906AFB" w:rsidRPr="00C50098" w:rsidTr="000B15CD">
        <w:trPr>
          <w:trHeight w:val="283"/>
          <w:jc w:val="center"/>
        </w:trPr>
        <w:tc>
          <w:tcPr>
            <w:tcW w:w="784" w:type="dxa"/>
            <w:tcBorders>
              <w:top w:val="single" w:sz="4" w:space="0" w:color="auto"/>
              <w:left w:val="single" w:sz="4" w:space="0" w:color="auto"/>
              <w:bottom w:val="single" w:sz="4" w:space="0" w:color="auto"/>
              <w:right w:val="single" w:sz="4" w:space="0" w:color="auto"/>
            </w:tcBorders>
            <w:noWrap/>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44301</w:t>
            </w:r>
          </w:p>
        </w:tc>
        <w:tc>
          <w:tcPr>
            <w:tcW w:w="2742" w:type="dxa"/>
            <w:tcBorders>
              <w:top w:val="single" w:sz="4" w:space="0" w:color="auto"/>
              <w:left w:val="single" w:sz="4" w:space="0" w:color="auto"/>
              <w:bottom w:val="single" w:sz="4" w:space="0" w:color="auto"/>
              <w:right w:val="single" w:sz="4" w:space="0" w:color="auto"/>
            </w:tcBorders>
            <w:noWrap/>
            <w:vAlign w:val="center"/>
            <w:hideMark/>
          </w:tcPr>
          <w:p w:rsidR="00906AFB" w:rsidRPr="00C50098" w:rsidRDefault="00906AFB" w:rsidP="00906AFB">
            <w:pPr>
              <w:rPr>
                <w:rFonts w:ascii="Arial" w:hAnsi="Arial" w:cs="Arial"/>
                <w:sz w:val="16"/>
                <w:szCs w:val="16"/>
              </w:rPr>
            </w:pPr>
            <w:r w:rsidRPr="00C50098">
              <w:rPr>
                <w:rFonts w:ascii="Arial" w:hAnsi="Arial" w:cs="Arial"/>
                <w:sz w:val="16"/>
                <w:szCs w:val="16"/>
              </w:rPr>
              <w:t>Instituto Tecnológico de Colima</w:t>
            </w:r>
          </w:p>
        </w:tc>
        <w:tc>
          <w:tcPr>
            <w:tcW w:w="660"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1</w:t>
            </w:r>
          </w:p>
        </w:tc>
        <w:tc>
          <w:tcPr>
            <w:tcW w:w="1313"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0B15CD">
            <w:pPr>
              <w:tabs>
                <w:tab w:val="center" w:pos="600"/>
                <w:tab w:val="right" w:pos="1201"/>
              </w:tabs>
              <w:jc w:val="right"/>
              <w:rPr>
                <w:rFonts w:ascii="Arial" w:hAnsi="Arial" w:cs="Arial"/>
                <w:sz w:val="16"/>
                <w:szCs w:val="16"/>
              </w:rPr>
            </w:pPr>
            <w:r w:rsidRPr="00C50098">
              <w:rPr>
                <w:rFonts w:ascii="Arial" w:hAnsi="Arial" w:cs="Arial"/>
                <w:sz w:val="16"/>
                <w:szCs w:val="16"/>
              </w:rPr>
              <w:t>1,957,263</w:t>
            </w:r>
          </w:p>
        </w:tc>
        <w:tc>
          <w:tcPr>
            <w:tcW w:w="1097"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100</w:t>
            </w:r>
          </w:p>
        </w:tc>
        <w:tc>
          <w:tcPr>
            <w:tcW w:w="567"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8</w:t>
            </w:r>
          </w:p>
        </w:tc>
      </w:tr>
      <w:tr w:rsidR="00906AFB" w:rsidRPr="00C50098" w:rsidTr="000B15CD">
        <w:trPr>
          <w:trHeight w:val="283"/>
          <w:jc w:val="center"/>
        </w:trPr>
        <w:tc>
          <w:tcPr>
            <w:tcW w:w="784" w:type="dxa"/>
            <w:tcBorders>
              <w:top w:val="single" w:sz="4" w:space="0" w:color="auto"/>
              <w:left w:val="single" w:sz="4" w:space="0" w:color="auto"/>
              <w:bottom w:val="single" w:sz="4" w:space="0" w:color="auto"/>
              <w:right w:val="single" w:sz="4" w:space="0" w:color="auto"/>
            </w:tcBorders>
            <w:noWrap/>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44801</w:t>
            </w:r>
          </w:p>
        </w:tc>
        <w:tc>
          <w:tcPr>
            <w:tcW w:w="2742" w:type="dxa"/>
            <w:tcBorders>
              <w:top w:val="single" w:sz="4" w:space="0" w:color="auto"/>
              <w:left w:val="single" w:sz="4" w:space="0" w:color="auto"/>
              <w:bottom w:val="single" w:sz="4" w:space="0" w:color="auto"/>
              <w:right w:val="single" w:sz="4" w:space="0" w:color="auto"/>
            </w:tcBorders>
            <w:noWrap/>
            <w:vAlign w:val="center"/>
            <w:hideMark/>
          </w:tcPr>
          <w:p w:rsidR="00906AFB" w:rsidRPr="00C50098" w:rsidRDefault="00906AFB" w:rsidP="00906AFB">
            <w:pPr>
              <w:rPr>
                <w:rFonts w:ascii="Arial" w:hAnsi="Arial" w:cs="Arial"/>
                <w:sz w:val="16"/>
                <w:szCs w:val="16"/>
              </w:rPr>
            </w:pPr>
            <w:r w:rsidRPr="00C50098">
              <w:rPr>
                <w:rFonts w:ascii="Arial" w:hAnsi="Arial" w:cs="Arial"/>
                <w:sz w:val="16"/>
                <w:szCs w:val="16"/>
              </w:rPr>
              <w:t>Unidad Estatal de Protección Civil</w:t>
            </w:r>
          </w:p>
        </w:tc>
        <w:tc>
          <w:tcPr>
            <w:tcW w:w="660"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1</w:t>
            </w:r>
          </w:p>
        </w:tc>
        <w:tc>
          <w:tcPr>
            <w:tcW w:w="1313"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0B15CD">
            <w:pPr>
              <w:tabs>
                <w:tab w:val="center" w:pos="600"/>
                <w:tab w:val="right" w:pos="1201"/>
              </w:tabs>
              <w:jc w:val="right"/>
              <w:rPr>
                <w:rFonts w:ascii="Arial" w:hAnsi="Arial" w:cs="Arial"/>
                <w:sz w:val="16"/>
                <w:szCs w:val="16"/>
              </w:rPr>
            </w:pPr>
            <w:r w:rsidRPr="00C50098">
              <w:rPr>
                <w:rFonts w:ascii="Arial" w:hAnsi="Arial" w:cs="Arial"/>
                <w:sz w:val="16"/>
                <w:szCs w:val="16"/>
              </w:rPr>
              <w:t>11,221,523</w:t>
            </w:r>
          </w:p>
        </w:tc>
        <w:tc>
          <w:tcPr>
            <w:tcW w:w="1097"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100</w:t>
            </w:r>
          </w:p>
        </w:tc>
        <w:tc>
          <w:tcPr>
            <w:tcW w:w="567"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11</w:t>
            </w:r>
          </w:p>
        </w:tc>
      </w:tr>
      <w:tr w:rsidR="00906AFB" w:rsidRPr="00C50098" w:rsidTr="000B15CD">
        <w:trPr>
          <w:trHeight w:val="283"/>
          <w:jc w:val="center"/>
        </w:trPr>
        <w:tc>
          <w:tcPr>
            <w:tcW w:w="784" w:type="dxa"/>
            <w:tcBorders>
              <w:top w:val="single" w:sz="4" w:space="0" w:color="auto"/>
              <w:left w:val="single" w:sz="4" w:space="0" w:color="auto"/>
              <w:bottom w:val="single" w:sz="4" w:space="0" w:color="auto"/>
              <w:right w:val="single" w:sz="4" w:space="0" w:color="auto"/>
            </w:tcBorders>
            <w:noWrap/>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41512</w:t>
            </w:r>
          </w:p>
        </w:tc>
        <w:tc>
          <w:tcPr>
            <w:tcW w:w="2742"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rPr>
                <w:rFonts w:ascii="Arial" w:hAnsi="Arial" w:cs="Arial"/>
                <w:sz w:val="16"/>
                <w:szCs w:val="16"/>
              </w:rPr>
            </w:pPr>
            <w:r w:rsidRPr="00C50098">
              <w:rPr>
                <w:rFonts w:ascii="Arial" w:hAnsi="Arial" w:cs="Arial"/>
                <w:sz w:val="16"/>
                <w:szCs w:val="16"/>
              </w:rPr>
              <w:t>Centro Estatal para la Prevención y Violencia Familiar</w:t>
            </w:r>
          </w:p>
        </w:tc>
        <w:tc>
          <w:tcPr>
            <w:tcW w:w="660"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1</w:t>
            </w:r>
          </w:p>
        </w:tc>
        <w:tc>
          <w:tcPr>
            <w:tcW w:w="1313"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0B15CD">
            <w:pPr>
              <w:tabs>
                <w:tab w:val="center" w:pos="600"/>
                <w:tab w:val="right" w:pos="1201"/>
              </w:tabs>
              <w:jc w:val="right"/>
              <w:rPr>
                <w:rFonts w:ascii="Arial" w:hAnsi="Arial" w:cs="Arial"/>
                <w:sz w:val="16"/>
                <w:szCs w:val="16"/>
              </w:rPr>
            </w:pPr>
            <w:r w:rsidRPr="00C50098">
              <w:rPr>
                <w:rFonts w:ascii="Arial" w:hAnsi="Arial" w:cs="Arial"/>
                <w:sz w:val="16"/>
                <w:szCs w:val="16"/>
              </w:rPr>
              <w:t>3,295,682</w:t>
            </w:r>
          </w:p>
        </w:tc>
        <w:tc>
          <w:tcPr>
            <w:tcW w:w="1097"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100</w:t>
            </w:r>
          </w:p>
        </w:tc>
        <w:tc>
          <w:tcPr>
            <w:tcW w:w="567"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7</w:t>
            </w:r>
          </w:p>
        </w:tc>
      </w:tr>
      <w:tr w:rsidR="00906AFB" w:rsidRPr="00C50098" w:rsidTr="000B15CD">
        <w:trPr>
          <w:trHeight w:val="283"/>
          <w:jc w:val="center"/>
        </w:trPr>
        <w:tc>
          <w:tcPr>
            <w:tcW w:w="784" w:type="dxa"/>
            <w:tcBorders>
              <w:top w:val="single" w:sz="4" w:space="0" w:color="auto"/>
              <w:left w:val="single" w:sz="4" w:space="0" w:color="auto"/>
              <w:bottom w:val="single" w:sz="4" w:space="0" w:color="auto"/>
              <w:right w:val="single" w:sz="4" w:space="0" w:color="auto"/>
            </w:tcBorders>
            <w:noWrap/>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44305</w:t>
            </w:r>
          </w:p>
        </w:tc>
        <w:tc>
          <w:tcPr>
            <w:tcW w:w="2742"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rPr>
                <w:rFonts w:ascii="Arial" w:hAnsi="Arial" w:cs="Arial"/>
                <w:sz w:val="16"/>
                <w:szCs w:val="16"/>
              </w:rPr>
            </w:pPr>
            <w:r w:rsidRPr="00C50098">
              <w:rPr>
                <w:rFonts w:ascii="Arial" w:hAnsi="Arial" w:cs="Arial"/>
                <w:sz w:val="16"/>
                <w:szCs w:val="16"/>
              </w:rPr>
              <w:t>Instituto Estatal de Educación para Adultos</w:t>
            </w:r>
          </w:p>
        </w:tc>
        <w:tc>
          <w:tcPr>
            <w:tcW w:w="660"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1</w:t>
            </w:r>
          </w:p>
        </w:tc>
        <w:tc>
          <w:tcPr>
            <w:tcW w:w="1313"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0B15CD">
            <w:pPr>
              <w:tabs>
                <w:tab w:val="center" w:pos="600"/>
                <w:tab w:val="right" w:pos="1201"/>
              </w:tabs>
              <w:jc w:val="right"/>
              <w:rPr>
                <w:rFonts w:ascii="Arial" w:hAnsi="Arial" w:cs="Arial"/>
                <w:sz w:val="16"/>
                <w:szCs w:val="16"/>
              </w:rPr>
            </w:pPr>
            <w:r w:rsidRPr="00C50098">
              <w:rPr>
                <w:rFonts w:ascii="Arial" w:hAnsi="Arial" w:cs="Arial"/>
                <w:sz w:val="16"/>
                <w:szCs w:val="16"/>
              </w:rPr>
              <w:t>2,500,000</w:t>
            </w:r>
          </w:p>
        </w:tc>
        <w:tc>
          <w:tcPr>
            <w:tcW w:w="1097"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100</w:t>
            </w:r>
          </w:p>
        </w:tc>
        <w:tc>
          <w:tcPr>
            <w:tcW w:w="567"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sz w:val="16"/>
                <w:szCs w:val="16"/>
              </w:rPr>
            </w:pPr>
            <w:r w:rsidRPr="00C50098">
              <w:rPr>
                <w:rFonts w:ascii="Arial" w:hAnsi="Arial" w:cs="Arial"/>
                <w:sz w:val="16"/>
                <w:szCs w:val="16"/>
              </w:rPr>
              <w:t>5</w:t>
            </w:r>
          </w:p>
        </w:tc>
      </w:tr>
      <w:tr w:rsidR="00906AFB" w:rsidRPr="00C50098" w:rsidTr="00FD430F">
        <w:trPr>
          <w:trHeight w:val="283"/>
          <w:jc w:val="center"/>
        </w:trPr>
        <w:tc>
          <w:tcPr>
            <w:tcW w:w="784" w:type="dxa"/>
            <w:tcBorders>
              <w:top w:val="single" w:sz="4" w:space="0" w:color="auto"/>
              <w:left w:val="single" w:sz="4" w:space="0" w:color="auto"/>
              <w:bottom w:val="single" w:sz="4" w:space="0" w:color="auto"/>
              <w:right w:val="single" w:sz="4" w:space="0" w:color="auto"/>
            </w:tcBorders>
            <w:noWrap/>
            <w:vAlign w:val="center"/>
          </w:tcPr>
          <w:p w:rsidR="00906AFB" w:rsidRPr="00C50098" w:rsidRDefault="00906AFB" w:rsidP="00906AFB">
            <w:pPr>
              <w:jc w:val="center"/>
              <w:rPr>
                <w:rFonts w:ascii="Arial" w:hAnsi="Arial" w:cs="Arial"/>
                <w:sz w:val="16"/>
                <w:szCs w:val="16"/>
              </w:rPr>
            </w:pPr>
          </w:p>
        </w:tc>
        <w:tc>
          <w:tcPr>
            <w:tcW w:w="2742" w:type="dxa"/>
            <w:tcBorders>
              <w:top w:val="single" w:sz="4" w:space="0" w:color="auto"/>
              <w:left w:val="single" w:sz="4" w:space="0" w:color="auto"/>
              <w:bottom w:val="single" w:sz="4" w:space="0" w:color="auto"/>
              <w:right w:val="single" w:sz="4" w:space="0" w:color="auto"/>
            </w:tcBorders>
            <w:noWrap/>
            <w:vAlign w:val="center"/>
            <w:hideMark/>
          </w:tcPr>
          <w:p w:rsidR="00906AFB" w:rsidRPr="00C50098" w:rsidRDefault="00906AFB" w:rsidP="00906AFB">
            <w:pPr>
              <w:jc w:val="center"/>
              <w:rPr>
                <w:rFonts w:ascii="Arial" w:hAnsi="Arial" w:cs="Arial"/>
                <w:b/>
                <w:sz w:val="16"/>
                <w:szCs w:val="16"/>
              </w:rPr>
            </w:pPr>
            <w:r w:rsidRPr="00C50098">
              <w:rPr>
                <w:rFonts w:ascii="Arial" w:hAnsi="Arial" w:cs="Arial"/>
                <w:b/>
                <w:sz w:val="16"/>
                <w:szCs w:val="16"/>
              </w:rPr>
              <w:t>SubTotal</w:t>
            </w:r>
          </w:p>
        </w:tc>
        <w:tc>
          <w:tcPr>
            <w:tcW w:w="660"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b/>
                <w:sz w:val="16"/>
                <w:szCs w:val="16"/>
              </w:rPr>
            </w:pPr>
            <w:r w:rsidRPr="00C50098">
              <w:rPr>
                <w:rFonts w:ascii="Arial" w:hAnsi="Arial" w:cs="Arial"/>
                <w:b/>
                <w:sz w:val="16"/>
                <w:szCs w:val="16"/>
              </w:rPr>
              <w:t>74</w:t>
            </w:r>
          </w:p>
        </w:tc>
        <w:tc>
          <w:tcPr>
            <w:tcW w:w="1313"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0B15CD" w:rsidP="00906AFB">
            <w:pPr>
              <w:jc w:val="right"/>
              <w:rPr>
                <w:rFonts w:ascii="Arial" w:hAnsi="Arial" w:cs="Arial"/>
                <w:b/>
                <w:sz w:val="14"/>
                <w:szCs w:val="16"/>
              </w:rPr>
            </w:pPr>
            <w:r w:rsidRPr="000B15CD">
              <w:rPr>
                <w:rFonts w:ascii="Arial" w:hAnsi="Arial" w:cs="Arial"/>
                <w:b/>
                <w:sz w:val="14"/>
                <w:szCs w:val="16"/>
              </w:rPr>
              <w:t>12,930,640,568</w:t>
            </w:r>
          </w:p>
        </w:tc>
        <w:tc>
          <w:tcPr>
            <w:tcW w:w="1097"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b/>
                <w:sz w:val="16"/>
                <w:szCs w:val="16"/>
              </w:rPr>
            </w:pPr>
            <w:r w:rsidRPr="00C50098">
              <w:rPr>
                <w:rFonts w:ascii="Arial" w:hAnsi="Arial" w:cs="Arial"/>
                <w:b/>
                <w:sz w:val="16"/>
                <w:szCs w:val="16"/>
              </w:rPr>
              <w:t>100</w:t>
            </w:r>
          </w:p>
        </w:tc>
        <w:tc>
          <w:tcPr>
            <w:tcW w:w="567"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b/>
                <w:sz w:val="16"/>
                <w:szCs w:val="16"/>
              </w:rPr>
            </w:pPr>
            <w:r w:rsidRPr="00C50098">
              <w:rPr>
                <w:rFonts w:ascii="Arial" w:hAnsi="Arial" w:cs="Arial"/>
                <w:b/>
                <w:sz w:val="16"/>
                <w:szCs w:val="16"/>
              </w:rPr>
              <w:t>74</w:t>
            </w:r>
          </w:p>
        </w:tc>
        <w:tc>
          <w:tcPr>
            <w:tcW w:w="1134"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906AFB" w:rsidP="00906AFB">
            <w:pPr>
              <w:jc w:val="center"/>
              <w:rPr>
                <w:rFonts w:ascii="Arial" w:hAnsi="Arial" w:cs="Arial"/>
                <w:b/>
                <w:sz w:val="16"/>
                <w:szCs w:val="16"/>
              </w:rPr>
            </w:pPr>
            <w:r w:rsidRPr="00C50098">
              <w:rPr>
                <w:rFonts w:ascii="Arial" w:hAnsi="Arial" w:cs="Arial"/>
                <w:b/>
                <w:sz w:val="16"/>
                <w:szCs w:val="16"/>
              </w:rPr>
              <w:t>1,026</w:t>
            </w:r>
          </w:p>
        </w:tc>
      </w:tr>
      <w:tr w:rsidR="00906AFB" w:rsidRPr="00C50098" w:rsidTr="00FD430F">
        <w:trPr>
          <w:trHeight w:val="283"/>
          <w:jc w:val="center"/>
        </w:trPr>
        <w:tc>
          <w:tcPr>
            <w:tcW w:w="784" w:type="dxa"/>
            <w:tcBorders>
              <w:top w:val="single" w:sz="4" w:space="0" w:color="auto"/>
              <w:left w:val="single" w:sz="4" w:space="0" w:color="auto"/>
              <w:bottom w:val="single" w:sz="4" w:space="0" w:color="auto"/>
              <w:right w:val="single" w:sz="4" w:space="0" w:color="auto"/>
            </w:tcBorders>
            <w:noWrap/>
          </w:tcPr>
          <w:p w:rsidR="00906AFB" w:rsidRPr="00C50098" w:rsidRDefault="00906AFB" w:rsidP="00906AFB">
            <w:pPr>
              <w:jc w:val="center"/>
              <w:rPr>
                <w:rFonts w:ascii="Arial" w:hAnsi="Arial" w:cs="Arial"/>
                <w:sz w:val="16"/>
                <w:szCs w:val="16"/>
              </w:rPr>
            </w:pPr>
          </w:p>
        </w:tc>
        <w:tc>
          <w:tcPr>
            <w:tcW w:w="2742" w:type="dxa"/>
            <w:tcBorders>
              <w:top w:val="single" w:sz="4" w:space="0" w:color="auto"/>
              <w:left w:val="single" w:sz="4" w:space="0" w:color="auto"/>
              <w:bottom w:val="single" w:sz="4" w:space="0" w:color="auto"/>
              <w:right w:val="single" w:sz="4" w:space="0" w:color="auto"/>
            </w:tcBorders>
            <w:noWrap/>
            <w:vAlign w:val="center"/>
            <w:hideMark/>
          </w:tcPr>
          <w:p w:rsidR="00906AFB" w:rsidRPr="00C50098" w:rsidRDefault="00906AFB" w:rsidP="00906AFB">
            <w:pPr>
              <w:jc w:val="center"/>
              <w:rPr>
                <w:rFonts w:ascii="Arial" w:hAnsi="Arial" w:cs="Arial"/>
                <w:b/>
                <w:sz w:val="16"/>
                <w:szCs w:val="16"/>
              </w:rPr>
            </w:pPr>
            <w:r w:rsidRPr="00C50098">
              <w:rPr>
                <w:rFonts w:ascii="Arial" w:hAnsi="Arial" w:cs="Arial"/>
                <w:b/>
                <w:sz w:val="16"/>
                <w:szCs w:val="16"/>
              </w:rPr>
              <w:t>Total Presupuesto de Egresos</w:t>
            </w:r>
          </w:p>
        </w:tc>
        <w:tc>
          <w:tcPr>
            <w:tcW w:w="660" w:type="dxa"/>
            <w:tcBorders>
              <w:top w:val="single" w:sz="4" w:space="0" w:color="auto"/>
              <w:left w:val="single" w:sz="4" w:space="0" w:color="auto"/>
              <w:bottom w:val="single" w:sz="4" w:space="0" w:color="auto"/>
              <w:right w:val="single" w:sz="4" w:space="0" w:color="auto"/>
            </w:tcBorders>
            <w:vAlign w:val="center"/>
          </w:tcPr>
          <w:p w:rsidR="00906AFB" w:rsidRPr="00C50098" w:rsidRDefault="00906AFB" w:rsidP="00906AFB">
            <w:pPr>
              <w:jc w:val="center"/>
              <w:rPr>
                <w:rFonts w:ascii="Arial" w:hAnsi="Arial" w:cs="Arial"/>
                <w:sz w:val="16"/>
                <w:szCs w:val="16"/>
              </w:rPr>
            </w:pPr>
          </w:p>
        </w:tc>
        <w:tc>
          <w:tcPr>
            <w:tcW w:w="1313"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0B15CD" w:rsidP="00906AFB">
            <w:pPr>
              <w:jc w:val="right"/>
              <w:rPr>
                <w:rFonts w:ascii="Arial" w:hAnsi="Arial" w:cs="Arial"/>
                <w:b/>
                <w:sz w:val="14"/>
                <w:szCs w:val="16"/>
              </w:rPr>
            </w:pPr>
            <w:r w:rsidRPr="000B15CD">
              <w:rPr>
                <w:rFonts w:ascii="Arial" w:hAnsi="Arial" w:cs="Arial"/>
                <w:b/>
                <w:sz w:val="14"/>
                <w:szCs w:val="16"/>
              </w:rPr>
              <w:t>15,517,525,000</w:t>
            </w:r>
          </w:p>
        </w:tc>
        <w:tc>
          <w:tcPr>
            <w:tcW w:w="1097" w:type="dxa"/>
            <w:tcBorders>
              <w:top w:val="single" w:sz="4" w:space="0" w:color="auto"/>
              <w:left w:val="single" w:sz="4" w:space="0" w:color="auto"/>
              <w:bottom w:val="single" w:sz="4" w:space="0" w:color="auto"/>
              <w:right w:val="single" w:sz="4" w:space="0" w:color="auto"/>
            </w:tcBorders>
            <w:vAlign w:val="center"/>
          </w:tcPr>
          <w:p w:rsidR="00906AFB" w:rsidRPr="00C50098" w:rsidRDefault="00906AFB" w:rsidP="00906AFB">
            <w:pPr>
              <w:jc w:val="center"/>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906AFB" w:rsidRPr="00C50098" w:rsidRDefault="00906AFB" w:rsidP="00906AFB">
            <w:pPr>
              <w:jc w:val="center"/>
              <w:rPr>
                <w:rFonts w:ascii="Arial" w:hAnsi="Arial" w:cs="Arial"/>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rsidR="00906AFB" w:rsidRPr="00C50098" w:rsidRDefault="00906AFB" w:rsidP="00906AFB">
            <w:pPr>
              <w:jc w:val="center"/>
              <w:rPr>
                <w:rFonts w:ascii="Arial" w:hAnsi="Arial" w:cs="Arial"/>
                <w:sz w:val="16"/>
                <w:szCs w:val="16"/>
              </w:rPr>
            </w:pPr>
          </w:p>
        </w:tc>
      </w:tr>
      <w:tr w:rsidR="00906AFB" w:rsidRPr="00C50098" w:rsidTr="00FD430F">
        <w:trPr>
          <w:trHeight w:val="283"/>
          <w:jc w:val="center"/>
        </w:trPr>
        <w:tc>
          <w:tcPr>
            <w:tcW w:w="784" w:type="dxa"/>
            <w:tcBorders>
              <w:top w:val="single" w:sz="4" w:space="0" w:color="auto"/>
              <w:left w:val="single" w:sz="4" w:space="0" w:color="auto"/>
              <w:bottom w:val="single" w:sz="4" w:space="0" w:color="auto"/>
              <w:right w:val="single" w:sz="4" w:space="0" w:color="auto"/>
            </w:tcBorders>
            <w:noWrap/>
          </w:tcPr>
          <w:p w:rsidR="00906AFB" w:rsidRPr="00C50098" w:rsidRDefault="00906AFB" w:rsidP="00906AFB">
            <w:pPr>
              <w:jc w:val="center"/>
              <w:rPr>
                <w:rFonts w:ascii="Arial" w:hAnsi="Arial" w:cs="Arial"/>
                <w:sz w:val="16"/>
                <w:szCs w:val="16"/>
              </w:rPr>
            </w:pPr>
          </w:p>
        </w:tc>
        <w:tc>
          <w:tcPr>
            <w:tcW w:w="2742" w:type="dxa"/>
            <w:tcBorders>
              <w:top w:val="single" w:sz="4" w:space="0" w:color="auto"/>
              <w:left w:val="single" w:sz="4" w:space="0" w:color="auto"/>
              <w:bottom w:val="single" w:sz="4" w:space="0" w:color="auto"/>
              <w:right w:val="single" w:sz="4" w:space="0" w:color="auto"/>
            </w:tcBorders>
            <w:noWrap/>
            <w:vAlign w:val="center"/>
            <w:hideMark/>
          </w:tcPr>
          <w:p w:rsidR="00906AFB" w:rsidRPr="00C50098" w:rsidRDefault="00906AFB" w:rsidP="00906AFB">
            <w:pPr>
              <w:jc w:val="center"/>
              <w:rPr>
                <w:rFonts w:ascii="Arial" w:hAnsi="Arial" w:cs="Arial"/>
                <w:b/>
                <w:sz w:val="16"/>
                <w:szCs w:val="16"/>
              </w:rPr>
            </w:pPr>
            <w:r w:rsidRPr="00C50098">
              <w:rPr>
                <w:rFonts w:ascii="Arial" w:hAnsi="Arial" w:cs="Arial"/>
                <w:b/>
                <w:sz w:val="16"/>
                <w:szCs w:val="16"/>
              </w:rPr>
              <w:t>Presupuesto PbR (%)</w:t>
            </w:r>
          </w:p>
        </w:tc>
        <w:tc>
          <w:tcPr>
            <w:tcW w:w="660" w:type="dxa"/>
            <w:tcBorders>
              <w:top w:val="single" w:sz="4" w:space="0" w:color="auto"/>
              <w:left w:val="single" w:sz="4" w:space="0" w:color="auto"/>
              <w:bottom w:val="single" w:sz="4" w:space="0" w:color="auto"/>
              <w:right w:val="single" w:sz="4" w:space="0" w:color="auto"/>
            </w:tcBorders>
          </w:tcPr>
          <w:p w:rsidR="00906AFB" w:rsidRPr="00C50098" w:rsidRDefault="00906AFB" w:rsidP="00906AFB">
            <w:pPr>
              <w:jc w:val="center"/>
              <w:rPr>
                <w:rFonts w:ascii="Arial" w:hAnsi="Arial" w:cs="Arial"/>
                <w:sz w:val="16"/>
                <w:szCs w:val="16"/>
              </w:rPr>
            </w:pPr>
          </w:p>
        </w:tc>
        <w:tc>
          <w:tcPr>
            <w:tcW w:w="1313" w:type="dxa"/>
            <w:tcBorders>
              <w:top w:val="single" w:sz="4" w:space="0" w:color="auto"/>
              <w:left w:val="single" w:sz="4" w:space="0" w:color="auto"/>
              <w:bottom w:val="single" w:sz="4" w:space="0" w:color="auto"/>
              <w:right w:val="single" w:sz="4" w:space="0" w:color="auto"/>
            </w:tcBorders>
            <w:vAlign w:val="center"/>
            <w:hideMark/>
          </w:tcPr>
          <w:p w:rsidR="00906AFB" w:rsidRPr="00C50098" w:rsidRDefault="000B15CD" w:rsidP="000B15CD">
            <w:pPr>
              <w:jc w:val="right"/>
              <w:rPr>
                <w:rFonts w:ascii="Arial" w:hAnsi="Arial" w:cs="Arial"/>
                <w:b/>
                <w:sz w:val="16"/>
                <w:szCs w:val="16"/>
              </w:rPr>
            </w:pPr>
            <w:r w:rsidRPr="000B15CD">
              <w:rPr>
                <w:rFonts w:ascii="Arial" w:hAnsi="Arial" w:cs="Arial"/>
                <w:b/>
                <w:sz w:val="16"/>
                <w:szCs w:val="16"/>
              </w:rPr>
              <w:t>83.3%</w:t>
            </w:r>
          </w:p>
        </w:tc>
        <w:tc>
          <w:tcPr>
            <w:tcW w:w="1097" w:type="dxa"/>
            <w:tcBorders>
              <w:top w:val="single" w:sz="4" w:space="0" w:color="auto"/>
              <w:left w:val="single" w:sz="4" w:space="0" w:color="auto"/>
              <w:bottom w:val="single" w:sz="4" w:space="0" w:color="auto"/>
              <w:right w:val="single" w:sz="4" w:space="0" w:color="auto"/>
            </w:tcBorders>
          </w:tcPr>
          <w:p w:rsidR="00906AFB" w:rsidRPr="00C50098" w:rsidRDefault="00906AFB" w:rsidP="00906AFB">
            <w:pPr>
              <w:jc w:val="center"/>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tcPr>
          <w:p w:rsidR="00906AFB" w:rsidRPr="00C50098" w:rsidRDefault="00906AFB" w:rsidP="00906AFB">
            <w:pPr>
              <w:jc w:val="center"/>
              <w:rPr>
                <w:rFonts w:ascii="Arial" w:hAnsi="Arial" w:cs="Arial"/>
                <w:sz w:val="16"/>
                <w:szCs w:val="16"/>
              </w:rPr>
            </w:pPr>
          </w:p>
        </w:tc>
        <w:tc>
          <w:tcPr>
            <w:tcW w:w="1134" w:type="dxa"/>
            <w:tcBorders>
              <w:top w:val="single" w:sz="4" w:space="0" w:color="auto"/>
              <w:left w:val="single" w:sz="4" w:space="0" w:color="auto"/>
              <w:bottom w:val="single" w:sz="4" w:space="0" w:color="auto"/>
              <w:right w:val="single" w:sz="4" w:space="0" w:color="auto"/>
            </w:tcBorders>
          </w:tcPr>
          <w:p w:rsidR="00906AFB" w:rsidRPr="00C50098" w:rsidRDefault="00906AFB" w:rsidP="00906AFB">
            <w:pPr>
              <w:jc w:val="center"/>
              <w:rPr>
                <w:rFonts w:ascii="Arial" w:hAnsi="Arial" w:cs="Arial"/>
                <w:sz w:val="16"/>
                <w:szCs w:val="16"/>
              </w:rPr>
            </w:pPr>
          </w:p>
        </w:tc>
      </w:tr>
    </w:tbl>
    <w:p w:rsidR="00906AFB" w:rsidRPr="00906AFB" w:rsidRDefault="00906AFB" w:rsidP="00906AFB">
      <w:pPr>
        <w:spacing w:after="0" w:line="240" w:lineRule="auto"/>
        <w:jc w:val="center"/>
        <w:rPr>
          <w:rFonts w:ascii="Arial" w:eastAsia="Calibri" w:hAnsi="Arial" w:cs="Arial"/>
          <w:sz w:val="24"/>
          <w:szCs w:val="24"/>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sz w:val="24"/>
          <w:szCs w:val="24"/>
          <w:lang w:val="es-ES" w:eastAsia="en-US"/>
        </w:rPr>
        <w:t>Los Programas Presupuestarios tendrán la siguiente conformación, desglosados por fuentes de financiamiento Estatal y Federal:</w:t>
      </w:r>
    </w:p>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Pr="00906AFB" w:rsidRDefault="00906AFB" w:rsidP="00906AFB">
      <w:pPr>
        <w:keepNext/>
        <w:keepLines/>
        <w:spacing w:after="0" w:line="240" w:lineRule="auto"/>
        <w:jc w:val="center"/>
        <w:outlineLvl w:val="1"/>
        <w:rPr>
          <w:rFonts w:ascii="Arial" w:eastAsia="Times New Roman" w:hAnsi="Arial" w:cs="Times New Roman"/>
          <w:b/>
          <w:sz w:val="20"/>
          <w:szCs w:val="26"/>
          <w:lang w:val="es-ES" w:eastAsia="en-US"/>
        </w:rPr>
      </w:pPr>
      <w:r w:rsidRPr="00906AFB">
        <w:rPr>
          <w:rFonts w:ascii="Arial" w:eastAsia="Times New Roman" w:hAnsi="Arial" w:cs="Times New Roman"/>
          <w:b/>
          <w:sz w:val="20"/>
          <w:szCs w:val="26"/>
          <w:lang w:val="es-ES" w:eastAsia="en-US"/>
        </w:rPr>
        <w:t xml:space="preserve">Tabla </w:t>
      </w:r>
      <w:r w:rsidR="00CF4172">
        <w:rPr>
          <w:rFonts w:ascii="Arial" w:eastAsia="Times New Roman" w:hAnsi="Arial" w:cs="Times New Roman"/>
          <w:b/>
          <w:sz w:val="20"/>
          <w:szCs w:val="26"/>
          <w:lang w:val="es-ES" w:eastAsia="en-US"/>
        </w:rPr>
        <w:t>61</w:t>
      </w:r>
      <w:r w:rsidRPr="00906AFB">
        <w:rPr>
          <w:rFonts w:ascii="Arial" w:eastAsia="Times New Roman" w:hAnsi="Arial" w:cs="Times New Roman"/>
          <w:b/>
          <w:sz w:val="20"/>
          <w:szCs w:val="26"/>
          <w:lang w:val="es-ES" w:eastAsia="en-US"/>
        </w:rPr>
        <w:t>. Programas Presupuestarios (Por Fuente de Financiamiento)</w:t>
      </w:r>
    </w:p>
    <w:tbl>
      <w:tblPr>
        <w:tblStyle w:val="Tablaconcuadrcula2"/>
        <w:tblW w:w="0" w:type="auto"/>
        <w:jc w:val="center"/>
        <w:tblInd w:w="0" w:type="dxa"/>
        <w:tblLook w:val="04A0" w:firstRow="1" w:lastRow="0" w:firstColumn="1" w:lastColumn="0" w:noHBand="0" w:noVBand="1"/>
      </w:tblPr>
      <w:tblGrid>
        <w:gridCol w:w="675"/>
        <w:gridCol w:w="3004"/>
        <w:gridCol w:w="1347"/>
        <w:gridCol w:w="1275"/>
        <w:gridCol w:w="1275"/>
      </w:tblGrid>
      <w:tr w:rsidR="000B15CD" w:rsidRPr="00906AFB" w:rsidTr="000B15CD">
        <w:trPr>
          <w:trHeight w:val="283"/>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ind w:left="-142"/>
              <w:jc w:val="center"/>
              <w:rPr>
                <w:rFonts w:ascii="Arial" w:hAnsi="Arial" w:cs="Arial"/>
                <w:b/>
                <w:bCs/>
                <w:sz w:val="16"/>
                <w:szCs w:val="16"/>
              </w:rPr>
            </w:pPr>
            <w:r w:rsidRPr="00906AFB">
              <w:rPr>
                <w:rFonts w:ascii="Arial" w:hAnsi="Arial" w:cs="Arial"/>
                <w:b/>
                <w:bCs/>
                <w:sz w:val="16"/>
                <w:szCs w:val="16"/>
              </w:rPr>
              <w:t>Clave</w:t>
            </w:r>
          </w:p>
        </w:tc>
        <w:tc>
          <w:tcPr>
            <w:tcW w:w="3004"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jc w:val="center"/>
              <w:rPr>
                <w:rFonts w:ascii="Arial" w:hAnsi="Arial" w:cs="Arial"/>
                <w:b/>
                <w:bCs/>
                <w:sz w:val="16"/>
                <w:szCs w:val="16"/>
              </w:rPr>
            </w:pPr>
            <w:r w:rsidRPr="00906AFB">
              <w:rPr>
                <w:rFonts w:ascii="Arial" w:hAnsi="Arial" w:cs="Arial"/>
                <w:b/>
                <w:bCs/>
                <w:sz w:val="16"/>
                <w:szCs w:val="16"/>
              </w:rPr>
              <w:t>Programa Presupuestario</w:t>
            </w:r>
          </w:p>
        </w:tc>
        <w:tc>
          <w:tcPr>
            <w:tcW w:w="1347" w:type="dxa"/>
            <w:tcBorders>
              <w:top w:val="single" w:sz="4" w:space="0" w:color="auto"/>
              <w:left w:val="single" w:sz="4" w:space="0" w:color="auto"/>
              <w:bottom w:val="single" w:sz="4" w:space="0" w:color="auto"/>
              <w:right w:val="single" w:sz="4" w:space="0" w:color="auto"/>
            </w:tcBorders>
            <w:vAlign w:val="center"/>
            <w:hideMark/>
          </w:tcPr>
          <w:p w:rsidR="000B15CD" w:rsidRPr="002A5F70" w:rsidRDefault="000B15CD" w:rsidP="002A5F70">
            <w:pPr>
              <w:jc w:val="center"/>
              <w:rPr>
                <w:rFonts w:ascii="Arial" w:hAnsi="Arial" w:cs="Arial"/>
                <w:b/>
                <w:bCs/>
                <w:sz w:val="16"/>
                <w:szCs w:val="16"/>
              </w:rPr>
            </w:pPr>
            <w:r w:rsidRPr="002A5F70">
              <w:rPr>
                <w:rFonts w:ascii="Arial" w:hAnsi="Arial" w:cs="Arial"/>
                <w:b/>
                <w:bCs/>
                <w:sz w:val="16"/>
                <w:szCs w:val="16"/>
              </w:rPr>
              <w:t>Total</w:t>
            </w:r>
          </w:p>
        </w:tc>
        <w:tc>
          <w:tcPr>
            <w:tcW w:w="1275" w:type="dxa"/>
            <w:tcBorders>
              <w:top w:val="single" w:sz="4" w:space="0" w:color="auto"/>
              <w:left w:val="single" w:sz="4" w:space="0" w:color="auto"/>
              <w:bottom w:val="single" w:sz="4" w:space="0" w:color="auto"/>
              <w:right w:val="single" w:sz="4" w:space="0" w:color="auto"/>
            </w:tcBorders>
            <w:vAlign w:val="center"/>
            <w:hideMark/>
          </w:tcPr>
          <w:p w:rsidR="000B15CD" w:rsidRPr="002A5F70" w:rsidRDefault="000B15CD" w:rsidP="002A5F70">
            <w:pPr>
              <w:jc w:val="center"/>
              <w:rPr>
                <w:rFonts w:ascii="Arial" w:hAnsi="Arial" w:cs="Arial"/>
                <w:b/>
                <w:bCs/>
                <w:sz w:val="16"/>
                <w:szCs w:val="16"/>
              </w:rPr>
            </w:pPr>
            <w:r w:rsidRPr="002A5F70">
              <w:rPr>
                <w:rFonts w:ascii="Arial" w:hAnsi="Arial" w:cs="Arial"/>
                <w:b/>
                <w:bCs/>
                <w:sz w:val="16"/>
                <w:szCs w:val="16"/>
              </w:rPr>
              <w:t>Federal</w:t>
            </w:r>
          </w:p>
        </w:tc>
        <w:tc>
          <w:tcPr>
            <w:tcW w:w="1275" w:type="dxa"/>
            <w:tcBorders>
              <w:top w:val="single" w:sz="4" w:space="0" w:color="auto"/>
              <w:left w:val="single" w:sz="4" w:space="0" w:color="auto"/>
              <w:bottom w:val="single" w:sz="4" w:space="0" w:color="auto"/>
              <w:right w:val="single" w:sz="4" w:space="0" w:color="auto"/>
            </w:tcBorders>
            <w:vAlign w:val="center"/>
            <w:hideMark/>
          </w:tcPr>
          <w:p w:rsidR="000B15CD" w:rsidRPr="002A5F70" w:rsidRDefault="000B15CD" w:rsidP="002A5F70">
            <w:pPr>
              <w:jc w:val="center"/>
              <w:rPr>
                <w:rFonts w:ascii="Arial" w:hAnsi="Arial" w:cs="Arial"/>
                <w:b/>
                <w:bCs/>
                <w:sz w:val="16"/>
                <w:szCs w:val="16"/>
              </w:rPr>
            </w:pPr>
            <w:r w:rsidRPr="002A5F70">
              <w:rPr>
                <w:rFonts w:ascii="Arial" w:hAnsi="Arial" w:cs="Arial"/>
                <w:b/>
                <w:bCs/>
                <w:sz w:val="16"/>
                <w:szCs w:val="16"/>
              </w:rPr>
              <w:t>Estatal</w:t>
            </w:r>
          </w:p>
        </w:tc>
      </w:tr>
      <w:tr w:rsidR="000B15CD" w:rsidRPr="00906AFB" w:rsidTr="000B15CD">
        <w:trPr>
          <w:trHeight w:val="283"/>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ind w:left="-142"/>
              <w:jc w:val="center"/>
              <w:rPr>
                <w:rFonts w:ascii="Arial" w:hAnsi="Arial" w:cs="Arial"/>
                <w:sz w:val="16"/>
                <w:szCs w:val="16"/>
              </w:rPr>
            </w:pPr>
            <w:r w:rsidRPr="00906AFB">
              <w:rPr>
                <w:rFonts w:ascii="Arial" w:hAnsi="Arial" w:cs="Arial"/>
                <w:sz w:val="16"/>
                <w:szCs w:val="16"/>
              </w:rPr>
              <w:t>01</w:t>
            </w:r>
          </w:p>
        </w:tc>
        <w:tc>
          <w:tcPr>
            <w:tcW w:w="3004"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rPr>
                <w:rFonts w:ascii="Arial" w:hAnsi="Arial" w:cs="Arial"/>
                <w:sz w:val="16"/>
                <w:szCs w:val="16"/>
              </w:rPr>
            </w:pPr>
            <w:r w:rsidRPr="00906AFB">
              <w:rPr>
                <w:rFonts w:ascii="Arial" w:hAnsi="Arial" w:cs="Arial"/>
                <w:sz w:val="16"/>
                <w:szCs w:val="16"/>
              </w:rPr>
              <w:t>Proyectos para el Desarrollo Económico y Social del Estado de Colima</w:t>
            </w:r>
          </w:p>
        </w:tc>
        <w:tc>
          <w:tcPr>
            <w:tcW w:w="1347"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24,306,000</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0</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24,306,000</w:t>
            </w:r>
          </w:p>
        </w:tc>
      </w:tr>
      <w:tr w:rsidR="000B15CD" w:rsidRPr="00906AFB" w:rsidTr="000B15CD">
        <w:trPr>
          <w:trHeight w:val="283"/>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ind w:left="-142"/>
              <w:jc w:val="center"/>
              <w:rPr>
                <w:rFonts w:ascii="Arial" w:hAnsi="Arial" w:cs="Arial"/>
                <w:sz w:val="16"/>
                <w:szCs w:val="16"/>
              </w:rPr>
            </w:pPr>
            <w:r w:rsidRPr="00906AFB">
              <w:rPr>
                <w:rFonts w:ascii="Arial" w:hAnsi="Arial" w:cs="Arial"/>
                <w:sz w:val="16"/>
                <w:szCs w:val="16"/>
              </w:rPr>
              <w:t>02</w:t>
            </w:r>
          </w:p>
        </w:tc>
        <w:tc>
          <w:tcPr>
            <w:tcW w:w="3004"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rPr>
                <w:rFonts w:ascii="Arial" w:hAnsi="Arial" w:cs="Arial"/>
                <w:sz w:val="16"/>
                <w:szCs w:val="16"/>
              </w:rPr>
            </w:pPr>
            <w:r w:rsidRPr="00906AFB">
              <w:rPr>
                <w:rFonts w:ascii="Arial" w:hAnsi="Arial" w:cs="Arial"/>
                <w:sz w:val="16"/>
                <w:szCs w:val="16"/>
              </w:rPr>
              <w:t>Salud, Respaldo a la Sociedad</w:t>
            </w:r>
          </w:p>
        </w:tc>
        <w:tc>
          <w:tcPr>
            <w:tcW w:w="1347"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1,644,440,156</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1,588,053,657</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56,386,499</w:t>
            </w:r>
          </w:p>
        </w:tc>
      </w:tr>
      <w:tr w:rsidR="000B15CD" w:rsidRPr="00906AFB" w:rsidTr="000B15CD">
        <w:trPr>
          <w:trHeight w:val="283"/>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ind w:left="-142"/>
              <w:jc w:val="center"/>
              <w:rPr>
                <w:rFonts w:ascii="Arial" w:hAnsi="Arial" w:cs="Arial"/>
                <w:sz w:val="16"/>
                <w:szCs w:val="16"/>
              </w:rPr>
            </w:pPr>
            <w:r w:rsidRPr="00906AFB">
              <w:rPr>
                <w:rFonts w:ascii="Arial" w:hAnsi="Arial" w:cs="Arial"/>
                <w:sz w:val="16"/>
                <w:szCs w:val="16"/>
              </w:rPr>
              <w:t>03</w:t>
            </w:r>
          </w:p>
        </w:tc>
        <w:tc>
          <w:tcPr>
            <w:tcW w:w="3004"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rPr>
                <w:rFonts w:ascii="Arial" w:hAnsi="Arial" w:cs="Arial"/>
                <w:sz w:val="16"/>
                <w:szCs w:val="16"/>
              </w:rPr>
            </w:pPr>
            <w:r w:rsidRPr="00906AFB">
              <w:rPr>
                <w:rFonts w:ascii="Arial" w:hAnsi="Arial" w:cs="Arial"/>
                <w:sz w:val="16"/>
                <w:szCs w:val="16"/>
              </w:rPr>
              <w:t>Asistencia Privada</w:t>
            </w:r>
          </w:p>
        </w:tc>
        <w:tc>
          <w:tcPr>
            <w:tcW w:w="1347"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1,675,509</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0</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1,675,509</w:t>
            </w:r>
          </w:p>
        </w:tc>
      </w:tr>
      <w:tr w:rsidR="000B15CD" w:rsidRPr="00906AFB" w:rsidTr="000B15CD">
        <w:trPr>
          <w:trHeight w:val="283"/>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ind w:left="-142"/>
              <w:jc w:val="center"/>
              <w:rPr>
                <w:rFonts w:ascii="Arial" w:hAnsi="Arial" w:cs="Arial"/>
                <w:sz w:val="16"/>
                <w:szCs w:val="16"/>
              </w:rPr>
            </w:pPr>
            <w:r w:rsidRPr="00906AFB">
              <w:rPr>
                <w:rFonts w:ascii="Arial" w:hAnsi="Arial" w:cs="Arial"/>
                <w:sz w:val="16"/>
                <w:szCs w:val="16"/>
              </w:rPr>
              <w:t>04</w:t>
            </w:r>
          </w:p>
        </w:tc>
        <w:tc>
          <w:tcPr>
            <w:tcW w:w="3004"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rPr>
                <w:rFonts w:ascii="Arial" w:hAnsi="Arial" w:cs="Arial"/>
                <w:sz w:val="16"/>
                <w:szCs w:val="16"/>
              </w:rPr>
            </w:pPr>
            <w:r w:rsidRPr="00906AFB">
              <w:rPr>
                <w:rFonts w:ascii="Arial" w:hAnsi="Arial" w:cs="Arial"/>
                <w:sz w:val="16"/>
                <w:szCs w:val="16"/>
              </w:rPr>
              <w:t>Participación Social para la Planeación</w:t>
            </w:r>
          </w:p>
        </w:tc>
        <w:tc>
          <w:tcPr>
            <w:tcW w:w="1347"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823,214</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0</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823,214</w:t>
            </w:r>
          </w:p>
        </w:tc>
      </w:tr>
      <w:tr w:rsidR="000B15CD" w:rsidRPr="00906AFB" w:rsidTr="000B15CD">
        <w:trPr>
          <w:trHeight w:val="283"/>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ind w:left="-142"/>
              <w:jc w:val="center"/>
              <w:rPr>
                <w:rFonts w:ascii="Arial" w:hAnsi="Arial" w:cs="Arial"/>
                <w:sz w:val="16"/>
                <w:szCs w:val="16"/>
              </w:rPr>
            </w:pPr>
            <w:r w:rsidRPr="00906AFB">
              <w:rPr>
                <w:rFonts w:ascii="Arial" w:hAnsi="Arial" w:cs="Arial"/>
                <w:sz w:val="16"/>
                <w:szCs w:val="16"/>
              </w:rPr>
              <w:t>07</w:t>
            </w:r>
          </w:p>
        </w:tc>
        <w:tc>
          <w:tcPr>
            <w:tcW w:w="3004"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rPr>
                <w:rFonts w:ascii="Arial" w:hAnsi="Arial" w:cs="Arial"/>
                <w:sz w:val="16"/>
                <w:szCs w:val="16"/>
              </w:rPr>
            </w:pPr>
            <w:r w:rsidRPr="00906AFB">
              <w:rPr>
                <w:rFonts w:ascii="Arial" w:hAnsi="Arial" w:cs="Arial"/>
                <w:sz w:val="16"/>
                <w:szCs w:val="16"/>
              </w:rPr>
              <w:t>Educación Media Superior, Superior y Posgrado de la Universidad de Colima</w:t>
            </w:r>
          </w:p>
        </w:tc>
        <w:tc>
          <w:tcPr>
            <w:tcW w:w="1347"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1,753,159,272</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1,501,554,000</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251,605,272</w:t>
            </w:r>
          </w:p>
        </w:tc>
      </w:tr>
      <w:tr w:rsidR="000B15CD" w:rsidRPr="00906AFB" w:rsidTr="000B15CD">
        <w:trPr>
          <w:trHeight w:val="283"/>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ind w:left="-142"/>
              <w:jc w:val="center"/>
              <w:rPr>
                <w:rFonts w:ascii="Arial" w:hAnsi="Arial" w:cs="Arial"/>
                <w:sz w:val="16"/>
                <w:szCs w:val="16"/>
              </w:rPr>
            </w:pPr>
            <w:r w:rsidRPr="00906AFB">
              <w:rPr>
                <w:rFonts w:ascii="Arial" w:hAnsi="Arial" w:cs="Arial"/>
                <w:sz w:val="16"/>
                <w:szCs w:val="16"/>
              </w:rPr>
              <w:t>08</w:t>
            </w:r>
          </w:p>
        </w:tc>
        <w:tc>
          <w:tcPr>
            <w:tcW w:w="3004"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rPr>
                <w:rFonts w:ascii="Arial" w:hAnsi="Arial" w:cs="Arial"/>
                <w:sz w:val="16"/>
                <w:szCs w:val="16"/>
              </w:rPr>
            </w:pPr>
            <w:r w:rsidRPr="00906AFB">
              <w:rPr>
                <w:rFonts w:ascii="Arial" w:hAnsi="Arial" w:cs="Arial"/>
                <w:sz w:val="16"/>
                <w:szCs w:val="16"/>
              </w:rPr>
              <w:t>Educación Superior (Instituto Tecnológico de Colima)</w:t>
            </w:r>
          </w:p>
        </w:tc>
        <w:tc>
          <w:tcPr>
            <w:tcW w:w="1347"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1,957,263</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0</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1,957,263</w:t>
            </w:r>
          </w:p>
        </w:tc>
      </w:tr>
      <w:tr w:rsidR="000B15CD" w:rsidRPr="00906AFB" w:rsidTr="000B15CD">
        <w:trPr>
          <w:trHeight w:val="283"/>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ind w:left="-142"/>
              <w:jc w:val="center"/>
              <w:rPr>
                <w:rFonts w:ascii="Arial" w:hAnsi="Arial" w:cs="Arial"/>
                <w:sz w:val="16"/>
                <w:szCs w:val="16"/>
              </w:rPr>
            </w:pPr>
            <w:r w:rsidRPr="00906AFB">
              <w:rPr>
                <w:rFonts w:ascii="Arial" w:hAnsi="Arial" w:cs="Arial"/>
                <w:sz w:val="16"/>
                <w:szCs w:val="16"/>
              </w:rPr>
              <w:t>09</w:t>
            </w:r>
          </w:p>
        </w:tc>
        <w:tc>
          <w:tcPr>
            <w:tcW w:w="3004"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rPr>
                <w:rFonts w:ascii="Arial" w:hAnsi="Arial" w:cs="Arial"/>
                <w:sz w:val="16"/>
                <w:szCs w:val="16"/>
              </w:rPr>
            </w:pPr>
            <w:r w:rsidRPr="00906AFB">
              <w:rPr>
                <w:rFonts w:ascii="Arial" w:hAnsi="Arial" w:cs="Arial"/>
                <w:sz w:val="16"/>
                <w:szCs w:val="16"/>
              </w:rPr>
              <w:t>Educación Superior (Universidad Tecnológica De Manzanillo)</w:t>
            </w:r>
          </w:p>
        </w:tc>
        <w:tc>
          <w:tcPr>
            <w:tcW w:w="1347"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30,814,463</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20,937,000</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9,877,463</w:t>
            </w:r>
          </w:p>
        </w:tc>
      </w:tr>
      <w:tr w:rsidR="000B15CD" w:rsidRPr="00906AFB" w:rsidTr="000B15CD">
        <w:trPr>
          <w:trHeight w:val="283"/>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ind w:left="-142"/>
              <w:jc w:val="center"/>
              <w:rPr>
                <w:rFonts w:ascii="Arial" w:hAnsi="Arial" w:cs="Arial"/>
                <w:sz w:val="16"/>
                <w:szCs w:val="16"/>
              </w:rPr>
            </w:pPr>
            <w:r w:rsidRPr="00906AFB">
              <w:rPr>
                <w:rFonts w:ascii="Arial" w:hAnsi="Arial" w:cs="Arial"/>
                <w:sz w:val="16"/>
                <w:szCs w:val="16"/>
              </w:rPr>
              <w:t>11</w:t>
            </w:r>
          </w:p>
        </w:tc>
        <w:tc>
          <w:tcPr>
            <w:tcW w:w="3004"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rPr>
                <w:rFonts w:ascii="Arial" w:hAnsi="Arial" w:cs="Arial"/>
                <w:sz w:val="16"/>
                <w:szCs w:val="16"/>
              </w:rPr>
            </w:pPr>
            <w:r w:rsidRPr="00906AFB">
              <w:rPr>
                <w:rFonts w:ascii="Arial" w:hAnsi="Arial" w:cs="Arial"/>
                <w:sz w:val="16"/>
                <w:szCs w:val="16"/>
              </w:rPr>
              <w:t>Infraestructura Educativa INCOIFED</w:t>
            </w:r>
          </w:p>
        </w:tc>
        <w:tc>
          <w:tcPr>
            <w:tcW w:w="1347"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7,032,564</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0</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7,032,564</w:t>
            </w:r>
          </w:p>
        </w:tc>
      </w:tr>
      <w:tr w:rsidR="000B15CD" w:rsidRPr="00906AFB" w:rsidTr="000B15CD">
        <w:trPr>
          <w:trHeight w:val="283"/>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ind w:left="-142"/>
              <w:jc w:val="center"/>
              <w:rPr>
                <w:rFonts w:ascii="Arial" w:hAnsi="Arial" w:cs="Arial"/>
                <w:sz w:val="16"/>
                <w:szCs w:val="16"/>
              </w:rPr>
            </w:pPr>
            <w:r w:rsidRPr="00906AFB">
              <w:rPr>
                <w:rFonts w:ascii="Arial" w:hAnsi="Arial" w:cs="Arial"/>
                <w:sz w:val="16"/>
                <w:szCs w:val="16"/>
              </w:rPr>
              <w:t>12</w:t>
            </w:r>
          </w:p>
        </w:tc>
        <w:tc>
          <w:tcPr>
            <w:tcW w:w="3004"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rPr>
                <w:rFonts w:ascii="Arial" w:hAnsi="Arial" w:cs="Arial"/>
                <w:sz w:val="16"/>
                <w:szCs w:val="16"/>
              </w:rPr>
            </w:pPr>
            <w:r w:rsidRPr="00906AFB">
              <w:rPr>
                <w:rFonts w:ascii="Arial" w:hAnsi="Arial" w:cs="Arial"/>
                <w:sz w:val="16"/>
                <w:szCs w:val="16"/>
              </w:rPr>
              <w:t>Arte y Cultura</w:t>
            </w:r>
          </w:p>
        </w:tc>
        <w:tc>
          <w:tcPr>
            <w:tcW w:w="1347"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80,266,152</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24,116,611</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56,149,541</w:t>
            </w:r>
          </w:p>
        </w:tc>
      </w:tr>
      <w:tr w:rsidR="000B15CD" w:rsidRPr="00906AFB" w:rsidTr="000B15CD">
        <w:trPr>
          <w:trHeight w:val="283"/>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ind w:left="-142"/>
              <w:jc w:val="center"/>
              <w:rPr>
                <w:rFonts w:ascii="Arial" w:hAnsi="Arial" w:cs="Arial"/>
                <w:sz w:val="16"/>
                <w:szCs w:val="16"/>
              </w:rPr>
            </w:pPr>
            <w:r w:rsidRPr="00906AFB">
              <w:rPr>
                <w:rFonts w:ascii="Arial" w:hAnsi="Arial" w:cs="Arial"/>
                <w:sz w:val="16"/>
                <w:szCs w:val="16"/>
              </w:rPr>
              <w:t>13</w:t>
            </w:r>
          </w:p>
        </w:tc>
        <w:tc>
          <w:tcPr>
            <w:tcW w:w="3004"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rPr>
                <w:rFonts w:ascii="Arial" w:hAnsi="Arial" w:cs="Arial"/>
                <w:sz w:val="16"/>
                <w:szCs w:val="16"/>
              </w:rPr>
            </w:pPr>
            <w:r w:rsidRPr="00906AFB">
              <w:rPr>
                <w:rFonts w:ascii="Arial" w:hAnsi="Arial" w:cs="Arial"/>
                <w:sz w:val="16"/>
                <w:szCs w:val="16"/>
              </w:rPr>
              <w:t>Promoción Turística</w:t>
            </w:r>
          </w:p>
        </w:tc>
        <w:tc>
          <w:tcPr>
            <w:tcW w:w="1347"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19,061,000</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0</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19,061,000</w:t>
            </w:r>
          </w:p>
        </w:tc>
      </w:tr>
      <w:tr w:rsidR="000B15CD" w:rsidRPr="00906AFB" w:rsidTr="000B15CD">
        <w:trPr>
          <w:trHeight w:val="283"/>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ind w:left="-142"/>
              <w:jc w:val="center"/>
              <w:rPr>
                <w:rFonts w:ascii="Arial" w:hAnsi="Arial" w:cs="Arial"/>
                <w:sz w:val="16"/>
                <w:szCs w:val="16"/>
              </w:rPr>
            </w:pPr>
            <w:r w:rsidRPr="00906AFB">
              <w:rPr>
                <w:rFonts w:ascii="Arial" w:hAnsi="Arial" w:cs="Arial"/>
                <w:sz w:val="16"/>
                <w:szCs w:val="16"/>
              </w:rPr>
              <w:t>14</w:t>
            </w:r>
          </w:p>
        </w:tc>
        <w:tc>
          <w:tcPr>
            <w:tcW w:w="3004"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rPr>
                <w:rFonts w:ascii="Arial" w:hAnsi="Arial" w:cs="Arial"/>
                <w:sz w:val="16"/>
                <w:szCs w:val="16"/>
              </w:rPr>
            </w:pPr>
            <w:r w:rsidRPr="00906AFB">
              <w:rPr>
                <w:rFonts w:ascii="Arial" w:hAnsi="Arial" w:cs="Arial"/>
                <w:sz w:val="16"/>
                <w:szCs w:val="16"/>
              </w:rPr>
              <w:t>Deporte y Recreación</w:t>
            </w:r>
          </w:p>
        </w:tc>
        <w:tc>
          <w:tcPr>
            <w:tcW w:w="1347"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50,168,978</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6,466,000</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43,702,978</w:t>
            </w:r>
          </w:p>
        </w:tc>
      </w:tr>
      <w:tr w:rsidR="000B15CD" w:rsidRPr="00906AFB" w:rsidTr="000B15CD">
        <w:trPr>
          <w:trHeight w:val="283"/>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ind w:left="-142"/>
              <w:jc w:val="center"/>
              <w:rPr>
                <w:rFonts w:ascii="Arial" w:hAnsi="Arial" w:cs="Arial"/>
                <w:sz w:val="16"/>
                <w:szCs w:val="16"/>
              </w:rPr>
            </w:pPr>
            <w:r w:rsidRPr="00906AFB">
              <w:rPr>
                <w:rFonts w:ascii="Arial" w:hAnsi="Arial" w:cs="Arial"/>
                <w:sz w:val="16"/>
                <w:szCs w:val="16"/>
              </w:rPr>
              <w:t>16</w:t>
            </w:r>
          </w:p>
        </w:tc>
        <w:tc>
          <w:tcPr>
            <w:tcW w:w="3004"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rPr>
                <w:rFonts w:ascii="Arial" w:hAnsi="Arial" w:cs="Arial"/>
                <w:sz w:val="16"/>
                <w:szCs w:val="16"/>
              </w:rPr>
            </w:pPr>
            <w:r w:rsidRPr="00906AFB">
              <w:rPr>
                <w:rFonts w:ascii="Arial" w:hAnsi="Arial" w:cs="Arial"/>
                <w:sz w:val="16"/>
                <w:szCs w:val="16"/>
              </w:rPr>
              <w:t>Equidad de Género</w:t>
            </w:r>
          </w:p>
        </w:tc>
        <w:tc>
          <w:tcPr>
            <w:tcW w:w="1347"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4,643,196</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0</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4,643,196</w:t>
            </w:r>
          </w:p>
        </w:tc>
      </w:tr>
      <w:tr w:rsidR="000B15CD" w:rsidRPr="00906AFB" w:rsidTr="000B15CD">
        <w:trPr>
          <w:trHeight w:val="283"/>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ind w:left="-142"/>
              <w:jc w:val="center"/>
              <w:rPr>
                <w:rFonts w:ascii="Arial" w:hAnsi="Arial" w:cs="Arial"/>
                <w:sz w:val="16"/>
                <w:szCs w:val="16"/>
              </w:rPr>
            </w:pPr>
            <w:r w:rsidRPr="00906AFB">
              <w:rPr>
                <w:rFonts w:ascii="Arial" w:hAnsi="Arial" w:cs="Arial"/>
                <w:sz w:val="16"/>
                <w:szCs w:val="16"/>
              </w:rPr>
              <w:t>17</w:t>
            </w:r>
          </w:p>
        </w:tc>
        <w:tc>
          <w:tcPr>
            <w:tcW w:w="3004"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rPr>
                <w:rFonts w:ascii="Arial" w:hAnsi="Arial" w:cs="Arial"/>
                <w:sz w:val="16"/>
                <w:szCs w:val="16"/>
              </w:rPr>
            </w:pPr>
            <w:r w:rsidRPr="00906AFB">
              <w:rPr>
                <w:rFonts w:ascii="Arial" w:hAnsi="Arial" w:cs="Arial"/>
                <w:sz w:val="16"/>
                <w:szCs w:val="16"/>
              </w:rPr>
              <w:t>Acceso a una Vida Libre de Violencia</w:t>
            </w:r>
          </w:p>
        </w:tc>
        <w:tc>
          <w:tcPr>
            <w:tcW w:w="1347"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1,315,756</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0</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1,315,756</w:t>
            </w:r>
          </w:p>
        </w:tc>
      </w:tr>
      <w:tr w:rsidR="000B15CD" w:rsidRPr="00906AFB" w:rsidTr="000B15CD">
        <w:trPr>
          <w:trHeight w:val="283"/>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ind w:left="-142"/>
              <w:jc w:val="center"/>
              <w:rPr>
                <w:rFonts w:ascii="Arial" w:hAnsi="Arial" w:cs="Arial"/>
                <w:sz w:val="16"/>
                <w:szCs w:val="16"/>
              </w:rPr>
            </w:pPr>
            <w:r w:rsidRPr="00906AFB">
              <w:rPr>
                <w:rFonts w:ascii="Arial" w:hAnsi="Arial" w:cs="Arial"/>
                <w:sz w:val="16"/>
                <w:szCs w:val="16"/>
              </w:rPr>
              <w:t>18</w:t>
            </w:r>
          </w:p>
        </w:tc>
        <w:tc>
          <w:tcPr>
            <w:tcW w:w="3004"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rPr>
                <w:rFonts w:ascii="Arial" w:hAnsi="Arial" w:cs="Arial"/>
                <w:sz w:val="16"/>
                <w:szCs w:val="16"/>
              </w:rPr>
            </w:pPr>
            <w:r w:rsidRPr="00906AFB">
              <w:rPr>
                <w:rFonts w:ascii="Arial" w:hAnsi="Arial" w:cs="Arial"/>
                <w:sz w:val="16"/>
                <w:szCs w:val="16"/>
              </w:rPr>
              <w:t>Consolidación de la Familia, Apoyo a la Niñez y Grupos Vulnerables</w:t>
            </w:r>
          </w:p>
        </w:tc>
        <w:tc>
          <w:tcPr>
            <w:tcW w:w="1347"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207,344,000</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51,344,000</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156,000,000</w:t>
            </w:r>
          </w:p>
        </w:tc>
      </w:tr>
      <w:tr w:rsidR="000B15CD" w:rsidRPr="00906AFB" w:rsidTr="000B15CD">
        <w:trPr>
          <w:trHeight w:val="283"/>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ind w:left="-142"/>
              <w:jc w:val="center"/>
              <w:rPr>
                <w:rFonts w:ascii="Arial" w:hAnsi="Arial" w:cs="Arial"/>
                <w:sz w:val="16"/>
                <w:szCs w:val="16"/>
              </w:rPr>
            </w:pPr>
            <w:r w:rsidRPr="00906AFB">
              <w:rPr>
                <w:rFonts w:ascii="Arial" w:hAnsi="Arial" w:cs="Arial"/>
                <w:sz w:val="16"/>
                <w:szCs w:val="16"/>
              </w:rPr>
              <w:t>19</w:t>
            </w:r>
          </w:p>
        </w:tc>
        <w:tc>
          <w:tcPr>
            <w:tcW w:w="3004"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rPr>
                <w:rFonts w:ascii="Arial" w:hAnsi="Arial" w:cs="Arial"/>
                <w:sz w:val="16"/>
                <w:szCs w:val="16"/>
              </w:rPr>
            </w:pPr>
            <w:r w:rsidRPr="00906AFB">
              <w:rPr>
                <w:rFonts w:ascii="Arial" w:hAnsi="Arial" w:cs="Arial"/>
                <w:sz w:val="16"/>
                <w:szCs w:val="16"/>
              </w:rPr>
              <w:t>Apoyo a Grupos Vulnerables Con Discapacidad</w:t>
            </w:r>
          </w:p>
        </w:tc>
        <w:tc>
          <w:tcPr>
            <w:tcW w:w="1347"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1,998,053</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0</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1,998,053</w:t>
            </w:r>
          </w:p>
        </w:tc>
      </w:tr>
      <w:tr w:rsidR="000B15CD" w:rsidRPr="00906AFB" w:rsidTr="000B15CD">
        <w:trPr>
          <w:trHeight w:val="283"/>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ind w:left="-142"/>
              <w:jc w:val="center"/>
              <w:rPr>
                <w:rFonts w:ascii="Arial" w:hAnsi="Arial" w:cs="Arial"/>
                <w:sz w:val="16"/>
                <w:szCs w:val="16"/>
              </w:rPr>
            </w:pPr>
            <w:r w:rsidRPr="00906AFB">
              <w:rPr>
                <w:rFonts w:ascii="Arial" w:hAnsi="Arial" w:cs="Arial"/>
                <w:sz w:val="16"/>
                <w:szCs w:val="16"/>
              </w:rPr>
              <w:t>21</w:t>
            </w:r>
          </w:p>
        </w:tc>
        <w:tc>
          <w:tcPr>
            <w:tcW w:w="3004"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rPr>
                <w:rFonts w:ascii="Arial" w:hAnsi="Arial" w:cs="Arial"/>
                <w:sz w:val="16"/>
                <w:szCs w:val="16"/>
              </w:rPr>
            </w:pPr>
            <w:r w:rsidRPr="00906AFB">
              <w:rPr>
                <w:rFonts w:ascii="Arial" w:hAnsi="Arial" w:cs="Arial"/>
                <w:sz w:val="16"/>
                <w:szCs w:val="16"/>
              </w:rPr>
              <w:t>Atención a la Juventud</w:t>
            </w:r>
          </w:p>
        </w:tc>
        <w:tc>
          <w:tcPr>
            <w:tcW w:w="1347"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31,649,447</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19,403,269</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12,246,178</w:t>
            </w:r>
          </w:p>
        </w:tc>
      </w:tr>
      <w:tr w:rsidR="000B15CD" w:rsidRPr="00906AFB" w:rsidTr="000B15CD">
        <w:trPr>
          <w:trHeight w:val="283"/>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ind w:left="-142"/>
              <w:jc w:val="center"/>
              <w:rPr>
                <w:rFonts w:ascii="Arial" w:hAnsi="Arial" w:cs="Arial"/>
                <w:sz w:val="16"/>
                <w:szCs w:val="16"/>
              </w:rPr>
            </w:pPr>
            <w:r w:rsidRPr="00906AFB">
              <w:rPr>
                <w:rFonts w:ascii="Arial" w:hAnsi="Arial" w:cs="Arial"/>
                <w:sz w:val="16"/>
                <w:szCs w:val="16"/>
              </w:rPr>
              <w:t>22</w:t>
            </w:r>
          </w:p>
        </w:tc>
        <w:tc>
          <w:tcPr>
            <w:tcW w:w="3004"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rPr>
                <w:rFonts w:ascii="Arial" w:hAnsi="Arial" w:cs="Arial"/>
                <w:sz w:val="16"/>
                <w:szCs w:val="16"/>
              </w:rPr>
            </w:pPr>
            <w:r w:rsidRPr="00906AFB">
              <w:rPr>
                <w:rFonts w:ascii="Arial" w:hAnsi="Arial" w:cs="Arial"/>
                <w:sz w:val="16"/>
                <w:szCs w:val="16"/>
              </w:rPr>
              <w:t>Atención a los Adultos en Plenitud</w:t>
            </w:r>
          </w:p>
        </w:tc>
        <w:tc>
          <w:tcPr>
            <w:tcW w:w="1347"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40,000,000</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0</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40,000,000</w:t>
            </w:r>
          </w:p>
        </w:tc>
      </w:tr>
      <w:tr w:rsidR="000B15CD" w:rsidRPr="00906AFB" w:rsidTr="000B15CD">
        <w:trPr>
          <w:trHeight w:val="283"/>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ind w:left="-142"/>
              <w:jc w:val="center"/>
              <w:rPr>
                <w:rFonts w:ascii="Arial" w:hAnsi="Arial" w:cs="Arial"/>
                <w:sz w:val="16"/>
                <w:szCs w:val="16"/>
              </w:rPr>
            </w:pPr>
            <w:r w:rsidRPr="00906AFB">
              <w:rPr>
                <w:rFonts w:ascii="Arial" w:hAnsi="Arial" w:cs="Arial"/>
                <w:sz w:val="16"/>
                <w:szCs w:val="16"/>
              </w:rPr>
              <w:t>23</w:t>
            </w:r>
          </w:p>
        </w:tc>
        <w:tc>
          <w:tcPr>
            <w:tcW w:w="3004"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rPr>
                <w:rFonts w:ascii="Arial" w:hAnsi="Arial" w:cs="Arial"/>
                <w:sz w:val="16"/>
                <w:szCs w:val="16"/>
              </w:rPr>
            </w:pPr>
            <w:r w:rsidRPr="00906AFB">
              <w:rPr>
                <w:rFonts w:ascii="Arial" w:hAnsi="Arial" w:cs="Arial"/>
                <w:sz w:val="16"/>
                <w:szCs w:val="16"/>
              </w:rPr>
              <w:t>Promoción de la Competitividad y el Empleo</w:t>
            </w:r>
          </w:p>
        </w:tc>
        <w:tc>
          <w:tcPr>
            <w:tcW w:w="1347"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49,838,946</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19,724,332</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30,114,614</w:t>
            </w:r>
          </w:p>
        </w:tc>
      </w:tr>
      <w:tr w:rsidR="000B15CD" w:rsidRPr="00906AFB" w:rsidTr="000B15CD">
        <w:trPr>
          <w:trHeight w:val="283"/>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ind w:left="-142"/>
              <w:jc w:val="center"/>
              <w:rPr>
                <w:rFonts w:ascii="Arial" w:hAnsi="Arial" w:cs="Arial"/>
                <w:sz w:val="16"/>
                <w:szCs w:val="16"/>
              </w:rPr>
            </w:pPr>
            <w:r w:rsidRPr="00906AFB">
              <w:rPr>
                <w:rFonts w:ascii="Arial" w:hAnsi="Arial" w:cs="Arial"/>
                <w:sz w:val="16"/>
                <w:szCs w:val="16"/>
              </w:rPr>
              <w:t>24</w:t>
            </w:r>
          </w:p>
        </w:tc>
        <w:tc>
          <w:tcPr>
            <w:tcW w:w="3004"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rPr>
                <w:rFonts w:ascii="Arial" w:hAnsi="Arial" w:cs="Arial"/>
                <w:sz w:val="16"/>
                <w:szCs w:val="16"/>
              </w:rPr>
            </w:pPr>
            <w:r w:rsidRPr="00906AFB">
              <w:rPr>
                <w:rFonts w:ascii="Arial" w:hAnsi="Arial" w:cs="Arial"/>
                <w:sz w:val="16"/>
                <w:szCs w:val="16"/>
              </w:rPr>
              <w:t>Desarrollo Económico</w:t>
            </w:r>
          </w:p>
        </w:tc>
        <w:tc>
          <w:tcPr>
            <w:tcW w:w="1347"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125,552,433</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68,874,043</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56,678,390</w:t>
            </w:r>
          </w:p>
        </w:tc>
      </w:tr>
      <w:tr w:rsidR="000B15CD" w:rsidRPr="00906AFB" w:rsidTr="000B15CD">
        <w:trPr>
          <w:trHeight w:val="283"/>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ind w:left="-142"/>
              <w:jc w:val="center"/>
              <w:rPr>
                <w:rFonts w:ascii="Arial" w:hAnsi="Arial" w:cs="Arial"/>
                <w:sz w:val="16"/>
                <w:szCs w:val="16"/>
              </w:rPr>
            </w:pPr>
            <w:r w:rsidRPr="00906AFB">
              <w:rPr>
                <w:rFonts w:ascii="Arial" w:hAnsi="Arial" w:cs="Arial"/>
                <w:sz w:val="16"/>
                <w:szCs w:val="16"/>
              </w:rPr>
              <w:t>25</w:t>
            </w:r>
          </w:p>
        </w:tc>
        <w:tc>
          <w:tcPr>
            <w:tcW w:w="3004"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rPr>
                <w:rFonts w:ascii="Arial" w:hAnsi="Arial" w:cs="Arial"/>
                <w:sz w:val="16"/>
                <w:szCs w:val="16"/>
              </w:rPr>
            </w:pPr>
            <w:r w:rsidRPr="00906AFB">
              <w:rPr>
                <w:rFonts w:ascii="Arial" w:hAnsi="Arial" w:cs="Arial"/>
                <w:sz w:val="16"/>
                <w:szCs w:val="16"/>
              </w:rPr>
              <w:t>Modernización del Sector Agropecuario, Acuícola, Pesquero y Forestal.</w:t>
            </w:r>
          </w:p>
        </w:tc>
        <w:tc>
          <w:tcPr>
            <w:tcW w:w="1347"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822,596,655</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731,430,423</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91,166,232</w:t>
            </w:r>
          </w:p>
        </w:tc>
      </w:tr>
      <w:tr w:rsidR="000B15CD" w:rsidRPr="00906AFB" w:rsidTr="000B15CD">
        <w:trPr>
          <w:trHeight w:val="283"/>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ind w:left="-142"/>
              <w:jc w:val="center"/>
              <w:rPr>
                <w:rFonts w:ascii="Arial" w:hAnsi="Arial" w:cs="Arial"/>
                <w:sz w:val="16"/>
                <w:szCs w:val="16"/>
              </w:rPr>
            </w:pPr>
            <w:r w:rsidRPr="00906AFB">
              <w:rPr>
                <w:rFonts w:ascii="Arial" w:hAnsi="Arial" w:cs="Arial"/>
                <w:sz w:val="16"/>
                <w:szCs w:val="16"/>
              </w:rPr>
              <w:t>26</w:t>
            </w:r>
          </w:p>
        </w:tc>
        <w:tc>
          <w:tcPr>
            <w:tcW w:w="3004"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rPr>
                <w:rFonts w:ascii="Arial" w:hAnsi="Arial" w:cs="Arial"/>
                <w:sz w:val="16"/>
                <w:szCs w:val="16"/>
              </w:rPr>
            </w:pPr>
            <w:r w:rsidRPr="00906AFB">
              <w:rPr>
                <w:rFonts w:ascii="Arial" w:hAnsi="Arial" w:cs="Arial"/>
                <w:sz w:val="16"/>
                <w:szCs w:val="16"/>
              </w:rPr>
              <w:t>Impulso del Sector Turístico Competitivo y Sustentable</w:t>
            </w:r>
          </w:p>
        </w:tc>
        <w:tc>
          <w:tcPr>
            <w:tcW w:w="1347"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24,997,412</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2,915,126</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22,082,286</w:t>
            </w:r>
          </w:p>
        </w:tc>
      </w:tr>
      <w:tr w:rsidR="000B15CD" w:rsidRPr="00906AFB" w:rsidTr="000B15CD">
        <w:trPr>
          <w:trHeight w:val="283"/>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ind w:left="-142"/>
              <w:jc w:val="center"/>
              <w:rPr>
                <w:rFonts w:ascii="Arial" w:hAnsi="Arial" w:cs="Arial"/>
                <w:sz w:val="16"/>
                <w:szCs w:val="16"/>
              </w:rPr>
            </w:pPr>
            <w:r w:rsidRPr="00906AFB">
              <w:rPr>
                <w:rFonts w:ascii="Arial" w:hAnsi="Arial" w:cs="Arial"/>
                <w:sz w:val="16"/>
                <w:szCs w:val="16"/>
              </w:rPr>
              <w:t>28</w:t>
            </w:r>
          </w:p>
        </w:tc>
        <w:tc>
          <w:tcPr>
            <w:tcW w:w="3004"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rPr>
                <w:rFonts w:ascii="Arial" w:hAnsi="Arial" w:cs="Arial"/>
                <w:sz w:val="16"/>
                <w:szCs w:val="16"/>
              </w:rPr>
            </w:pPr>
            <w:r w:rsidRPr="00906AFB">
              <w:rPr>
                <w:rFonts w:ascii="Arial" w:hAnsi="Arial" w:cs="Arial"/>
                <w:sz w:val="16"/>
                <w:szCs w:val="16"/>
              </w:rPr>
              <w:t>Impartición de Justicia Electoral</w:t>
            </w:r>
          </w:p>
        </w:tc>
        <w:tc>
          <w:tcPr>
            <w:tcW w:w="1347"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10,500,000</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0</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10,500,000</w:t>
            </w:r>
          </w:p>
        </w:tc>
      </w:tr>
      <w:tr w:rsidR="000B15CD" w:rsidRPr="00906AFB" w:rsidTr="000B15CD">
        <w:trPr>
          <w:trHeight w:val="283"/>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ind w:left="-142"/>
              <w:jc w:val="center"/>
              <w:rPr>
                <w:rFonts w:ascii="Arial" w:hAnsi="Arial" w:cs="Arial"/>
                <w:sz w:val="16"/>
                <w:szCs w:val="16"/>
              </w:rPr>
            </w:pPr>
            <w:r w:rsidRPr="00906AFB">
              <w:rPr>
                <w:rFonts w:ascii="Arial" w:hAnsi="Arial" w:cs="Arial"/>
                <w:sz w:val="16"/>
                <w:szCs w:val="16"/>
              </w:rPr>
              <w:t>29</w:t>
            </w:r>
          </w:p>
        </w:tc>
        <w:tc>
          <w:tcPr>
            <w:tcW w:w="3004"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rPr>
                <w:rFonts w:ascii="Arial" w:hAnsi="Arial" w:cs="Arial"/>
                <w:sz w:val="16"/>
                <w:szCs w:val="16"/>
              </w:rPr>
            </w:pPr>
            <w:r w:rsidRPr="00906AFB">
              <w:rPr>
                <w:rFonts w:ascii="Arial" w:hAnsi="Arial" w:cs="Arial"/>
                <w:sz w:val="16"/>
                <w:szCs w:val="16"/>
              </w:rPr>
              <w:t>Administración Electoral</w:t>
            </w:r>
          </w:p>
        </w:tc>
        <w:tc>
          <w:tcPr>
            <w:tcW w:w="1347"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46,903,498</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0</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46,903,498</w:t>
            </w:r>
          </w:p>
        </w:tc>
      </w:tr>
      <w:tr w:rsidR="000B15CD" w:rsidRPr="00906AFB" w:rsidTr="000B15CD">
        <w:trPr>
          <w:trHeight w:val="283"/>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ind w:left="-142"/>
              <w:jc w:val="center"/>
              <w:rPr>
                <w:rFonts w:ascii="Arial" w:hAnsi="Arial" w:cs="Arial"/>
                <w:sz w:val="16"/>
                <w:szCs w:val="16"/>
              </w:rPr>
            </w:pPr>
            <w:r w:rsidRPr="00906AFB">
              <w:rPr>
                <w:rFonts w:ascii="Arial" w:hAnsi="Arial" w:cs="Arial"/>
                <w:sz w:val="16"/>
                <w:szCs w:val="16"/>
              </w:rPr>
              <w:t>30</w:t>
            </w:r>
          </w:p>
        </w:tc>
        <w:tc>
          <w:tcPr>
            <w:tcW w:w="3004"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rPr>
                <w:rFonts w:ascii="Arial" w:hAnsi="Arial" w:cs="Arial"/>
                <w:sz w:val="16"/>
                <w:szCs w:val="16"/>
              </w:rPr>
            </w:pPr>
            <w:r w:rsidRPr="00906AFB">
              <w:rPr>
                <w:rFonts w:ascii="Arial" w:hAnsi="Arial" w:cs="Arial"/>
                <w:sz w:val="16"/>
                <w:szCs w:val="16"/>
              </w:rPr>
              <w:t>Arbitraje y Escalafón</w:t>
            </w:r>
          </w:p>
        </w:tc>
        <w:tc>
          <w:tcPr>
            <w:tcW w:w="1347"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4,540,100</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0</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4,540,100</w:t>
            </w:r>
          </w:p>
        </w:tc>
      </w:tr>
      <w:tr w:rsidR="000B15CD" w:rsidRPr="00906AFB" w:rsidTr="000B15CD">
        <w:trPr>
          <w:trHeight w:val="283"/>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ind w:left="-142"/>
              <w:jc w:val="center"/>
              <w:rPr>
                <w:rFonts w:ascii="Arial" w:hAnsi="Arial" w:cs="Arial"/>
                <w:sz w:val="16"/>
                <w:szCs w:val="16"/>
              </w:rPr>
            </w:pPr>
            <w:r w:rsidRPr="00906AFB">
              <w:rPr>
                <w:rFonts w:ascii="Arial" w:hAnsi="Arial" w:cs="Arial"/>
                <w:sz w:val="16"/>
                <w:szCs w:val="16"/>
              </w:rPr>
              <w:t>31</w:t>
            </w:r>
          </w:p>
        </w:tc>
        <w:tc>
          <w:tcPr>
            <w:tcW w:w="3004"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rPr>
                <w:rFonts w:ascii="Arial" w:hAnsi="Arial" w:cs="Arial"/>
                <w:sz w:val="16"/>
                <w:szCs w:val="16"/>
              </w:rPr>
            </w:pPr>
            <w:r w:rsidRPr="00906AFB">
              <w:rPr>
                <w:rFonts w:ascii="Arial" w:hAnsi="Arial" w:cs="Arial"/>
                <w:sz w:val="16"/>
                <w:szCs w:val="16"/>
              </w:rPr>
              <w:t>Impartición de Justicia Administrativa</w:t>
            </w:r>
          </w:p>
        </w:tc>
        <w:tc>
          <w:tcPr>
            <w:tcW w:w="1347"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7,040,350</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0</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7,040,350</w:t>
            </w:r>
          </w:p>
        </w:tc>
      </w:tr>
      <w:tr w:rsidR="000B15CD" w:rsidRPr="00906AFB" w:rsidTr="000B15CD">
        <w:trPr>
          <w:trHeight w:val="283"/>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ind w:left="-142"/>
              <w:jc w:val="center"/>
              <w:rPr>
                <w:rFonts w:ascii="Arial" w:hAnsi="Arial" w:cs="Arial"/>
                <w:sz w:val="16"/>
                <w:szCs w:val="16"/>
              </w:rPr>
            </w:pPr>
            <w:r w:rsidRPr="00906AFB">
              <w:rPr>
                <w:rFonts w:ascii="Arial" w:hAnsi="Arial" w:cs="Arial"/>
                <w:sz w:val="16"/>
                <w:szCs w:val="16"/>
              </w:rPr>
              <w:t>32</w:t>
            </w:r>
          </w:p>
        </w:tc>
        <w:tc>
          <w:tcPr>
            <w:tcW w:w="3004"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rPr>
                <w:rFonts w:ascii="Arial" w:hAnsi="Arial" w:cs="Arial"/>
                <w:sz w:val="16"/>
                <w:szCs w:val="16"/>
              </w:rPr>
            </w:pPr>
            <w:r w:rsidRPr="00906AFB">
              <w:rPr>
                <w:rFonts w:ascii="Arial" w:hAnsi="Arial" w:cs="Arial"/>
                <w:sz w:val="16"/>
                <w:szCs w:val="16"/>
              </w:rPr>
              <w:t>Asistencia al Sistema Estatal de Seguridad Pública</w:t>
            </w:r>
          </w:p>
        </w:tc>
        <w:tc>
          <w:tcPr>
            <w:tcW w:w="1347"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306,725,277</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218,524,402</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88,200,875</w:t>
            </w:r>
          </w:p>
        </w:tc>
      </w:tr>
      <w:tr w:rsidR="000B15CD" w:rsidRPr="00906AFB" w:rsidTr="000B15CD">
        <w:trPr>
          <w:trHeight w:val="283"/>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ind w:left="-142"/>
              <w:jc w:val="center"/>
              <w:rPr>
                <w:rFonts w:ascii="Arial" w:hAnsi="Arial" w:cs="Arial"/>
                <w:sz w:val="16"/>
                <w:szCs w:val="16"/>
              </w:rPr>
            </w:pPr>
            <w:r w:rsidRPr="00906AFB">
              <w:rPr>
                <w:rFonts w:ascii="Arial" w:hAnsi="Arial" w:cs="Arial"/>
                <w:sz w:val="16"/>
                <w:szCs w:val="16"/>
              </w:rPr>
              <w:t>33</w:t>
            </w:r>
          </w:p>
        </w:tc>
        <w:tc>
          <w:tcPr>
            <w:tcW w:w="3004"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rPr>
                <w:rFonts w:ascii="Arial" w:hAnsi="Arial" w:cs="Arial"/>
                <w:sz w:val="16"/>
                <w:szCs w:val="16"/>
              </w:rPr>
            </w:pPr>
            <w:r w:rsidRPr="00906AFB">
              <w:rPr>
                <w:rFonts w:ascii="Arial" w:hAnsi="Arial" w:cs="Arial"/>
                <w:sz w:val="16"/>
                <w:szCs w:val="16"/>
              </w:rPr>
              <w:t>Seguridad Pública y Prevención del Delito</w:t>
            </w:r>
          </w:p>
        </w:tc>
        <w:tc>
          <w:tcPr>
            <w:tcW w:w="1347"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512,255,915</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138,766,725</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373,489,190</w:t>
            </w:r>
          </w:p>
        </w:tc>
      </w:tr>
      <w:tr w:rsidR="000B15CD" w:rsidRPr="00906AFB" w:rsidTr="000B15CD">
        <w:trPr>
          <w:trHeight w:val="283"/>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ind w:left="-142"/>
              <w:jc w:val="center"/>
              <w:rPr>
                <w:rFonts w:ascii="Arial" w:hAnsi="Arial" w:cs="Arial"/>
                <w:sz w:val="16"/>
                <w:szCs w:val="16"/>
              </w:rPr>
            </w:pPr>
            <w:r w:rsidRPr="00906AFB">
              <w:rPr>
                <w:rFonts w:ascii="Arial" w:hAnsi="Arial" w:cs="Arial"/>
                <w:sz w:val="16"/>
                <w:szCs w:val="16"/>
              </w:rPr>
              <w:t>34</w:t>
            </w:r>
          </w:p>
        </w:tc>
        <w:tc>
          <w:tcPr>
            <w:tcW w:w="3004"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rPr>
                <w:rFonts w:ascii="Arial" w:hAnsi="Arial" w:cs="Arial"/>
                <w:sz w:val="16"/>
                <w:szCs w:val="16"/>
              </w:rPr>
            </w:pPr>
            <w:r w:rsidRPr="00906AFB">
              <w:rPr>
                <w:rFonts w:ascii="Arial" w:hAnsi="Arial" w:cs="Arial"/>
                <w:sz w:val="16"/>
                <w:szCs w:val="16"/>
              </w:rPr>
              <w:t>Procuración de Justicia</w:t>
            </w:r>
          </w:p>
        </w:tc>
        <w:tc>
          <w:tcPr>
            <w:tcW w:w="1347"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361,288,958</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70,874,150</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290,414,808</w:t>
            </w:r>
          </w:p>
        </w:tc>
      </w:tr>
      <w:tr w:rsidR="000B15CD" w:rsidRPr="00906AFB" w:rsidTr="000B15CD">
        <w:trPr>
          <w:trHeight w:val="283"/>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ind w:left="-142"/>
              <w:jc w:val="center"/>
              <w:rPr>
                <w:rFonts w:ascii="Arial" w:hAnsi="Arial" w:cs="Arial"/>
                <w:sz w:val="16"/>
                <w:szCs w:val="16"/>
              </w:rPr>
            </w:pPr>
            <w:r w:rsidRPr="00906AFB">
              <w:rPr>
                <w:rFonts w:ascii="Arial" w:hAnsi="Arial" w:cs="Arial"/>
                <w:sz w:val="16"/>
                <w:szCs w:val="16"/>
              </w:rPr>
              <w:t>35</w:t>
            </w:r>
          </w:p>
        </w:tc>
        <w:tc>
          <w:tcPr>
            <w:tcW w:w="3004"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rPr>
                <w:rFonts w:ascii="Arial" w:hAnsi="Arial" w:cs="Arial"/>
                <w:sz w:val="16"/>
                <w:szCs w:val="16"/>
              </w:rPr>
            </w:pPr>
            <w:r w:rsidRPr="00906AFB">
              <w:rPr>
                <w:rFonts w:ascii="Arial" w:hAnsi="Arial" w:cs="Arial"/>
                <w:sz w:val="16"/>
                <w:szCs w:val="16"/>
              </w:rPr>
              <w:t>Derechos Humanos</w:t>
            </w:r>
          </w:p>
        </w:tc>
        <w:tc>
          <w:tcPr>
            <w:tcW w:w="1347"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6,878,180</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0</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6,878,180</w:t>
            </w:r>
          </w:p>
        </w:tc>
      </w:tr>
      <w:tr w:rsidR="000B15CD" w:rsidRPr="00906AFB" w:rsidTr="000B15CD">
        <w:trPr>
          <w:trHeight w:val="283"/>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ind w:left="-142"/>
              <w:jc w:val="center"/>
              <w:rPr>
                <w:rFonts w:ascii="Arial" w:hAnsi="Arial" w:cs="Arial"/>
                <w:sz w:val="16"/>
                <w:szCs w:val="16"/>
              </w:rPr>
            </w:pPr>
            <w:r w:rsidRPr="00906AFB">
              <w:rPr>
                <w:rFonts w:ascii="Arial" w:hAnsi="Arial" w:cs="Arial"/>
                <w:sz w:val="16"/>
                <w:szCs w:val="16"/>
              </w:rPr>
              <w:t>37</w:t>
            </w:r>
          </w:p>
        </w:tc>
        <w:tc>
          <w:tcPr>
            <w:tcW w:w="3004"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rPr>
                <w:rFonts w:ascii="Arial" w:hAnsi="Arial" w:cs="Arial"/>
                <w:sz w:val="16"/>
                <w:szCs w:val="16"/>
              </w:rPr>
            </w:pPr>
            <w:r w:rsidRPr="00906AFB">
              <w:rPr>
                <w:rFonts w:ascii="Arial" w:hAnsi="Arial" w:cs="Arial"/>
                <w:sz w:val="16"/>
                <w:szCs w:val="16"/>
              </w:rPr>
              <w:t>Registro del Territorio</w:t>
            </w:r>
          </w:p>
        </w:tc>
        <w:tc>
          <w:tcPr>
            <w:tcW w:w="1347"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36,910,686</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11,136,000</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25,774,686</w:t>
            </w:r>
          </w:p>
        </w:tc>
      </w:tr>
      <w:tr w:rsidR="000B15CD" w:rsidRPr="00906AFB" w:rsidTr="000B15CD">
        <w:trPr>
          <w:trHeight w:val="283"/>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ind w:left="-142"/>
              <w:jc w:val="center"/>
              <w:rPr>
                <w:rFonts w:ascii="Arial" w:hAnsi="Arial" w:cs="Arial"/>
                <w:sz w:val="16"/>
                <w:szCs w:val="16"/>
              </w:rPr>
            </w:pPr>
            <w:r w:rsidRPr="00906AFB">
              <w:rPr>
                <w:rFonts w:ascii="Arial" w:hAnsi="Arial" w:cs="Arial"/>
                <w:sz w:val="16"/>
                <w:szCs w:val="16"/>
              </w:rPr>
              <w:t>38</w:t>
            </w:r>
          </w:p>
        </w:tc>
        <w:tc>
          <w:tcPr>
            <w:tcW w:w="3004"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rPr>
                <w:rFonts w:ascii="Arial" w:hAnsi="Arial" w:cs="Arial"/>
                <w:sz w:val="16"/>
                <w:szCs w:val="16"/>
              </w:rPr>
            </w:pPr>
            <w:r w:rsidRPr="00906AFB">
              <w:rPr>
                <w:rFonts w:ascii="Arial" w:hAnsi="Arial" w:cs="Arial"/>
                <w:sz w:val="16"/>
                <w:szCs w:val="16"/>
              </w:rPr>
              <w:t>Aprovechamiento Sustentable de los Recursos Hídricos</w:t>
            </w:r>
          </w:p>
        </w:tc>
        <w:tc>
          <w:tcPr>
            <w:tcW w:w="1347"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11,122,027</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8,418,000</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2,704,027</w:t>
            </w:r>
          </w:p>
        </w:tc>
      </w:tr>
      <w:tr w:rsidR="000B15CD" w:rsidRPr="00906AFB" w:rsidTr="000B15CD">
        <w:trPr>
          <w:trHeight w:val="283"/>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ind w:left="-142"/>
              <w:jc w:val="center"/>
              <w:rPr>
                <w:rFonts w:ascii="Arial" w:hAnsi="Arial" w:cs="Arial"/>
                <w:sz w:val="16"/>
                <w:szCs w:val="16"/>
              </w:rPr>
            </w:pPr>
            <w:r w:rsidRPr="00906AFB">
              <w:rPr>
                <w:rFonts w:ascii="Arial" w:hAnsi="Arial" w:cs="Arial"/>
                <w:sz w:val="16"/>
                <w:szCs w:val="16"/>
              </w:rPr>
              <w:t>40</w:t>
            </w:r>
          </w:p>
        </w:tc>
        <w:tc>
          <w:tcPr>
            <w:tcW w:w="3004"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rPr>
                <w:rFonts w:ascii="Arial" w:hAnsi="Arial" w:cs="Arial"/>
                <w:sz w:val="16"/>
                <w:szCs w:val="16"/>
              </w:rPr>
            </w:pPr>
            <w:r w:rsidRPr="00906AFB">
              <w:rPr>
                <w:rFonts w:ascii="Arial" w:hAnsi="Arial" w:cs="Arial"/>
                <w:sz w:val="16"/>
                <w:szCs w:val="16"/>
              </w:rPr>
              <w:t>Educación y Cultura Ambiental</w:t>
            </w:r>
          </w:p>
        </w:tc>
        <w:tc>
          <w:tcPr>
            <w:tcW w:w="1347"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38,506,508</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30,000,000</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8,506,508</w:t>
            </w:r>
          </w:p>
        </w:tc>
      </w:tr>
      <w:tr w:rsidR="000B15CD" w:rsidRPr="00906AFB" w:rsidTr="000B15CD">
        <w:trPr>
          <w:trHeight w:val="283"/>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ind w:left="-142"/>
              <w:jc w:val="center"/>
              <w:rPr>
                <w:rFonts w:ascii="Arial" w:hAnsi="Arial" w:cs="Arial"/>
                <w:sz w:val="16"/>
                <w:szCs w:val="16"/>
              </w:rPr>
            </w:pPr>
            <w:r w:rsidRPr="00906AFB">
              <w:rPr>
                <w:rFonts w:ascii="Arial" w:hAnsi="Arial" w:cs="Arial"/>
                <w:sz w:val="16"/>
                <w:szCs w:val="16"/>
              </w:rPr>
              <w:t>41</w:t>
            </w:r>
          </w:p>
        </w:tc>
        <w:tc>
          <w:tcPr>
            <w:tcW w:w="3004"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rPr>
                <w:rFonts w:ascii="Arial" w:hAnsi="Arial" w:cs="Arial"/>
                <w:sz w:val="16"/>
                <w:szCs w:val="16"/>
              </w:rPr>
            </w:pPr>
            <w:r w:rsidRPr="00906AFB">
              <w:rPr>
                <w:rFonts w:ascii="Arial" w:hAnsi="Arial" w:cs="Arial"/>
                <w:sz w:val="16"/>
                <w:szCs w:val="16"/>
              </w:rPr>
              <w:t>Finanzas Transparentes y Eficientes</w:t>
            </w:r>
          </w:p>
        </w:tc>
        <w:tc>
          <w:tcPr>
            <w:tcW w:w="1347"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160,087,025</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22,242,420</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137,844,605</w:t>
            </w:r>
          </w:p>
        </w:tc>
      </w:tr>
      <w:tr w:rsidR="000B15CD" w:rsidRPr="00906AFB" w:rsidTr="000B15CD">
        <w:trPr>
          <w:trHeight w:val="283"/>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ind w:left="-142"/>
              <w:jc w:val="center"/>
              <w:rPr>
                <w:rFonts w:ascii="Arial" w:hAnsi="Arial" w:cs="Arial"/>
                <w:sz w:val="16"/>
                <w:szCs w:val="16"/>
              </w:rPr>
            </w:pPr>
            <w:r w:rsidRPr="00906AFB">
              <w:rPr>
                <w:rFonts w:ascii="Arial" w:hAnsi="Arial" w:cs="Arial"/>
                <w:sz w:val="16"/>
                <w:szCs w:val="16"/>
              </w:rPr>
              <w:t>42</w:t>
            </w:r>
          </w:p>
        </w:tc>
        <w:tc>
          <w:tcPr>
            <w:tcW w:w="3004"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rPr>
                <w:rFonts w:ascii="Arial" w:hAnsi="Arial" w:cs="Arial"/>
                <w:sz w:val="16"/>
                <w:szCs w:val="16"/>
              </w:rPr>
            </w:pPr>
            <w:r w:rsidRPr="00906AFB">
              <w:rPr>
                <w:rFonts w:ascii="Arial" w:hAnsi="Arial" w:cs="Arial"/>
                <w:sz w:val="16"/>
                <w:szCs w:val="16"/>
              </w:rPr>
              <w:t>Administración Pública</w:t>
            </w:r>
          </w:p>
        </w:tc>
        <w:tc>
          <w:tcPr>
            <w:tcW w:w="1347"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205,586,381</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15,333,747</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190,252,633</w:t>
            </w:r>
          </w:p>
        </w:tc>
      </w:tr>
      <w:tr w:rsidR="000B15CD" w:rsidRPr="00906AFB" w:rsidTr="000B15CD">
        <w:trPr>
          <w:trHeight w:val="283"/>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ind w:left="-142"/>
              <w:jc w:val="center"/>
              <w:rPr>
                <w:rFonts w:ascii="Arial" w:hAnsi="Arial" w:cs="Arial"/>
                <w:sz w:val="16"/>
                <w:szCs w:val="16"/>
              </w:rPr>
            </w:pPr>
            <w:r w:rsidRPr="00906AFB">
              <w:rPr>
                <w:rFonts w:ascii="Arial" w:hAnsi="Arial" w:cs="Arial"/>
                <w:sz w:val="16"/>
                <w:szCs w:val="16"/>
              </w:rPr>
              <w:t>45</w:t>
            </w:r>
          </w:p>
        </w:tc>
        <w:tc>
          <w:tcPr>
            <w:tcW w:w="3004"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rPr>
                <w:rFonts w:ascii="Arial" w:hAnsi="Arial" w:cs="Arial"/>
                <w:sz w:val="16"/>
                <w:szCs w:val="16"/>
              </w:rPr>
            </w:pPr>
            <w:r w:rsidRPr="00906AFB">
              <w:rPr>
                <w:rFonts w:ascii="Arial" w:hAnsi="Arial" w:cs="Arial"/>
                <w:sz w:val="16"/>
                <w:szCs w:val="16"/>
              </w:rPr>
              <w:t>Agenda Digital</w:t>
            </w:r>
          </w:p>
        </w:tc>
        <w:tc>
          <w:tcPr>
            <w:tcW w:w="1347"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18,828,352</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0</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18,828,352</w:t>
            </w:r>
          </w:p>
        </w:tc>
      </w:tr>
      <w:tr w:rsidR="000B15CD" w:rsidRPr="00906AFB" w:rsidTr="000B15CD">
        <w:trPr>
          <w:trHeight w:val="283"/>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ind w:left="-142"/>
              <w:jc w:val="center"/>
              <w:rPr>
                <w:rFonts w:ascii="Arial" w:hAnsi="Arial" w:cs="Arial"/>
                <w:sz w:val="16"/>
                <w:szCs w:val="16"/>
              </w:rPr>
            </w:pPr>
            <w:r w:rsidRPr="00906AFB">
              <w:rPr>
                <w:rFonts w:ascii="Arial" w:hAnsi="Arial" w:cs="Arial"/>
                <w:sz w:val="16"/>
                <w:szCs w:val="16"/>
              </w:rPr>
              <w:t>46</w:t>
            </w:r>
          </w:p>
        </w:tc>
        <w:tc>
          <w:tcPr>
            <w:tcW w:w="3004"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rPr>
                <w:rFonts w:ascii="Arial" w:hAnsi="Arial" w:cs="Arial"/>
                <w:sz w:val="16"/>
                <w:szCs w:val="16"/>
              </w:rPr>
            </w:pPr>
            <w:r w:rsidRPr="00906AFB">
              <w:rPr>
                <w:rFonts w:ascii="Arial" w:hAnsi="Arial" w:cs="Arial"/>
                <w:sz w:val="16"/>
                <w:szCs w:val="16"/>
              </w:rPr>
              <w:t>Acceso a la Información Pública</w:t>
            </w:r>
          </w:p>
        </w:tc>
        <w:tc>
          <w:tcPr>
            <w:tcW w:w="1347"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7,000,000</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0</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7,000,000</w:t>
            </w:r>
          </w:p>
        </w:tc>
      </w:tr>
      <w:tr w:rsidR="000B15CD" w:rsidRPr="00906AFB" w:rsidTr="000B15CD">
        <w:trPr>
          <w:trHeight w:val="283"/>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ind w:left="-142"/>
              <w:jc w:val="center"/>
              <w:rPr>
                <w:rFonts w:ascii="Arial" w:hAnsi="Arial" w:cs="Arial"/>
                <w:sz w:val="16"/>
                <w:szCs w:val="16"/>
              </w:rPr>
            </w:pPr>
            <w:r w:rsidRPr="00906AFB">
              <w:rPr>
                <w:rFonts w:ascii="Arial" w:hAnsi="Arial" w:cs="Arial"/>
                <w:sz w:val="16"/>
                <w:szCs w:val="16"/>
              </w:rPr>
              <w:t>48</w:t>
            </w:r>
          </w:p>
        </w:tc>
        <w:tc>
          <w:tcPr>
            <w:tcW w:w="3004"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rPr>
                <w:rFonts w:ascii="Arial" w:hAnsi="Arial" w:cs="Arial"/>
                <w:sz w:val="16"/>
                <w:szCs w:val="16"/>
              </w:rPr>
            </w:pPr>
            <w:r w:rsidRPr="00906AFB">
              <w:rPr>
                <w:rFonts w:ascii="Arial" w:hAnsi="Arial" w:cs="Arial"/>
                <w:sz w:val="16"/>
                <w:szCs w:val="16"/>
              </w:rPr>
              <w:t>Administración y Operación del Despacho del Gobernador</w:t>
            </w:r>
          </w:p>
        </w:tc>
        <w:tc>
          <w:tcPr>
            <w:tcW w:w="1347"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84,035,320</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8,182,015</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75,853,304</w:t>
            </w:r>
          </w:p>
        </w:tc>
      </w:tr>
      <w:tr w:rsidR="000B15CD" w:rsidRPr="00906AFB" w:rsidTr="000B15CD">
        <w:trPr>
          <w:trHeight w:val="283"/>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ind w:left="-142"/>
              <w:jc w:val="center"/>
              <w:rPr>
                <w:rFonts w:ascii="Arial" w:hAnsi="Arial" w:cs="Arial"/>
                <w:sz w:val="16"/>
                <w:szCs w:val="16"/>
              </w:rPr>
            </w:pPr>
            <w:r w:rsidRPr="00906AFB">
              <w:rPr>
                <w:rFonts w:ascii="Arial" w:hAnsi="Arial" w:cs="Arial"/>
                <w:sz w:val="16"/>
                <w:szCs w:val="16"/>
              </w:rPr>
              <w:t>49</w:t>
            </w:r>
          </w:p>
        </w:tc>
        <w:tc>
          <w:tcPr>
            <w:tcW w:w="3004"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rPr>
                <w:rFonts w:ascii="Arial" w:hAnsi="Arial" w:cs="Arial"/>
                <w:sz w:val="16"/>
                <w:szCs w:val="16"/>
              </w:rPr>
            </w:pPr>
            <w:r w:rsidRPr="00906AFB">
              <w:rPr>
                <w:rFonts w:ascii="Arial" w:hAnsi="Arial" w:cs="Arial"/>
                <w:sz w:val="16"/>
                <w:szCs w:val="16"/>
              </w:rPr>
              <w:t>Fiscalización Superior de los Recursos Públicos</w:t>
            </w:r>
          </w:p>
        </w:tc>
        <w:tc>
          <w:tcPr>
            <w:tcW w:w="1347"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30,000,000</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0</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30,000,000</w:t>
            </w:r>
          </w:p>
        </w:tc>
      </w:tr>
      <w:tr w:rsidR="000B15CD" w:rsidRPr="00906AFB" w:rsidTr="000B15CD">
        <w:trPr>
          <w:trHeight w:val="283"/>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ind w:left="-142"/>
              <w:jc w:val="center"/>
              <w:rPr>
                <w:rFonts w:ascii="Arial" w:hAnsi="Arial" w:cs="Arial"/>
                <w:sz w:val="16"/>
                <w:szCs w:val="16"/>
              </w:rPr>
            </w:pPr>
            <w:r w:rsidRPr="00906AFB">
              <w:rPr>
                <w:rFonts w:ascii="Arial" w:hAnsi="Arial" w:cs="Arial"/>
                <w:sz w:val="16"/>
                <w:szCs w:val="16"/>
              </w:rPr>
              <w:t>50</w:t>
            </w:r>
          </w:p>
        </w:tc>
        <w:tc>
          <w:tcPr>
            <w:tcW w:w="3004"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rPr>
                <w:rFonts w:ascii="Arial" w:hAnsi="Arial" w:cs="Arial"/>
                <w:sz w:val="16"/>
                <w:szCs w:val="16"/>
              </w:rPr>
            </w:pPr>
            <w:r w:rsidRPr="00906AFB">
              <w:rPr>
                <w:rFonts w:ascii="Arial" w:hAnsi="Arial" w:cs="Arial"/>
                <w:sz w:val="16"/>
                <w:szCs w:val="16"/>
              </w:rPr>
              <w:t>Poder Legislativo</w:t>
            </w:r>
          </w:p>
        </w:tc>
        <w:tc>
          <w:tcPr>
            <w:tcW w:w="1347"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93,280,000</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0</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93,280,000</w:t>
            </w:r>
          </w:p>
        </w:tc>
      </w:tr>
      <w:tr w:rsidR="000B15CD" w:rsidRPr="00906AFB" w:rsidTr="000B15CD">
        <w:trPr>
          <w:trHeight w:val="283"/>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ind w:left="-142"/>
              <w:jc w:val="center"/>
              <w:rPr>
                <w:rFonts w:ascii="Arial" w:hAnsi="Arial" w:cs="Arial"/>
                <w:sz w:val="16"/>
                <w:szCs w:val="16"/>
              </w:rPr>
            </w:pPr>
            <w:r w:rsidRPr="00906AFB">
              <w:rPr>
                <w:rFonts w:ascii="Arial" w:hAnsi="Arial" w:cs="Arial"/>
                <w:sz w:val="16"/>
                <w:szCs w:val="16"/>
              </w:rPr>
              <w:t>51</w:t>
            </w:r>
          </w:p>
        </w:tc>
        <w:tc>
          <w:tcPr>
            <w:tcW w:w="3004"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rPr>
                <w:rFonts w:ascii="Arial" w:hAnsi="Arial" w:cs="Arial"/>
                <w:sz w:val="16"/>
                <w:szCs w:val="16"/>
              </w:rPr>
            </w:pPr>
            <w:r w:rsidRPr="00906AFB">
              <w:rPr>
                <w:rFonts w:ascii="Arial" w:hAnsi="Arial" w:cs="Arial"/>
                <w:sz w:val="16"/>
                <w:szCs w:val="16"/>
              </w:rPr>
              <w:t>Poder Judicial</w:t>
            </w:r>
          </w:p>
        </w:tc>
        <w:tc>
          <w:tcPr>
            <w:tcW w:w="1347"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185,878,250</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0</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185,878,250</w:t>
            </w:r>
          </w:p>
        </w:tc>
      </w:tr>
      <w:tr w:rsidR="000B15CD" w:rsidRPr="00906AFB" w:rsidTr="000B15CD">
        <w:trPr>
          <w:trHeight w:val="283"/>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ind w:left="-142"/>
              <w:jc w:val="center"/>
              <w:rPr>
                <w:rFonts w:ascii="Arial" w:hAnsi="Arial" w:cs="Arial"/>
                <w:sz w:val="16"/>
                <w:szCs w:val="16"/>
              </w:rPr>
            </w:pPr>
            <w:r w:rsidRPr="00906AFB">
              <w:rPr>
                <w:rFonts w:ascii="Arial" w:hAnsi="Arial" w:cs="Arial"/>
                <w:sz w:val="16"/>
                <w:szCs w:val="16"/>
              </w:rPr>
              <w:t>54</w:t>
            </w:r>
          </w:p>
        </w:tc>
        <w:tc>
          <w:tcPr>
            <w:tcW w:w="3004"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rPr>
                <w:rFonts w:ascii="Arial" w:hAnsi="Arial" w:cs="Arial"/>
                <w:sz w:val="16"/>
                <w:szCs w:val="16"/>
              </w:rPr>
            </w:pPr>
            <w:r w:rsidRPr="00906AFB">
              <w:rPr>
                <w:rFonts w:ascii="Arial" w:hAnsi="Arial" w:cs="Arial"/>
                <w:sz w:val="16"/>
                <w:szCs w:val="16"/>
              </w:rPr>
              <w:t>Sistema Estatal de Planeación Democrática</w:t>
            </w:r>
          </w:p>
        </w:tc>
        <w:tc>
          <w:tcPr>
            <w:tcW w:w="1347"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26,793,756</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4365401.7</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22,428,355</w:t>
            </w:r>
          </w:p>
        </w:tc>
      </w:tr>
      <w:tr w:rsidR="000B15CD" w:rsidRPr="00906AFB" w:rsidTr="000B15CD">
        <w:trPr>
          <w:trHeight w:val="283"/>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ind w:left="-142"/>
              <w:jc w:val="center"/>
              <w:rPr>
                <w:rFonts w:ascii="Arial" w:hAnsi="Arial" w:cs="Arial"/>
                <w:sz w:val="16"/>
                <w:szCs w:val="16"/>
              </w:rPr>
            </w:pPr>
            <w:r w:rsidRPr="00906AFB">
              <w:rPr>
                <w:rFonts w:ascii="Arial" w:hAnsi="Arial" w:cs="Arial"/>
                <w:sz w:val="16"/>
                <w:szCs w:val="16"/>
              </w:rPr>
              <w:t>56</w:t>
            </w:r>
          </w:p>
        </w:tc>
        <w:tc>
          <w:tcPr>
            <w:tcW w:w="3004"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rPr>
                <w:rFonts w:ascii="Arial" w:hAnsi="Arial" w:cs="Arial"/>
                <w:sz w:val="16"/>
                <w:szCs w:val="16"/>
              </w:rPr>
            </w:pPr>
            <w:r w:rsidRPr="00906AFB">
              <w:rPr>
                <w:rFonts w:ascii="Arial" w:hAnsi="Arial" w:cs="Arial"/>
                <w:sz w:val="16"/>
                <w:szCs w:val="16"/>
              </w:rPr>
              <w:t>Transparencia y Control Gubernamental</w:t>
            </w:r>
          </w:p>
        </w:tc>
        <w:tc>
          <w:tcPr>
            <w:tcW w:w="1347"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18,205,602</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2,765,782</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15,439,820</w:t>
            </w:r>
          </w:p>
        </w:tc>
      </w:tr>
      <w:tr w:rsidR="000B15CD" w:rsidRPr="00906AFB" w:rsidTr="000B15CD">
        <w:trPr>
          <w:trHeight w:val="283"/>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ind w:left="-142"/>
              <w:jc w:val="center"/>
              <w:rPr>
                <w:rFonts w:ascii="Arial" w:hAnsi="Arial" w:cs="Arial"/>
                <w:sz w:val="16"/>
                <w:szCs w:val="16"/>
              </w:rPr>
            </w:pPr>
            <w:r w:rsidRPr="00906AFB">
              <w:rPr>
                <w:rFonts w:ascii="Arial" w:hAnsi="Arial" w:cs="Arial"/>
                <w:sz w:val="16"/>
                <w:szCs w:val="16"/>
              </w:rPr>
              <w:t>58</w:t>
            </w:r>
          </w:p>
        </w:tc>
        <w:tc>
          <w:tcPr>
            <w:tcW w:w="3004"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rPr>
                <w:rFonts w:ascii="Arial" w:hAnsi="Arial" w:cs="Arial"/>
                <w:sz w:val="16"/>
                <w:szCs w:val="16"/>
              </w:rPr>
            </w:pPr>
            <w:r w:rsidRPr="00906AFB">
              <w:rPr>
                <w:rFonts w:ascii="Arial" w:hAnsi="Arial" w:cs="Arial"/>
                <w:sz w:val="16"/>
                <w:szCs w:val="16"/>
              </w:rPr>
              <w:t>Relaciones Exteriores</w:t>
            </w:r>
          </w:p>
        </w:tc>
        <w:tc>
          <w:tcPr>
            <w:tcW w:w="1347"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2,505,600</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0</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2,505,600</w:t>
            </w:r>
          </w:p>
        </w:tc>
      </w:tr>
      <w:tr w:rsidR="000B15CD" w:rsidRPr="00906AFB" w:rsidTr="000B15CD">
        <w:trPr>
          <w:trHeight w:val="283"/>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ind w:left="-142"/>
              <w:jc w:val="center"/>
              <w:rPr>
                <w:rFonts w:ascii="Arial" w:hAnsi="Arial" w:cs="Arial"/>
                <w:sz w:val="16"/>
                <w:szCs w:val="16"/>
              </w:rPr>
            </w:pPr>
            <w:r w:rsidRPr="00906AFB">
              <w:rPr>
                <w:rFonts w:ascii="Arial" w:hAnsi="Arial" w:cs="Arial"/>
                <w:sz w:val="16"/>
                <w:szCs w:val="16"/>
              </w:rPr>
              <w:t>61</w:t>
            </w:r>
          </w:p>
        </w:tc>
        <w:tc>
          <w:tcPr>
            <w:tcW w:w="3004"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rPr>
                <w:rFonts w:ascii="Arial" w:hAnsi="Arial" w:cs="Arial"/>
                <w:sz w:val="16"/>
                <w:szCs w:val="16"/>
              </w:rPr>
            </w:pPr>
            <w:r w:rsidRPr="00906AFB">
              <w:rPr>
                <w:rFonts w:ascii="Arial" w:hAnsi="Arial" w:cs="Arial"/>
                <w:sz w:val="16"/>
                <w:szCs w:val="16"/>
              </w:rPr>
              <w:t>Gasto No Programable</w:t>
            </w:r>
          </w:p>
        </w:tc>
        <w:tc>
          <w:tcPr>
            <w:tcW w:w="1347"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3,216,309,318</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803,226,000</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2,413,083,318</w:t>
            </w:r>
          </w:p>
        </w:tc>
      </w:tr>
      <w:tr w:rsidR="000B15CD" w:rsidRPr="00906AFB" w:rsidTr="000B15CD">
        <w:trPr>
          <w:trHeight w:val="283"/>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ind w:left="-142"/>
              <w:jc w:val="center"/>
              <w:rPr>
                <w:rFonts w:ascii="Arial" w:hAnsi="Arial" w:cs="Arial"/>
                <w:sz w:val="16"/>
                <w:szCs w:val="16"/>
              </w:rPr>
            </w:pPr>
            <w:r w:rsidRPr="00906AFB">
              <w:rPr>
                <w:rFonts w:ascii="Arial" w:hAnsi="Arial" w:cs="Arial"/>
                <w:sz w:val="16"/>
                <w:szCs w:val="16"/>
              </w:rPr>
              <w:t>63</w:t>
            </w:r>
          </w:p>
        </w:tc>
        <w:tc>
          <w:tcPr>
            <w:tcW w:w="3004"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rPr>
                <w:rFonts w:ascii="Arial" w:hAnsi="Arial" w:cs="Arial"/>
                <w:sz w:val="16"/>
                <w:szCs w:val="16"/>
              </w:rPr>
            </w:pPr>
            <w:r w:rsidRPr="00906AFB">
              <w:rPr>
                <w:rFonts w:ascii="Arial" w:hAnsi="Arial" w:cs="Arial"/>
                <w:sz w:val="16"/>
                <w:szCs w:val="16"/>
              </w:rPr>
              <w:t>Educación Inicial</w:t>
            </w:r>
          </w:p>
        </w:tc>
        <w:tc>
          <w:tcPr>
            <w:tcW w:w="1347"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56,450,000</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56,450,000</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0</w:t>
            </w:r>
          </w:p>
        </w:tc>
      </w:tr>
      <w:tr w:rsidR="000B15CD" w:rsidRPr="00906AFB" w:rsidTr="000B15CD">
        <w:trPr>
          <w:trHeight w:val="283"/>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ind w:left="-142"/>
              <w:jc w:val="center"/>
              <w:rPr>
                <w:rFonts w:ascii="Arial" w:hAnsi="Arial" w:cs="Arial"/>
                <w:sz w:val="16"/>
                <w:szCs w:val="16"/>
              </w:rPr>
            </w:pPr>
            <w:r w:rsidRPr="00906AFB">
              <w:rPr>
                <w:rFonts w:ascii="Arial" w:hAnsi="Arial" w:cs="Arial"/>
                <w:sz w:val="16"/>
                <w:szCs w:val="16"/>
              </w:rPr>
              <w:t>64</w:t>
            </w:r>
          </w:p>
        </w:tc>
        <w:tc>
          <w:tcPr>
            <w:tcW w:w="3004"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rPr>
                <w:rFonts w:ascii="Arial" w:hAnsi="Arial" w:cs="Arial"/>
                <w:sz w:val="16"/>
                <w:szCs w:val="16"/>
              </w:rPr>
            </w:pPr>
            <w:r w:rsidRPr="00906AFB">
              <w:rPr>
                <w:rFonts w:ascii="Arial" w:hAnsi="Arial" w:cs="Arial"/>
                <w:sz w:val="16"/>
                <w:szCs w:val="16"/>
              </w:rPr>
              <w:t>Educación Básica</w:t>
            </w:r>
          </w:p>
        </w:tc>
        <w:tc>
          <w:tcPr>
            <w:tcW w:w="1347"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2,924,585,682</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2,618,386,236</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306,199,447</w:t>
            </w:r>
          </w:p>
        </w:tc>
      </w:tr>
      <w:tr w:rsidR="000B15CD" w:rsidRPr="00906AFB" w:rsidTr="000B15CD">
        <w:trPr>
          <w:trHeight w:val="283"/>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ind w:left="-142"/>
              <w:jc w:val="center"/>
              <w:rPr>
                <w:rFonts w:ascii="Arial" w:hAnsi="Arial" w:cs="Arial"/>
                <w:sz w:val="16"/>
                <w:szCs w:val="16"/>
              </w:rPr>
            </w:pPr>
            <w:r w:rsidRPr="00906AFB">
              <w:rPr>
                <w:rFonts w:ascii="Arial" w:hAnsi="Arial" w:cs="Arial"/>
                <w:sz w:val="16"/>
                <w:szCs w:val="16"/>
              </w:rPr>
              <w:t>65</w:t>
            </w:r>
          </w:p>
        </w:tc>
        <w:tc>
          <w:tcPr>
            <w:tcW w:w="3004"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rPr>
                <w:rFonts w:ascii="Arial" w:hAnsi="Arial" w:cs="Arial"/>
                <w:sz w:val="16"/>
                <w:szCs w:val="16"/>
              </w:rPr>
            </w:pPr>
            <w:r w:rsidRPr="00906AFB">
              <w:rPr>
                <w:rFonts w:ascii="Arial" w:hAnsi="Arial" w:cs="Arial"/>
                <w:sz w:val="16"/>
                <w:szCs w:val="16"/>
              </w:rPr>
              <w:t>Educación Media Superior</w:t>
            </w:r>
          </w:p>
        </w:tc>
        <w:tc>
          <w:tcPr>
            <w:tcW w:w="1347"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171,581,208</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120,423,725</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51,157,483</w:t>
            </w:r>
          </w:p>
        </w:tc>
      </w:tr>
      <w:tr w:rsidR="000B15CD" w:rsidRPr="00906AFB" w:rsidTr="000B15CD">
        <w:trPr>
          <w:trHeight w:val="283"/>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ind w:left="-142"/>
              <w:jc w:val="center"/>
              <w:rPr>
                <w:rFonts w:ascii="Arial" w:hAnsi="Arial" w:cs="Arial"/>
                <w:sz w:val="16"/>
                <w:szCs w:val="16"/>
              </w:rPr>
            </w:pPr>
            <w:r w:rsidRPr="00906AFB">
              <w:rPr>
                <w:rFonts w:ascii="Arial" w:hAnsi="Arial" w:cs="Arial"/>
                <w:sz w:val="16"/>
                <w:szCs w:val="16"/>
              </w:rPr>
              <w:t>66</w:t>
            </w:r>
          </w:p>
        </w:tc>
        <w:tc>
          <w:tcPr>
            <w:tcW w:w="3004"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rPr>
                <w:rFonts w:ascii="Arial" w:hAnsi="Arial" w:cs="Arial"/>
                <w:sz w:val="16"/>
                <w:szCs w:val="16"/>
              </w:rPr>
            </w:pPr>
            <w:r w:rsidRPr="00906AFB">
              <w:rPr>
                <w:rFonts w:ascii="Arial" w:hAnsi="Arial" w:cs="Arial"/>
                <w:sz w:val="16"/>
                <w:szCs w:val="16"/>
              </w:rPr>
              <w:t>Educación Superior</w:t>
            </w:r>
          </w:p>
        </w:tc>
        <w:tc>
          <w:tcPr>
            <w:tcW w:w="1347"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95,232,998</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35,443,599</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59,789,400</w:t>
            </w:r>
          </w:p>
        </w:tc>
      </w:tr>
      <w:tr w:rsidR="000B15CD" w:rsidRPr="00906AFB" w:rsidTr="000B15CD">
        <w:trPr>
          <w:trHeight w:val="283"/>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ind w:left="-142"/>
              <w:jc w:val="center"/>
              <w:rPr>
                <w:rFonts w:ascii="Arial" w:hAnsi="Arial" w:cs="Arial"/>
                <w:sz w:val="16"/>
                <w:szCs w:val="16"/>
              </w:rPr>
            </w:pPr>
            <w:r w:rsidRPr="00906AFB">
              <w:rPr>
                <w:rFonts w:ascii="Arial" w:hAnsi="Arial" w:cs="Arial"/>
                <w:sz w:val="16"/>
                <w:szCs w:val="16"/>
              </w:rPr>
              <w:t>71</w:t>
            </w:r>
          </w:p>
        </w:tc>
        <w:tc>
          <w:tcPr>
            <w:tcW w:w="3004"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rPr>
                <w:rFonts w:ascii="Arial" w:hAnsi="Arial" w:cs="Arial"/>
                <w:sz w:val="16"/>
                <w:szCs w:val="16"/>
              </w:rPr>
            </w:pPr>
            <w:r w:rsidRPr="00906AFB">
              <w:rPr>
                <w:rFonts w:ascii="Arial" w:hAnsi="Arial" w:cs="Arial"/>
                <w:sz w:val="16"/>
                <w:szCs w:val="16"/>
              </w:rPr>
              <w:t>Programa de Apoyo a Grupos Vulnerables Aplicado para Disminuir la Pobreza</w:t>
            </w:r>
          </w:p>
        </w:tc>
        <w:tc>
          <w:tcPr>
            <w:tcW w:w="1347"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400,000</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0</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400,000</w:t>
            </w:r>
          </w:p>
        </w:tc>
      </w:tr>
      <w:tr w:rsidR="000B15CD" w:rsidRPr="00906AFB" w:rsidTr="000B15CD">
        <w:trPr>
          <w:trHeight w:val="283"/>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ind w:left="-142"/>
              <w:jc w:val="center"/>
              <w:rPr>
                <w:rFonts w:ascii="Arial" w:hAnsi="Arial" w:cs="Arial"/>
                <w:sz w:val="16"/>
                <w:szCs w:val="16"/>
              </w:rPr>
            </w:pPr>
            <w:r w:rsidRPr="00906AFB">
              <w:rPr>
                <w:rFonts w:ascii="Arial" w:hAnsi="Arial" w:cs="Arial"/>
                <w:sz w:val="16"/>
                <w:szCs w:val="16"/>
              </w:rPr>
              <w:t>73</w:t>
            </w:r>
          </w:p>
        </w:tc>
        <w:tc>
          <w:tcPr>
            <w:tcW w:w="3004"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rPr>
                <w:rFonts w:ascii="Arial" w:hAnsi="Arial" w:cs="Arial"/>
                <w:sz w:val="16"/>
                <w:szCs w:val="16"/>
              </w:rPr>
            </w:pPr>
            <w:r w:rsidRPr="00906AFB">
              <w:rPr>
                <w:rFonts w:ascii="Arial" w:hAnsi="Arial" w:cs="Arial"/>
                <w:sz w:val="16"/>
                <w:szCs w:val="16"/>
              </w:rPr>
              <w:t>Programa Institucional de Becas para la Educación</w:t>
            </w:r>
          </w:p>
        </w:tc>
        <w:tc>
          <w:tcPr>
            <w:tcW w:w="1347"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19,000,000</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0</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19,000,000</w:t>
            </w:r>
          </w:p>
        </w:tc>
      </w:tr>
      <w:tr w:rsidR="000B15CD" w:rsidRPr="00906AFB" w:rsidTr="000B15CD">
        <w:trPr>
          <w:trHeight w:val="283"/>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ind w:left="-142"/>
              <w:jc w:val="center"/>
              <w:rPr>
                <w:rFonts w:ascii="Arial" w:hAnsi="Arial" w:cs="Arial"/>
                <w:sz w:val="16"/>
                <w:szCs w:val="16"/>
              </w:rPr>
            </w:pPr>
            <w:r w:rsidRPr="00906AFB">
              <w:rPr>
                <w:rFonts w:ascii="Arial" w:hAnsi="Arial" w:cs="Arial"/>
                <w:sz w:val="16"/>
                <w:szCs w:val="16"/>
              </w:rPr>
              <w:t>74</w:t>
            </w:r>
          </w:p>
        </w:tc>
        <w:tc>
          <w:tcPr>
            <w:tcW w:w="3004"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rPr>
                <w:rFonts w:ascii="Arial" w:hAnsi="Arial" w:cs="Arial"/>
                <w:sz w:val="16"/>
                <w:szCs w:val="16"/>
              </w:rPr>
            </w:pPr>
            <w:r w:rsidRPr="00906AFB">
              <w:rPr>
                <w:rFonts w:ascii="Arial" w:hAnsi="Arial" w:cs="Arial"/>
                <w:sz w:val="16"/>
                <w:szCs w:val="16"/>
              </w:rPr>
              <w:t>Planeación y Conducción de la Política Social</w:t>
            </w:r>
          </w:p>
        </w:tc>
        <w:tc>
          <w:tcPr>
            <w:tcW w:w="1347"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19,624,521</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4,120,341</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15,504,180</w:t>
            </w:r>
          </w:p>
        </w:tc>
      </w:tr>
      <w:tr w:rsidR="000B15CD" w:rsidRPr="00906AFB" w:rsidTr="000B15CD">
        <w:trPr>
          <w:trHeight w:val="283"/>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ind w:left="-142"/>
              <w:jc w:val="center"/>
              <w:rPr>
                <w:rFonts w:ascii="Arial" w:hAnsi="Arial" w:cs="Arial"/>
                <w:sz w:val="16"/>
                <w:szCs w:val="16"/>
              </w:rPr>
            </w:pPr>
            <w:r w:rsidRPr="00906AFB">
              <w:rPr>
                <w:rFonts w:ascii="Arial" w:hAnsi="Arial" w:cs="Arial"/>
                <w:sz w:val="16"/>
                <w:szCs w:val="16"/>
              </w:rPr>
              <w:t>75</w:t>
            </w:r>
          </w:p>
        </w:tc>
        <w:tc>
          <w:tcPr>
            <w:tcW w:w="3004"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rPr>
                <w:rFonts w:ascii="Arial" w:hAnsi="Arial" w:cs="Arial"/>
                <w:sz w:val="16"/>
                <w:szCs w:val="16"/>
              </w:rPr>
            </w:pPr>
            <w:r w:rsidRPr="00906AFB">
              <w:rPr>
                <w:rFonts w:ascii="Arial" w:hAnsi="Arial" w:cs="Arial"/>
                <w:sz w:val="16"/>
                <w:szCs w:val="16"/>
              </w:rPr>
              <w:t>Programa de Movilidad</w:t>
            </w:r>
          </w:p>
        </w:tc>
        <w:tc>
          <w:tcPr>
            <w:tcW w:w="1347"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58,707,250</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9,489,297</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49,217,953</w:t>
            </w:r>
          </w:p>
        </w:tc>
      </w:tr>
      <w:tr w:rsidR="000B15CD" w:rsidRPr="00906AFB" w:rsidTr="000B15CD">
        <w:trPr>
          <w:trHeight w:val="283"/>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ind w:left="-142"/>
              <w:jc w:val="center"/>
              <w:rPr>
                <w:rFonts w:ascii="Arial" w:hAnsi="Arial" w:cs="Arial"/>
                <w:sz w:val="16"/>
                <w:szCs w:val="16"/>
              </w:rPr>
            </w:pPr>
            <w:r w:rsidRPr="00906AFB">
              <w:rPr>
                <w:rFonts w:ascii="Arial" w:hAnsi="Arial" w:cs="Arial"/>
                <w:sz w:val="16"/>
                <w:szCs w:val="16"/>
              </w:rPr>
              <w:t>77</w:t>
            </w:r>
          </w:p>
        </w:tc>
        <w:tc>
          <w:tcPr>
            <w:tcW w:w="3004"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rPr>
                <w:rFonts w:ascii="Arial" w:hAnsi="Arial" w:cs="Arial"/>
                <w:sz w:val="16"/>
                <w:szCs w:val="16"/>
              </w:rPr>
            </w:pPr>
            <w:r w:rsidRPr="00906AFB">
              <w:rPr>
                <w:rFonts w:ascii="Arial" w:hAnsi="Arial" w:cs="Arial"/>
                <w:sz w:val="16"/>
                <w:szCs w:val="16"/>
              </w:rPr>
              <w:t>Consolidación de la Gobernabilidad Democrática del Estado de Colima</w:t>
            </w:r>
          </w:p>
        </w:tc>
        <w:tc>
          <w:tcPr>
            <w:tcW w:w="1347"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54,378,953</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15,861,654</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38,517,299</w:t>
            </w:r>
          </w:p>
        </w:tc>
      </w:tr>
      <w:tr w:rsidR="000B15CD" w:rsidRPr="00906AFB" w:rsidTr="000B15CD">
        <w:trPr>
          <w:trHeight w:val="283"/>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ind w:left="-142"/>
              <w:jc w:val="center"/>
              <w:rPr>
                <w:rFonts w:ascii="Arial" w:hAnsi="Arial" w:cs="Arial"/>
                <w:sz w:val="16"/>
                <w:szCs w:val="16"/>
              </w:rPr>
            </w:pPr>
            <w:r w:rsidRPr="00906AFB">
              <w:rPr>
                <w:rFonts w:ascii="Arial" w:hAnsi="Arial" w:cs="Arial"/>
                <w:sz w:val="16"/>
                <w:szCs w:val="16"/>
              </w:rPr>
              <w:t>79</w:t>
            </w:r>
          </w:p>
        </w:tc>
        <w:tc>
          <w:tcPr>
            <w:tcW w:w="3004"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rPr>
                <w:rFonts w:ascii="Arial" w:hAnsi="Arial" w:cs="Arial"/>
                <w:sz w:val="16"/>
                <w:szCs w:val="16"/>
              </w:rPr>
            </w:pPr>
            <w:r w:rsidRPr="00906AFB">
              <w:rPr>
                <w:rFonts w:ascii="Arial" w:hAnsi="Arial" w:cs="Arial"/>
                <w:sz w:val="16"/>
                <w:szCs w:val="16"/>
              </w:rPr>
              <w:t>Compromiso con la Salvaguarda de La Población en Materia de Protección Civil</w:t>
            </w:r>
          </w:p>
        </w:tc>
        <w:tc>
          <w:tcPr>
            <w:tcW w:w="1347"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37,575,523</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0</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37,575,523</w:t>
            </w:r>
          </w:p>
        </w:tc>
      </w:tr>
      <w:tr w:rsidR="000B15CD" w:rsidRPr="00906AFB" w:rsidTr="000B15CD">
        <w:trPr>
          <w:trHeight w:val="283"/>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ind w:left="-142"/>
              <w:jc w:val="center"/>
              <w:rPr>
                <w:rFonts w:ascii="Arial" w:hAnsi="Arial" w:cs="Arial"/>
                <w:sz w:val="16"/>
                <w:szCs w:val="16"/>
              </w:rPr>
            </w:pPr>
            <w:r w:rsidRPr="00906AFB">
              <w:rPr>
                <w:rFonts w:ascii="Arial" w:hAnsi="Arial" w:cs="Arial"/>
                <w:sz w:val="16"/>
                <w:szCs w:val="16"/>
              </w:rPr>
              <w:t>80</w:t>
            </w:r>
          </w:p>
        </w:tc>
        <w:tc>
          <w:tcPr>
            <w:tcW w:w="3004"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rPr>
                <w:rFonts w:ascii="Arial" w:hAnsi="Arial" w:cs="Arial"/>
                <w:sz w:val="16"/>
                <w:szCs w:val="16"/>
              </w:rPr>
            </w:pPr>
            <w:r w:rsidRPr="00906AFB">
              <w:rPr>
                <w:rFonts w:ascii="Arial" w:hAnsi="Arial" w:cs="Arial"/>
                <w:sz w:val="16"/>
                <w:szCs w:val="16"/>
              </w:rPr>
              <w:t>Desempeño de Funciones</w:t>
            </w:r>
          </w:p>
        </w:tc>
        <w:tc>
          <w:tcPr>
            <w:tcW w:w="1347"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910,841,555</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758,511,962</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152,329,594</w:t>
            </w:r>
          </w:p>
        </w:tc>
      </w:tr>
      <w:tr w:rsidR="000B15CD" w:rsidRPr="00906AFB" w:rsidTr="000B15CD">
        <w:trPr>
          <w:trHeight w:val="283"/>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ind w:left="-142"/>
              <w:jc w:val="center"/>
              <w:rPr>
                <w:rFonts w:ascii="Arial" w:hAnsi="Arial" w:cs="Arial"/>
                <w:sz w:val="16"/>
                <w:szCs w:val="16"/>
              </w:rPr>
            </w:pPr>
            <w:r w:rsidRPr="00906AFB">
              <w:rPr>
                <w:rFonts w:ascii="Arial" w:hAnsi="Arial" w:cs="Arial"/>
                <w:sz w:val="16"/>
                <w:szCs w:val="16"/>
              </w:rPr>
              <w:t>82</w:t>
            </w:r>
          </w:p>
        </w:tc>
        <w:tc>
          <w:tcPr>
            <w:tcW w:w="3004"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rPr>
                <w:rFonts w:ascii="Arial" w:hAnsi="Arial" w:cs="Arial"/>
                <w:sz w:val="16"/>
                <w:szCs w:val="16"/>
              </w:rPr>
            </w:pPr>
            <w:r w:rsidRPr="00906AFB">
              <w:rPr>
                <w:rFonts w:ascii="Arial" w:hAnsi="Arial" w:cs="Arial"/>
                <w:sz w:val="16"/>
                <w:szCs w:val="16"/>
              </w:rPr>
              <w:t>Educación Para Adultos</w:t>
            </w:r>
          </w:p>
        </w:tc>
        <w:tc>
          <w:tcPr>
            <w:tcW w:w="1347"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35,091,000</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32,591,000</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2,500,000</w:t>
            </w:r>
          </w:p>
        </w:tc>
      </w:tr>
      <w:tr w:rsidR="000B15CD" w:rsidRPr="00906AFB" w:rsidTr="000B15CD">
        <w:trPr>
          <w:trHeight w:val="283"/>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ind w:left="-142"/>
              <w:jc w:val="center"/>
              <w:rPr>
                <w:rFonts w:ascii="Arial" w:hAnsi="Arial" w:cs="Arial"/>
                <w:sz w:val="16"/>
                <w:szCs w:val="16"/>
              </w:rPr>
            </w:pPr>
            <w:r w:rsidRPr="00906AFB">
              <w:rPr>
                <w:rFonts w:ascii="Arial" w:hAnsi="Arial" w:cs="Arial"/>
                <w:sz w:val="16"/>
                <w:szCs w:val="16"/>
              </w:rPr>
              <w:t>83</w:t>
            </w:r>
          </w:p>
        </w:tc>
        <w:tc>
          <w:tcPr>
            <w:tcW w:w="3004"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rPr>
                <w:rFonts w:ascii="Arial" w:hAnsi="Arial" w:cs="Arial"/>
                <w:sz w:val="16"/>
                <w:szCs w:val="16"/>
              </w:rPr>
            </w:pPr>
            <w:r w:rsidRPr="00906AFB">
              <w:rPr>
                <w:rFonts w:ascii="Arial" w:hAnsi="Arial" w:cs="Arial"/>
                <w:sz w:val="16"/>
                <w:szCs w:val="16"/>
              </w:rPr>
              <w:t>Consejería Jurídica</w:t>
            </w:r>
          </w:p>
        </w:tc>
        <w:tc>
          <w:tcPr>
            <w:tcW w:w="1347"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39,993,151</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8,742,115</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31,251,036</w:t>
            </w:r>
          </w:p>
        </w:tc>
      </w:tr>
      <w:tr w:rsidR="000B15CD" w:rsidRPr="00906AFB" w:rsidTr="000B15CD">
        <w:trPr>
          <w:trHeight w:val="283"/>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ind w:left="-142"/>
              <w:jc w:val="center"/>
              <w:rPr>
                <w:rFonts w:ascii="Arial" w:hAnsi="Arial" w:cs="Arial"/>
                <w:sz w:val="16"/>
                <w:szCs w:val="16"/>
              </w:rPr>
            </w:pPr>
            <w:r w:rsidRPr="00906AFB">
              <w:rPr>
                <w:rFonts w:ascii="Arial" w:hAnsi="Arial" w:cs="Arial"/>
                <w:sz w:val="16"/>
                <w:szCs w:val="16"/>
              </w:rPr>
              <w:t>84</w:t>
            </w:r>
          </w:p>
        </w:tc>
        <w:tc>
          <w:tcPr>
            <w:tcW w:w="3004"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rPr>
                <w:rFonts w:ascii="Arial" w:hAnsi="Arial" w:cs="Arial"/>
                <w:sz w:val="16"/>
                <w:szCs w:val="16"/>
              </w:rPr>
            </w:pPr>
            <w:r w:rsidRPr="00906AFB">
              <w:rPr>
                <w:rFonts w:ascii="Arial" w:hAnsi="Arial" w:cs="Arial"/>
                <w:sz w:val="16"/>
                <w:szCs w:val="16"/>
              </w:rPr>
              <w:t>Educación Media Superior (CONALEP)</w:t>
            </w:r>
          </w:p>
        </w:tc>
        <w:tc>
          <w:tcPr>
            <w:tcW w:w="1347"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46,480,400</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39,932,000</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6,548,400</w:t>
            </w:r>
          </w:p>
        </w:tc>
      </w:tr>
      <w:tr w:rsidR="000B15CD" w:rsidRPr="00906AFB" w:rsidTr="000B15CD">
        <w:trPr>
          <w:trHeight w:val="283"/>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ind w:left="-142"/>
              <w:jc w:val="center"/>
              <w:rPr>
                <w:rFonts w:ascii="Arial" w:hAnsi="Arial" w:cs="Arial"/>
                <w:sz w:val="16"/>
                <w:szCs w:val="16"/>
              </w:rPr>
            </w:pPr>
            <w:r w:rsidRPr="00906AFB">
              <w:rPr>
                <w:rFonts w:ascii="Arial" w:hAnsi="Arial" w:cs="Arial"/>
                <w:sz w:val="16"/>
                <w:szCs w:val="16"/>
              </w:rPr>
              <w:t>85</w:t>
            </w:r>
          </w:p>
        </w:tc>
        <w:tc>
          <w:tcPr>
            <w:tcW w:w="3004"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rPr>
                <w:rFonts w:ascii="Arial" w:hAnsi="Arial" w:cs="Arial"/>
                <w:sz w:val="16"/>
                <w:szCs w:val="16"/>
              </w:rPr>
            </w:pPr>
            <w:r w:rsidRPr="00906AFB">
              <w:rPr>
                <w:rFonts w:ascii="Arial" w:hAnsi="Arial" w:cs="Arial"/>
                <w:sz w:val="16"/>
                <w:szCs w:val="16"/>
              </w:rPr>
              <w:t>Radio y Televisión</w:t>
            </w:r>
          </w:p>
        </w:tc>
        <w:tc>
          <w:tcPr>
            <w:tcW w:w="1347"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18,627,280</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0</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18,627,280</w:t>
            </w:r>
          </w:p>
        </w:tc>
      </w:tr>
      <w:tr w:rsidR="000B15CD" w:rsidRPr="00906AFB" w:rsidTr="000B15CD">
        <w:trPr>
          <w:trHeight w:val="283"/>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ind w:left="-142"/>
              <w:jc w:val="center"/>
              <w:rPr>
                <w:rFonts w:ascii="Arial" w:hAnsi="Arial" w:cs="Arial"/>
                <w:sz w:val="16"/>
                <w:szCs w:val="16"/>
              </w:rPr>
            </w:pPr>
            <w:r w:rsidRPr="00906AFB">
              <w:rPr>
                <w:rFonts w:ascii="Arial" w:hAnsi="Arial" w:cs="Arial"/>
                <w:sz w:val="16"/>
                <w:szCs w:val="16"/>
              </w:rPr>
              <w:t>87</w:t>
            </w:r>
          </w:p>
        </w:tc>
        <w:tc>
          <w:tcPr>
            <w:tcW w:w="3004"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rPr>
                <w:rFonts w:ascii="Arial" w:hAnsi="Arial" w:cs="Arial"/>
                <w:sz w:val="16"/>
                <w:szCs w:val="16"/>
              </w:rPr>
            </w:pPr>
            <w:r w:rsidRPr="00906AFB">
              <w:rPr>
                <w:rFonts w:ascii="Arial" w:hAnsi="Arial" w:cs="Arial"/>
                <w:sz w:val="16"/>
                <w:szCs w:val="16"/>
              </w:rPr>
              <w:t>Desarrollo Humano</w:t>
            </w:r>
          </w:p>
        </w:tc>
        <w:tc>
          <w:tcPr>
            <w:tcW w:w="1347"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550,000</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0</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550,000</w:t>
            </w:r>
          </w:p>
        </w:tc>
      </w:tr>
      <w:tr w:rsidR="000B15CD" w:rsidRPr="00906AFB" w:rsidTr="000B15CD">
        <w:trPr>
          <w:trHeight w:val="283"/>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ind w:left="-142"/>
              <w:jc w:val="center"/>
              <w:rPr>
                <w:rFonts w:ascii="Arial" w:hAnsi="Arial" w:cs="Arial"/>
                <w:sz w:val="16"/>
                <w:szCs w:val="16"/>
              </w:rPr>
            </w:pPr>
            <w:r w:rsidRPr="00906AFB">
              <w:rPr>
                <w:rFonts w:ascii="Arial" w:hAnsi="Arial" w:cs="Arial"/>
                <w:sz w:val="16"/>
                <w:szCs w:val="16"/>
              </w:rPr>
              <w:t>88</w:t>
            </w:r>
          </w:p>
        </w:tc>
        <w:tc>
          <w:tcPr>
            <w:tcW w:w="3004"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rPr>
                <w:rFonts w:ascii="Arial" w:hAnsi="Arial" w:cs="Arial"/>
                <w:sz w:val="16"/>
                <w:szCs w:val="16"/>
              </w:rPr>
            </w:pPr>
            <w:r w:rsidRPr="00906AFB">
              <w:rPr>
                <w:rFonts w:ascii="Arial" w:hAnsi="Arial" w:cs="Arial"/>
                <w:sz w:val="16"/>
                <w:szCs w:val="16"/>
              </w:rPr>
              <w:t>Disminución de la Pobreza</w:t>
            </w:r>
          </w:p>
        </w:tc>
        <w:tc>
          <w:tcPr>
            <w:tcW w:w="1347"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17,254,000</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12,004,000</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5,250,000</w:t>
            </w:r>
          </w:p>
        </w:tc>
      </w:tr>
      <w:tr w:rsidR="000B15CD" w:rsidRPr="00906AFB" w:rsidTr="000B15CD">
        <w:trPr>
          <w:trHeight w:val="283"/>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ind w:left="-142"/>
              <w:jc w:val="center"/>
              <w:rPr>
                <w:rFonts w:ascii="Arial" w:hAnsi="Arial" w:cs="Arial"/>
                <w:sz w:val="16"/>
                <w:szCs w:val="16"/>
              </w:rPr>
            </w:pPr>
            <w:r w:rsidRPr="00906AFB">
              <w:rPr>
                <w:rFonts w:ascii="Arial" w:hAnsi="Arial" w:cs="Arial"/>
                <w:sz w:val="16"/>
                <w:szCs w:val="16"/>
              </w:rPr>
              <w:t>90</w:t>
            </w:r>
          </w:p>
        </w:tc>
        <w:tc>
          <w:tcPr>
            <w:tcW w:w="3004"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rPr>
                <w:rFonts w:ascii="Arial" w:hAnsi="Arial" w:cs="Arial"/>
                <w:sz w:val="16"/>
                <w:szCs w:val="16"/>
              </w:rPr>
            </w:pPr>
            <w:r w:rsidRPr="00906AFB">
              <w:rPr>
                <w:rFonts w:ascii="Arial" w:hAnsi="Arial" w:cs="Arial"/>
                <w:sz w:val="16"/>
                <w:szCs w:val="16"/>
              </w:rPr>
              <w:t>Prevención y Atención a la Violencia (CEPAVI)</w:t>
            </w:r>
          </w:p>
        </w:tc>
        <w:tc>
          <w:tcPr>
            <w:tcW w:w="1347"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3,295,682</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0</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3,295,682</w:t>
            </w:r>
          </w:p>
        </w:tc>
      </w:tr>
      <w:tr w:rsidR="000B15CD" w:rsidRPr="00906AFB" w:rsidTr="000B15CD">
        <w:trPr>
          <w:trHeight w:val="283"/>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ind w:left="-142"/>
              <w:jc w:val="center"/>
              <w:rPr>
                <w:rFonts w:ascii="Arial" w:hAnsi="Arial" w:cs="Arial"/>
                <w:sz w:val="16"/>
                <w:szCs w:val="16"/>
              </w:rPr>
            </w:pPr>
            <w:r w:rsidRPr="00906AFB">
              <w:rPr>
                <w:rFonts w:ascii="Arial" w:hAnsi="Arial" w:cs="Arial"/>
                <w:sz w:val="16"/>
                <w:szCs w:val="16"/>
              </w:rPr>
              <w:t>92</w:t>
            </w:r>
          </w:p>
        </w:tc>
        <w:tc>
          <w:tcPr>
            <w:tcW w:w="3004"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rPr>
                <w:rFonts w:ascii="Arial" w:hAnsi="Arial" w:cs="Arial"/>
                <w:sz w:val="16"/>
                <w:szCs w:val="16"/>
              </w:rPr>
            </w:pPr>
            <w:r w:rsidRPr="00906AFB">
              <w:rPr>
                <w:rFonts w:ascii="Arial" w:hAnsi="Arial" w:cs="Arial"/>
                <w:sz w:val="16"/>
                <w:szCs w:val="16"/>
              </w:rPr>
              <w:t>Planeación y Conducción de la Política de Infraestructura Estatal</w:t>
            </w:r>
          </w:p>
        </w:tc>
        <w:tc>
          <w:tcPr>
            <w:tcW w:w="1347"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70,652,225</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13,589,968</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57,062,257</w:t>
            </w:r>
          </w:p>
        </w:tc>
      </w:tr>
      <w:tr w:rsidR="000B15CD" w:rsidRPr="00906AFB" w:rsidTr="000B15CD">
        <w:trPr>
          <w:trHeight w:val="283"/>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ind w:left="-142"/>
              <w:jc w:val="center"/>
              <w:rPr>
                <w:rFonts w:ascii="Arial" w:hAnsi="Arial" w:cs="Arial"/>
                <w:sz w:val="16"/>
                <w:szCs w:val="16"/>
              </w:rPr>
            </w:pPr>
            <w:r w:rsidRPr="00906AFB">
              <w:rPr>
                <w:rFonts w:ascii="Arial" w:hAnsi="Arial" w:cs="Arial"/>
                <w:sz w:val="16"/>
                <w:szCs w:val="16"/>
              </w:rPr>
              <w:t>93</w:t>
            </w:r>
          </w:p>
        </w:tc>
        <w:tc>
          <w:tcPr>
            <w:tcW w:w="3004"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rPr>
                <w:rFonts w:ascii="Arial" w:hAnsi="Arial" w:cs="Arial"/>
                <w:sz w:val="16"/>
                <w:szCs w:val="16"/>
              </w:rPr>
            </w:pPr>
            <w:r w:rsidRPr="00906AFB">
              <w:rPr>
                <w:rFonts w:ascii="Arial" w:hAnsi="Arial" w:cs="Arial"/>
                <w:sz w:val="16"/>
                <w:szCs w:val="16"/>
              </w:rPr>
              <w:t>Apoyo Parque Regional</w:t>
            </w:r>
          </w:p>
        </w:tc>
        <w:tc>
          <w:tcPr>
            <w:tcW w:w="1347"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1,600,000</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0</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1,600,000</w:t>
            </w:r>
          </w:p>
        </w:tc>
      </w:tr>
      <w:tr w:rsidR="000B15CD" w:rsidRPr="00906AFB" w:rsidTr="000B15CD">
        <w:trPr>
          <w:trHeight w:val="283"/>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ind w:left="-142"/>
              <w:jc w:val="center"/>
              <w:rPr>
                <w:rFonts w:ascii="Arial" w:hAnsi="Arial" w:cs="Arial"/>
                <w:sz w:val="16"/>
                <w:szCs w:val="16"/>
              </w:rPr>
            </w:pPr>
            <w:r w:rsidRPr="00906AFB">
              <w:rPr>
                <w:rFonts w:ascii="Arial" w:hAnsi="Arial" w:cs="Arial"/>
                <w:sz w:val="16"/>
                <w:szCs w:val="16"/>
              </w:rPr>
              <w:t>94</w:t>
            </w:r>
          </w:p>
        </w:tc>
        <w:tc>
          <w:tcPr>
            <w:tcW w:w="3004"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rPr>
                <w:rFonts w:ascii="Arial" w:hAnsi="Arial" w:cs="Arial"/>
                <w:sz w:val="16"/>
                <w:szCs w:val="16"/>
              </w:rPr>
            </w:pPr>
            <w:r w:rsidRPr="00906AFB">
              <w:rPr>
                <w:rFonts w:ascii="Arial" w:hAnsi="Arial" w:cs="Arial"/>
                <w:sz w:val="16"/>
                <w:szCs w:val="16"/>
              </w:rPr>
              <w:t>Infraestructura Desarrollo Económico</w:t>
            </w:r>
          </w:p>
        </w:tc>
        <w:tc>
          <w:tcPr>
            <w:tcW w:w="1347"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Pr>
                <w:rFonts w:ascii="Arial" w:hAnsi="Arial" w:cs="Arial"/>
                <w:sz w:val="16"/>
                <w:szCs w:val="16"/>
              </w:rPr>
              <w:t>10</w:t>
            </w:r>
            <w:r w:rsidRPr="002A5F70">
              <w:rPr>
                <w:rFonts w:ascii="Arial" w:hAnsi="Arial" w:cs="Arial"/>
                <w:sz w:val="16"/>
                <w:szCs w:val="16"/>
              </w:rPr>
              <w:t>0,000,000</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68,400,000</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31,600,000</w:t>
            </w:r>
          </w:p>
        </w:tc>
      </w:tr>
      <w:tr w:rsidR="000B15CD" w:rsidRPr="00906AFB" w:rsidTr="000B15CD">
        <w:trPr>
          <w:trHeight w:val="283"/>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ind w:left="-142"/>
              <w:jc w:val="center"/>
              <w:rPr>
                <w:rFonts w:ascii="Arial" w:hAnsi="Arial" w:cs="Arial"/>
                <w:sz w:val="16"/>
                <w:szCs w:val="16"/>
              </w:rPr>
            </w:pPr>
            <w:r w:rsidRPr="00906AFB">
              <w:rPr>
                <w:rFonts w:ascii="Arial" w:hAnsi="Arial" w:cs="Arial"/>
                <w:sz w:val="16"/>
                <w:szCs w:val="16"/>
              </w:rPr>
              <w:t>95</w:t>
            </w:r>
          </w:p>
        </w:tc>
        <w:tc>
          <w:tcPr>
            <w:tcW w:w="3004"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rPr>
                <w:rFonts w:ascii="Arial" w:hAnsi="Arial" w:cs="Arial"/>
                <w:sz w:val="16"/>
                <w:szCs w:val="16"/>
              </w:rPr>
            </w:pPr>
            <w:r w:rsidRPr="00906AFB">
              <w:rPr>
                <w:rFonts w:ascii="Arial" w:hAnsi="Arial" w:cs="Arial"/>
                <w:sz w:val="16"/>
                <w:szCs w:val="16"/>
              </w:rPr>
              <w:t>Infraestructura Manejo De Residuos</w:t>
            </w:r>
          </w:p>
        </w:tc>
        <w:tc>
          <w:tcPr>
            <w:tcW w:w="1347"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26,000,000</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22,500,000</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3,500,000</w:t>
            </w:r>
          </w:p>
        </w:tc>
      </w:tr>
      <w:tr w:rsidR="000B15CD" w:rsidRPr="00906AFB" w:rsidTr="000B15CD">
        <w:trPr>
          <w:trHeight w:val="283"/>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ind w:left="-142"/>
              <w:jc w:val="center"/>
              <w:rPr>
                <w:rFonts w:ascii="Arial" w:hAnsi="Arial" w:cs="Arial"/>
                <w:sz w:val="16"/>
                <w:szCs w:val="16"/>
              </w:rPr>
            </w:pPr>
            <w:r w:rsidRPr="00906AFB">
              <w:rPr>
                <w:rFonts w:ascii="Arial" w:hAnsi="Arial" w:cs="Arial"/>
                <w:sz w:val="16"/>
                <w:szCs w:val="16"/>
              </w:rPr>
              <w:t>96</w:t>
            </w:r>
          </w:p>
        </w:tc>
        <w:tc>
          <w:tcPr>
            <w:tcW w:w="3004"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rPr>
                <w:rFonts w:ascii="Arial" w:hAnsi="Arial" w:cs="Arial"/>
                <w:sz w:val="16"/>
                <w:szCs w:val="16"/>
              </w:rPr>
            </w:pPr>
            <w:r w:rsidRPr="00906AFB">
              <w:rPr>
                <w:rFonts w:ascii="Arial" w:hAnsi="Arial" w:cs="Arial"/>
                <w:sz w:val="16"/>
                <w:szCs w:val="16"/>
              </w:rPr>
              <w:t>Infraestructura Social</w:t>
            </w:r>
          </w:p>
        </w:tc>
        <w:tc>
          <w:tcPr>
            <w:tcW w:w="1347"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115,953,000</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101,693,000</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14,260,000</w:t>
            </w:r>
          </w:p>
        </w:tc>
      </w:tr>
      <w:tr w:rsidR="000B15CD" w:rsidRPr="00906AFB" w:rsidTr="000B15CD">
        <w:trPr>
          <w:trHeight w:val="283"/>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ind w:left="-142"/>
              <w:jc w:val="center"/>
              <w:rPr>
                <w:rFonts w:ascii="Arial" w:hAnsi="Arial" w:cs="Arial"/>
                <w:sz w:val="16"/>
                <w:szCs w:val="16"/>
              </w:rPr>
            </w:pPr>
            <w:r w:rsidRPr="00906AFB">
              <w:rPr>
                <w:rFonts w:ascii="Arial" w:hAnsi="Arial" w:cs="Arial"/>
                <w:sz w:val="16"/>
                <w:szCs w:val="16"/>
              </w:rPr>
              <w:t>97</w:t>
            </w:r>
          </w:p>
        </w:tc>
        <w:tc>
          <w:tcPr>
            <w:tcW w:w="3004"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rPr>
                <w:rFonts w:ascii="Arial" w:hAnsi="Arial" w:cs="Arial"/>
                <w:sz w:val="16"/>
                <w:szCs w:val="16"/>
              </w:rPr>
            </w:pPr>
            <w:r w:rsidRPr="00906AFB">
              <w:rPr>
                <w:rFonts w:ascii="Arial" w:hAnsi="Arial" w:cs="Arial"/>
                <w:sz w:val="16"/>
                <w:szCs w:val="16"/>
              </w:rPr>
              <w:t>Infraestructura Hidráulica</w:t>
            </w:r>
          </w:p>
        </w:tc>
        <w:tc>
          <w:tcPr>
            <w:tcW w:w="1347"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165,130,000</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145,990,000</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19,140,000</w:t>
            </w:r>
          </w:p>
        </w:tc>
      </w:tr>
      <w:tr w:rsidR="000B15CD" w:rsidRPr="00906AFB" w:rsidTr="000B15CD">
        <w:trPr>
          <w:trHeight w:val="283"/>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ind w:left="-142"/>
              <w:jc w:val="center"/>
              <w:rPr>
                <w:rFonts w:ascii="Arial" w:hAnsi="Arial" w:cs="Arial"/>
                <w:sz w:val="16"/>
                <w:szCs w:val="16"/>
              </w:rPr>
            </w:pPr>
            <w:r w:rsidRPr="00906AFB">
              <w:rPr>
                <w:rFonts w:ascii="Arial" w:hAnsi="Arial" w:cs="Arial"/>
                <w:sz w:val="16"/>
                <w:szCs w:val="16"/>
              </w:rPr>
              <w:t>98</w:t>
            </w:r>
          </w:p>
        </w:tc>
        <w:tc>
          <w:tcPr>
            <w:tcW w:w="3004"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rPr>
                <w:rFonts w:ascii="Arial" w:hAnsi="Arial" w:cs="Arial"/>
                <w:sz w:val="16"/>
                <w:szCs w:val="16"/>
              </w:rPr>
            </w:pPr>
            <w:r w:rsidRPr="00906AFB">
              <w:rPr>
                <w:rFonts w:ascii="Arial" w:hAnsi="Arial" w:cs="Arial"/>
                <w:sz w:val="16"/>
                <w:szCs w:val="16"/>
              </w:rPr>
              <w:t>Infraestructura Carretera</w:t>
            </w:r>
          </w:p>
        </w:tc>
        <w:tc>
          <w:tcPr>
            <w:tcW w:w="1347"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127,520,000</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124,520,000</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3,000,000</w:t>
            </w:r>
          </w:p>
        </w:tc>
      </w:tr>
      <w:tr w:rsidR="000B15CD" w:rsidRPr="00906AFB" w:rsidTr="000B15CD">
        <w:trPr>
          <w:trHeight w:val="283"/>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ind w:left="-142"/>
              <w:jc w:val="center"/>
              <w:rPr>
                <w:rFonts w:ascii="Arial" w:hAnsi="Arial" w:cs="Arial"/>
                <w:sz w:val="16"/>
                <w:szCs w:val="16"/>
              </w:rPr>
            </w:pPr>
            <w:r w:rsidRPr="00906AFB">
              <w:rPr>
                <w:rFonts w:ascii="Arial" w:hAnsi="Arial" w:cs="Arial"/>
                <w:sz w:val="16"/>
                <w:szCs w:val="16"/>
              </w:rPr>
              <w:t>99</w:t>
            </w:r>
          </w:p>
        </w:tc>
        <w:tc>
          <w:tcPr>
            <w:tcW w:w="3004" w:type="dxa"/>
            <w:tcBorders>
              <w:top w:val="single" w:sz="4" w:space="0" w:color="auto"/>
              <w:left w:val="single" w:sz="4" w:space="0" w:color="auto"/>
              <w:bottom w:val="single" w:sz="4" w:space="0" w:color="auto"/>
              <w:right w:val="single" w:sz="4" w:space="0" w:color="auto"/>
            </w:tcBorders>
            <w:vAlign w:val="center"/>
            <w:hideMark/>
          </w:tcPr>
          <w:p w:rsidR="000B15CD" w:rsidRPr="00906AFB" w:rsidRDefault="000B15CD" w:rsidP="002A5F70">
            <w:pPr>
              <w:rPr>
                <w:rFonts w:ascii="Arial" w:hAnsi="Arial" w:cs="Arial"/>
                <w:sz w:val="16"/>
                <w:szCs w:val="16"/>
              </w:rPr>
            </w:pPr>
            <w:r w:rsidRPr="00906AFB">
              <w:rPr>
                <w:rFonts w:ascii="Arial" w:hAnsi="Arial" w:cs="Arial"/>
                <w:sz w:val="16"/>
                <w:szCs w:val="16"/>
              </w:rPr>
              <w:t>Infraestructura No Habitacional</w:t>
            </w:r>
          </w:p>
        </w:tc>
        <w:tc>
          <w:tcPr>
            <w:tcW w:w="1347"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86,179,000</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76,679,000</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2A5F70" w:rsidRDefault="000B15CD" w:rsidP="002A5F70">
            <w:pPr>
              <w:jc w:val="right"/>
              <w:rPr>
                <w:rFonts w:ascii="Arial" w:hAnsi="Arial" w:cs="Arial"/>
                <w:sz w:val="16"/>
                <w:szCs w:val="16"/>
              </w:rPr>
            </w:pPr>
            <w:r w:rsidRPr="002A5F70">
              <w:rPr>
                <w:rFonts w:ascii="Arial" w:hAnsi="Arial" w:cs="Arial"/>
                <w:sz w:val="16"/>
                <w:szCs w:val="16"/>
              </w:rPr>
              <w:t>9,500,000</w:t>
            </w:r>
          </w:p>
        </w:tc>
      </w:tr>
      <w:tr w:rsidR="000B15CD" w:rsidRPr="00C75F86" w:rsidTr="000B15CD">
        <w:trPr>
          <w:trHeight w:val="412"/>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0B15CD" w:rsidRPr="00C75F86" w:rsidRDefault="000B15CD" w:rsidP="002A5F70">
            <w:pPr>
              <w:spacing w:before="120" w:after="120" w:line="360" w:lineRule="auto"/>
              <w:jc w:val="both"/>
              <w:rPr>
                <w:rFonts w:ascii="Arial" w:hAnsi="Arial" w:cs="Arial"/>
                <w:b/>
                <w:sz w:val="16"/>
                <w:szCs w:val="16"/>
              </w:rPr>
            </w:pPr>
          </w:p>
        </w:tc>
        <w:tc>
          <w:tcPr>
            <w:tcW w:w="3004" w:type="dxa"/>
            <w:tcBorders>
              <w:top w:val="single" w:sz="4" w:space="0" w:color="auto"/>
              <w:left w:val="single" w:sz="4" w:space="0" w:color="auto"/>
              <w:bottom w:val="single" w:sz="4" w:space="0" w:color="auto"/>
              <w:right w:val="single" w:sz="4" w:space="0" w:color="auto"/>
            </w:tcBorders>
            <w:vAlign w:val="center"/>
            <w:hideMark/>
          </w:tcPr>
          <w:p w:rsidR="000B15CD" w:rsidRPr="00C75F86" w:rsidRDefault="000B15CD" w:rsidP="002A5F70">
            <w:pPr>
              <w:jc w:val="center"/>
              <w:rPr>
                <w:rFonts w:ascii="Arial" w:hAnsi="Arial" w:cs="Arial"/>
                <w:b/>
                <w:bCs/>
                <w:sz w:val="16"/>
                <w:szCs w:val="16"/>
              </w:rPr>
            </w:pPr>
            <w:r w:rsidRPr="00C75F86">
              <w:rPr>
                <w:rFonts w:ascii="Arial" w:hAnsi="Arial" w:cs="Arial"/>
                <w:b/>
                <w:bCs/>
                <w:sz w:val="16"/>
                <w:szCs w:val="16"/>
              </w:rPr>
              <w:t>Total</w:t>
            </w:r>
          </w:p>
        </w:tc>
        <w:tc>
          <w:tcPr>
            <w:tcW w:w="1347" w:type="dxa"/>
            <w:tcBorders>
              <w:top w:val="single" w:sz="4" w:space="0" w:color="auto"/>
              <w:left w:val="single" w:sz="4" w:space="0" w:color="auto"/>
              <w:bottom w:val="single" w:sz="4" w:space="0" w:color="auto"/>
              <w:right w:val="single" w:sz="4" w:space="0" w:color="auto"/>
            </w:tcBorders>
            <w:vAlign w:val="center"/>
          </w:tcPr>
          <w:p w:rsidR="000B15CD" w:rsidRPr="00C75F86" w:rsidRDefault="000B15CD" w:rsidP="002A5F70">
            <w:pPr>
              <w:jc w:val="right"/>
              <w:rPr>
                <w:rFonts w:ascii="Arial" w:hAnsi="Arial" w:cs="Arial"/>
                <w:b/>
                <w:sz w:val="16"/>
                <w:szCs w:val="16"/>
              </w:rPr>
            </w:pPr>
            <w:r w:rsidRPr="000B15CD">
              <w:rPr>
                <w:rFonts w:ascii="Arial" w:hAnsi="Arial" w:cs="Arial"/>
                <w:b/>
                <w:sz w:val="16"/>
                <w:szCs w:val="16"/>
              </w:rPr>
              <w:t>15,517,525,000</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C75F86" w:rsidRDefault="000B15CD" w:rsidP="002A5F70">
            <w:pPr>
              <w:jc w:val="right"/>
              <w:rPr>
                <w:rFonts w:ascii="Arial" w:hAnsi="Arial" w:cs="Arial"/>
                <w:b/>
                <w:sz w:val="16"/>
                <w:szCs w:val="16"/>
              </w:rPr>
            </w:pPr>
            <w:r w:rsidRPr="00C75F86">
              <w:rPr>
                <w:rFonts w:ascii="Arial" w:hAnsi="Arial" w:cs="Arial"/>
                <w:b/>
                <w:sz w:val="16"/>
                <w:szCs w:val="16"/>
              </w:rPr>
              <w:t>9,633,981,000</w:t>
            </w:r>
          </w:p>
        </w:tc>
        <w:tc>
          <w:tcPr>
            <w:tcW w:w="1275" w:type="dxa"/>
            <w:tcBorders>
              <w:top w:val="single" w:sz="4" w:space="0" w:color="auto"/>
              <w:left w:val="single" w:sz="4" w:space="0" w:color="auto"/>
              <w:bottom w:val="single" w:sz="4" w:space="0" w:color="auto"/>
              <w:right w:val="single" w:sz="4" w:space="0" w:color="auto"/>
            </w:tcBorders>
            <w:vAlign w:val="center"/>
          </w:tcPr>
          <w:p w:rsidR="000B15CD" w:rsidRPr="00C75F86" w:rsidRDefault="000B15CD" w:rsidP="002A5F70">
            <w:pPr>
              <w:jc w:val="right"/>
              <w:rPr>
                <w:rFonts w:ascii="Arial" w:hAnsi="Arial" w:cs="Arial"/>
                <w:b/>
                <w:sz w:val="16"/>
                <w:szCs w:val="16"/>
              </w:rPr>
            </w:pPr>
            <w:r w:rsidRPr="00C75F86">
              <w:rPr>
                <w:rFonts w:ascii="Arial" w:hAnsi="Arial" w:cs="Arial"/>
                <w:b/>
                <w:sz w:val="16"/>
                <w:szCs w:val="16"/>
              </w:rPr>
              <w:t>5,883,544,000</w:t>
            </w:r>
          </w:p>
        </w:tc>
      </w:tr>
    </w:tbl>
    <w:p w:rsidR="00906AFB" w:rsidRPr="00906AFB" w:rsidRDefault="00906AFB" w:rsidP="00906AFB">
      <w:pPr>
        <w:spacing w:after="0" w:line="240" w:lineRule="auto"/>
        <w:jc w:val="both"/>
        <w:rPr>
          <w:rFonts w:ascii="Arial" w:eastAsia="Calibri" w:hAnsi="Arial" w:cs="Times New Roman"/>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sz w:val="24"/>
          <w:szCs w:val="24"/>
          <w:lang w:val="es-ES" w:eastAsia="en-US"/>
        </w:rPr>
        <w:t xml:space="preserve">En el </w:t>
      </w:r>
      <w:r w:rsidRPr="00906AFB">
        <w:rPr>
          <w:rFonts w:ascii="Arial" w:eastAsia="Calibri" w:hAnsi="Arial" w:cs="Arial"/>
          <w:b/>
          <w:sz w:val="24"/>
          <w:szCs w:val="24"/>
          <w:lang w:val="es-ES" w:eastAsia="en-US"/>
        </w:rPr>
        <w:t xml:space="preserve">Anexo </w:t>
      </w:r>
      <w:r w:rsidR="001F7F55">
        <w:rPr>
          <w:rFonts w:ascii="Arial" w:eastAsia="Calibri" w:hAnsi="Arial" w:cs="Arial"/>
          <w:b/>
          <w:sz w:val="24"/>
          <w:szCs w:val="24"/>
          <w:lang w:val="es-ES" w:eastAsia="en-US"/>
        </w:rPr>
        <w:t>11</w:t>
      </w:r>
      <w:r w:rsidRPr="00906AFB">
        <w:rPr>
          <w:rFonts w:ascii="Arial" w:eastAsia="Calibri" w:hAnsi="Arial" w:cs="Arial"/>
          <w:sz w:val="24"/>
          <w:szCs w:val="24"/>
          <w:lang w:val="es-ES" w:eastAsia="en-US"/>
        </w:rPr>
        <w:t xml:space="preserve"> se presentan las Matrices de Indicadores para Resultados (MIR) de los Programas Presupuestarios del gobierno del Estado que forman parte del Presupuesto basado en Resultados.</w:t>
      </w:r>
    </w:p>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Pr="00906AFB" w:rsidRDefault="00906AFB" w:rsidP="00906AFB">
      <w:pPr>
        <w:spacing w:after="0" w:line="240" w:lineRule="auto"/>
        <w:jc w:val="both"/>
        <w:rPr>
          <w:rFonts w:ascii="Arial" w:eastAsia="Times New Roman" w:hAnsi="Arial" w:cs="Arial"/>
          <w:sz w:val="24"/>
          <w:szCs w:val="24"/>
          <w:lang w:val="es-ES" w:eastAsia="es-ES"/>
        </w:rPr>
      </w:pPr>
      <w:r w:rsidRPr="00906AFB">
        <w:rPr>
          <w:rFonts w:ascii="Arial" w:eastAsia="Times New Roman" w:hAnsi="Arial" w:cs="Arial"/>
          <w:b/>
          <w:sz w:val="24"/>
          <w:szCs w:val="24"/>
          <w:lang w:val="es-ES" w:eastAsia="es-ES"/>
        </w:rPr>
        <w:t xml:space="preserve">Artículo 77. La distribución del presupuesto </w:t>
      </w:r>
      <w:r w:rsidRPr="00906AFB">
        <w:rPr>
          <w:rFonts w:ascii="Arial" w:eastAsia="Times New Roman" w:hAnsi="Arial" w:cs="Arial"/>
          <w:sz w:val="24"/>
          <w:szCs w:val="24"/>
          <w:lang w:val="es-ES" w:eastAsia="es-ES"/>
        </w:rPr>
        <w:t xml:space="preserve">para el ejercicio fiscal 2017 en los </w:t>
      </w:r>
      <w:r w:rsidR="00E22E97">
        <w:rPr>
          <w:rFonts w:ascii="Arial" w:eastAsia="Times New Roman" w:hAnsi="Arial" w:cs="Arial"/>
          <w:sz w:val="24"/>
          <w:szCs w:val="24"/>
          <w:lang w:val="es-ES" w:eastAsia="es-ES"/>
        </w:rPr>
        <w:t>diferentes proyectos se incluye</w:t>
      </w:r>
      <w:r w:rsidRPr="00906AFB">
        <w:rPr>
          <w:rFonts w:ascii="Arial" w:eastAsia="Times New Roman" w:hAnsi="Arial" w:cs="Arial"/>
          <w:sz w:val="24"/>
          <w:szCs w:val="24"/>
          <w:lang w:val="es-ES" w:eastAsia="es-ES"/>
        </w:rPr>
        <w:t xml:space="preserve"> en el </w:t>
      </w:r>
      <w:r w:rsidRPr="00E22E97">
        <w:rPr>
          <w:rFonts w:ascii="Arial" w:eastAsia="Times New Roman" w:hAnsi="Arial" w:cs="Arial"/>
          <w:b/>
          <w:sz w:val="24"/>
          <w:szCs w:val="24"/>
          <w:lang w:val="es-ES" w:eastAsia="es-ES"/>
        </w:rPr>
        <w:t xml:space="preserve">Anexo </w:t>
      </w:r>
      <w:r w:rsidR="001F7F55">
        <w:rPr>
          <w:rFonts w:ascii="Arial" w:eastAsia="Times New Roman" w:hAnsi="Arial" w:cs="Arial"/>
          <w:b/>
          <w:sz w:val="24"/>
          <w:szCs w:val="24"/>
          <w:lang w:val="es-ES" w:eastAsia="es-ES"/>
        </w:rPr>
        <w:t>12</w:t>
      </w:r>
      <w:r w:rsidRPr="00906AFB">
        <w:rPr>
          <w:rFonts w:ascii="Arial" w:eastAsia="Times New Roman" w:hAnsi="Arial" w:cs="Arial"/>
          <w:sz w:val="24"/>
          <w:szCs w:val="24"/>
          <w:lang w:val="es-ES" w:eastAsia="es-ES"/>
        </w:rPr>
        <w:t xml:space="preserve"> del presente Decreto.</w:t>
      </w:r>
    </w:p>
    <w:p w:rsidR="00906AFB" w:rsidRPr="00906AFB" w:rsidRDefault="00906AFB" w:rsidP="00906AFB">
      <w:pPr>
        <w:spacing w:after="0" w:line="240" w:lineRule="auto"/>
        <w:jc w:val="both"/>
        <w:rPr>
          <w:rFonts w:ascii="Arial" w:eastAsia="Times New Roman" w:hAnsi="Arial" w:cs="Arial"/>
          <w:sz w:val="24"/>
          <w:szCs w:val="24"/>
          <w:lang w:val="es-ES" w:eastAsia="es-ES"/>
        </w:rPr>
      </w:pPr>
    </w:p>
    <w:p w:rsidR="00906AFB" w:rsidRPr="00906AFB" w:rsidRDefault="00906AFB" w:rsidP="00906AFB">
      <w:pPr>
        <w:keepNext/>
        <w:keepLines/>
        <w:spacing w:after="0" w:line="240" w:lineRule="auto"/>
        <w:jc w:val="center"/>
        <w:outlineLvl w:val="1"/>
        <w:rPr>
          <w:rFonts w:ascii="Arial" w:eastAsia="Times New Roman" w:hAnsi="Arial" w:cs="Times New Roman"/>
          <w:b/>
          <w:sz w:val="20"/>
          <w:szCs w:val="26"/>
          <w:lang w:val="es-ES" w:eastAsia="en-US"/>
        </w:rPr>
      </w:pPr>
      <w:r w:rsidRPr="00906AFB">
        <w:rPr>
          <w:rFonts w:ascii="Arial" w:eastAsia="Times New Roman" w:hAnsi="Arial" w:cs="Times New Roman"/>
          <w:b/>
          <w:sz w:val="20"/>
          <w:szCs w:val="26"/>
          <w:lang w:val="es-ES" w:eastAsia="en-US"/>
        </w:rPr>
        <w:t xml:space="preserve">Tabla </w:t>
      </w:r>
      <w:r w:rsidR="00723C49">
        <w:rPr>
          <w:rFonts w:ascii="Arial" w:eastAsia="Times New Roman" w:hAnsi="Arial" w:cs="Times New Roman"/>
          <w:b/>
          <w:sz w:val="20"/>
          <w:szCs w:val="26"/>
          <w:lang w:val="es-ES" w:eastAsia="en-US"/>
        </w:rPr>
        <w:t>61</w:t>
      </w:r>
      <w:r w:rsidRPr="00906AFB">
        <w:rPr>
          <w:rFonts w:ascii="Arial" w:eastAsia="Times New Roman" w:hAnsi="Arial" w:cs="Times New Roman"/>
          <w:b/>
          <w:sz w:val="20"/>
          <w:szCs w:val="26"/>
          <w:lang w:val="es-ES" w:eastAsia="en-US"/>
        </w:rPr>
        <w:t>. Proyectos Presupuestarios</w:t>
      </w:r>
    </w:p>
    <w:tbl>
      <w:tblPr>
        <w:tblW w:w="7228" w:type="dxa"/>
        <w:jc w:val="center"/>
        <w:tblCellMar>
          <w:left w:w="70" w:type="dxa"/>
          <w:right w:w="70" w:type="dxa"/>
        </w:tblCellMar>
        <w:tblLook w:val="04A0" w:firstRow="1" w:lastRow="0" w:firstColumn="1" w:lastColumn="0" w:noHBand="0" w:noVBand="1"/>
      </w:tblPr>
      <w:tblGrid>
        <w:gridCol w:w="791"/>
        <w:gridCol w:w="4560"/>
        <w:gridCol w:w="1877"/>
      </w:tblGrid>
      <w:tr w:rsidR="00906AFB" w:rsidRPr="00906AFB" w:rsidTr="000B15CD">
        <w:trPr>
          <w:trHeight w:val="285"/>
          <w:jc w:val="center"/>
        </w:trPr>
        <w:tc>
          <w:tcPr>
            <w:tcW w:w="791"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after="0" w:line="240" w:lineRule="auto"/>
              <w:jc w:val="center"/>
              <w:rPr>
                <w:rFonts w:ascii="Arial" w:eastAsia="Times New Roman" w:hAnsi="Arial" w:cs="Arial"/>
                <w:b/>
                <w:bCs/>
                <w:color w:val="000000"/>
                <w:sz w:val="20"/>
                <w:szCs w:val="20"/>
                <w:lang w:val="es-ES" w:eastAsia="es-ES"/>
              </w:rPr>
            </w:pPr>
            <w:r w:rsidRPr="00906AFB">
              <w:rPr>
                <w:rFonts w:ascii="Arial" w:eastAsia="Times New Roman" w:hAnsi="Arial" w:cs="Arial"/>
                <w:b/>
                <w:bCs/>
                <w:color w:val="000000"/>
                <w:sz w:val="20"/>
                <w:szCs w:val="20"/>
                <w:lang w:val="es-ES" w:eastAsia="es-ES"/>
              </w:rPr>
              <w:t>Clave</w:t>
            </w:r>
          </w:p>
        </w:tc>
        <w:tc>
          <w:tcPr>
            <w:tcW w:w="4560" w:type="dxa"/>
            <w:tcBorders>
              <w:top w:val="single" w:sz="4" w:space="0" w:color="auto"/>
              <w:left w:val="nil"/>
              <w:bottom w:val="single" w:sz="4" w:space="0" w:color="auto"/>
              <w:right w:val="single" w:sz="4" w:space="0" w:color="auto"/>
            </w:tcBorders>
            <w:vAlign w:val="center"/>
            <w:hideMark/>
          </w:tcPr>
          <w:p w:rsidR="00906AFB" w:rsidRPr="00906AFB" w:rsidRDefault="00906AFB" w:rsidP="00906AFB">
            <w:pPr>
              <w:spacing w:after="0" w:line="240" w:lineRule="auto"/>
              <w:jc w:val="center"/>
              <w:rPr>
                <w:rFonts w:ascii="Arial" w:eastAsia="Times New Roman" w:hAnsi="Arial" w:cs="Arial"/>
                <w:b/>
                <w:bCs/>
                <w:color w:val="000000"/>
                <w:sz w:val="20"/>
                <w:szCs w:val="20"/>
                <w:lang w:val="es-ES" w:eastAsia="es-ES"/>
              </w:rPr>
            </w:pPr>
            <w:r w:rsidRPr="00906AFB">
              <w:rPr>
                <w:rFonts w:ascii="Arial" w:eastAsia="Times New Roman" w:hAnsi="Arial" w:cs="Arial"/>
                <w:b/>
                <w:bCs/>
                <w:color w:val="000000"/>
                <w:sz w:val="20"/>
                <w:szCs w:val="20"/>
                <w:lang w:val="es-ES" w:eastAsia="es-ES"/>
              </w:rPr>
              <w:t>Proyectos Presupuestarios</w:t>
            </w:r>
          </w:p>
        </w:tc>
        <w:tc>
          <w:tcPr>
            <w:tcW w:w="1877" w:type="dxa"/>
            <w:tcBorders>
              <w:top w:val="single" w:sz="4" w:space="0" w:color="auto"/>
              <w:left w:val="nil"/>
              <w:bottom w:val="single" w:sz="4" w:space="0" w:color="auto"/>
              <w:right w:val="single" w:sz="4" w:space="0" w:color="auto"/>
            </w:tcBorders>
            <w:vAlign w:val="center"/>
            <w:hideMark/>
          </w:tcPr>
          <w:p w:rsidR="00906AFB" w:rsidRPr="000B15CD" w:rsidRDefault="00906AFB" w:rsidP="000B15CD">
            <w:pPr>
              <w:spacing w:after="0" w:line="240" w:lineRule="auto"/>
              <w:jc w:val="right"/>
              <w:rPr>
                <w:rFonts w:ascii="Arial" w:eastAsia="Times New Roman" w:hAnsi="Arial" w:cs="Arial"/>
                <w:b/>
                <w:bCs/>
                <w:color w:val="000000"/>
                <w:sz w:val="20"/>
                <w:szCs w:val="20"/>
                <w:lang w:val="es-ES" w:eastAsia="es-ES"/>
              </w:rPr>
            </w:pPr>
            <w:r w:rsidRPr="000B15CD">
              <w:rPr>
                <w:rFonts w:ascii="Arial" w:eastAsia="Times New Roman" w:hAnsi="Arial" w:cs="Arial"/>
                <w:b/>
                <w:bCs/>
                <w:color w:val="000000"/>
                <w:sz w:val="20"/>
                <w:szCs w:val="20"/>
                <w:lang w:val="es-ES" w:eastAsia="es-ES"/>
              </w:rPr>
              <w:t>Asignación Presupuestal</w:t>
            </w:r>
          </w:p>
        </w:tc>
      </w:tr>
      <w:tr w:rsidR="000B15CD" w:rsidRPr="00906AFB" w:rsidTr="000B15CD">
        <w:trPr>
          <w:trHeight w:val="300"/>
          <w:jc w:val="center"/>
        </w:trPr>
        <w:tc>
          <w:tcPr>
            <w:tcW w:w="791" w:type="dxa"/>
            <w:tcBorders>
              <w:top w:val="nil"/>
              <w:left w:val="single" w:sz="4" w:space="0" w:color="auto"/>
              <w:bottom w:val="single" w:sz="4" w:space="0" w:color="auto"/>
              <w:right w:val="single" w:sz="4" w:space="0" w:color="auto"/>
            </w:tcBorders>
            <w:noWrap/>
            <w:vAlign w:val="center"/>
            <w:hideMark/>
          </w:tcPr>
          <w:p w:rsidR="000B15CD" w:rsidRPr="00906AFB" w:rsidRDefault="000B15CD" w:rsidP="000B15CD">
            <w:pPr>
              <w:spacing w:after="0" w:line="240" w:lineRule="auto"/>
              <w:jc w:val="center"/>
              <w:rPr>
                <w:rFonts w:ascii="Arial" w:eastAsia="Times New Roman" w:hAnsi="Arial" w:cs="Arial"/>
                <w:color w:val="000000"/>
                <w:sz w:val="20"/>
                <w:szCs w:val="20"/>
                <w:lang w:val="es-ES" w:eastAsia="es-ES"/>
              </w:rPr>
            </w:pPr>
            <w:r w:rsidRPr="00906AFB">
              <w:rPr>
                <w:rFonts w:ascii="Arial" w:eastAsia="Times New Roman" w:hAnsi="Arial" w:cs="Arial"/>
                <w:color w:val="000000"/>
                <w:sz w:val="20"/>
                <w:szCs w:val="20"/>
                <w:lang w:val="es-ES" w:eastAsia="es-ES"/>
              </w:rPr>
              <w:t>I</w:t>
            </w:r>
          </w:p>
        </w:tc>
        <w:tc>
          <w:tcPr>
            <w:tcW w:w="4560" w:type="dxa"/>
            <w:tcBorders>
              <w:top w:val="nil"/>
              <w:left w:val="nil"/>
              <w:bottom w:val="single" w:sz="4" w:space="0" w:color="auto"/>
              <w:right w:val="single" w:sz="4" w:space="0" w:color="auto"/>
            </w:tcBorders>
            <w:noWrap/>
            <w:vAlign w:val="center"/>
            <w:hideMark/>
          </w:tcPr>
          <w:p w:rsidR="000B15CD" w:rsidRPr="00906AFB" w:rsidRDefault="000B15CD" w:rsidP="000B15CD">
            <w:pPr>
              <w:spacing w:after="0" w:line="240" w:lineRule="auto"/>
              <w:rPr>
                <w:rFonts w:ascii="Arial" w:eastAsia="Times New Roman" w:hAnsi="Arial" w:cs="Arial"/>
                <w:color w:val="000000"/>
                <w:sz w:val="20"/>
                <w:szCs w:val="20"/>
                <w:lang w:val="es-ES" w:eastAsia="es-ES"/>
              </w:rPr>
            </w:pPr>
            <w:r w:rsidRPr="00906AFB">
              <w:rPr>
                <w:rFonts w:ascii="Arial" w:eastAsia="Times New Roman" w:hAnsi="Arial" w:cs="Arial"/>
                <w:color w:val="000000"/>
                <w:sz w:val="20"/>
                <w:szCs w:val="20"/>
                <w:lang w:val="es-ES" w:eastAsia="es-ES"/>
              </w:rPr>
              <w:t>Inversión</w:t>
            </w:r>
          </w:p>
        </w:tc>
        <w:tc>
          <w:tcPr>
            <w:tcW w:w="1877" w:type="dxa"/>
            <w:tcBorders>
              <w:top w:val="nil"/>
              <w:left w:val="nil"/>
              <w:bottom w:val="single" w:sz="4" w:space="0" w:color="auto"/>
              <w:right w:val="single" w:sz="4" w:space="0" w:color="auto"/>
            </w:tcBorders>
            <w:noWrap/>
            <w:vAlign w:val="center"/>
            <w:hideMark/>
          </w:tcPr>
          <w:p w:rsidR="000B15CD" w:rsidRPr="000B15CD" w:rsidRDefault="000B15CD" w:rsidP="000B15CD">
            <w:pPr>
              <w:spacing w:after="0" w:line="240" w:lineRule="auto"/>
              <w:jc w:val="right"/>
              <w:rPr>
                <w:rFonts w:ascii="Arial" w:hAnsi="Arial" w:cs="Arial"/>
                <w:sz w:val="20"/>
                <w:szCs w:val="20"/>
              </w:rPr>
            </w:pPr>
            <w:r w:rsidRPr="000B15CD">
              <w:rPr>
                <w:rFonts w:ascii="Arial" w:hAnsi="Arial" w:cs="Arial"/>
                <w:sz w:val="20"/>
                <w:szCs w:val="20"/>
              </w:rPr>
              <w:t>4,217,317,064</w:t>
            </w:r>
          </w:p>
        </w:tc>
      </w:tr>
      <w:tr w:rsidR="000B15CD" w:rsidRPr="00906AFB" w:rsidTr="000B15CD">
        <w:trPr>
          <w:trHeight w:val="300"/>
          <w:jc w:val="center"/>
        </w:trPr>
        <w:tc>
          <w:tcPr>
            <w:tcW w:w="791" w:type="dxa"/>
            <w:tcBorders>
              <w:top w:val="nil"/>
              <w:left w:val="single" w:sz="4" w:space="0" w:color="auto"/>
              <w:bottom w:val="single" w:sz="4" w:space="0" w:color="auto"/>
              <w:right w:val="single" w:sz="4" w:space="0" w:color="auto"/>
            </w:tcBorders>
            <w:noWrap/>
            <w:vAlign w:val="center"/>
            <w:hideMark/>
          </w:tcPr>
          <w:p w:rsidR="000B15CD" w:rsidRPr="00906AFB" w:rsidRDefault="000B15CD" w:rsidP="000B15CD">
            <w:pPr>
              <w:spacing w:after="0" w:line="240" w:lineRule="auto"/>
              <w:jc w:val="center"/>
              <w:rPr>
                <w:rFonts w:ascii="Arial" w:eastAsia="Times New Roman" w:hAnsi="Arial" w:cs="Arial"/>
                <w:color w:val="000000"/>
                <w:sz w:val="20"/>
                <w:szCs w:val="20"/>
                <w:lang w:val="es-ES" w:eastAsia="es-ES"/>
              </w:rPr>
            </w:pPr>
            <w:r w:rsidRPr="00906AFB">
              <w:rPr>
                <w:rFonts w:ascii="Arial" w:eastAsia="Times New Roman" w:hAnsi="Arial" w:cs="Arial"/>
                <w:color w:val="000000"/>
                <w:sz w:val="20"/>
                <w:szCs w:val="20"/>
                <w:lang w:val="es-ES" w:eastAsia="es-ES"/>
              </w:rPr>
              <w:t>K</w:t>
            </w:r>
          </w:p>
        </w:tc>
        <w:tc>
          <w:tcPr>
            <w:tcW w:w="4560" w:type="dxa"/>
            <w:tcBorders>
              <w:top w:val="nil"/>
              <w:left w:val="nil"/>
              <w:bottom w:val="single" w:sz="4" w:space="0" w:color="auto"/>
              <w:right w:val="single" w:sz="4" w:space="0" w:color="auto"/>
            </w:tcBorders>
            <w:noWrap/>
            <w:vAlign w:val="center"/>
            <w:hideMark/>
          </w:tcPr>
          <w:p w:rsidR="000B15CD" w:rsidRPr="00906AFB" w:rsidRDefault="000B15CD" w:rsidP="000B15CD">
            <w:pPr>
              <w:spacing w:after="0" w:line="240" w:lineRule="auto"/>
              <w:rPr>
                <w:rFonts w:ascii="Arial" w:eastAsia="Times New Roman" w:hAnsi="Arial" w:cs="Arial"/>
                <w:color w:val="000000"/>
                <w:sz w:val="20"/>
                <w:szCs w:val="20"/>
                <w:lang w:val="es-ES" w:eastAsia="es-ES"/>
              </w:rPr>
            </w:pPr>
            <w:r w:rsidRPr="00906AFB">
              <w:rPr>
                <w:rFonts w:ascii="Arial" w:eastAsia="Times New Roman" w:hAnsi="Arial" w:cs="Arial"/>
                <w:color w:val="000000"/>
                <w:sz w:val="20"/>
                <w:szCs w:val="20"/>
                <w:lang w:val="es-ES" w:eastAsia="es-ES"/>
              </w:rPr>
              <w:t>Infraestructura</w:t>
            </w:r>
          </w:p>
        </w:tc>
        <w:tc>
          <w:tcPr>
            <w:tcW w:w="1877" w:type="dxa"/>
            <w:tcBorders>
              <w:top w:val="nil"/>
              <w:left w:val="nil"/>
              <w:bottom w:val="single" w:sz="4" w:space="0" w:color="auto"/>
              <w:right w:val="single" w:sz="4" w:space="0" w:color="auto"/>
            </w:tcBorders>
            <w:noWrap/>
            <w:vAlign w:val="center"/>
            <w:hideMark/>
          </w:tcPr>
          <w:p w:rsidR="000B15CD" w:rsidRPr="000B15CD" w:rsidRDefault="000B15CD" w:rsidP="000B15CD">
            <w:pPr>
              <w:spacing w:after="0" w:line="240" w:lineRule="auto"/>
              <w:jc w:val="right"/>
              <w:rPr>
                <w:rFonts w:ascii="Arial" w:hAnsi="Arial" w:cs="Arial"/>
                <w:sz w:val="20"/>
                <w:szCs w:val="20"/>
              </w:rPr>
            </w:pPr>
            <w:r w:rsidRPr="000B15CD">
              <w:rPr>
                <w:rFonts w:ascii="Arial" w:hAnsi="Arial" w:cs="Arial"/>
                <w:sz w:val="20"/>
                <w:szCs w:val="20"/>
              </w:rPr>
              <w:t>778,461,433</w:t>
            </w:r>
          </w:p>
        </w:tc>
      </w:tr>
      <w:tr w:rsidR="000B15CD" w:rsidRPr="00906AFB" w:rsidTr="000B15CD">
        <w:trPr>
          <w:trHeight w:val="300"/>
          <w:jc w:val="center"/>
        </w:trPr>
        <w:tc>
          <w:tcPr>
            <w:tcW w:w="791" w:type="dxa"/>
            <w:tcBorders>
              <w:top w:val="nil"/>
              <w:left w:val="single" w:sz="4" w:space="0" w:color="auto"/>
              <w:bottom w:val="single" w:sz="4" w:space="0" w:color="auto"/>
              <w:right w:val="single" w:sz="4" w:space="0" w:color="auto"/>
            </w:tcBorders>
            <w:noWrap/>
            <w:vAlign w:val="center"/>
            <w:hideMark/>
          </w:tcPr>
          <w:p w:rsidR="000B15CD" w:rsidRPr="00906AFB" w:rsidRDefault="000B15CD" w:rsidP="000B15CD">
            <w:pPr>
              <w:spacing w:after="0" w:line="240" w:lineRule="auto"/>
              <w:jc w:val="center"/>
              <w:rPr>
                <w:rFonts w:ascii="Arial" w:eastAsia="Times New Roman" w:hAnsi="Arial" w:cs="Arial"/>
                <w:color w:val="000000"/>
                <w:sz w:val="20"/>
                <w:szCs w:val="20"/>
                <w:lang w:val="es-ES" w:eastAsia="es-ES"/>
              </w:rPr>
            </w:pPr>
            <w:r w:rsidRPr="00906AFB">
              <w:rPr>
                <w:rFonts w:ascii="Arial" w:eastAsia="Times New Roman" w:hAnsi="Arial" w:cs="Arial"/>
                <w:color w:val="000000"/>
                <w:sz w:val="20"/>
                <w:szCs w:val="20"/>
                <w:lang w:val="es-ES" w:eastAsia="es-ES"/>
              </w:rPr>
              <w:t>S</w:t>
            </w:r>
          </w:p>
        </w:tc>
        <w:tc>
          <w:tcPr>
            <w:tcW w:w="4560" w:type="dxa"/>
            <w:tcBorders>
              <w:top w:val="nil"/>
              <w:left w:val="nil"/>
              <w:bottom w:val="single" w:sz="4" w:space="0" w:color="auto"/>
              <w:right w:val="single" w:sz="4" w:space="0" w:color="auto"/>
            </w:tcBorders>
            <w:noWrap/>
            <w:vAlign w:val="center"/>
            <w:hideMark/>
          </w:tcPr>
          <w:p w:rsidR="000B15CD" w:rsidRPr="00906AFB" w:rsidRDefault="000B15CD" w:rsidP="000B15CD">
            <w:pPr>
              <w:spacing w:after="0" w:line="240" w:lineRule="auto"/>
              <w:rPr>
                <w:rFonts w:ascii="Arial" w:eastAsia="Times New Roman" w:hAnsi="Arial" w:cs="Arial"/>
                <w:color w:val="000000"/>
                <w:sz w:val="20"/>
                <w:szCs w:val="20"/>
                <w:lang w:val="es-ES" w:eastAsia="es-ES"/>
              </w:rPr>
            </w:pPr>
            <w:r w:rsidRPr="00906AFB">
              <w:rPr>
                <w:rFonts w:ascii="Arial" w:eastAsia="Times New Roman" w:hAnsi="Arial" w:cs="Arial"/>
                <w:color w:val="000000"/>
                <w:sz w:val="20"/>
                <w:szCs w:val="20"/>
                <w:lang w:val="es-ES" w:eastAsia="es-ES"/>
              </w:rPr>
              <w:t>Prestación de Servicios</w:t>
            </w:r>
          </w:p>
        </w:tc>
        <w:tc>
          <w:tcPr>
            <w:tcW w:w="1877" w:type="dxa"/>
            <w:tcBorders>
              <w:top w:val="nil"/>
              <w:left w:val="nil"/>
              <w:bottom w:val="single" w:sz="4" w:space="0" w:color="auto"/>
              <w:right w:val="single" w:sz="4" w:space="0" w:color="auto"/>
            </w:tcBorders>
            <w:noWrap/>
            <w:vAlign w:val="center"/>
            <w:hideMark/>
          </w:tcPr>
          <w:p w:rsidR="000B15CD" w:rsidRPr="000B15CD" w:rsidRDefault="000B15CD" w:rsidP="000B15CD">
            <w:pPr>
              <w:spacing w:after="0" w:line="240" w:lineRule="auto"/>
              <w:jc w:val="right"/>
              <w:rPr>
                <w:rFonts w:ascii="Arial" w:hAnsi="Arial" w:cs="Arial"/>
                <w:sz w:val="20"/>
                <w:szCs w:val="20"/>
              </w:rPr>
            </w:pPr>
            <w:r w:rsidRPr="000B15CD">
              <w:rPr>
                <w:rFonts w:ascii="Arial" w:hAnsi="Arial" w:cs="Arial"/>
                <w:sz w:val="20"/>
                <w:szCs w:val="20"/>
              </w:rPr>
              <w:t>10,521,746,503</w:t>
            </w:r>
          </w:p>
        </w:tc>
      </w:tr>
      <w:tr w:rsidR="000B15CD" w:rsidRPr="00906AFB" w:rsidTr="000B15CD">
        <w:trPr>
          <w:trHeight w:val="300"/>
          <w:jc w:val="center"/>
        </w:trPr>
        <w:tc>
          <w:tcPr>
            <w:tcW w:w="791" w:type="dxa"/>
            <w:tcBorders>
              <w:top w:val="nil"/>
              <w:left w:val="single" w:sz="4" w:space="0" w:color="auto"/>
              <w:bottom w:val="single" w:sz="4" w:space="0" w:color="auto"/>
              <w:right w:val="single" w:sz="4" w:space="0" w:color="auto"/>
            </w:tcBorders>
            <w:noWrap/>
            <w:vAlign w:val="bottom"/>
            <w:hideMark/>
          </w:tcPr>
          <w:p w:rsidR="000B15CD" w:rsidRPr="00906AFB" w:rsidRDefault="000B15CD" w:rsidP="000B15CD">
            <w:pPr>
              <w:spacing w:after="0" w:line="240" w:lineRule="auto"/>
              <w:rPr>
                <w:rFonts w:ascii="Arial" w:eastAsia="Times New Roman" w:hAnsi="Arial" w:cs="Arial"/>
                <w:color w:val="000000"/>
                <w:sz w:val="20"/>
                <w:szCs w:val="20"/>
                <w:lang w:val="es-ES" w:eastAsia="es-ES"/>
              </w:rPr>
            </w:pPr>
            <w:r w:rsidRPr="00906AFB">
              <w:rPr>
                <w:rFonts w:ascii="Arial" w:eastAsia="Times New Roman" w:hAnsi="Arial" w:cs="Arial"/>
                <w:color w:val="000000"/>
                <w:sz w:val="20"/>
                <w:szCs w:val="20"/>
                <w:lang w:val="es-ES" w:eastAsia="es-ES"/>
              </w:rPr>
              <w:t> </w:t>
            </w:r>
          </w:p>
        </w:tc>
        <w:tc>
          <w:tcPr>
            <w:tcW w:w="4560" w:type="dxa"/>
            <w:tcBorders>
              <w:top w:val="nil"/>
              <w:left w:val="nil"/>
              <w:bottom w:val="single" w:sz="4" w:space="0" w:color="auto"/>
              <w:right w:val="single" w:sz="4" w:space="0" w:color="auto"/>
            </w:tcBorders>
            <w:noWrap/>
            <w:vAlign w:val="center"/>
            <w:hideMark/>
          </w:tcPr>
          <w:p w:rsidR="000B15CD" w:rsidRPr="00906AFB" w:rsidRDefault="000B15CD" w:rsidP="000B15CD">
            <w:pPr>
              <w:spacing w:after="0" w:line="240" w:lineRule="auto"/>
              <w:jc w:val="center"/>
              <w:rPr>
                <w:rFonts w:ascii="Arial" w:eastAsia="Times New Roman" w:hAnsi="Arial" w:cs="Arial"/>
                <w:b/>
                <w:color w:val="000000"/>
                <w:sz w:val="20"/>
                <w:szCs w:val="20"/>
                <w:lang w:val="es-ES" w:eastAsia="es-ES"/>
              </w:rPr>
            </w:pPr>
            <w:r w:rsidRPr="00906AFB">
              <w:rPr>
                <w:rFonts w:ascii="Arial" w:eastAsia="Times New Roman" w:hAnsi="Arial" w:cs="Arial"/>
                <w:b/>
                <w:color w:val="000000"/>
                <w:sz w:val="20"/>
                <w:szCs w:val="20"/>
                <w:lang w:val="es-ES" w:eastAsia="es-ES"/>
              </w:rPr>
              <w:t>Total</w:t>
            </w:r>
          </w:p>
        </w:tc>
        <w:tc>
          <w:tcPr>
            <w:tcW w:w="1877" w:type="dxa"/>
            <w:tcBorders>
              <w:top w:val="nil"/>
              <w:left w:val="nil"/>
              <w:bottom w:val="single" w:sz="4" w:space="0" w:color="auto"/>
              <w:right w:val="single" w:sz="4" w:space="0" w:color="auto"/>
            </w:tcBorders>
            <w:noWrap/>
            <w:vAlign w:val="center"/>
            <w:hideMark/>
          </w:tcPr>
          <w:p w:rsidR="000B15CD" w:rsidRPr="000B15CD" w:rsidRDefault="000B15CD" w:rsidP="000B15CD">
            <w:pPr>
              <w:spacing w:after="0" w:line="240" w:lineRule="auto"/>
              <w:jc w:val="right"/>
              <w:rPr>
                <w:rFonts w:ascii="Arial" w:hAnsi="Arial" w:cs="Arial"/>
                <w:b/>
                <w:sz w:val="20"/>
                <w:szCs w:val="20"/>
              </w:rPr>
            </w:pPr>
            <w:r w:rsidRPr="000B15CD">
              <w:rPr>
                <w:rFonts w:ascii="Arial" w:hAnsi="Arial" w:cs="Arial"/>
                <w:b/>
                <w:sz w:val="20"/>
                <w:szCs w:val="20"/>
              </w:rPr>
              <w:t>15,517,525,000</w:t>
            </w:r>
          </w:p>
        </w:tc>
      </w:tr>
    </w:tbl>
    <w:p w:rsidR="00906AFB" w:rsidRPr="00906AFB" w:rsidRDefault="00906AFB" w:rsidP="00906AFB">
      <w:pPr>
        <w:spacing w:after="0" w:line="240" w:lineRule="auto"/>
        <w:jc w:val="both"/>
        <w:rPr>
          <w:rFonts w:ascii="Arial" w:eastAsia="Calibri" w:hAnsi="Arial" w:cs="Times New Roman"/>
          <w:lang w:val="es-ES" w:eastAsia="en-US"/>
        </w:rPr>
      </w:pPr>
    </w:p>
    <w:p w:rsidR="00906AFB" w:rsidRPr="00906AFB" w:rsidRDefault="00906AFB" w:rsidP="00906AFB">
      <w:pPr>
        <w:spacing w:after="0" w:line="240" w:lineRule="auto"/>
        <w:jc w:val="both"/>
        <w:rPr>
          <w:rFonts w:ascii="Arial" w:eastAsia="Calibri" w:hAnsi="Arial" w:cs="Times New Roman"/>
          <w:lang w:val="es-ES" w:eastAsia="en-US"/>
        </w:rPr>
      </w:pPr>
    </w:p>
    <w:p w:rsidR="00906AFB" w:rsidRPr="00906AFB" w:rsidRDefault="00906AFB" w:rsidP="00906AFB">
      <w:pPr>
        <w:keepNext/>
        <w:keepLines/>
        <w:spacing w:after="0" w:line="240" w:lineRule="auto"/>
        <w:jc w:val="center"/>
        <w:outlineLvl w:val="0"/>
        <w:rPr>
          <w:rFonts w:ascii="Arial" w:eastAsia="Times New Roman" w:hAnsi="Arial" w:cs="Arial"/>
          <w:b/>
          <w:sz w:val="24"/>
          <w:szCs w:val="24"/>
          <w:lang w:val="es-ES" w:eastAsia="en-US"/>
        </w:rPr>
      </w:pPr>
      <w:bookmarkStart w:id="36" w:name="_Toc465292963"/>
      <w:bookmarkStart w:id="37" w:name="_Toc465292891"/>
      <w:r w:rsidRPr="00906AFB">
        <w:rPr>
          <w:rFonts w:ascii="Arial" w:eastAsia="Times New Roman" w:hAnsi="Arial" w:cs="Arial"/>
          <w:b/>
          <w:sz w:val="24"/>
          <w:szCs w:val="24"/>
          <w:lang w:val="es-ES" w:eastAsia="en-US"/>
        </w:rPr>
        <w:t>CAPÍTULO II</w:t>
      </w:r>
    </w:p>
    <w:p w:rsidR="00906AFB" w:rsidRPr="00906AFB" w:rsidRDefault="00906AFB" w:rsidP="00906AFB">
      <w:pPr>
        <w:keepNext/>
        <w:keepLines/>
        <w:spacing w:after="0" w:line="240" w:lineRule="auto"/>
        <w:jc w:val="center"/>
        <w:outlineLvl w:val="0"/>
        <w:rPr>
          <w:rFonts w:ascii="Arial" w:eastAsia="Times New Roman" w:hAnsi="Arial" w:cs="Arial"/>
          <w:b/>
          <w:sz w:val="24"/>
          <w:szCs w:val="24"/>
          <w:lang w:val="es-ES" w:eastAsia="en-US"/>
        </w:rPr>
      </w:pPr>
      <w:r w:rsidRPr="00906AFB">
        <w:rPr>
          <w:rFonts w:ascii="Arial" w:eastAsia="Times New Roman" w:hAnsi="Arial" w:cs="Arial"/>
          <w:b/>
          <w:sz w:val="24"/>
          <w:szCs w:val="24"/>
          <w:lang w:val="es-ES" w:eastAsia="en-US"/>
        </w:rPr>
        <w:t xml:space="preserve"> DE LA EVALUACIÓN DEL DESEMPEÑO</w:t>
      </w:r>
      <w:bookmarkEnd w:id="36"/>
      <w:bookmarkEnd w:id="37"/>
    </w:p>
    <w:p w:rsidR="00906AFB" w:rsidRPr="00906AFB" w:rsidRDefault="00906AFB" w:rsidP="00906AFB">
      <w:pPr>
        <w:spacing w:after="0" w:line="240" w:lineRule="auto"/>
        <w:jc w:val="both"/>
        <w:rPr>
          <w:rFonts w:ascii="Arial" w:eastAsia="Calibri" w:hAnsi="Arial" w:cs="Arial"/>
          <w:b/>
          <w:sz w:val="24"/>
          <w:szCs w:val="24"/>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b/>
          <w:sz w:val="24"/>
          <w:szCs w:val="24"/>
          <w:lang w:val="es-ES" w:eastAsia="en-US"/>
        </w:rPr>
        <w:t>Artículo 78</w:t>
      </w:r>
      <w:r w:rsidRPr="00906AFB">
        <w:rPr>
          <w:rFonts w:ascii="Arial" w:eastAsia="Calibri" w:hAnsi="Arial" w:cs="Arial"/>
          <w:sz w:val="24"/>
          <w:szCs w:val="24"/>
          <w:lang w:val="es-ES" w:eastAsia="en-US"/>
        </w:rPr>
        <w:t>. Los recursos públicos de que dispongan los Entes Públicos serán sujetos a un Sistema de Evaluación del Desempeño, con el propósito de orientar la operación de los Programas presupuestarios al logro de resultados.</w:t>
      </w:r>
    </w:p>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sz w:val="24"/>
          <w:szCs w:val="24"/>
          <w:lang w:val="es-ES" w:eastAsia="en-US"/>
        </w:rPr>
        <w:t>El Poder Legislativo, el Poder Judicial y los Organismos Autónomos, diseñarán y operarán su propio Sistema de Evaluación del Desempeño, de conformidad con el marco legal vigente.</w:t>
      </w:r>
    </w:p>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sz w:val="24"/>
          <w:szCs w:val="24"/>
          <w:lang w:val="es-ES" w:eastAsia="en-US"/>
        </w:rPr>
        <w:t>El Titular del Ejecutivo, a través de la Secretaría y a petición expresa del Congreso del Estado, del Poder Judicial y de los Organismos autónomos, les proporcionará la asesoría y apoyo técnico que requieran en materia de Evaluación del Desempeño</w:t>
      </w:r>
    </w:p>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b/>
          <w:sz w:val="24"/>
          <w:szCs w:val="24"/>
          <w:lang w:val="es-ES" w:eastAsia="en-US"/>
        </w:rPr>
        <w:t>Artículo 79</w:t>
      </w:r>
      <w:r w:rsidRPr="00906AFB">
        <w:rPr>
          <w:rFonts w:ascii="Arial" w:eastAsia="Calibri" w:hAnsi="Arial" w:cs="Arial"/>
          <w:sz w:val="24"/>
          <w:szCs w:val="24"/>
          <w:lang w:val="es-ES" w:eastAsia="en-US"/>
        </w:rPr>
        <w:t xml:space="preserve">. La Secretaría y la Contraloría General, en el ámbito de </w:t>
      </w:r>
      <w:r w:rsidR="00E22E97" w:rsidRPr="00906AFB">
        <w:rPr>
          <w:rFonts w:ascii="Arial" w:eastAsia="Calibri" w:hAnsi="Arial" w:cs="Arial"/>
          <w:sz w:val="24"/>
          <w:szCs w:val="24"/>
          <w:lang w:val="es-ES" w:eastAsia="en-US"/>
        </w:rPr>
        <w:t>sus competencias</w:t>
      </w:r>
      <w:r w:rsidRPr="00906AFB">
        <w:rPr>
          <w:rFonts w:ascii="Arial" w:eastAsia="Calibri" w:hAnsi="Arial" w:cs="Arial"/>
          <w:sz w:val="24"/>
          <w:szCs w:val="24"/>
          <w:lang w:val="es-ES" w:eastAsia="en-US"/>
        </w:rPr>
        <w:t>, verificarán periódicamente los resultados de la ejecución de los Programas presupuestarios y proyectos de las Dependencias del Ejecutivo y Entidades del Estado, con base en el Sistema de Evaluación del Desempeño de conformidad con lo dispuesto por los artículos 10 segundo párrafo y 23 fracción XXV de la Ley Orgánica de la Administración Pública del Estado de Colima.</w:t>
      </w:r>
    </w:p>
    <w:p w:rsidR="003E4432" w:rsidRDefault="003E4432" w:rsidP="00906AFB">
      <w:pPr>
        <w:spacing w:after="0" w:line="240" w:lineRule="auto"/>
        <w:jc w:val="both"/>
        <w:rPr>
          <w:rFonts w:ascii="Arial" w:eastAsia="Calibri" w:hAnsi="Arial" w:cs="Arial"/>
          <w:sz w:val="24"/>
          <w:szCs w:val="24"/>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sz w:val="24"/>
          <w:szCs w:val="24"/>
          <w:lang w:val="es-ES" w:eastAsia="en-US"/>
        </w:rPr>
        <w:t>Las Dependencias del Ejecutivo y Entidades del Estado informarán trimestralmente a la Secretaría los resultados de los Programas Presupuestarios a su cargo, dentro de los veinte días siguientes a la conclusión del periodo correspondiente.</w:t>
      </w:r>
    </w:p>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Pr="00906AFB" w:rsidRDefault="00906AFB" w:rsidP="00906AFB">
      <w:pPr>
        <w:spacing w:after="0" w:line="240" w:lineRule="auto"/>
        <w:jc w:val="both"/>
        <w:rPr>
          <w:rFonts w:ascii="Arial" w:eastAsia="Calibri" w:hAnsi="Arial" w:cs="Arial"/>
          <w:strike/>
          <w:sz w:val="24"/>
          <w:szCs w:val="24"/>
          <w:lang w:val="es-ES" w:eastAsia="en-US"/>
        </w:rPr>
      </w:pPr>
      <w:r w:rsidRPr="00906AFB">
        <w:rPr>
          <w:rFonts w:ascii="Arial" w:eastAsia="Calibri" w:hAnsi="Arial" w:cs="Arial"/>
          <w:b/>
          <w:sz w:val="24"/>
          <w:szCs w:val="24"/>
          <w:lang w:val="es-ES" w:eastAsia="en-US"/>
        </w:rPr>
        <w:t>Artículo 80</w:t>
      </w:r>
      <w:r w:rsidRPr="00906AFB">
        <w:rPr>
          <w:rFonts w:ascii="Arial" w:eastAsia="Calibri" w:hAnsi="Arial" w:cs="Arial"/>
          <w:sz w:val="24"/>
          <w:szCs w:val="24"/>
          <w:lang w:val="es-ES" w:eastAsia="en-US"/>
        </w:rPr>
        <w:t xml:space="preserve">. La evaluación del desempeño de los Programas presupuestarios a cargo de las Dependencias del Ejecutivo, Entidades del Estado y Organismos Autónomos se realizará con base en los objetivos, indicadores y metas considerados en cada Matriz de Indicadores para Resultados, y se sujetará a lo señalado en los artículos 33, fracción XI; 107 y 116, fracción IV, de la Constitución Política del Estado Libre y Soberano de Colima; 1º, 17, inciso d); y artículos 18, 19 y 20 de la Ley de Fiscalización Superior del Estado. </w:t>
      </w:r>
    </w:p>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b/>
          <w:sz w:val="24"/>
          <w:szCs w:val="24"/>
          <w:lang w:val="es-ES" w:eastAsia="en-US"/>
        </w:rPr>
        <w:t>Artículo 81</w:t>
      </w:r>
      <w:r w:rsidRPr="00906AFB">
        <w:rPr>
          <w:rFonts w:ascii="Arial" w:eastAsia="Calibri" w:hAnsi="Arial" w:cs="Arial"/>
          <w:sz w:val="24"/>
          <w:szCs w:val="24"/>
          <w:lang w:val="es-ES" w:eastAsia="en-US"/>
        </w:rPr>
        <w:t>. En el proceso de integración de la información financiera para la elaboración del Anteproyecto de Presupuesto correspondiente al ejercicio fiscal 2018, la Secretaría, deberá incorporar los resultados que deriven de los procesos de implantación y operación del Presupuesto basado en Resultados y del Sistema de Evaluación del Desempeño, establecidos en términos del artículo 134, de la Constitución Política de los Estados Unidos Mexicanos y de lo previsto en el artículo 107, de la Constitución Política del Estado Libre y Soberano de Colima.</w:t>
      </w:r>
    </w:p>
    <w:p w:rsidR="00FD430F" w:rsidRPr="00906AFB" w:rsidRDefault="00FD430F" w:rsidP="00906AFB">
      <w:pPr>
        <w:spacing w:after="0" w:line="240" w:lineRule="auto"/>
        <w:jc w:val="both"/>
        <w:rPr>
          <w:rFonts w:ascii="Arial" w:eastAsia="Calibri" w:hAnsi="Arial" w:cs="Arial"/>
          <w:sz w:val="24"/>
          <w:szCs w:val="24"/>
          <w:lang w:val="es-ES" w:eastAsia="en-US"/>
        </w:rPr>
      </w:pPr>
    </w:p>
    <w:p w:rsidR="00906AFB" w:rsidRPr="00906AFB" w:rsidRDefault="00906AFB" w:rsidP="00906AFB">
      <w:pPr>
        <w:keepNext/>
        <w:keepLines/>
        <w:spacing w:after="0" w:line="240" w:lineRule="auto"/>
        <w:jc w:val="center"/>
        <w:outlineLvl w:val="0"/>
        <w:rPr>
          <w:rFonts w:ascii="Arial" w:eastAsia="Times New Roman" w:hAnsi="Arial" w:cs="Arial"/>
          <w:b/>
          <w:sz w:val="24"/>
          <w:szCs w:val="24"/>
          <w:lang w:val="es-ES" w:eastAsia="en-US"/>
        </w:rPr>
      </w:pPr>
      <w:bookmarkStart w:id="38" w:name="_Toc465292964"/>
      <w:bookmarkStart w:id="39" w:name="_Toc465292892"/>
      <w:r w:rsidRPr="00906AFB">
        <w:rPr>
          <w:rFonts w:ascii="Arial" w:eastAsia="Times New Roman" w:hAnsi="Arial" w:cs="Arial"/>
          <w:b/>
          <w:sz w:val="24"/>
          <w:szCs w:val="24"/>
          <w:lang w:val="es-ES" w:eastAsia="en-US"/>
        </w:rPr>
        <w:t>CAPÍTULO III</w:t>
      </w:r>
    </w:p>
    <w:p w:rsidR="00906AFB" w:rsidRPr="00906AFB" w:rsidRDefault="00906AFB" w:rsidP="00906AFB">
      <w:pPr>
        <w:keepNext/>
        <w:keepLines/>
        <w:spacing w:after="0" w:line="240" w:lineRule="auto"/>
        <w:jc w:val="center"/>
        <w:outlineLvl w:val="0"/>
        <w:rPr>
          <w:rFonts w:ascii="Arial" w:eastAsia="Times New Roman" w:hAnsi="Arial" w:cs="Arial"/>
          <w:b/>
          <w:sz w:val="24"/>
          <w:szCs w:val="24"/>
          <w:lang w:val="es-ES" w:eastAsia="en-US"/>
        </w:rPr>
      </w:pPr>
      <w:r w:rsidRPr="00906AFB">
        <w:rPr>
          <w:rFonts w:ascii="Arial" w:eastAsia="Times New Roman" w:hAnsi="Arial" w:cs="Arial"/>
          <w:b/>
          <w:sz w:val="24"/>
          <w:szCs w:val="24"/>
          <w:lang w:val="es-ES" w:eastAsia="en-US"/>
        </w:rPr>
        <w:t xml:space="preserve"> ANEXO TRANSVERSAL DEL PRESUPUESTO</w:t>
      </w:r>
      <w:bookmarkEnd w:id="38"/>
      <w:bookmarkEnd w:id="39"/>
    </w:p>
    <w:p w:rsidR="00906AFB" w:rsidRDefault="00906AFB" w:rsidP="00906AFB">
      <w:pPr>
        <w:spacing w:after="0" w:line="240" w:lineRule="auto"/>
        <w:jc w:val="both"/>
        <w:rPr>
          <w:rFonts w:ascii="Arial" w:eastAsia="Calibri" w:hAnsi="Arial" w:cs="Arial"/>
          <w:b/>
          <w:sz w:val="24"/>
          <w:szCs w:val="24"/>
          <w:lang w:val="es-ES" w:eastAsia="en-US"/>
        </w:rPr>
      </w:pPr>
    </w:p>
    <w:p w:rsidR="00E24DE2" w:rsidRPr="00906AFB" w:rsidRDefault="00E24DE2" w:rsidP="00906AFB">
      <w:pPr>
        <w:spacing w:after="0" w:line="240" w:lineRule="auto"/>
        <w:jc w:val="both"/>
        <w:rPr>
          <w:rFonts w:ascii="Arial" w:eastAsia="Calibri" w:hAnsi="Arial" w:cs="Arial"/>
          <w:b/>
          <w:sz w:val="24"/>
          <w:szCs w:val="24"/>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b/>
          <w:sz w:val="24"/>
          <w:szCs w:val="24"/>
          <w:lang w:val="es-ES" w:eastAsia="en-US"/>
        </w:rPr>
        <w:t>Artículo 82</w:t>
      </w:r>
      <w:r w:rsidRPr="00906AFB">
        <w:rPr>
          <w:rFonts w:ascii="Arial" w:eastAsia="Calibri" w:hAnsi="Arial" w:cs="Arial"/>
          <w:sz w:val="24"/>
          <w:szCs w:val="24"/>
          <w:lang w:val="es-ES" w:eastAsia="en-US"/>
        </w:rPr>
        <w:t>. En cumplimiento a lo dispuesto por los artículos 1º de la Constitución Política del Estado Libre y Soberano de Colima; 1º de la Ley de Desarrollo Social para el Estado de Colima; 12, fracción VII, de la Ley para la Igualdad entre Mujeres y Hombres del Estado de Colima; la Ley de los Derechos de Niñas, Niños y  Adolescentes del Estado de Colima, la Ley de la Juventud del Estado de Colima, la Ley Ambiental para el Desarrollo Sustentable del Estado de Colima; el Presupuesto de Egresos para el Ejercicio Fiscal 2017, establece las previsiones de gasto para:</w:t>
      </w:r>
    </w:p>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Pr="00906AFB" w:rsidRDefault="00906AFB" w:rsidP="00F859A4">
      <w:pPr>
        <w:numPr>
          <w:ilvl w:val="0"/>
          <w:numId w:val="15"/>
        </w:numPr>
        <w:spacing w:before="120" w:after="0" w:line="240" w:lineRule="auto"/>
        <w:ind w:hanging="1004"/>
        <w:contextualSpacing/>
        <w:jc w:val="both"/>
        <w:rPr>
          <w:rFonts w:ascii="Arial" w:eastAsia="Times New Roman" w:hAnsi="Arial" w:cs="Arial"/>
          <w:sz w:val="24"/>
          <w:szCs w:val="24"/>
        </w:rPr>
      </w:pPr>
      <w:r w:rsidRPr="00906AFB">
        <w:rPr>
          <w:rFonts w:ascii="Arial" w:eastAsia="Times New Roman" w:hAnsi="Arial" w:cs="Arial"/>
          <w:sz w:val="24"/>
          <w:szCs w:val="24"/>
        </w:rPr>
        <w:t>Igualdad Sustantiva;</w:t>
      </w:r>
    </w:p>
    <w:p w:rsidR="00906AFB" w:rsidRPr="00906AFB" w:rsidRDefault="00906AFB" w:rsidP="00906AFB">
      <w:pPr>
        <w:spacing w:after="0" w:line="240" w:lineRule="auto"/>
        <w:ind w:left="1004" w:hanging="1004"/>
        <w:contextualSpacing/>
        <w:jc w:val="both"/>
        <w:rPr>
          <w:rFonts w:ascii="Arial" w:eastAsia="Times New Roman" w:hAnsi="Arial" w:cs="Arial"/>
          <w:sz w:val="24"/>
          <w:szCs w:val="24"/>
        </w:rPr>
      </w:pPr>
    </w:p>
    <w:p w:rsidR="00906AFB" w:rsidRPr="00906AFB" w:rsidRDefault="00906AFB" w:rsidP="00F859A4">
      <w:pPr>
        <w:numPr>
          <w:ilvl w:val="0"/>
          <w:numId w:val="15"/>
        </w:numPr>
        <w:spacing w:before="120" w:after="0" w:line="240" w:lineRule="auto"/>
        <w:ind w:hanging="1004"/>
        <w:contextualSpacing/>
        <w:jc w:val="both"/>
        <w:rPr>
          <w:rFonts w:ascii="Arial" w:eastAsia="Times New Roman" w:hAnsi="Arial" w:cs="Arial"/>
          <w:sz w:val="24"/>
          <w:szCs w:val="24"/>
        </w:rPr>
      </w:pPr>
      <w:r w:rsidRPr="00906AFB">
        <w:rPr>
          <w:rFonts w:ascii="Arial" w:eastAsia="Times New Roman" w:hAnsi="Arial" w:cs="Arial"/>
          <w:sz w:val="24"/>
          <w:szCs w:val="24"/>
        </w:rPr>
        <w:t>Desarrollo de los Jóvenes;</w:t>
      </w:r>
    </w:p>
    <w:p w:rsidR="00906AFB" w:rsidRPr="00906AFB" w:rsidRDefault="00906AFB" w:rsidP="00906AFB">
      <w:pPr>
        <w:spacing w:after="0" w:line="240" w:lineRule="auto"/>
        <w:ind w:left="720" w:hanging="1004"/>
        <w:contextualSpacing/>
        <w:jc w:val="both"/>
        <w:rPr>
          <w:rFonts w:ascii="Arial" w:eastAsia="Times New Roman" w:hAnsi="Arial" w:cs="Arial"/>
          <w:sz w:val="24"/>
          <w:szCs w:val="24"/>
        </w:rPr>
      </w:pPr>
    </w:p>
    <w:p w:rsidR="00906AFB" w:rsidRPr="00906AFB" w:rsidRDefault="00906AFB" w:rsidP="00F859A4">
      <w:pPr>
        <w:numPr>
          <w:ilvl w:val="0"/>
          <w:numId w:val="15"/>
        </w:numPr>
        <w:spacing w:before="120" w:after="0" w:line="240" w:lineRule="auto"/>
        <w:ind w:hanging="1004"/>
        <w:contextualSpacing/>
        <w:jc w:val="both"/>
        <w:rPr>
          <w:rFonts w:ascii="Arial" w:eastAsia="Times New Roman" w:hAnsi="Arial" w:cs="Arial"/>
          <w:sz w:val="24"/>
          <w:szCs w:val="24"/>
        </w:rPr>
      </w:pPr>
      <w:r w:rsidRPr="00906AFB">
        <w:rPr>
          <w:rFonts w:ascii="Arial" w:eastAsia="Times New Roman" w:hAnsi="Arial" w:cs="Arial"/>
          <w:sz w:val="24"/>
          <w:szCs w:val="24"/>
        </w:rPr>
        <w:t>Atención a Grupos en Situación de Vulnerabilidad;</w:t>
      </w:r>
    </w:p>
    <w:p w:rsidR="00906AFB" w:rsidRPr="00906AFB" w:rsidRDefault="00906AFB" w:rsidP="00906AFB">
      <w:pPr>
        <w:spacing w:after="0" w:line="240" w:lineRule="auto"/>
        <w:ind w:left="720" w:hanging="1004"/>
        <w:contextualSpacing/>
        <w:jc w:val="both"/>
        <w:rPr>
          <w:rFonts w:ascii="Arial" w:eastAsia="Times New Roman" w:hAnsi="Arial" w:cs="Arial"/>
          <w:sz w:val="24"/>
          <w:szCs w:val="24"/>
        </w:rPr>
      </w:pPr>
    </w:p>
    <w:p w:rsidR="00906AFB" w:rsidRPr="00906AFB" w:rsidRDefault="00906AFB" w:rsidP="00F859A4">
      <w:pPr>
        <w:numPr>
          <w:ilvl w:val="0"/>
          <w:numId w:val="15"/>
        </w:numPr>
        <w:spacing w:before="120" w:after="0" w:line="240" w:lineRule="auto"/>
        <w:ind w:hanging="1004"/>
        <w:contextualSpacing/>
        <w:jc w:val="both"/>
        <w:rPr>
          <w:rFonts w:ascii="Arial" w:eastAsia="Times New Roman" w:hAnsi="Arial" w:cs="Arial"/>
          <w:sz w:val="24"/>
          <w:szCs w:val="24"/>
        </w:rPr>
      </w:pPr>
      <w:r w:rsidRPr="00906AFB">
        <w:rPr>
          <w:rFonts w:ascii="Arial" w:eastAsia="Times New Roman" w:hAnsi="Arial" w:cs="Arial"/>
          <w:sz w:val="24"/>
          <w:szCs w:val="24"/>
        </w:rPr>
        <w:t>Mitigación de los Efectos del Cambio Climático; y</w:t>
      </w:r>
    </w:p>
    <w:p w:rsidR="00906AFB" w:rsidRPr="00906AFB" w:rsidRDefault="00906AFB" w:rsidP="00906AFB">
      <w:pPr>
        <w:spacing w:after="0" w:line="240" w:lineRule="auto"/>
        <w:ind w:left="720" w:hanging="1004"/>
        <w:contextualSpacing/>
        <w:jc w:val="both"/>
        <w:rPr>
          <w:rFonts w:ascii="Arial" w:eastAsia="Times New Roman" w:hAnsi="Arial" w:cs="Arial"/>
          <w:sz w:val="24"/>
          <w:szCs w:val="24"/>
        </w:rPr>
      </w:pPr>
    </w:p>
    <w:p w:rsidR="00906AFB" w:rsidRPr="00906AFB" w:rsidRDefault="00906AFB" w:rsidP="00F859A4">
      <w:pPr>
        <w:numPr>
          <w:ilvl w:val="0"/>
          <w:numId w:val="15"/>
        </w:numPr>
        <w:spacing w:before="120" w:after="0" w:line="240" w:lineRule="auto"/>
        <w:ind w:hanging="1004"/>
        <w:contextualSpacing/>
        <w:jc w:val="both"/>
        <w:rPr>
          <w:rFonts w:ascii="Arial" w:eastAsia="Times New Roman" w:hAnsi="Arial" w:cs="Arial"/>
          <w:sz w:val="24"/>
          <w:szCs w:val="24"/>
        </w:rPr>
      </w:pPr>
      <w:r w:rsidRPr="00906AFB">
        <w:rPr>
          <w:rFonts w:ascii="Arial" w:eastAsia="Times New Roman" w:hAnsi="Arial" w:cs="Arial"/>
          <w:sz w:val="24"/>
          <w:szCs w:val="24"/>
        </w:rPr>
        <w:t>Atención a Niños, Niñas y Adolescentes.</w:t>
      </w:r>
    </w:p>
    <w:p w:rsidR="00906AFB" w:rsidRPr="00906AFB" w:rsidRDefault="00906AFB" w:rsidP="00906AFB">
      <w:pPr>
        <w:spacing w:after="0" w:line="240" w:lineRule="auto"/>
        <w:ind w:hanging="1004"/>
        <w:jc w:val="both"/>
        <w:rPr>
          <w:rFonts w:ascii="Arial" w:eastAsia="Calibri" w:hAnsi="Arial" w:cs="Arial"/>
          <w:sz w:val="24"/>
          <w:szCs w:val="24"/>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sz w:val="24"/>
          <w:szCs w:val="24"/>
          <w:lang w:val="es-ES" w:eastAsia="en-US"/>
        </w:rPr>
        <w:t xml:space="preserve">A </w:t>
      </w:r>
      <w:r w:rsidR="00E22E97" w:rsidRPr="00906AFB">
        <w:rPr>
          <w:rFonts w:ascii="Arial" w:eastAsia="Calibri" w:hAnsi="Arial" w:cs="Arial"/>
          <w:sz w:val="24"/>
          <w:szCs w:val="24"/>
          <w:lang w:val="es-ES" w:eastAsia="en-US"/>
        </w:rPr>
        <w:t>continuación,</w:t>
      </w:r>
      <w:r w:rsidRPr="00906AFB">
        <w:rPr>
          <w:rFonts w:ascii="Arial" w:eastAsia="Calibri" w:hAnsi="Arial" w:cs="Arial"/>
          <w:sz w:val="24"/>
          <w:szCs w:val="24"/>
          <w:lang w:val="es-ES" w:eastAsia="en-US"/>
        </w:rPr>
        <w:t xml:space="preserve"> se establece el resumen de la asignación presupuestaria clasificada por cada uno de los elementos de la transversalidad:</w:t>
      </w:r>
    </w:p>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Pr="00906AFB" w:rsidRDefault="00906AFB" w:rsidP="00906AFB">
      <w:pPr>
        <w:keepNext/>
        <w:keepLines/>
        <w:spacing w:after="0" w:line="240" w:lineRule="auto"/>
        <w:jc w:val="center"/>
        <w:outlineLvl w:val="1"/>
        <w:rPr>
          <w:rFonts w:ascii="Arial" w:eastAsia="Times New Roman" w:hAnsi="Arial" w:cs="Times New Roman"/>
          <w:b/>
          <w:sz w:val="20"/>
          <w:szCs w:val="26"/>
          <w:lang w:val="es-ES" w:eastAsia="en-US"/>
        </w:rPr>
      </w:pPr>
      <w:r w:rsidRPr="00906AFB">
        <w:rPr>
          <w:rFonts w:ascii="Arial" w:eastAsia="Times New Roman" w:hAnsi="Arial" w:cs="Times New Roman"/>
          <w:b/>
          <w:sz w:val="20"/>
          <w:szCs w:val="26"/>
          <w:lang w:val="es-ES" w:eastAsia="en-US"/>
        </w:rPr>
        <w:t xml:space="preserve">Tabla </w:t>
      </w:r>
      <w:r w:rsidR="00CF4172">
        <w:rPr>
          <w:rFonts w:ascii="Arial" w:eastAsia="Times New Roman" w:hAnsi="Arial" w:cs="Times New Roman"/>
          <w:b/>
          <w:sz w:val="20"/>
          <w:szCs w:val="26"/>
          <w:lang w:val="es-ES" w:eastAsia="en-US"/>
        </w:rPr>
        <w:t>63</w:t>
      </w:r>
      <w:r w:rsidRPr="00906AFB">
        <w:rPr>
          <w:rFonts w:ascii="Arial" w:eastAsia="Times New Roman" w:hAnsi="Arial" w:cs="Times New Roman"/>
          <w:b/>
          <w:sz w:val="20"/>
          <w:szCs w:val="26"/>
          <w:lang w:val="es-ES" w:eastAsia="en-US"/>
        </w:rPr>
        <w:t>. Anexo Transversal del Presupuesto</w:t>
      </w:r>
    </w:p>
    <w:tbl>
      <w:tblPr>
        <w:tblStyle w:val="Tablaconcuadrcula2"/>
        <w:tblW w:w="0" w:type="auto"/>
        <w:tblInd w:w="108" w:type="dxa"/>
        <w:tblLook w:val="04A0" w:firstRow="1" w:lastRow="0" w:firstColumn="1" w:lastColumn="0" w:noHBand="0" w:noVBand="1"/>
      </w:tblPr>
      <w:tblGrid>
        <w:gridCol w:w="697"/>
        <w:gridCol w:w="6256"/>
        <w:gridCol w:w="1607"/>
      </w:tblGrid>
      <w:tr w:rsidR="00906AFB" w:rsidRPr="00906AFB" w:rsidTr="002A5F70">
        <w:trPr>
          <w:trHeight w:val="525"/>
        </w:trPr>
        <w:tc>
          <w:tcPr>
            <w:tcW w:w="69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center"/>
              <w:rPr>
                <w:rFonts w:ascii="Arial" w:hAnsi="Arial" w:cs="Arial"/>
                <w:b/>
                <w:sz w:val="18"/>
                <w:szCs w:val="18"/>
              </w:rPr>
            </w:pPr>
            <w:r w:rsidRPr="00906AFB">
              <w:rPr>
                <w:rFonts w:ascii="Arial" w:hAnsi="Arial" w:cs="Arial"/>
                <w:b/>
                <w:sz w:val="18"/>
                <w:szCs w:val="18"/>
              </w:rPr>
              <w:t>Clave</w:t>
            </w:r>
          </w:p>
        </w:tc>
        <w:tc>
          <w:tcPr>
            <w:tcW w:w="625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center"/>
              <w:rPr>
                <w:rFonts w:ascii="Arial" w:hAnsi="Arial" w:cs="Arial"/>
                <w:b/>
                <w:bCs/>
                <w:sz w:val="18"/>
                <w:szCs w:val="18"/>
              </w:rPr>
            </w:pPr>
            <w:r w:rsidRPr="00906AFB">
              <w:rPr>
                <w:rFonts w:ascii="Arial" w:hAnsi="Arial" w:cs="Arial"/>
                <w:b/>
                <w:bCs/>
                <w:sz w:val="18"/>
                <w:szCs w:val="18"/>
              </w:rPr>
              <w:t>Transversalidad</w:t>
            </w:r>
          </w:p>
        </w:tc>
        <w:tc>
          <w:tcPr>
            <w:tcW w:w="1607" w:type="dxa"/>
            <w:tcBorders>
              <w:top w:val="single" w:sz="4" w:space="0" w:color="auto"/>
              <w:left w:val="single" w:sz="4" w:space="0" w:color="auto"/>
              <w:bottom w:val="single" w:sz="4" w:space="0" w:color="auto"/>
              <w:right w:val="single" w:sz="4" w:space="0" w:color="auto"/>
            </w:tcBorders>
            <w:vAlign w:val="center"/>
            <w:hideMark/>
          </w:tcPr>
          <w:p w:rsidR="00906AFB" w:rsidRPr="002A5F70" w:rsidRDefault="00906AFB" w:rsidP="002A5F70">
            <w:pPr>
              <w:jc w:val="center"/>
              <w:rPr>
                <w:rFonts w:ascii="Arial" w:hAnsi="Arial" w:cs="Arial"/>
                <w:b/>
                <w:bCs/>
                <w:sz w:val="20"/>
                <w:szCs w:val="20"/>
              </w:rPr>
            </w:pPr>
            <w:r w:rsidRPr="002A5F70">
              <w:rPr>
                <w:rFonts w:ascii="Arial" w:hAnsi="Arial" w:cs="Arial"/>
                <w:b/>
                <w:bCs/>
                <w:sz w:val="20"/>
                <w:szCs w:val="20"/>
              </w:rPr>
              <w:t>Asignación Presupuestal</w:t>
            </w:r>
          </w:p>
        </w:tc>
      </w:tr>
      <w:tr w:rsidR="002A5F70" w:rsidRPr="00906AFB" w:rsidTr="002A5F70">
        <w:trPr>
          <w:trHeight w:val="255"/>
        </w:trPr>
        <w:tc>
          <w:tcPr>
            <w:tcW w:w="697" w:type="dxa"/>
            <w:tcBorders>
              <w:top w:val="single" w:sz="4" w:space="0" w:color="auto"/>
              <w:left w:val="single" w:sz="4" w:space="0" w:color="auto"/>
              <w:bottom w:val="single" w:sz="4" w:space="0" w:color="auto"/>
              <w:right w:val="single" w:sz="4" w:space="0" w:color="auto"/>
            </w:tcBorders>
            <w:noWrap/>
            <w:vAlign w:val="center"/>
            <w:hideMark/>
          </w:tcPr>
          <w:p w:rsidR="002A5F70" w:rsidRPr="00906AFB" w:rsidRDefault="002A5F70" w:rsidP="002A5F70">
            <w:pPr>
              <w:jc w:val="center"/>
              <w:rPr>
                <w:rFonts w:ascii="Arial" w:hAnsi="Arial" w:cs="Arial"/>
                <w:b/>
                <w:sz w:val="18"/>
                <w:szCs w:val="18"/>
              </w:rPr>
            </w:pPr>
            <w:r w:rsidRPr="00906AFB">
              <w:rPr>
                <w:rFonts w:ascii="Arial" w:hAnsi="Arial" w:cs="Arial"/>
                <w:b/>
                <w:sz w:val="18"/>
                <w:szCs w:val="18"/>
              </w:rPr>
              <w:t>A</w:t>
            </w:r>
          </w:p>
        </w:tc>
        <w:tc>
          <w:tcPr>
            <w:tcW w:w="6256" w:type="dxa"/>
            <w:tcBorders>
              <w:top w:val="single" w:sz="4" w:space="0" w:color="auto"/>
              <w:left w:val="single" w:sz="4" w:space="0" w:color="auto"/>
              <w:bottom w:val="single" w:sz="4" w:space="0" w:color="auto"/>
              <w:right w:val="single" w:sz="4" w:space="0" w:color="auto"/>
            </w:tcBorders>
            <w:noWrap/>
            <w:vAlign w:val="center"/>
            <w:hideMark/>
          </w:tcPr>
          <w:p w:rsidR="002A5F70" w:rsidRPr="00906AFB" w:rsidRDefault="002A5F70" w:rsidP="002A5F70">
            <w:pPr>
              <w:rPr>
                <w:rFonts w:ascii="Arial" w:hAnsi="Arial" w:cs="Arial"/>
                <w:sz w:val="18"/>
                <w:szCs w:val="18"/>
              </w:rPr>
            </w:pPr>
            <w:r w:rsidRPr="00906AFB">
              <w:rPr>
                <w:rFonts w:ascii="Arial" w:hAnsi="Arial" w:cs="Arial"/>
                <w:sz w:val="18"/>
                <w:szCs w:val="18"/>
              </w:rPr>
              <w:t>Igualdad Sustantiva - Igualdad de Oportunidades</w:t>
            </w:r>
          </w:p>
        </w:tc>
        <w:tc>
          <w:tcPr>
            <w:tcW w:w="1607" w:type="dxa"/>
            <w:tcBorders>
              <w:top w:val="single" w:sz="4" w:space="0" w:color="auto"/>
              <w:left w:val="single" w:sz="4" w:space="0" w:color="auto"/>
              <w:bottom w:val="single" w:sz="4" w:space="0" w:color="auto"/>
              <w:right w:val="single" w:sz="4" w:space="0" w:color="auto"/>
            </w:tcBorders>
            <w:noWrap/>
            <w:vAlign w:val="center"/>
          </w:tcPr>
          <w:p w:rsidR="002A5F70" w:rsidRPr="002A5F70" w:rsidRDefault="002A5F70" w:rsidP="002A5F70">
            <w:pPr>
              <w:jc w:val="right"/>
              <w:rPr>
                <w:rFonts w:ascii="Arial" w:hAnsi="Arial" w:cs="Arial"/>
                <w:sz w:val="20"/>
                <w:szCs w:val="20"/>
              </w:rPr>
            </w:pPr>
            <w:r w:rsidRPr="002A5F70">
              <w:rPr>
                <w:rFonts w:ascii="Arial" w:hAnsi="Arial" w:cs="Arial"/>
                <w:sz w:val="20"/>
                <w:szCs w:val="20"/>
              </w:rPr>
              <w:t>736,143,931</w:t>
            </w:r>
          </w:p>
        </w:tc>
      </w:tr>
      <w:tr w:rsidR="002A5F70" w:rsidRPr="00906AFB" w:rsidTr="002A5F70">
        <w:trPr>
          <w:trHeight w:val="255"/>
        </w:trPr>
        <w:tc>
          <w:tcPr>
            <w:tcW w:w="697" w:type="dxa"/>
            <w:tcBorders>
              <w:top w:val="single" w:sz="4" w:space="0" w:color="auto"/>
              <w:left w:val="single" w:sz="4" w:space="0" w:color="auto"/>
              <w:bottom w:val="single" w:sz="4" w:space="0" w:color="auto"/>
              <w:right w:val="single" w:sz="4" w:space="0" w:color="auto"/>
            </w:tcBorders>
            <w:noWrap/>
            <w:vAlign w:val="center"/>
            <w:hideMark/>
          </w:tcPr>
          <w:p w:rsidR="002A5F70" w:rsidRPr="00906AFB" w:rsidRDefault="002A5F70" w:rsidP="002A5F70">
            <w:pPr>
              <w:jc w:val="center"/>
              <w:rPr>
                <w:rFonts w:ascii="Arial" w:hAnsi="Arial" w:cs="Arial"/>
                <w:b/>
                <w:sz w:val="18"/>
                <w:szCs w:val="18"/>
              </w:rPr>
            </w:pPr>
            <w:r w:rsidRPr="00906AFB">
              <w:rPr>
                <w:rFonts w:ascii="Arial" w:hAnsi="Arial" w:cs="Arial"/>
                <w:b/>
                <w:sz w:val="18"/>
                <w:szCs w:val="18"/>
              </w:rPr>
              <w:t>B</w:t>
            </w:r>
          </w:p>
        </w:tc>
        <w:tc>
          <w:tcPr>
            <w:tcW w:w="6256" w:type="dxa"/>
            <w:tcBorders>
              <w:top w:val="single" w:sz="4" w:space="0" w:color="auto"/>
              <w:left w:val="single" w:sz="4" w:space="0" w:color="auto"/>
              <w:bottom w:val="single" w:sz="4" w:space="0" w:color="auto"/>
              <w:right w:val="single" w:sz="4" w:space="0" w:color="auto"/>
            </w:tcBorders>
            <w:noWrap/>
            <w:vAlign w:val="center"/>
            <w:hideMark/>
          </w:tcPr>
          <w:p w:rsidR="002A5F70" w:rsidRPr="00906AFB" w:rsidRDefault="002A5F70" w:rsidP="002A5F70">
            <w:pPr>
              <w:rPr>
                <w:rFonts w:ascii="Arial" w:hAnsi="Arial" w:cs="Arial"/>
                <w:sz w:val="18"/>
                <w:szCs w:val="18"/>
              </w:rPr>
            </w:pPr>
            <w:r w:rsidRPr="00906AFB">
              <w:rPr>
                <w:rFonts w:ascii="Arial" w:hAnsi="Arial" w:cs="Arial"/>
                <w:sz w:val="18"/>
                <w:szCs w:val="18"/>
              </w:rPr>
              <w:t>Igualdad Sustantiva - Acciones afirmativas</w:t>
            </w:r>
          </w:p>
        </w:tc>
        <w:tc>
          <w:tcPr>
            <w:tcW w:w="1607" w:type="dxa"/>
            <w:tcBorders>
              <w:top w:val="single" w:sz="4" w:space="0" w:color="auto"/>
              <w:left w:val="single" w:sz="4" w:space="0" w:color="auto"/>
              <w:bottom w:val="single" w:sz="4" w:space="0" w:color="auto"/>
              <w:right w:val="single" w:sz="4" w:space="0" w:color="auto"/>
            </w:tcBorders>
            <w:noWrap/>
            <w:vAlign w:val="center"/>
          </w:tcPr>
          <w:p w:rsidR="002A5F70" w:rsidRPr="002A5F70" w:rsidRDefault="002A5F70" w:rsidP="002A5F70">
            <w:pPr>
              <w:jc w:val="right"/>
              <w:rPr>
                <w:rFonts w:ascii="Arial" w:hAnsi="Arial" w:cs="Arial"/>
                <w:sz w:val="20"/>
                <w:szCs w:val="20"/>
              </w:rPr>
            </w:pPr>
            <w:r w:rsidRPr="002A5F70">
              <w:rPr>
                <w:rFonts w:ascii="Arial" w:hAnsi="Arial" w:cs="Arial"/>
                <w:sz w:val="20"/>
                <w:szCs w:val="20"/>
              </w:rPr>
              <w:t>404,793</w:t>
            </w:r>
          </w:p>
        </w:tc>
      </w:tr>
      <w:tr w:rsidR="002A5F70" w:rsidRPr="00906AFB" w:rsidTr="002A5F70">
        <w:trPr>
          <w:trHeight w:val="255"/>
        </w:trPr>
        <w:tc>
          <w:tcPr>
            <w:tcW w:w="697" w:type="dxa"/>
            <w:tcBorders>
              <w:top w:val="single" w:sz="4" w:space="0" w:color="auto"/>
              <w:left w:val="single" w:sz="4" w:space="0" w:color="auto"/>
              <w:bottom w:val="single" w:sz="4" w:space="0" w:color="auto"/>
              <w:right w:val="single" w:sz="4" w:space="0" w:color="auto"/>
            </w:tcBorders>
            <w:noWrap/>
            <w:vAlign w:val="center"/>
            <w:hideMark/>
          </w:tcPr>
          <w:p w:rsidR="002A5F70" w:rsidRPr="00906AFB" w:rsidRDefault="002A5F70" w:rsidP="002A5F70">
            <w:pPr>
              <w:jc w:val="center"/>
              <w:rPr>
                <w:rFonts w:ascii="Arial" w:hAnsi="Arial" w:cs="Arial"/>
                <w:b/>
                <w:sz w:val="18"/>
                <w:szCs w:val="18"/>
              </w:rPr>
            </w:pPr>
            <w:r w:rsidRPr="00906AFB">
              <w:rPr>
                <w:rFonts w:ascii="Arial" w:hAnsi="Arial" w:cs="Arial"/>
                <w:b/>
                <w:sz w:val="18"/>
                <w:szCs w:val="18"/>
              </w:rPr>
              <w:t>C</w:t>
            </w:r>
          </w:p>
        </w:tc>
        <w:tc>
          <w:tcPr>
            <w:tcW w:w="6256" w:type="dxa"/>
            <w:tcBorders>
              <w:top w:val="single" w:sz="4" w:space="0" w:color="auto"/>
              <w:left w:val="single" w:sz="4" w:space="0" w:color="auto"/>
              <w:bottom w:val="single" w:sz="4" w:space="0" w:color="auto"/>
              <w:right w:val="single" w:sz="4" w:space="0" w:color="auto"/>
            </w:tcBorders>
            <w:noWrap/>
            <w:vAlign w:val="center"/>
            <w:hideMark/>
          </w:tcPr>
          <w:p w:rsidR="002A5F70" w:rsidRPr="00906AFB" w:rsidRDefault="002A5F70" w:rsidP="002A5F70">
            <w:pPr>
              <w:rPr>
                <w:rFonts w:ascii="Arial" w:hAnsi="Arial" w:cs="Arial"/>
                <w:sz w:val="18"/>
                <w:szCs w:val="18"/>
              </w:rPr>
            </w:pPr>
            <w:r w:rsidRPr="00906AFB">
              <w:rPr>
                <w:rFonts w:ascii="Arial" w:hAnsi="Arial" w:cs="Arial"/>
                <w:sz w:val="18"/>
                <w:szCs w:val="18"/>
              </w:rPr>
              <w:t>Igualdad Sustantiva - Violencia de Genero</w:t>
            </w:r>
          </w:p>
        </w:tc>
        <w:tc>
          <w:tcPr>
            <w:tcW w:w="1607" w:type="dxa"/>
            <w:tcBorders>
              <w:top w:val="single" w:sz="4" w:space="0" w:color="auto"/>
              <w:left w:val="single" w:sz="4" w:space="0" w:color="auto"/>
              <w:bottom w:val="single" w:sz="4" w:space="0" w:color="auto"/>
              <w:right w:val="single" w:sz="4" w:space="0" w:color="auto"/>
            </w:tcBorders>
            <w:noWrap/>
            <w:vAlign w:val="center"/>
          </w:tcPr>
          <w:p w:rsidR="002A5F70" w:rsidRPr="002A5F70" w:rsidRDefault="002A5F70" w:rsidP="002A5F70">
            <w:pPr>
              <w:jc w:val="right"/>
              <w:rPr>
                <w:rFonts w:ascii="Arial" w:hAnsi="Arial" w:cs="Arial"/>
                <w:sz w:val="20"/>
                <w:szCs w:val="20"/>
              </w:rPr>
            </w:pPr>
            <w:r w:rsidRPr="002A5F70">
              <w:rPr>
                <w:rFonts w:ascii="Arial" w:hAnsi="Arial" w:cs="Arial"/>
                <w:sz w:val="20"/>
                <w:szCs w:val="20"/>
              </w:rPr>
              <w:t>55,171,236</w:t>
            </w:r>
          </w:p>
        </w:tc>
      </w:tr>
      <w:tr w:rsidR="002A5F70" w:rsidRPr="00906AFB" w:rsidTr="002A5F70">
        <w:trPr>
          <w:trHeight w:val="255"/>
        </w:trPr>
        <w:tc>
          <w:tcPr>
            <w:tcW w:w="697" w:type="dxa"/>
            <w:tcBorders>
              <w:top w:val="single" w:sz="4" w:space="0" w:color="auto"/>
              <w:left w:val="single" w:sz="4" w:space="0" w:color="auto"/>
              <w:bottom w:val="single" w:sz="4" w:space="0" w:color="auto"/>
              <w:right w:val="single" w:sz="4" w:space="0" w:color="auto"/>
            </w:tcBorders>
            <w:noWrap/>
            <w:vAlign w:val="center"/>
            <w:hideMark/>
          </w:tcPr>
          <w:p w:rsidR="002A5F70" w:rsidRPr="00906AFB" w:rsidRDefault="002A5F70" w:rsidP="002A5F70">
            <w:pPr>
              <w:jc w:val="center"/>
              <w:rPr>
                <w:rFonts w:ascii="Arial" w:hAnsi="Arial" w:cs="Arial"/>
                <w:b/>
                <w:sz w:val="18"/>
                <w:szCs w:val="18"/>
              </w:rPr>
            </w:pPr>
            <w:r w:rsidRPr="00906AFB">
              <w:rPr>
                <w:rFonts w:ascii="Arial" w:hAnsi="Arial" w:cs="Arial"/>
                <w:b/>
                <w:sz w:val="18"/>
                <w:szCs w:val="18"/>
              </w:rPr>
              <w:t>D</w:t>
            </w:r>
          </w:p>
        </w:tc>
        <w:tc>
          <w:tcPr>
            <w:tcW w:w="6256" w:type="dxa"/>
            <w:tcBorders>
              <w:top w:val="single" w:sz="4" w:space="0" w:color="auto"/>
              <w:left w:val="single" w:sz="4" w:space="0" w:color="auto"/>
              <w:bottom w:val="single" w:sz="4" w:space="0" w:color="auto"/>
              <w:right w:val="single" w:sz="4" w:space="0" w:color="auto"/>
            </w:tcBorders>
            <w:noWrap/>
            <w:vAlign w:val="center"/>
            <w:hideMark/>
          </w:tcPr>
          <w:p w:rsidR="002A5F70" w:rsidRPr="00906AFB" w:rsidRDefault="002A5F70" w:rsidP="002A5F70">
            <w:pPr>
              <w:rPr>
                <w:rFonts w:ascii="Arial" w:hAnsi="Arial" w:cs="Arial"/>
                <w:sz w:val="18"/>
                <w:szCs w:val="18"/>
              </w:rPr>
            </w:pPr>
            <w:r w:rsidRPr="00906AFB">
              <w:rPr>
                <w:rFonts w:ascii="Arial" w:hAnsi="Arial" w:cs="Arial"/>
                <w:sz w:val="18"/>
                <w:szCs w:val="18"/>
              </w:rPr>
              <w:t>Desarrollo de los Jóvenes - Empleo</w:t>
            </w:r>
          </w:p>
        </w:tc>
        <w:tc>
          <w:tcPr>
            <w:tcW w:w="1607" w:type="dxa"/>
            <w:tcBorders>
              <w:top w:val="single" w:sz="4" w:space="0" w:color="auto"/>
              <w:left w:val="single" w:sz="4" w:space="0" w:color="auto"/>
              <w:bottom w:val="single" w:sz="4" w:space="0" w:color="auto"/>
              <w:right w:val="single" w:sz="4" w:space="0" w:color="auto"/>
            </w:tcBorders>
            <w:noWrap/>
            <w:vAlign w:val="center"/>
          </w:tcPr>
          <w:p w:rsidR="002A5F70" w:rsidRPr="002A5F70" w:rsidRDefault="002A5F70" w:rsidP="002A5F70">
            <w:pPr>
              <w:jc w:val="right"/>
              <w:rPr>
                <w:rFonts w:ascii="Arial" w:hAnsi="Arial" w:cs="Arial"/>
                <w:sz w:val="20"/>
                <w:szCs w:val="20"/>
              </w:rPr>
            </w:pPr>
            <w:r w:rsidRPr="002A5F70">
              <w:rPr>
                <w:rFonts w:ascii="Arial" w:hAnsi="Arial" w:cs="Arial"/>
                <w:sz w:val="20"/>
                <w:szCs w:val="20"/>
              </w:rPr>
              <w:t>45,391,172</w:t>
            </w:r>
          </w:p>
        </w:tc>
      </w:tr>
      <w:tr w:rsidR="002A5F70" w:rsidRPr="00906AFB" w:rsidTr="002A5F70">
        <w:trPr>
          <w:trHeight w:val="255"/>
        </w:trPr>
        <w:tc>
          <w:tcPr>
            <w:tcW w:w="697" w:type="dxa"/>
            <w:tcBorders>
              <w:top w:val="single" w:sz="4" w:space="0" w:color="auto"/>
              <w:left w:val="single" w:sz="4" w:space="0" w:color="auto"/>
              <w:bottom w:val="single" w:sz="4" w:space="0" w:color="auto"/>
              <w:right w:val="single" w:sz="4" w:space="0" w:color="auto"/>
            </w:tcBorders>
            <w:noWrap/>
            <w:vAlign w:val="center"/>
            <w:hideMark/>
          </w:tcPr>
          <w:p w:rsidR="002A5F70" w:rsidRPr="00906AFB" w:rsidRDefault="002A5F70" w:rsidP="002A5F70">
            <w:pPr>
              <w:jc w:val="center"/>
              <w:rPr>
                <w:rFonts w:ascii="Arial" w:hAnsi="Arial" w:cs="Arial"/>
                <w:b/>
                <w:sz w:val="18"/>
                <w:szCs w:val="18"/>
              </w:rPr>
            </w:pPr>
            <w:r w:rsidRPr="00906AFB">
              <w:rPr>
                <w:rFonts w:ascii="Arial" w:hAnsi="Arial" w:cs="Arial"/>
                <w:b/>
                <w:sz w:val="18"/>
                <w:szCs w:val="18"/>
              </w:rPr>
              <w:t>E</w:t>
            </w:r>
          </w:p>
        </w:tc>
        <w:tc>
          <w:tcPr>
            <w:tcW w:w="6256" w:type="dxa"/>
            <w:tcBorders>
              <w:top w:val="single" w:sz="4" w:space="0" w:color="auto"/>
              <w:left w:val="single" w:sz="4" w:space="0" w:color="auto"/>
              <w:bottom w:val="single" w:sz="4" w:space="0" w:color="auto"/>
              <w:right w:val="single" w:sz="4" w:space="0" w:color="auto"/>
            </w:tcBorders>
            <w:noWrap/>
            <w:vAlign w:val="center"/>
            <w:hideMark/>
          </w:tcPr>
          <w:p w:rsidR="002A5F70" w:rsidRPr="00906AFB" w:rsidRDefault="002A5F70" w:rsidP="002A5F70">
            <w:pPr>
              <w:rPr>
                <w:rFonts w:ascii="Arial" w:hAnsi="Arial" w:cs="Arial"/>
                <w:sz w:val="18"/>
                <w:szCs w:val="18"/>
              </w:rPr>
            </w:pPr>
            <w:r w:rsidRPr="00906AFB">
              <w:rPr>
                <w:rFonts w:ascii="Arial" w:hAnsi="Arial" w:cs="Arial"/>
                <w:sz w:val="18"/>
                <w:szCs w:val="18"/>
              </w:rPr>
              <w:t>Desarrollo de los Jóvenes - Salud</w:t>
            </w:r>
          </w:p>
        </w:tc>
        <w:tc>
          <w:tcPr>
            <w:tcW w:w="1607" w:type="dxa"/>
            <w:tcBorders>
              <w:top w:val="single" w:sz="4" w:space="0" w:color="auto"/>
              <w:left w:val="single" w:sz="4" w:space="0" w:color="auto"/>
              <w:bottom w:val="single" w:sz="4" w:space="0" w:color="auto"/>
              <w:right w:val="single" w:sz="4" w:space="0" w:color="auto"/>
            </w:tcBorders>
            <w:noWrap/>
            <w:vAlign w:val="center"/>
          </w:tcPr>
          <w:p w:rsidR="002A5F70" w:rsidRPr="002A5F70" w:rsidRDefault="002A5F70" w:rsidP="002A5F70">
            <w:pPr>
              <w:jc w:val="right"/>
              <w:rPr>
                <w:rFonts w:ascii="Arial" w:hAnsi="Arial" w:cs="Arial"/>
                <w:sz w:val="20"/>
                <w:szCs w:val="20"/>
              </w:rPr>
            </w:pPr>
            <w:r w:rsidRPr="002A5F70">
              <w:rPr>
                <w:rFonts w:ascii="Arial" w:hAnsi="Arial" w:cs="Arial"/>
                <w:sz w:val="20"/>
                <w:szCs w:val="20"/>
              </w:rPr>
              <w:t>0</w:t>
            </w:r>
          </w:p>
        </w:tc>
      </w:tr>
      <w:tr w:rsidR="002A5F70" w:rsidRPr="00906AFB" w:rsidTr="002A5F70">
        <w:trPr>
          <w:trHeight w:val="255"/>
        </w:trPr>
        <w:tc>
          <w:tcPr>
            <w:tcW w:w="697" w:type="dxa"/>
            <w:tcBorders>
              <w:top w:val="single" w:sz="4" w:space="0" w:color="auto"/>
              <w:left w:val="single" w:sz="4" w:space="0" w:color="auto"/>
              <w:bottom w:val="single" w:sz="4" w:space="0" w:color="auto"/>
              <w:right w:val="single" w:sz="4" w:space="0" w:color="auto"/>
            </w:tcBorders>
            <w:noWrap/>
            <w:vAlign w:val="center"/>
            <w:hideMark/>
          </w:tcPr>
          <w:p w:rsidR="002A5F70" w:rsidRPr="00906AFB" w:rsidRDefault="002A5F70" w:rsidP="002A5F70">
            <w:pPr>
              <w:jc w:val="center"/>
              <w:rPr>
                <w:rFonts w:ascii="Arial" w:hAnsi="Arial" w:cs="Arial"/>
                <w:b/>
                <w:sz w:val="18"/>
                <w:szCs w:val="18"/>
              </w:rPr>
            </w:pPr>
            <w:r w:rsidRPr="00906AFB">
              <w:rPr>
                <w:rFonts w:ascii="Arial" w:hAnsi="Arial" w:cs="Arial"/>
                <w:b/>
                <w:sz w:val="18"/>
                <w:szCs w:val="18"/>
              </w:rPr>
              <w:t>F</w:t>
            </w:r>
          </w:p>
        </w:tc>
        <w:tc>
          <w:tcPr>
            <w:tcW w:w="6256" w:type="dxa"/>
            <w:tcBorders>
              <w:top w:val="single" w:sz="4" w:space="0" w:color="auto"/>
              <w:left w:val="single" w:sz="4" w:space="0" w:color="auto"/>
              <w:bottom w:val="single" w:sz="4" w:space="0" w:color="auto"/>
              <w:right w:val="single" w:sz="4" w:space="0" w:color="auto"/>
            </w:tcBorders>
            <w:noWrap/>
            <w:vAlign w:val="center"/>
            <w:hideMark/>
          </w:tcPr>
          <w:p w:rsidR="002A5F70" w:rsidRPr="00906AFB" w:rsidRDefault="002A5F70" w:rsidP="002A5F70">
            <w:pPr>
              <w:rPr>
                <w:rFonts w:ascii="Arial" w:hAnsi="Arial" w:cs="Arial"/>
                <w:sz w:val="18"/>
                <w:szCs w:val="18"/>
              </w:rPr>
            </w:pPr>
            <w:r w:rsidRPr="00906AFB">
              <w:rPr>
                <w:rFonts w:ascii="Arial" w:hAnsi="Arial" w:cs="Arial"/>
                <w:sz w:val="18"/>
                <w:szCs w:val="18"/>
              </w:rPr>
              <w:t>Desarrollo de los Jóvenes - Educación</w:t>
            </w:r>
          </w:p>
        </w:tc>
        <w:tc>
          <w:tcPr>
            <w:tcW w:w="1607" w:type="dxa"/>
            <w:tcBorders>
              <w:top w:val="single" w:sz="4" w:space="0" w:color="auto"/>
              <w:left w:val="single" w:sz="4" w:space="0" w:color="auto"/>
              <w:bottom w:val="single" w:sz="4" w:space="0" w:color="auto"/>
              <w:right w:val="single" w:sz="4" w:space="0" w:color="auto"/>
            </w:tcBorders>
            <w:noWrap/>
            <w:vAlign w:val="center"/>
          </w:tcPr>
          <w:p w:rsidR="002A5F70" w:rsidRPr="002A5F70" w:rsidRDefault="002A5F70" w:rsidP="002A5F70">
            <w:pPr>
              <w:jc w:val="right"/>
              <w:rPr>
                <w:rFonts w:ascii="Arial" w:hAnsi="Arial" w:cs="Arial"/>
                <w:sz w:val="20"/>
                <w:szCs w:val="20"/>
              </w:rPr>
            </w:pPr>
            <w:r w:rsidRPr="002A5F70">
              <w:rPr>
                <w:rFonts w:ascii="Arial" w:hAnsi="Arial" w:cs="Arial"/>
                <w:sz w:val="20"/>
                <w:szCs w:val="20"/>
              </w:rPr>
              <w:t>5,796,140,563</w:t>
            </w:r>
          </w:p>
        </w:tc>
      </w:tr>
      <w:tr w:rsidR="002A5F70" w:rsidRPr="00906AFB" w:rsidTr="002A5F70">
        <w:trPr>
          <w:trHeight w:val="255"/>
        </w:trPr>
        <w:tc>
          <w:tcPr>
            <w:tcW w:w="697" w:type="dxa"/>
            <w:tcBorders>
              <w:top w:val="single" w:sz="4" w:space="0" w:color="auto"/>
              <w:left w:val="single" w:sz="4" w:space="0" w:color="auto"/>
              <w:bottom w:val="single" w:sz="4" w:space="0" w:color="auto"/>
              <w:right w:val="single" w:sz="4" w:space="0" w:color="auto"/>
            </w:tcBorders>
            <w:noWrap/>
            <w:vAlign w:val="center"/>
            <w:hideMark/>
          </w:tcPr>
          <w:p w:rsidR="002A5F70" w:rsidRPr="00906AFB" w:rsidRDefault="002A5F70" w:rsidP="002A5F70">
            <w:pPr>
              <w:jc w:val="center"/>
              <w:rPr>
                <w:rFonts w:ascii="Arial" w:hAnsi="Arial" w:cs="Arial"/>
                <w:b/>
                <w:sz w:val="18"/>
                <w:szCs w:val="18"/>
              </w:rPr>
            </w:pPr>
            <w:r w:rsidRPr="00906AFB">
              <w:rPr>
                <w:rFonts w:ascii="Arial" w:hAnsi="Arial" w:cs="Arial"/>
                <w:b/>
                <w:sz w:val="18"/>
                <w:szCs w:val="18"/>
              </w:rPr>
              <w:t>G</w:t>
            </w:r>
          </w:p>
        </w:tc>
        <w:tc>
          <w:tcPr>
            <w:tcW w:w="6256" w:type="dxa"/>
            <w:tcBorders>
              <w:top w:val="single" w:sz="4" w:space="0" w:color="auto"/>
              <w:left w:val="single" w:sz="4" w:space="0" w:color="auto"/>
              <w:bottom w:val="single" w:sz="4" w:space="0" w:color="auto"/>
              <w:right w:val="single" w:sz="4" w:space="0" w:color="auto"/>
            </w:tcBorders>
            <w:noWrap/>
            <w:vAlign w:val="center"/>
            <w:hideMark/>
          </w:tcPr>
          <w:p w:rsidR="002A5F70" w:rsidRPr="00906AFB" w:rsidRDefault="002A5F70" w:rsidP="002A5F70">
            <w:pPr>
              <w:rPr>
                <w:rFonts w:ascii="Arial" w:hAnsi="Arial" w:cs="Arial"/>
                <w:sz w:val="18"/>
                <w:szCs w:val="18"/>
              </w:rPr>
            </w:pPr>
            <w:r w:rsidRPr="00906AFB">
              <w:rPr>
                <w:rFonts w:ascii="Arial" w:hAnsi="Arial" w:cs="Arial"/>
                <w:sz w:val="18"/>
                <w:szCs w:val="18"/>
              </w:rPr>
              <w:t>Atención a Grupos en situación de Vulnerabilidad - Personas con Discapacidad</w:t>
            </w:r>
          </w:p>
        </w:tc>
        <w:tc>
          <w:tcPr>
            <w:tcW w:w="1607" w:type="dxa"/>
            <w:tcBorders>
              <w:top w:val="single" w:sz="4" w:space="0" w:color="auto"/>
              <w:left w:val="single" w:sz="4" w:space="0" w:color="auto"/>
              <w:bottom w:val="single" w:sz="4" w:space="0" w:color="auto"/>
              <w:right w:val="single" w:sz="4" w:space="0" w:color="auto"/>
            </w:tcBorders>
            <w:noWrap/>
            <w:vAlign w:val="center"/>
          </w:tcPr>
          <w:p w:rsidR="002A5F70" w:rsidRPr="002A5F70" w:rsidRDefault="002A5F70" w:rsidP="002A5F70">
            <w:pPr>
              <w:jc w:val="right"/>
              <w:rPr>
                <w:rFonts w:ascii="Arial" w:hAnsi="Arial" w:cs="Arial"/>
                <w:sz w:val="20"/>
                <w:szCs w:val="20"/>
              </w:rPr>
            </w:pPr>
            <w:r w:rsidRPr="002A5F70">
              <w:rPr>
                <w:rFonts w:ascii="Arial" w:hAnsi="Arial" w:cs="Arial"/>
                <w:sz w:val="20"/>
                <w:szCs w:val="20"/>
              </w:rPr>
              <w:t>2,572,053</w:t>
            </w:r>
          </w:p>
        </w:tc>
      </w:tr>
      <w:tr w:rsidR="002A5F70" w:rsidRPr="00906AFB" w:rsidTr="002A5F70">
        <w:trPr>
          <w:trHeight w:val="255"/>
        </w:trPr>
        <w:tc>
          <w:tcPr>
            <w:tcW w:w="697" w:type="dxa"/>
            <w:tcBorders>
              <w:top w:val="single" w:sz="4" w:space="0" w:color="auto"/>
              <w:left w:val="single" w:sz="4" w:space="0" w:color="auto"/>
              <w:bottom w:val="single" w:sz="4" w:space="0" w:color="auto"/>
              <w:right w:val="single" w:sz="4" w:space="0" w:color="auto"/>
            </w:tcBorders>
            <w:noWrap/>
            <w:vAlign w:val="center"/>
            <w:hideMark/>
          </w:tcPr>
          <w:p w:rsidR="002A5F70" w:rsidRPr="00906AFB" w:rsidRDefault="002A5F70" w:rsidP="002A5F70">
            <w:pPr>
              <w:jc w:val="center"/>
              <w:rPr>
                <w:rFonts w:ascii="Arial" w:hAnsi="Arial" w:cs="Arial"/>
                <w:b/>
                <w:sz w:val="18"/>
                <w:szCs w:val="18"/>
              </w:rPr>
            </w:pPr>
            <w:r w:rsidRPr="00906AFB">
              <w:rPr>
                <w:rFonts w:ascii="Arial" w:hAnsi="Arial" w:cs="Arial"/>
                <w:b/>
                <w:sz w:val="18"/>
                <w:szCs w:val="18"/>
              </w:rPr>
              <w:t>H</w:t>
            </w:r>
          </w:p>
        </w:tc>
        <w:tc>
          <w:tcPr>
            <w:tcW w:w="6256" w:type="dxa"/>
            <w:tcBorders>
              <w:top w:val="single" w:sz="4" w:space="0" w:color="auto"/>
              <w:left w:val="single" w:sz="4" w:space="0" w:color="auto"/>
              <w:bottom w:val="single" w:sz="4" w:space="0" w:color="auto"/>
              <w:right w:val="single" w:sz="4" w:space="0" w:color="auto"/>
            </w:tcBorders>
            <w:noWrap/>
            <w:vAlign w:val="center"/>
            <w:hideMark/>
          </w:tcPr>
          <w:p w:rsidR="002A5F70" w:rsidRPr="00906AFB" w:rsidRDefault="002A5F70" w:rsidP="002A5F70">
            <w:pPr>
              <w:rPr>
                <w:rFonts w:ascii="Arial" w:hAnsi="Arial" w:cs="Arial"/>
                <w:sz w:val="18"/>
                <w:szCs w:val="18"/>
              </w:rPr>
            </w:pPr>
            <w:r w:rsidRPr="00906AFB">
              <w:rPr>
                <w:rFonts w:ascii="Arial" w:hAnsi="Arial" w:cs="Arial"/>
                <w:sz w:val="18"/>
                <w:szCs w:val="18"/>
              </w:rPr>
              <w:t>Atención a Grupos en situación de Vulnerabilidad - Adultos mayores</w:t>
            </w:r>
          </w:p>
        </w:tc>
        <w:tc>
          <w:tcPr>
            <w:tcW w:w="1607" w:type="dxa"/>
            <w:tcBorders>
              <w:top w:val="single" w:sz="4" w:space="0" w:color="auto"/>
              <w:left w:val="single" w:sz="4" w:space="0" w:color="auto"/>
              <w:bottom w:val="single" w:sz="4" w:space="0" w:color="auto"/>
              <w:right w:val="single" w:sz="4" w:space="0" w:color="auto"/>
            </w:tcBorders>
            <w:noWrap/>
            <w:vAlign w:val="center"/>
          </w:tcPr>
          <w:p w:rsidR="002A5F70" w:rsidRPr="002A5F70" w:rsidRDefault="002A5F70" w:rsidP="002A5F70">
            <w:pPr>
              <w:jc w:val="right"/>
              <w:rPr>
                <w:rFonts w:ascii="Arial" w:hAnsi="Arial" w:cs="Arial"/>
                <w:sz w:val="20"/>
                <w:szCs w:val="20"/>
              </w:rPr>
            </w:pPr>
            <w:r w:rsidRPr="002A5F70">
              <w:rPr>
                <w:rFonts w:ascii="Arial" w:hAnsi="Arial" w:cs="Arial"/>
                <w:sz w:val="20"/>
                <w:szCs w:val="20"/>
              </w:rPr>
              <w:t>141,137,226</w:t>
            </w:r>
          </w:p>
        </w:tc>
      </w:tr>
      <w:tr w:rsidR="002A5F70" w:rsidRPr="00906AFB" w:rsidTr="002A5F70">
        <w:trPr>
          <w:trHeight w:val="255"/>
        </w:trPr>
        <w:tc>
          <w:tcPr>
            <w:tcW w:w="697" w:type="dxa"/>
            <w:tcBorders>
              <w:top w:val="single" w:sz="4" w:space="0" w:color="auto"/>
              <w:left w:val="single" w:sz="4" w:space="0" w:color="auto"/>
              <w:bottom w:val="single" w:sz="4" w:space="0" w:color="auto"/>
              <w:right w:val="single" w:sz="4" w:space="0" w:color="auto"/>
            </w:tcBorders>
            <w:noWrap/>
            <w:vAlign w:val="center"/>
            <w:hideMark/>
          </w:tcPr>
          <w:p w:rsidR="002A5F70" w:rsidRPr="00906AFB" w:rsidRDefault="002A5F70" w:rsidP="002A5F70">
            <w:pPr>
              <w:jc w:val="center"/>
              <w:rPr>
                <w:rFonts w:ascii="Arial" w:hAnsi="Arial" w:cs="Arial"/>
                <w:b/>
                <w:sz w:val="18"/>
                <w:szCs w:val="18"/>
              </w:rPr>
            </w:pPr>
            <w:r w:rsidRPr="00906AFB">
              <w:rPr>
                <w:rFonts w:ascii="Arial" w:hAnsi="Arial" w:cs="Arial"/>
                <w:b/>
                <w:sz w:val="18"/>
                <w:szCs w:val="18"/>
              </w:rPr>
              <w:t>I</w:t>
            </w:r>
          </w:p>
        </w:tc>
        <w:tc>
          <w:tcPr>
            <w:tcW w:w="6256" w:type="dxa"/>
            <w:tcBorders>
              <w:top w:val="single" w:sz="4" w:space="0" w:color="auto"/>
              <w:left w:val="single" w:sz="4" w:space="0" w:color="auto"/>
              <w:bottom w:val="single" w:sz="4" w:space="0" w:color="auto"/>
              <w:right w:val="single" w:sz="4" w:space="0" w:color="auto"/>
            </w:tcBorders>
            <w:noWrap/>
            <w:vAlign w:val="center"/>
            <w:hideMark/>
          </w:tcPr>
          <w:p w:rsidR="002A5F70" w:rsidRPr="00906AFB" w:rsidRDefault="002A5F70" w:rsidP="002A5F70">
            <w:pPr>
              <w:rPr>
                <w:rFonts w:ascii="Arial" w:hAnsi="Arial" w:cs="Arial"/>
                <w:sz w:val="18"/>
                <w:szCs w:val="18"/>
              </w:rPr>
            </w:pPr>
            <w:r w:rsidRPr="00906AFB">
              <w:rPr>
                <w:rFonts w:ascii="Arial" w:hAnsi="Arial" w:cs="Arial"/>
                <w:sz w:val="18"/>
                <w:szCs w:val="18"/>
              </w:rPr>
              <w:t>Atención a Grupos en situación de Vulnerabilidad - Jornaleros Agrícolas</w:t>
            </w:r>
          </w:p>
        </w:tc>
        <w:tc>
          <w:tcPr>
            <w:tcW w:w="1607" w:type="dxa"/>
            <w:tcBorders>
              <w:top w:val="single" w:sz="4" w:space="0" w:color="auto"/>
              <w:left w:val="single" w:sz="4" w:space="0" w:color="auto"/>
              <w:bottom w:val="single" w:sz="4" w:space="0" w:color="auto"/>
              <w:right w:val="single" w:sz="4" w:space="0" w:color="auto"/>
            </w:tcBorders>
            <w:noWrap/>
            <w:vAlign w:val="center"/>
          </w:tcPr>
          <w:p w:rsidR="002A5F70" w:rsidRPr="002A5F70" w:rsidRDefault="002A5F70" w:rsidP="002A5F70">
            <w:pPr>
              <w:jc w:val="right"/>
              <w:rPr>
                <w:rFonts w:ascii="Arial" w:hAnsi="Arial" w:cs="Arial"/>
                <w:sz w:val="20"/>
                <w:szCs w:val="20"/>
              </w:rPr>
            </w:pPr>
            <w:r w:rsidRPr="002A5F70">
              <w:rPr>
                <w:rFonts w:ascii="Arial" w:hAnsi="Arial" w:cs="Arial"/>
                <w:sz w:val="20"/>
                <w:szCs w:val="20"/>
              </w:rPr>
              <w:t>0</w:t>
            </w:r>
          </w:p>
        </w:tc>
      </w:tr>
      <w:tr w:rsidR="002A5F70" w:rsidRPr="00906AFB" w:rsidTr="002A5F70">
        <w:trPr>
          <w:trHeight w:val="255"/>
        </w:trPr>
        <w:tc>
          <w:tcPr>
            <w:tcW w:w="697" w:type="dxa"/>
            <w:tcBorders>
              <w:top w:val="single" w:sz="4" w:space="0" w:color="auto"/>
              <w:left w:val="single" w:sz="4" w:space="0" w:color="auto"/>
              <w:bottom w:val="single" w:sz="4" w:space="0" w:color="auto"/>
              <w:right w:val="single" w:sz="4" w:space="0" w:color="auto"/>
            </w:tcBorders>
            <w:noWrap/>
            <w:vAlign w:val="center"/>
            <w:hideMark/>
          </w:tcPr>
          <w:p w:rsidR="002A5F70" w:rsidRPr="00906AFB" w:rsidRDefault="002A5F70" w:rsidP="002A5F70">
            <w:pPr>
              <w:jc w:val="center"/>
              <w:rPr>
                <w:rFonts w:ascii="Arial" w:hAnsi="Arial" w:cs="Arial"/>
                <w:b/>
                <w:sz w:val="18"/>
                <w:szCs w:val="18"/>
              </w:rPr>
            </w:pPr>
            <w:r w:rsidRPr="00906AFB">
              <w:rPr>
                <w:rFonts w:ascii="Arial" w:hAnsi="Arial" w:cs="Arial"/>
                <w:b/>
                <w:sz w:val="18"/>
                <w:szCs w:val="18"/>
              </w:rPr>
              <w:t>J</w:t>
            </w:r>
          </w:p>
        </w:tc>
        <w:tc>
          <w:tcPr>
            <w:tcW w:w="6256" w:type="dxa"/>
            <w:tcBorders>
              <w:top w:val="single" w:sz="4" w:space="0" w:color="auto"/>
              <w:left w:val="single" w:sz="4" w:space="0" w:color="auto"/>
              <w:bottom w:val="single" w:sz="4" w:space="0" w:color="auto"/>
              <w:right w:val="single" w:sz="4" w:space="0" w:color="auto"/>
            </w:tcBorders>
            <w:noWrap/>
            <w:vAlign w:val="center"/>
            <w:hideMark/>
          </w:tcPr>
          <w:p w:rsidR="002A5F70" w:rsidRPr="00906AFB" w:rsidRDefault="002A5F70" w:rsidP="002A5F70">
            <w:pPr>
              <w:rPr>
                <w:rFonts w:ascii="Arial" w:hAnsi="Arial" w:cs="Arial"/>
                <w:sz w:val="18"/>
                <w:szCs w:val="18"/>
              </w:rPr>
            </w:pPr>
            <w:r w:rsidRPr="00906AFB">
              <w:rPr>
                <w:rFonts w:ascii="Arial" w:hAnsi="Arial" w:cs="Arial"/>
                <w:sz w:val="18"/>
                <w:szCs w:val="18"/>
              </w:rPr>
              <w:t>Atención a Grupos en situación de Vulnerabilidad - Indígenas</w:t>
            </w:r>
          </w:p>
        </w:tc>
        <w:tc>
          <w:tcPr>
            <w:tcW w:w="1607" w:type="dxa"/>
            <w:tcBorders>
              <w:top w:val="single" w:sz="4" w:space="0" w:color="auto"/>
              <w:left w:val="single" w:sz="4" w:space="0" w:color="auto"/>
              <w:bottom w:val="single" w:sz="4" w:space="0" w:color="auto"/>
              <w:right w:val="single" w:sz="4" w:space="0" w:color="auto"/>
            </w:tcBorders>
            <w:noWrap/>
            <w:vAlign w:val="center"/>
          </w:tcPr>
          <w:p w:rsidR="002A5F70" w:rsidRPr="002A5F70" w:rsidRDefault="002A5F70" w:rsidP="002A5F70">
            <w:pPr>
              <w:jc w:val="right"/>
              <w:rPr>
                <w:rFonts w:ascii="Arial" w:hAnsi="Arial" w:cs="Arial"/>
                <w:sz w:val="20"/>
                <w:szCs w:val="20"/>
              </w:rPr>
            </w:pPr>
            <w:r w:rsidRPr="002A5F70">
              <w:rPr>
                <w:rFonts w:ascii="Arial" w:hAnsi="Arial" w:cs="Arial"/>
                <w:sz w:val="20"/>
                <w:szCs w:val="20"/>
              </w:rPr>
              <w:t>248,878,433</w:t>
            </w:r>
          </w:p>
        </w:tc>
      </w:tr>
      <w:tr w:rsidR="002A5F70" w:rsidRPr="00906AFB" w:rsidTr="002A5F70">
        <w:trPr>
          <w:trHeight w:val="255"/>
        </w:trPr>
        <w:tc>
          <w:tcPr>
            <w:tcW w:w="697" w:type="dxa"/>
            <w:tcBorders>
              <w:top w:val="single" w:sz="4" w:space="0" w:color="auto"/>
              <w:left w:val="single" w:sz="4" w:space="0" w:color="auto"/>
              <w:bottom w:val="single" w:sz="4" w:space="0" w:color="auto"/>
              <w:right w:val="single" w:sz="4" w:space="0" w:color="auto"/>
            </w:tcBorders>
            <w:noWrap/>
            <w:vAlign w:val="center"/>
            <w:hideMark/>
          </w:tcPr>
          <w:p w:rsidR="002A5F70" w:rsidRPr="00906AFB" w:rsidRDefault="002A5F70" w:rsidP="002A5F70">
            <w:pPr>
              <w:jc w:val="center"/>
              <w:rPr>
                <w:rFonts w:ascii="Arial" w:hAnsi="Arial" w:cs="Arial"/>
                <w:b/>
                <w:sz w:val="18"/>
                <w:szCs w:val="18"/>
              </w:rPr>
            </w:pPr>
            <w:r w:rsidRPr="00906AFB">
              <w:rPr>
                <w:rFonts w:ascii="Arial" w:hAnsi="Arial" w:cs="Arial"/>
                <w:b/>
                <w:sz w:val="18"/>
                <w:szCs w:val="18"/>
              </w:rPr>
              <w:t>K</w:t>
            </w:r>
          </w:p>
        </w:tc>
        <w:tc>
          <w:tcPr>
            <w:tcW w:w="6256" w:type="dxa"/>
            <w:tcBorders>
              <w:top w:val="single" w:sz="4" w:space="0" w:color="auto"/>
              <w:left w:val="single" w:sz="4" w:space="0" w:color="auto"/>
              <w:bottom w:val="single" w:sz="4" w:space="0" w:color="auto"/>
              <w:right w:val="single" w:sz="4" w:space="0" w:color="auto"/>
            </w:tcBorders>
            <w:noWrap/>
            <w:vAlign w:val="center"/>
            <w:hideMark/>
          </w:tcPr>
          <w:p w:rsidR="002A5F70" w:rsidRPr="00906AFB" w:rsidRDefault="002A5F70" w:rsidP="002A5F70">
            <w:pPr>
              <w:rPr>
                <w:rFonts w:ascii="Arial" w:hAnsi="Arial" w:cs="Arial"/>
                <w:sz w:val="18"/>
                <w:szCs w:val="18"/>
              </w:rPr>
            </w:pPr>
            <w:r w:rsidRPr="00906AFB">
              <w:rPr>
                <w:rFonts w:ascii="Arial" w:hAnsi="Arial" w:cs="Arial"/>
                <w:sz w:val="18"/>
                <w:szCs w:val="18"/>
              </w:rPr>
              <w:t>Atención a Grupos en situación de Vulnerabilidad - LGBTTTI</w:t>
            </w:r>
          </w:p>
        </w:tc>
        <w:tc>
          <w:tcPr>
            <w:tcW w:w="1607" w:type="dxa"/>
            <w:tcBorders>
              <w:top w:val="single" w:sz="4" w:space="0" w:color="auto"/>
              <w:left w:val="single" w:sz="4" w:space="0" w:color="auto"/>
              <w:bottom w:val="single" w:sz="4" w:space="0" w:color="auto"/>
              <w:right w:val="single" w:sz="4" w:space="0" w:color="auto"/>
            </w:tcBorders>
            <w:noWrap/>
            <w:vAlign w:val="center"/>
          </w:tcPr>
          <w:p w:rsidR="002A5F70" w:rsidRPr="002A5F70" w:rsidRDefault="002A5F70" w:rsidP="002A5F70">
            <w:pPr>
              <w:jc w:val="right"/>
              <w:rPr>
                <w:rFonts w:ascii="Arial" w:hAnsi="Arial" w:cs="Arial"/>
                <w:sz w:val="20"/>
                <w:szCs w:val="20"/>
              </w:rPr>
            </w:pPr>
            <w:r w:rsidRPr="002A5F70">
              <w:rPr>
                <w:rFonts w:ascii="Arial" w:hAnsi="Arial" w:cs="Arial"/>
                <w:sz w:val="20"/>
                <w:szCs w:val="20"/>
              </w:rPr>
              <w:t>864,675</w:t>
            </w:r>
          </w:p>
        </w:tc>
      </w:tr>
      <w:tr w:rsidR="002A5F70" w:rsidRPr="00906AFB" w:rsidTr="002A5F70">
        <w:trPr>
          <w:trHeight w:val="255"/>
        </w:trPr>
        <w:tc>
          <w:tcPr>
            <w:tcW w:w="697" w:type="dxa"/>
            <w:tcBorders>
              <w:top w:val="single" w:sz="4" w:space="0" w:color="auto"/>
              <w:left w:val="single" w:sz="4" w:space="0" w:color="auto"/>
              <w:bottom w:val="single" w:sz="4" w:space="0" w:color="auto"/>
              <w:right w:val="single" w:sz="4" w:space="0" w:color="auto"/>
            </w:tcBorders>
            <w:noWrap/>
            <w:vAlign w:val="center"/>
            <w:hideMark/>
          </w:tcPr>
          <w:p w:rsidR="002A5F70" w:rsidRPr="00906AFB" w:rsidRDefault="002A5F70" w:rsidP="002A5F70">
            <w:pPr>
              <w:jc w:val="center"/>
              <w:rPr>
                <w:rFonts w:ascii="Arial" w:hAnsi="Arial" w:cs="Arial"/>
                <w:b/>
                <w:sz w:val="18"/>
                <w:szCs w:val="18"/>
              </w:rPr>
            </w:pPr>
            <w:r w:rsidRPr="00906AFB">
              <w:rPr>
                <w:rFonts w:ascii="Arial" w:hAnsi="Arial" w:cs="Arial"/>
                <w:b/>
                <w:sz w:val="18"/>
                <w:szCs w:val="18"/>
              </w:rPr>
              <w:t>L</w:t>
            </w:r>
          </w:p>
        </w:tc>
        <w:tc>
          <w:tcPr>
            <w:tcW w:w="6256" w:type="dxa"/>
            <w:tcBorders>
              <w:top w:val="single" w:sz="4" w:space="0" w:color="auto"/>
              <w:left w:val="single" w:sz="4" w:space="0" w:color="auto"/>
              <w:bottom w:val="single" w:sz="4" w:space="0" w:color="auto"/>
              <w:right w:val="single" w:sz="4" w:space="0" w:color="auto"/>
            </w:tcBorders>
            <w:noWrap/>
            <w:vAlign w:val="center"/>
            <w:hideMark/>
          </w:tcPr>
          <w:p w:rsidR="002A5F70" w:rsidRPr="00906AFB" w:rsidRDefault="002A5F70" w:rsidP="002A5F70">
            <w:pPr>
              <w:rPr>
                <w:rFonts w:ascii="Arial" w:hAnsi="Arial" w:cs="Arial"/>
                <w:sz w:val="18"/>
                <w:szCs w:val="18"/>
              </w:rPr>
            </w:pPr>
            <w:r w:rsidRPr="00906AFB">
              <w:rPr>
                <w:rFonts w:ascii="Arial" w:hAnsi="Arial" w:cs="Arial"/>
                <w:sz w:val="18"/>
                <w:szCs w:val="18"/>
              </w:rPr>
              <w:t>Mitigación de los efectos del cambio climático - Manejo sustentable de los recursos</w:t>
            </w:r>
          </w:p>
        </w:tc>
        <w:tc>
          <w:tcPr>
            <w:tcW w:w="1607" w:type="dxa"/>
            <w:tcBorders>
              <w:top w:val="single" w:sz="4" w:space="0" w:color="auto"/>
              <w:left w:val="single" w:sz="4" w:space="0" w:color="auto"/>
              <w:bottom w:val="single" w:sz="4" w:space="0" w:color="auto"/>
              <w:right w:val="single" w:sz="4" w:space="0" w:color="auto"/>
            </w:tcBorders>
            <w:noWrap/>
            <w:vAlign w:val="center"/>
          </w:tcPr>
          <w:p w:rsidR="002A5F70" w:rsidRPr="002A5F70" w:rsidRDefault="002A5F70" w:rsidP="002A5F70">
            <w:pPr>
              <w:jc w:val="right"/>
              <w:rPr>
                <w:rFonts w:ascii="Arial" w:hAnsi="Arial" w:cs="Arial"/>
                <w:sz w:val="20"/>
                <w:szCs w:val="20"/>
              </w:rPr>
            </w:pPr>
            <w:r w:rsidRPr="002A5F70">
              <w:rPr>
                <w:rFonts w:ascii="Arial" w:hAnsi="Arial" w:cs="Arial"/>
                <w:sz w:val="20"/>
                <w:szCs w:val="20"/>
              </w:rPr>
              <w:t>625,623,035</w:t>
            </w:r>
          </w:p>
        </w:tc>
      </w:tr>
      <w:tr w:rsidR="002A5F70" w:rsidRPr="00906AFB" w:rsidTr="002A5F70">
        <w:trPr>
          <w:trHeight w:val="255"/>
        </w:trPr>
        <w:tc>
          <w:tcPr>
            <w:tcW w:w="697" w:type="dxa"/>
            <w:tcBorders>
              <w:top w:val="single" w:sz="4" w:space="0" w:color="auto"/>
              <w:left w:val="single" w:sz="4" w:space="0" w:color="auto"/>
              <w:bottom w:val="single" w:sz="4" w:space="0" w:color="auto"/>
              <w:right w:val="single" w:sz="4" w:space="0" w:color="auto"/>
            </w:tcBorders>
            <w:noWrap/>
            <w:vAlign w:val="center"/>
            <w:hideMark/>
          </w:tcPr>
          <w:p w:rsidR="002A5F70" w:rsidRPr="00906AFB" w:rsidRDefault="002A5F70" w:rsidP="002A5F70">
            <w:pPr>
              <w:jc w:val="center"/>
              <w:rPr>
                <w:rFonts w:ascii="Arial" w:hAnsi="Arial" w:cs="Arial"/>
                <w:b/>
                <w:sz w:val="18"/>
                <w:szCs w:val="18"/>
              </w:rPr>
            </w:pPr>
            <w:r w:rsidRPr="00906AFB">
              <w:rPr>
                <w:rFonts w:ascii="Arial" w:hAnsi="Arial" w:cs="Arial"/>
                <w:b/>
                <w:sz w:val="18"/>
                <w:szCs w:val="18"/>
              </w:rPr>
              <w:t>M</w:t>
            </w:r>
          </w:p>
        </w:tc>
        <w:tc>
          <w:tcPr>
            <w:tcW w:w="6256" w:type="dxa"/>
            <w:tcBorders>
              <w:top w:val="single" w:sz="4" w:space="0" w:color="auto"/>
              <w:left w:val="single" w:sz="4" w:space="0" w:color="auto"/>
              <w:bottom w:val="single" w:sz="4" w:space="0" w:color="auto"/>
              <w:right w:val="single" w:sz="4" w:space="0" w:color="auto"/>
            </w:tcBorders>
            <w:noWrap/>
            <w:vAlign w:val="center"/>
            <w:hideMark/>
          </w:tcPr>
          <w:p w:rsidR="002A5F70" w:rsidRPr="00906AFB" w:rsidRDefault="002A5F70" w:rsidP="002A5F70">
            <w:pPr>
              <w:rPr>
                <w:rFonts w:ascii="Arial" w:hAnsi="Arial" w:cs="Arial"/>
                <w:sz w:val="18"/>
                <w:szCs w:val="18"/>
              </w:rPr>
            </w:pPr>
            <w:r w:rsidRPr="00906AFB">
              <w:rPr>
                <w:rFonts w:ascii="Arial" w:hAnsi="Arial" w:cs="Arial"/>
                <w:sz w:val="18"/>
                <w:szCs w:val="18"/>
              </w:rPr>
              <w:t>Mitigación de los efectos del cambio climático - Sistemas de movilidad sustentable</w:t>
            </w:r>
          </w:p>
        </w:tc>
        <w:tc>
          <w:tcPr>
            <w:tcW w:w="1607" w:type="dxa"/>
            <w:tcBorders>
              <w:top w:val="single" w:sz="4" w:space="0" w:color="auto"/>
              <w:left w:val="single" w:sz="4" w:space="0" w:color="auto"/>
              <w:bottom w:val="single" w:sz="4" w:space="0" w:color="auto"/>
              <w:right w:val="single" w:sz="4" w:space="0" w:color="auto"/>
            </w:tcBorders>
            <w:noWrap/>
            <w:vAlign w:val="center"/>
          </w:tcPr>
          <w:p w:rsidR="002A5F70" w:rsidRPr="002A5F70" w:rsidRDefault="002A5F70" w:rsidP="002A5F70">
            <w:pPr>
              <w:jc w:val="right"/>
              <w:rPr>
                <w:rFonts w:ascii="Arial" w:hAnsi="Arial" w:cs="Arial"/>
                <w:sz w:val="20"/>
                <w:szCs w:val="20"/>
              </w:rPr>
            </w:pPr>
            <w:r w:rsidRPr="002A5F70">
              <w:rPr>
                <w:rFonts w:ascii="Arial" w:hAnsi="Arial" w:cs="Arial"/>
                <w:sz w:val="20"/>
                <w:szCs w:val="20"/>
              </w:rPr>
              <w:t>16,907,700</w:t>
            </w:r>
          </w:p>
        </w:tc>
      </w:tr>
      <w:tr w:rsidR="002A5F70" w:rsidRPr="00906AFB" w:rsidTr="002A5F70">
        <w:trPr>
          <w:trHeight w:val="255"/>
        </w:trPr>
        <w:tc>
          <w:tcPr>
            <w:tcW w:w="697" w:type="dxa"/>
            <w:tcBorders>
              <w:top w:val="single" w:sz="4" w:space="0" w:color="auto"/>
              <w:left w:val="single" w:sz="4" w:space="0" w:color="auto"/>
              <w:bottom w:val="single" w:sz="4" w:space="0" w:color="auto"/>
              <w:right w:val="single" w:sz="4" w:space="0" w:color="auto"/>
            </w:tcBorders>
            <w:noWrap/>
            <w:vAlign w:val="center"/>
            <w:hideMark/>
          </w:tcPr>
          <w:p w:rsidR="002A5F70" w:rsidRPr="00906AFB" w:rsidRDefault="002A5F70" w:rsidP="002A5F70">
            <w:pPr>
              <w:jc w:val="center"/>
              <w:rPr>
                <w:rFonts w:ascii="Arial" w:hAnsi="Arial" w:cs="Arial"/>
                <w:b/>
                <w:sz w:val="18"/>
                <w:szCs w:val="18"/>
              </w:rPr>
            </w:pPr>
            <w:r w:rsidRPr="00906AFB">
              <w:rPr>
                <w:rFonts w:ascii="Arial" w:hAnsi="Arial" w:cs="Arial"/>
                <w:b/>
                <w:sz w:val="18"/>
                <w:szCs w:val="18"/>
              </w:rPr>
              <w:t>N</w:t>
            </w:r>
          </w:p>
        </w:tc>
        <w:tc>
          <w:tcPr>
            <w:tcW w:w="6256" w:type="dxa"/>
            <w:tcBorders>
              <w:top w:val="single" w:sz="4" w:space="0" w:color="auto"/>
              <w:left w:val="single" w:sz="4" w:space="0" w:color="auto"/>
              <w:bottom w:val="single" w:sz="4" w:space="0" w:color="auto"/>
              <w:right w:val="single" w:sz="4" w:space="0" w:color="auto"/>
            </w:tcBorders>
            <w:noWrap/>
            <w:vAlign w:val="center"/>
            <w:hideMark/>
          </w:tcPr>
          <w:p w:rsidR="002A5F70" w:rsidRPr="00906AFB" w:rsidRDefault="002A5F70" w:rsidP="002A5F70">
            <w:pPr>
              <w:rPr>
                <w:rFonts w:ascii="Arial" w:hAnsi="Arial" w:cs="Arial"/>
                <w:sz w:val="18"/>
                <w:szCs w:val="18"/>
              </w:rPr>
            </w:pPr>
            <w:r w:rsidRPr="00906AFB">
              <w:rPr>
                <w:rFonts w:ascii="Arial" w:hAnsi="Arial" w:cs="Arial"/>
                <w:sz w:val="18"/>
                <w:szCs w:val="18"/>
              </w:rPr>
              <w:t>Mitigación de los efectos del cambio climático - Educación ambiental</w:t>
            </w:r>
          </w:p>
        </w:tc>
        <w:tc>
          <w:tcPr>
            <w:tcW w:w="1607" w:type="dxa"/>
            <w:tcBorders>
              <w:top w:val="single" w:sz="4" w:space="0" w:color="auto"/>
              <w:left w:val="single" w:sz="4" w:space="0" w:color="auto"/>
              <w:bottom w:val="single" w:sz="4" w:space="0" w:color="auto"/>
              <w:right w:val="single" w:sz="4" w:space="0" w:color="auto"/>
            </w:tcBorders>
            <w:noWrap/>
            <w:vAlign w:val="center"/>
          </w:tcPr>
          <w:p w:rsidR="002A5F70" w:rsidRPr="002A5F70" w:rsidRDefault="002A5F70" w:rsidP="002A5F70">
            <w:pPr>
              <w:jc w:val="right"/>
              <w:rPr>
                <w:rFonts w:ascii="Arial" w:hAnsi="Arial" w:cs="Arial"/>
                <w:sz w:val="20"/>
                <w:szCs w:val="20"/>
              </w:rPr>
            </w:pPr>
            <w:r w:rsidRPr="002A5F70">
              <w:rPr>
                <w:rFonts w:ascii="Arial" w:hAnsi="Arial" w:cs="Arial"/>
                <w:sz w:val="20"/>
                <w:szCs w:val="20"/>
              </w:rPr>
              <w:t>16,107,000</w:t>
            </w:r>
          </w:p>
        </w:tc>
      </w:tr>
      <w:tr w:rsidR="002A5F70" w:rsidRPr="00906AFB" w:rsidTr="002A5F70">
        <w:trPr>
          <w:trHeight w:val="255"/>
        </w:trPr>
        <w:tc>
          <w:tcPr>
            <w:tcW w:w="697" w:type="dxa"/>
            <w:tcBorders>
              <w:top w:val="single" w:sz="4" w:space="0" w:color="auto"/>
              <w:left w:val="single" w:sz="4" w:space="0" w:color="auto"/>
              <w:bottom w:val="single" w:sz="4" w:space="0" w:color="auto"/>
              <w:right w:val="single" w:sz="4" w:space="0" w:color="auto"/>
            </w:tcBorders>
            <w:noWrap/>
            <w:vAlign w:val="center"/>
            <w:hideMark/>
          </w:tcPr>
          <w:p w:rsidR="002A5F70" w:rsidRPr="00906AFB" w:rsidRDefault="002A5F70" w:rsidP="002A5F70">
            <w:pPr>
              <w:jc w:val="center"/>
              <w:rPr>
                <w:rFonts w:ascii="Arial" w:hAnsi="Arial" w:cs="Arial"/>
                <w:b/>
                <w:sz w:val="18"/>
                <w:szCs w:val="18"/>
              </w:rPr>
            </w:pPr>
            <w:r w:rsidRPr="00906AFB">
              <w:rPr>
                <w:rFonts w:ascii="Arial" w:hAnsi="Arial" w:cs="Arial"/>
                <w:b/>
                <w:sz w:val="18"/>
                <w:szCs w:val="18"/>
              </w:rPr>
              <w:t>O</w:t>
            </w:r>
          </w:p>
        </w:tc>
        <w:tc>
          <w:tcPr>
            <w:tcW w:w="6256" w:type="dxa"/>
            <w:tcBorders>
              <w:top w:val="single" w:sz="4" w:space="0" w:color="auto"/>
              <w:left w:val="single" w:sz="4" w:space="0" w:color="auto"/>
              <w:bottom w:val="single" w:sz="4" w:space="0" w:color="auto"/>
              <w:right w:val="single" w:sz="4" w:space="0" w:color="auto"/>
            </w:tcBorders>
            <w:noWrap/>
            <w:vAlign w:val="center"/>
            <w:hideMark/>
          </w:tcPr>
          <w:p w:rsidR="002A5F70" w:rsidRPr="00906AFB" w:rsidRDefault="002A5F70" w:rsidP="002A5F70">
            <w:pPr>
              <w:rPr>
                <w:rFonts w:ascii="Arial" w:hAnsi="Arial" w:cs="Arial"/>
                <w:sz w:val="18"/>
                <w:szCs w:val="18"/>
              </w:rPr>
            </w:pPr>
            <w:r w:rsidRPr="00906AFB">
              <w:rPr>
                <w:rFonts w:ascii="Arial" w:hAnsi="Arial" w:cs="Arial"/>
                <w:sz w:val="18"/>
                <w:szCs w:val="18"/>
              </w:rPr>
              <w:t>Atención a Niños, Niñas y Adolescentes - Derecho al Desarrollo</w:t>
            </w:r>
          </w:p>
        </w:tc>
        <w:tc>
          <w:tcPr>
            <w:tcW w:w="1607" w:type="dxa"/>
            <w:tcBorders>
              <w:top w:val="single" w:sz="4" w:space="0" w:color="auto"/>
              <w:left w:val="single" w:sz="4" w:space="0" w:color="auto"/>
              <w:bottom w:val="single" w:sz="4" w:space="0" w:color="auto"/>
              <w:right w:val="single" w:sz="4" w:space="0" w:color="auto"/>
            </w:tcBorders>
            <w:noWrap/>
            <w:vAlign w:val="center"/>
          </w:tcPr>
          <w:p w:rsidR="002A5F70" w:rsidRPr="002A5F70" w:rsidRDefault="002A5F70" w:rsidP="002A5F70">
            <w:pPr>
              <w:jc w:val="right"/>
              <w:rPr>
                <w:rFonts w:ascii="Arial" w:hAnsi="Arial" w:cs="Arial"/>
                <w:sz w:val="20"/>
                <w:szCs w:val="20"/>
              </w:rPr>
            </w:pPr>
            <w:r w:rsidRPr="002A5F70">
              <w:rPr>
                <w:rFonts w:ascii="Arial" w:hAnsi="Arial" w:cs="Arial"/>
                <w:sz w:val="20"/>
                <w:szCs w:val="20"/>
              </w:rPr>
              <w:t>191,294,961</w:t>
            </w:r>
          </w:p>
        </w:tc>
      </w:tr>
      <w:tr w:rsidR="002A5F70" w:rsidRPr="00906AFB" w:rsidTr="002A5F70">
        <w:trPr>
          <w:trHeight w:val="255"/>
        </w:trPr>
        <w:tc>
          <w:tcPr>
            <w:tcW w:w="697" w:type="dxa"/>
            <w:tcBorders>
              <w:top w:val="single" w:sz="4" w:space="0" w:color="auto"/>
              <w:left w:val="single" w:sz="4" w:space="0" w:color="auto"/>
              <w:bottom w:val="single" w:sz="4" w:space="0" w:color="auto"/>
              <w:right w:val="single" w:sz="4" w:space="0" w:color="auto"/>
            </w:tcBorders>
            <w:noWrap/>
            <w:vAlign w:val="center"/>
            <w:hideMark/>
          </w:tcPr>
          <w:p w:rsidR="002A5F70" w:rsidRPr="00906AFB" w:rsidRDefault="002A5F70" w:rsidP="002A5F70">
            <w:pPr>
              <w:jc w:val="center"/>
              <w:rPr>
                <w:rFonts w:ascii="Arial" w:hAnsi="Arial" w:cs="Arial"/>
                <w:b/>
                <w:sz w:val="18"/>
                <w:szCs w:val="18"/>
              </w:rPr>
            </w:pPr>
            <w:r w:rsidRPr="00906AFB">
              <w:rPr>
                <w:rFonts w:ascii="Arial" w:hAnsi="Arial" w:cs="Arial"/>
                <w:b/>
                <w:sz w:val="18"/>
                <w:szCs w:val="18"/>
              </w:rPr>
              <w:t>P</w:t>
            </w:r>
          </w:p>
        </w:tc>
        <w:tc>
          <w:tcPr>
            <w:tcW w:w="6256" w:type="dxa"/>
            <w:tcBorders>
              <w:top w:val="single" w:sz="4" w:space="0" w:color="auto"/>
              <w:left w:val="single" w:sz="4" w:space="0" w:color="auto"/>
              <w:bottom w:val="single" w:sz="4" w:space="0" w:color="auto"/>
              <w:right w:val="single" w:sz="4" w:space="0" w:color="auto"/>
            </w:tcBorders>
            <w:noWrap/>
            <w:vAlign w:val="center"/>
            <w:hideMark/>
          </w:tcPr>
          <w:p w:rsidR="002A5F70" w:rsidRPr="00906AFB" w:rsidRDefault="002A5F70" w:rsidP="002A5F70">
            <w:pPr>
              <w:rPr>
                <w:rFonts w:ascii="Arial" w:hAnsi="Arial" w:cs="Arial"/>
                <w:sz w:val="18"/>
                <w:szCs w:val="18"/>
              </w:rPr>
            </w:pPr>
            <w:r w:rsidRPr="00906AFB">
              <w:rPr>
                <w:rFonts w:ascii="Arial" w:hAnsi="Arial" w:cs="Arial"/>
                <w:sz w:val="18"/>
                <w:szCs w:val="18"/>
              </w:rPr>
              <w:t>Atención a Niños, Niñas y Adolescentes - Derecho a la Protección</w:t>
            </w:r>
          </w:p>
        </w:tc>
        <w:tc>
          <w:tcPr>
            <w:tcW w:w="1607" w:type="dxa"/>
            <w:tcBorders>
              <w:top w:val="single" w:sz="4" w:space="0" w:color="auto"/>
              <w:left w:val="single" w:sz="4" w:space="0" w:color="auto"/>
              <w:bottom w:val="single" w:sz="4" w:space="0" w:color="auto"/>
              <w:right w:val="single" w:sz="4" w:space="0" w:color="auto"/>
            </w:tcBorders>
            <w:noWrap/>
            <w:vAlign w:val="center"/>
          </w:tcPr>
          <w:p w:rsidR="002A5F70" w:rsidRPr="002A5F70" w:rsidRDefault="002A5F70" w:rsidP="002A5F70">
            <w:pPr>
              <w:jc w:val="right"/>
              <w:rPr>
                <w:rFonts w:ascii="Arial" w:hAnsi="Arial" w:cs="Arial"/>
                <w:sz w:val="20"/>
                <w:szCs w:val="20"/>
              </w:rPr>
            </w:pPr>
            <w:r w:rsidRPr="002A5F70">
              <w:rPr>
                <w:rFonts w:ascii="Arial" w:hAnsi="Arial" w:cs="Arial"/>
                <w:sz w:val="20"/>
                <w:szCs w:val="20"/>
              </w:rPr>
              <w:t>503,256</w:t>
            </w:r>
          </w:p>
        </w:tc>
      </w:tr>
      <w:tr w:rsidR="002A5F70" w:rsidRPr="00906AFB" w:rsidTr="002A5F70">
        <w:trPr>
          <w:trHeight w:val="255"/>
        </w:trPr>
        <w:tc>
          <w:tcPr>
            <w:tcW w:w="697" w:type="dxa"/>
            <w:tcBorders>
              <w:top w:val="single" w:sz="4" w:space="0" w:color="auto"/>
              <w:left w:val="single" w:sz="4" w:space="0" w:color="auto"/>
              <w:bottom w:val="single" w:sz="4" w:space="0" w:color="auto"/>
              <w:right w:val="single" w:sz="4" w:space="0" w:color="auto"/>
            </w:tcBorders>
            <w:noWrap/>
            <w:vAlign w:val="center"/>
            <w:hideMark/>
          </w:tcPr>
          <w:p w:rsidR="002A5F70" w:rsidRPr="00906AFB" w:rsidRDefault="002A5F70" w:rsidP="002A5F70">
            <w:pPr>
              <w:jc w:val="center"/>
              <w:rPr>
                <w:rFonts w:ascii="Arial" w:hAnsi="Arial" w:cs="Arial"/>
                <w:b/>
                <w:sz w:val="18"/>
                <w:szCs w:val="18"/>
              </w:rPr>
            </w:pPr>
            <w:r w:rsidRPr="00906AFB">
              <w:rPr>
                <w:rFonts w:ascii="Arial" w:hAnsi="Arial" w:cs="Arial"/>
                <w:b/>
                <w:sz w:val="18"/>
                <w:szCs w:val="18"/>
              </w:rPr>
              <w:t>Q</w:t>
            </w:r>
          </w:p>
        </w:tc>
        <w:tc>
          <w:tcPr>
            <w:tcW w:w="6256" w:type="dxa"/>
            <w:tcBorders>
              <w:top w:val="single" w:sz="4" w:space="0" w:color="auto"/>
              <w:left w:val="single" w:sz="4" w:space="0" w:color="auto"/>
              <w:bottom w:val="single" w:sz="4" w:space="0" w:color="auto"/>
              <w:right w:val="single" w:sz="4" w:space="0" w:color="auto"/>
            </w:tcBorders>
            <w:noWrap/>
            <w:vAlign w:val="center"/>
            <w:hideMark/>
          </w:tcPr>
          <w:p w:rsidR="002A5F70" w:rsidRPr="00906AFB" w:rsidRDefault="002A5F70" w:rsidP="002A5F70">
            <w:pPr>
              <w:rPr>
                <w:rFonts w:ascii="Arial" w:hAnsi="Arial" w:cs="Arial"/>
                <w:sz w:val="18"/>
                <w:szCs w:val="18"/>
              </w:rPr>
            </w:pPr>
            <w:r w:rsidRPr="00906AFB">
              <w:rPr>
                <w:rFonts w:ascii="Arial" w:hAnsi="Arial" w:cs="Arial"/>
                <w:sz w:val="18"/>
                <w:szCs w:val="18"/>
              </w:rPr>
              <w:t>Atención a Niños, Niñas y Adolescentes - Derecho a la Participación</w:t>
            </w:r>
          </w:p>
        </w:tc>
        <w:tc>
          <w:tcPr>
            <w:tcW w:w="1607" w:type="dxa"/>
            <w:tcBorders>
              <w:top w:val="single" w:sz="4" w:space="0" w:color="auto"/>
              <w:left w:val="single" w:sz="4" w:space="0" w:color="auto"/>
              <w:bottom w:val="single" w:sz="4" w:space="0" w:color="auto"/>
              <w:right w:val="single" w:sz="4" w:space="0" w:color="auto"/>
            </w:tcBorders>
            <w:noWrap/>
            <w:vAlign w:val="center"/>
          </w:tcPr>
          <w:p w:rsidR="002A5F70" w:rsidRPr="002A5F70" w:rsidRDefault="002A5F70" w:rsidP="002A5F70">
            <w:pPr>
              <w:jc w:val="right"/>
              <w:rPr>
                <w:rFonts w:ascii="Arial" w:hAnsi="Arial" w:cs="Arial"/>
                <w:sz w:val="20"/>
                <w:szCs w:val="20"/>
              </w:rPr>
            </w:pPr>
            <w:r w:rsidRPr="002A5F70">
              <w:rPr>
                <w:rFonts w:ascii="Arial" w:hAnsi="Arial" w:cs="Arial"/>
                <w:sz w:val="20"/>
                <w:szCs w:val="20"/>
              </w:rPr>
              <w:t>2,209,111</w:t>
            </w:r>
          </w:p>
        </w:tc>
      </w:tr>
      <w:tr w:rsidR="002A5F70" w:rsidRPr="00906AFB" w:rsidTr="002A5F70">
        <w:trPr>
          <w:trHeight w:val="255"/>
        </w:trPr>
        <w:tc>
          <w:tcPr>
            <w:tcW w:w="697" w:type="dxa"/>
            <w:tcBorders>
              <w:top w:val="single" w:sz="4" w:space="0" w:color="auto"/>
              <w:left w:val="single" w:sz="4" w:space="0" w:color="auto"/>
              <w:bottom w:val="single" w:sz="4" w:space="0" w:color="auto"/>
              <w:right w:val="single" w:sz="4" w:space="0" w:color="auto"/>
            </w:tcBorders>
            <w:noWrap/>
            <w:vAlign w:val="center"/>
            <w:hideMark/>
          </w:tcPr>
          <w:p w:rsidR="002A5F70" w:rsidRPr="00906AFB" w:rsidRDefault="002A5F70" w:rsidP="002A5F70">
            <w:pPr>
              <w:jc w:val="center"/>
              <w:rPr>
                <w:rFonts w:ascii="Arial" w:hAnsi="Arial" w:cs="Arial"/>
                <w:b/>
                <w:sz w:val="18"/>
                <w:szCs w:val="18"/>
              </w:rPr>
            </w:pPr>
            <w:r w:rsidRPr="00906AFB">
              <w:rPr>
                <w:rFonts w:ascii="Arial" w:hAnsi="Arial" w:cs="Arial"/>
                <w:b/>
                <w:sz w:val="18"/>
                <w:szCs w:val="18"/>
              </w:rPr>
              <w:t>R</w:t>
            </w:r>
          </w:p>
        </w:tc>
        <w:tc>
          <w:tcPr>
            <w:tcW w:w="6256" w:type="dxa"/>
            <w:tcBorders>
              <w:top w:val="single" w:sz="4" w:space="0" w:color="auto"/>
              <w:left w:val="single" w:sz="4" w:space="0" w:color="auto"/>
              <w:bottom w:val="single" w:sz="4" w:space="0" w:color="auto"/>
              <w:right w:val="single" w:sz="4" w:space="0" w:color="auto"/>
            </w:tcBorders>
            <w:noWrap/>
            <w:vAlign w:val="center"/>
            <w:hideMark/>
          </w:tcPr>
          <w:p w:rsidR="002A5F70" w:rsidRPr="00906AFB" w:rsidRDefault="002A5F70" w:rsidP="002A5F70">
            <w:pPr>
              <w:rPr>
                <w:rFonts w:ascii="Arial" w:hAnsi="Arial" w:cs="Arial"/>
                <w:sz w:val="18"/>
                <w:szCs w:val="18"/>
              </w:rPr>
            </w:pPr>
            <w:r w:rsidRPr="00906AFB">
              <w:rPr>
                <w:rFonts w:ascii="Arial" w:hAnsi="Arial" w:cs="Arial"/>
                <w:sz w:val="18"/>
                <w:szCs w:val="18"/>
              </w:rPr>
              <w:t>Atención a Niños, Niñas y Adolescentes - Derecho a la Supervivencia</w:t>
            </w:r>
          </w:p>
        </w:tc>
        <w:tc>
          <w:tcPr>
            <w:tcW w:w="1607" w:type="dxa"/>
            <w:tcBorders>
              <w:top w:val="single" w:sz="4" w:space="0" w:color="auto"/>
              <w:left w:val="single" w:sz="4" w:space="0" w:color="auto"/>
              <w:bottom w:val="single" w:sz="4" w:space="0" w:color="auto"/>
              <w:right w:val="single" w:sz="4" w:space="0" w:color="auto"/>
            </w:tcBorders>
            <w:noWrap/>
            <w:vAlign w:val="center"/>
          </w:tcPr>
          <w:p w:rsidR="002A5F70" w:rsidRPr="002A5F70" w:rsidRDefault="002A5F70" w:rsidP="002A5F70">
            <w:pPr>
              <w:jc w:val="right"/>
              <w:rPr>
                <w:rFonts w:ascii="Arial" w:hAnsi="Arial" w:cs="Arial"/>
                <w:sz w:val="20"/>
                <w:szCs w:val="20"/>
              </w:rPr>
            </w:pPr>
            <w:r w:rsidRPr="002A5F70">
              <w:rPr>
                <w:rFonts w:ascii="Arial" w:hAnsi="Arial" w:cs="Arial"/>
                <w:sz w:val="20"/>
                <w:szCs w:val="20"/>
              </w:rPr>
              <w:t>2,942,896</w:t>
            </w:r>
          </w:p>
        </w:tc>
      </w:tr>
      <w:tr w:rsidR="002A5F70" w:rsidRPr="00906AFB" w:rsidTr="002A5F70">
        <w:trPr>
          <w:trHeight w:val="270"/>
        </w:trPr>
        <w:tc>
          <w:tcPr>
            <w:tcW w:w="697" w:type="dxa"/>
            <w:tcBorders>
              <w:top w:val="single" w:sz="4" w:space="0" w:color="auto"/>
              <w:left w:val="single" w:sz="4" w:space="0" w:color="auto"/>
              <w:bottom w:val="single" w:sz="4" w:space="0" w:color="auto"/>
              <w:right w:val="single" w:sz="4" w:space="0" w:color="auto"/>
            </w:tcBorders>
            <w:noWrap/>
            <w:vAlign w:val="center"/>
            <w:hideMark/>
          </w:tcPr>
          <w:p w:rsidR="002A5F70" w:rsidRPr="00906AFB" w:rsidRDefault="002A5F70" w:rsidP="002A5F70">
            <w:pPr>
              <w:jc w:val="center"/>
              <w:rPr>
                <w:rFonts w:ascii="Arial" w:hAnsi="Arial" w:cs="Arial"/>
                <w:b/>
                <w:sz w:val="18"/>
                <w:szCs w:val="18"/>
              </w:rPr>
            </w:pPr>
            <w:r w:rsidRPr="00906AFB">
              <w:rPr>
                <w:rFonts w:ascii="Arial" w:hAnsi="Arial" w:cs="Arial"/>
                <w:b/>
                <w:sz w:val="18"/>
                <w:szCs w:val="18"/>
              </w:rPr>
              <w:t>S</w:t>
            </w:r>
          </w:p>
        </w:tc>
        <w:tc>
          <w:tcPr>
            <w:tcW w:w="6256" w:type="dxa"/>
            <w:tcBorders>
              <w:top w:val="single" w:sz="4" w:space="0" w:color="auto"/>
              <w:left w:val="single" w:sz="4" w:space="0" w:color="auto"/>
              <w:bottom w:val="single" w:sz="4" w:space="0" w:color="auto"/>
              <w:right w:val="single" w:sz="4" w:space="0" w:color="auto"/>
            </w:tcBorders>
            <w:noWrap/>
            <w:vAlign w:val="center"/>
            <w:hideMark/>
          </w:tcPr>
          <w:p w:rsidR="002A5F70" w:rsidRPr="00906AFB" w:rsidRDefault="002A5F70" w:rsidP="002A5F70">
            <w:pPr>
              <w:rPr>
                <w:rFonts w:ascii="Arial" w:hAnsi="Arial" w:cs="Arial"/>
                <w:sz w:val="18"/>
                <w:szCs w:val="18"/>
              </w:rPr>
            </w:pPr>
            <w:r w:rsidRPr="00906AFB">
              <w:rPr>
                <w:rFonts w:ascii="Arial" w:hAnsi="Arial" w:cs="Arial"/>
                <w:sz w:val="18"/>
                <w:szCs w:val="18"/>
              </w:rPr>
              <w:t>Sin Transversalidad Específica</w:t>
            </w:r>
          </w:p>
        </w:tc>
        <w:tc>
          <w:tcPr>
            <w:tcW w:w="1607" w:type="dxa"/>
            <w:tcBorders>
              <w:top w:val="single" w:sz="4" w:space="0" w:color="auto"/>
              <w:left w:val="single" w:sz="4" w:space="0" w:color="auto"/>
              <w:bottom w:val="single" w:sz="4" w:space="0" w:color="auto"/>
              <w:right w:val="single" w:sz="4" w:space="0" w:color="auto"/>
            </w:tcBorders>
            <w:noWrap/>
            <w:vAlign w:val="center"/>
          </w:tcPr>
          <w:p w:rsidR="002A5F70" w:rsidRPr="002A5F70" w:rsidRDefault="00491F8B" w:rsidP="002A5F70">
            <w:pPr>
              <w:jc w:val="right"/>
              <w:rPr>
                <w:rFonts w:ascii="Arial" w:hAnsi="Arial" w:cs="Arial"/>
                <w:sz w:val="20"/>
                <w:szCs w:val="20"/>
              </w:rPr>
            </w:pPr>
            <w:r w:rsidRPr="00491F8B">
              <w:rPr>
                <w:rFonts w:ascii="Arial" w:hAnsi="Arial" w:cs="Arial"/>
                <w:sz w:val="20"/>
                <w:szCs w:val="20"/>
              </w:rPr>
              <w:t>7,635,232,959</w:t>
            </w:r>
          </w:p>
        </w:tc>
      </w:tr>
      <w:tr w:rsidR="00906AFB" w:rsidRPr="00906AFB" w:rsidTr="002A5F70">
        <w:trPr>
          <w:trHeight w:val="270"/>
        </w:trPr>
        <w:tc>
          <w:tcPr>
            <w:tcW w:w="697"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spacing w:before="120" w:after="120" w:line="360" w:lineRule="auto"/>
              <w:jc w:val="both"/>
              <w:rPr>
                <w:rFonts w:ascii="Arial" w:hAnsi="Arial" w:cs="Arial"/>
                <w:sz w:val="18"/>
                <w:szCs w:val="18"/>
              </w:rPr>
            </w:pPr>
          </w:p>
        </w:tc>
        <w:tc>
          <w:tcPr>
            <w:tcW w:w="6256" w:type="dxa"/>
            <w:tcBorders>
              <w:top w:val="single" w:sz="4" w:space="0" w:color="auto"/>
              <w:left w:val="single" w:sz="4" w:space="0" w:color="auto"/>
              <w:bottom w:val="single" w:sz="4" w:space="0" w:color="auto"/>
              <w:right w:val="single" w:sz="4" w:space="0" w:color="auto"/>
            </w:tcBorders>
            <w:noWrap/>
            <w:vAlign w:val="center"/>
            <w:hideMark/>
          </w:tcPr>
          <w:p w:rsidR="00906AFB" w:rsidRPr="00906AFB" w:rsidRDefault="00906AFB" w:rsidP="00906AFB">
            <w:pPr>
              <w:jc w:val="center"/>
              <w:rPr>
                <w:rFonts w:ascii="Arial" w:hAnsi="Arial" w:cs="Arial"/>
                <w:b/>
                <w:bCs/>
                <w:sz w:val="18"/>
                <w:szCs w:val="18"/>
              </w:rPr>
            </w:pPr>
            <w:r w:rsidRPr="00906AFB">
              <w:rPr>
                <w:rFonts w:ascii="Arial" w:hAnsi="Arial" w:cs="Arial"/>
                <w:b/>
                <w:bCs/>
                <w:sz w:val="18"/>
                <w:szCs w:val="18"/>
              </w:rPr>
              <w:t>Total</w:t>
            </w:r>
          </w:p>
        </w:tc>
        <w:tc>
          <w:tcPr>
            <w:tcW w:w="1607" w:type="dxa"/>
            <w:tcBorders>
              <w:top w:val="single" w:sz="4" w:space="0" w:color="auto"/>
              <w:left w:val="single" w:sz="4" w:space="0" w:color="auto"/>
              <w:bottom w:val="single" w:sz="4" w:space="0" w:color="auto"/>
              <w:right w:val="single" w:sz="4" w:space="0" w:color="auto"/>
            </w:tcBorders>
            <w:noWrap/>
            <w:vAlign w:val="center"/>
            <w:hideMark/>
          </w:tcPr>
          <w:p w:rsidR="00906AFB" w:rsidRPr="002A5F70" w:rsidRDefault="00491F8B" w:rsidP="002A5F70">
            <w:pPr>
              <w:jc w:val="right"/>
              <w:rPr>
                <w:rFonts w:ascii="Arial" w:hAnsi="Arial" w:cs="Arial"/>
                <w:b/>
                <w:sz w:val="20"/>
                <w:szCs w:val="20"/>
              </w:rPr>
            </w:pPr>
            <w:r w:rsidRPr="00491F8B">
              <w:rPr>
                <w:rFonts w:ascii="Arial" w:hAnsi="Arial" w:cs="Arial"/>
                <w:b/>
                <w:sz w:val="20"/>
                <w:szCs w:val="20"/>
              </w:rPr>
              <w:t>15,517,525,000</w:t>
            </w:r>
          </w:p>
        </w:tc>
      </w:tr>
    </w:tbl>
    <w:p w:rsidR="00906AFB" w:rsidRPr="00906AFB" w:rsidRDefault="00906AFB" w:rsidP="00906AFB">
      <w:pPr>
        <w:spacing w:after="0" w:line="240" w:lineRule="auto"/>
        <w:jc w:val="center"/>
        <w:rPr>
          <w:rFonts w:ascii="Arial" w:eastAsia="Calibri" w:hAnsi="Arial" w:cs="Arial"/>
          <w:sz w:val="24"/>
          <w:szCs w:val="24"/>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sz w:val="24"/>
          <w:szCs w:val="24"/>
          <w:lang w:val="es-ES" w:eastAsia="en-US"/>
        </w:rPr>
        <w:t xml:space="preserve">En el </w:t>
      </w:r>
      <w:r w:rsidRPr="00906AFB">
        <w:rPr>
          <w:rFonts w:ascii="Arial" w:eastAsia="Calibri" w:hAnsi="Arial" w:cs="Arial"/>
          <w:b/>
          <w:sz w:val="24"/>
          <w:szCs w:val="24"/>
          <w:lang w:val="es-ES" w:eastAsia="en-US"/>
        </w:rPr>
        <w:t xml:space="preserve">Anexo </w:t>
      </w:r>
      <w:r w:rsidR="001F7F55">
        <w:rPr>
          <w:rFonts w:ascii="Arial" w:eastAsia="Calibri" w:hAnsi="Arial" w:cs="Arial"/>
          <w:b/>
          <w:sz w:val="24"/>
          <w:szCs w:val="24"/>
          <w:lang w:val="es-ES" w:eastAsia="en-US"/>
        </w:rPr>
        <w:t>13</w:t>
      </w:r>
      <w:r w:rsidRPr="00906AFB">
        <w:rPr>
          <w:rFonts w:ascii="Arial" w:eastAsia="Calibri" w:hAnsi="Arial" w:cs="Arial"/>
          <w:sz w:val="24"/>
          <w:szCs w:val="24"/>
          <w:lang w:val="es-ES" w:eastAsia="en-US"/>
        </w:rPr>
        <w:t xml:space="preserve"> se incluye el Anexo Transversal del Presupuesto, que desagrega la clasificación anterior.</w:t>
      </w:r>
    </w:p>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Pr="00906AFB" w:rsidRDefault="00906AFB" w:rsidP="00906AFB">
      <w:pPr>
        <w:spacing w:after="0" w:line="240" w:lineRule="auto"/>
        <w:jc w:val="both"/>
        <w:rPr>
          <w:rFonts w:ascii="Arial" w:eastAsia="Calibri" w:hAnsi="Arial" w:cs="Arial"/>
          <w:b/>
          <w:sz w:val="24"/>
          <w:szCs w:val="24"/>
          <w:lang w:val="es-ES" w:eastAsia="en-US"/>
        </w:rPr>
      </w:pPr>
      <w:r w:rsidRPr="00906AFB">
        <w:rPr>
          <w:rFonts w:ascii="Arial" w:eastAsia="Calibri" w:hAnsi="Arial" w:cs="Arial"/>
          <w:b/>
          <w:sz w:val="24"/>
          <w:szCs w:val="24"/>
          <w:lang w:val="es-ES" w:eastAsia="en-US"/>
        </w:rPr>
        <w:t>Artículo 83</w:t>
      </w:r>
      <w:r w:rsidRPr="00906AFB">
        <w:rPr>
          <w:rFonts w:ascii="Arial" w:eastAsia="Calibri" w:hAnsi="Arial" w:cs="Arial"/>
          <w:sz w:val="24"/>
          <w:szCs w:val="24"/>
          <w:lang w:val="es-ES" w:eastAsia="en-US"/>
        </w:rPr>
        <w:t>. Las Dependencias del Ejecutivo y Entidades del Estado ejecutoras del gasto público deberán apegarse a lo establecido en la Ley Para la Igualdad Entre Mujeres y Hombres del Estado de Colima, con enfoque de género y de inclusión en el ejercicio del presupuesto, para cumplir con el logro del objetivo del Programa contra la Discriminación el cual consiste en: fortalecer la incorporación de la obligación de igualdad y no discriminación en todo el quehacer público estatal.</w:t>
      </w:r>
    </w:p>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sz w:val="24"/>
          <w:szCs w:val="24"/>
          <w:lang w:val="es-ES" w:eastAsia="en-US"/>
        </w:rPr>
        <w:t xml:space="preserve">El Ejecutivo Estatal, a través de las Dependencias del Ejecutivo y Entidades del Estado impulsará la igualdad de oportunidades entre mujeres y hombres, así como la erradicación de la violencia de género, para lograr la transversalidad de la Perspectiva de Género en la planeación, diseño, programación, aplicación, seguimiento y evaluación de los Programas presupuestarios y proyectos de la Administración Pública Estatal. Para tal efecto, las Dependencias del Ejecutivo y Entidades del Estado en el ejercicio de su presupuesto deberán considerar lo siguiente: </w:t>
      </w:r>
    </w:p>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Pr="00906AFB" w:rsidRDefault="00906AFB" w:rsidP="00F859A4">
      <w:pPr>
        <w:numPr>
          <w:ilvl w:val="0"/>
          <w:numId w:val="16"/>
        </w:numPr>
        <w:spacing w:before="120" w:after="0" w:line="240" w:lineRule="auto"/>
        <w:ind w:hanging="720"/>
        <w:contextualSpacing/>
        <w:jc w:val="both"/>
        <w:rPr>
          <w:rFonts w:ascii="Arial" w:eastAsia="Times New Roman" w:hAnsi="Arial" w:cs="Arial"/>
          <w:sz w:val="24"/>
          <w:szCs w:val="24"/>
        </w:rPr>
      </w:pPr>
      <w:r w:rsidRPr="00906AFB">
        <w:rPr>
          <w:rFonts w:ascii="Arial" w:eastAsia="Times New Roman" w:hAnsi="Arial" w:cs="Arial"/>
          <w:sz w:val="24"/>
          <w:szCs w:val="24"/>
        </w:rPr>
        <w:t>Basarse en la Perspectiva de Género para la programación, presupuestación y ejercicio del Gasto Público y reflejarla en la Metodología de Marco Lógico de los Programas presupuestarios a su cargo;</w:t>
      </w:r>
    </w:p>
    <w:p w:rsidR="00906AFB" w:rsidRPr="00906AFB" w:rsidRDefault="00906AFB" w:rsidP="00906AFB">
      <w:pPr>
        <w:spacing w:after="0" w:line="240" w:lineRule="auto"/>
        <w:ind w:left="720" w:hanging="720"/>
        <w:contextualSpacing/>
        <w:jc w:val="both"/>
        <w:rPr>
          <w:rFonts w:ascii="Arial" w:eastAsia="Times New Roman" w:hAnsi="Arial" w:cs="Arial"/>
          <w:sz w:val="24"/>
          <w:szCs w:val="24"/>
        </w:rPr>
      </w:pPr>
    </w:p>
    <w:p w:rsidR="00906AFB" w:rsidRPr="00906AFB" w:rsidRDefault="00906AFB" w:rsidP="00F859A4">
      <w:pPr>
        <w:numPr>
          <w:ilvl w:val="0"/>
          <w:numId w:val="16"/>
        </w:numPr>
        <w:spacing w:before="120" w:after="0" w:line="240" w:lineRule="auto"/>
        <w:ind w:hanging="720"/>
        <w:contextualSpacing/>
        <w:jc w:val="both"/>
        <w:rPr>
          <w:rFonts w:ascii="Arial" w:eastAsia="Times New Roman" w:hAnsi="Arial" w:cs="Arial"/>
          <w:sz w:val="24"/>
          <w:szCs w:val="24"/>
        </w:rPr>
      </w:pPr>
      <w:r w:rsidRPr="00906AFB">
        <w:rPr>
          <w:rFonts w:ascii="Arial" w:eastAsia="Times New Roman" w:hAnsi="Arial" w:cs="Arial"/>
          <w:sz w:val="24"/>
          <w:szCs w:val="24"/>
        </w:rPr>
        <w:t>Promover la Perspectiva de Género en aquellos Programas presupuestarios que aun cuando no estén dirigidos a mitigar o solventar desigualdades de género, se puedan observar variaciones en los beneficios específicos para mujeres y hombres;</w:t>
      </w:r>
    </w:p>
    <w:p w:rsidR="00906AFB" w:rsidRPr="00906AFB" w:rsidRDefault="00906AFB" w:rsidP="00906AFB">
      <w:pPr>
        <w:spacing w:after="0" w:line="240" w:lineRule="auto"/>
        <w:ind w:left="720" w:hanging="720"/>
        <w:contextualSpacing/>
        <w:jc w:val="both"/>
        <w:rPr>
          <w:rFonts w:ascii="Arial" w:eastAsia="Times New Roman" w:hAnsi="Arial" w:cs="Arial"/>
          <w:sz w:val="24"/>
          <w:szCs w:val="24"/>
        </w:rPr>
      </w:pPr>
    </w:p>
    <w:p w:rsidR="00906AFB" w:rsidRPr="00906AFB" w:rsidRDefault="00906AFB" w:rsidP="00F859A4">
      <w:pPr>
        <w:numPr>
          <w:ilvl w:val="0"/>
          <w:numId w:val="16"/>
        </w:numPr>
        <w:spacing w:before="120" w:after="0" w:line="240" w:lineRule="auto"/>
        <w:ind w:hanging="720"/>
        <w:contextualSpacing/>
        <w:jc w:val="both"/>
        <w:rPr>
          <w:rFonts w:ascii="Arial" w:eastAsia="Times New Roman" w:hAnsi="Arial" w:cs="Arial"/>
          <w:sz w:val="24"/>
          <w:szCs w:val="24"/>
        </w:rPr>
      </w:pPr>
      <w:r w:rsidRPr="00906AFB">
        <w:rPr>
          <w:rFonts w:ascii="Arial" w:eastAsia="Times New Roman" w:hAnsi="Arial" w:cs="Arial"/>
          <w:sz w:val="24"/>
          <w:szCs w:val="24"/>
        </w:rPr>
        <w:t xml:space="preserve">Emprender acciones que permitan avanzar en la consolidación de la equidad de género; y </w:t>
      </w:r>
    </w:p>
    <w:p w:rsidR="00906AFB" w:rsidRPr="00906AFB" w:rsidRDefault="00906AFB" w:rsidP="00906AFB">
      <w:pPr>
        <w:spacing w:after="0" w:line="240" w:lineRule="auto"/>
        <w:ind w:left="720" w:hanging="720"/>
        <w:contextualSpacing/>
        <w:jc w:val="both"/>
        <w:rPr>
          <w:rFonts w:ascii="Arial" w:eastAsia="Times New Roman" w:hAnsi="Arial" w:cs="Arial"/>
          <w:sz w:val="24"/>
          <w:szCs w:val="24"/>
        </w:rPr>
      </w:pPr>
    </w:p>
    <w:p w:rsidR="00906AFB" w:rsidRPr="00906AFB" w:rsidRDefault="00906AFB" w:rsidP="00F859A4">
      <w:pPr>
        <w:numPr>
          <w:ilvl w:val="0"/>
          <w:numId w:val="16"/>
        </w:numPr>
        <w:spacing w:before="120" w:after="0" w:line="240" w:lineRule="auto"/>
        <w:ind w:hanging="720"/>
        <w:contextualSpacing/>
        <w:jc w:val="both"/>
        <w:rPr>
          <w:rFonts w:ascii="Arial" w:eastAsia="Times New Roman" w:hAnsi="Arial" w:cs="Arial"/>
          <w:sz w:val="24"/>
          <w:szCs w:val="24"/>
        </w:rPr>
      </w:pPr>
      <w:r w:rsidRPr="00906AFB">
        <w:rPr>
          <w:rFonts w:ascii="Arial" w:eastAsia="Times New Roman" w:hAnsi="Arial" w:cs="Arial"/>
          <w:sz w:val="24"/>
          <w:szCs w:val="24"/>
        </w:rPr>
        <w:t>Atender los requerimientos de información para el seguimiento y monitoreo de las acciones con Perspectiva de Género, a través de Indicadores de Género y Estadística Desagregada por Sexo.</w:t>
      </w:r>
    </w:p>
    <w:p w:rsidR="00E24DE2" w:rsidRDefault="00E24DE2" w:rsidP="00906AFB">
      <w:pPr>
        <w:spacing w:after="0" w:line="240" w:lineRule="auto"/>
        <w:jc w:val="both"/>
        <w:rPr>
          <w:rFonts w:ascii="Arial" w:eastAsia="Calibri" w:hAnsi="Arial" w:cs="Arial"/>
          <w:b/>
          <w:sz w:val="24"/>
          <w:szCs w:val="24"/>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b/>
          <w:sz w:val="24"/>
          <w:szCs w:val="24"/>
          <w:lang w:val="es-ES" w:eastAsia="en-US"/>
        </w:rPr>
        <w:t xml:space="preserve">Artículo 84. </w:t>
      </w:r>
      <w:r w:rsidRPr="00906AFB">
        <w:rPr>
          <w:rFonts w:ascii="Arial" w:eastAsia="Calibri" w:hAnsi="Arial" w:cs="Arial"/>
          <w:sz w:val="24"/>
          <w:szCs w:val="24"/>
          <w:lang w:val="es-ES" w:eastAsia="en-US"/>
        </w:rPr>
        <w:t xml:space="preserve">En cumplimiento a lo dispuesto por el artículo 4º de la Constitución Política de los Estados Unidos Mexicanos, que señala que en todas las decisiones y actuaciones del Estado se debe priorizar el principio del interés superior de la niñez, garantizando de manera plena sus derechos; por lo señalado por la Ley General de los Derechos de Niñas, Niños y Adolescentes, que establece que los programas y políticas públicas tendrán un enfoque integral, transversal y con perspectiva de derechos humanos en su diseño e instrumentación; se identifican las asignaciones presupuestarias para la niñez, atendiendo los siguientes supuestos: </w:t>
      </w:r>
    </w:p>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Pr="00906AFB" w:rsidRDefault="00906AFB" w:rsidP="00F859A4">
      <w:pPr>
        <w:numPr>
          <w:ilvl w:val="0"/>
          <w:numId w:val="17"/>
        </w:numPr>
        <w:spacing w:before="120" w:after="0" w:line="240" w:lineRule="auto"/>
        <w:ind w:hanging="720"/>
        <w:contextualSpacing/>
        <w:jc w:val="both"/>
        <w:rPr>
          <w:rFonts w:ascii="Arial" w:eastAsia="Times New Roman" w:hAnsi="Arial" w:cs="Arial"/>
          <w:sz w:val="24"/>
          <w:szCs w:val="24"/>
        </w:rPr>
      </w:pPr>
      <w:r w:rsidRPr="00906AFB">
        <w:rPr>
          <w:rFonts w:ascii="Arial" w:eastAsia="Times New Roman" w:hAnsi="Arial" w:cs="Arial"/>
          <w:sz w:val="24"/>
          <w:szCs w:val="24"/>
        </w:rPr>
        <w:t>Reconocer a niñas, niños y adolescentes como titulares de derechos, de conformidad con los principios de universalidad, interdependencia, indivisibilidad y progresividad; en los términos que establece el artículo 1º de la Constitución Política de los Estados Unidos Mexicanos; y</w:t>
      </w:r>
    </w:p>
    <w:p w:rsidR="00906AFB" w:rsidRPr="00906AFB" w:rsidRDefault="00906AFB" w:rsidP="00906AFB">
      <w:pPr>
        <w:spacing w:after="0" w:line="240" w:lineRule="auto"/>
        <w:ind w:left="720" w:hanging="720"/>
        <w:contextualSpacing/>
        <w:jc w:val="both"/>
        <w:rPr>
          <w:rFonts w:ascii="Arial" w:eastAsia="Times New Roman" w:hAnsi="Arial" w:cs="Arial"/>
          <w:sz w:val="24"/>
          <w:szCs w:val="24"/>
        </w:rPr>
      </w:pPr>
    </w:p>
    <w:p w:rsidR="00906AFB" w:rsidRPr="00906AFB" w:rsidRDefault="00E22E97" w:rsidP="00F859A4">
      <w:pPr>
        <w:numPr>
          <w:ilvl w:val="0"/>
          <w:numId w:val="17"/>
        </w:numPr>
        <w:spacing w:before="120" w:after="0" w:line="240" w:lineRule="auto"/>
        <w:ind w:hanging="720"/>
        <w:contextualSpacing/>
        <w:jc w:val="both"/>
        <w:rPr>
          <w:rFonts w:ascii="Arial" w:eastAsia="Times New Roman" w:hAnsi="Arial" w:cs="Arial"/>
          <w:sz w:val="24"/>
          <w:szCs w:val="24"/>
        </w:rPr>
      </w:pPr>
      <w:r w:rsidRPr="00906AFB">
        <w:rPr>
          <w:rFonts w:ascii="Arial" w:eastAsia="Times New Roman" w:hAnsi="Arial" w:cs="Arial"/>
          <w:sz w:val="24"/>
          <w:szCs w:val="24"/>
        </w:rPr>
        <w:t>Garantizar el</w:t>
      </w:r>
      <w:r w:rsidR="00C552C8">
        <w:rPr>
          <w:rFonts w:ascii="Arial" w:eastAsia="Times New Roman" w:hAnsi="Arial" w:cs="Arial"/>
          <w:sz w:val="24"/>
          <w:szCs w:val="24"/>
        </w:rPr>
        <w:t xml:space="preserve"> </w:t>
      </w:r>
      <w:r w:rsidR="00906AFB" w:rsidRPr="00906AFB">
        <w:rPr>
          <w:rFonts w:ascii="Arial" w:eastAsia="Times New Roman" w:hAnsi="Arial" w:cs="Arial"/>
          <w:sz w:val="24"/>
          <w:szCs w:val="24"/>
        </w:rPr>
        <w:t>pleno  ejercicio,  respeto,  protección  y  promoción  de  los derechos humanos de niñas, niños y adolescentes conforme a lo establecido en la Constitución Política de los Estados Unidos Mexicanos y en los tratados internacionales de los que el Estado mexicano forma parte.</w:t>
      </w:r>
    </w:p>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sz w:val="24"/>
          <w:szCs w:val="24"/>
          <w:lang w:val="es-ES" w:eastAsia="en-US"/>
        </w:rPr>
        <w:t xml:space="preserve">Se identifican y clasifican los Proyectos Presupuestarios de acuerdo a la metodología establecida por el Fondo de las Naciones Unidas para la Infancia (UNICEF), en términos de los derechos fundamentales, los cuales son: </w:t>
      </w:r>
    </w:p>
    <w:p w:rsidR="00E24DE2" w:rsidRPr="00906AFB" w:rsidRDefault="00E24DE2" w:rsidP="00906AFB">
      <w:pPr>
        <w:spacing w:after="0" w:line="240" w:lineRule="auto"/>
        <w:jc w:val="both"/>
        <w:rPr>
          <w:rFonts w:ascii="Arial" w:eastAsia="Calibri" w:hAnsi="Arial" w:cs="Arial"/>
          <w:sz w:val="24"/>
          <w:szCs w:val="24"/>
          <w:lang w:val="es-ES" w:eastAsia="en-US"/>
        </w:rPr>
      </w:pPr>
    </w:p>
    <w:p w:rsidR="00906AFB" w:rsidRPr="00906AFB" w:rsidRDefault="00906AFB" w:rsidP="00F859A4">
      <w:pPr>
        <w:numPr>
          <w:ilvl w:val="0"/>
          <w:numId w:val="18"/>
        </w:numPr>
        <w:spacing w:before="120" w:after="0" w:line="240" w:lineRule="auto"/>
        <w:ind w:hanging="720"/>
        <w:contextualSpacing/>
        <w:jc w:val="both"/>
        <w:rPr>
          <w:rFonts w:ascii="Arial" w:eastAsia="Times New Roman" w:hAnsi="Arial" w:cs="Arial"/>
          <w:sz w:val="24"/>
          <w:szCs w:val="24"/>
        </w:rPr>
      </w:pPr>
      <w:r w:rsidRPr="00906AFB">
        <w:rPr>
          <w:rFonts w:ascii="Arial" w:eastAsia="Times New Roman" w:hAnsi="Arial" w:cs="Arial"/>
          <w:sz w:val="24"/>
          <w:szCs w:val="24"/>
        </w:rPr>
        <w:t xml:space="preserve">Derecho a la supervivencia, que incluye el derecho a la vida y a tener cubiertas las necesidades fundamentales; el derecho a la salud y a la supervivencia, y el derecho a una vida digna; </w:t>
      </w:r>
    </w:p>
    <w:p w:rsidR="00906AFB" w:rsidRPr="00906AFB" w:rsidRDefault="00906AFB" w:rsidP="00906AFB">
      <w:pPr>
        <w:spacing w:after="0" w:line="240" w:lineRule="auto"/>
        <w:ind w:left="720" w:hanging="720"/>
        <w:contextualSpacing/>
        <w:jc w:val="both"/>
        <w:rPr>
          <w:rFonts w:ascii="Arial" w:eastAsia="Times New Roman" w:hAnsi="Arial" w:cs="Arial"/>
          <w:sz w:val="24"/>
          <w:szCs w:val="24"/>
        </w:rPr>
      </w:pPr>
    </w:p>
    <w:p w:rsidR="00906AFB" w:rsidRPr="00906AFB" w:rsidRDefault="00906AFB" w:rsidP="00F859A4">
      <w:pPr>
        <w:numPr>
          <w:ilvl w:val="0"/>
          <w:numId w:val="18"/>
        </w:numPr>
        <w:spacing w:before="120" w:after="0" w:line="240" w:lineRule="auto"/>
        <w:ind w:hanging="720"/>
        <w:contextualSpacing/>
        <w:jc w:val="both"/>
        <w:rPr>
          <w:rFonts w:ascii="Arial" w:eastAsia="Times New Roman" w:hAnsi="Arial" w:cs="Arial"/>
          <w:sz w:val="24"/>
          <w:szCs w:val="24"/>
        </w:rPr>
      </w:pPr>
      <w:r w:rsidRPr="00906AFB">
        <w:rPr>
          <w:rFonts w:ascii="Arial" w:eastAsia="Times New Roman" w:hAnsi="Arial" w:cs="Arial"/>
          <w:sz w:val="24"/>
          <w:szCs w:val="24"/>
        </w:rPr>
        <w:t xml:space="preserve">Derecho al desarrollo pleno, que abarca el derecho a la educación y el derecho al esparcimiento; </w:t>
      </w:r>
    </w:p>
    <w:p w:rsidR="00906AFB" w:rsidRPr="00906AFB" w:rsidRDefault="00906AFB" w:rsidP="00906AFB">
      <w:pPr>
        <w:spacing w:after="0" w:line="240" w:lineRule="auto"/>
        <w:ind w:left="720" w:hanging="720"/>
        <w:contextualSpacing/>
        <w:jc w:val="both"/>
        <w:rPr>
          <w:rFonts w:ascii="Arial" w:eastAsia="Times New Roman" w:hAnsi="Arial" w:cs="Arial"/>
          <w:sz w:val="24"/>
          <w:szCs w:val="24"/>
        </w:rPr>
      </w:pPr>
    </w:p>
    <w:p w:rsidR="00906AFB" w:rsidRPr="00906AFB" w:rsidRDefault="00906AFB" w:rsidP="00F859A4">
      <w:pPr>
        <w:numPr>
          <w:ilvl w:val="0"/>
          <w:numId w:val="18"/>
        </w:numPr>
        <w:spacing w:before="120" w:after="0" w:line="240" w:lineRule="auto"/>
        <w:ind w:hanging="720"/>
        <w:contextualSpacing/>
        <w:jc w:val="both"/>
        <w:rPr>
          <w:rFonts w:ascii="Arial" w:eastAsia="Times New Roman" w:hAnsi="Arial" w:cs="Arial"/>
          <w:sz w:val="24"/>
          <w:szCs w:val="24"/>
        </w:rPr>
      </w:pPr>
      <w:r w:rsidRPr="00906AFB">
        <w:rPr>
          <w:rFonts w:ascii="Arial" w:eastAsia="Times New Roman" w:hAnsi="Arial" w:cs="Arial"/>
          <w:sz w:val="24"/>
          <w:szCs w:val="24"/>
        </w:rPr>
        <w:t xml:space="preserve">Derecho a la protección, que comprende el derecho a la protección contra el abandono, el abuso y la explotación (incluyendo el trabajo infantil y la explotación sexual y los mecanismos de restitución de derechos cuando  estos  ya fueron violados); el derecho a una vida libre de violencia, el derecho a la protección social, y el derecho a un procedimiento legal y protección con garantías; y </w:t>
      </w:r>
    </w:p>
    <w:p w:rsidR="00906AFB" w:rsidRPr="00906AFB" w:rsidRDefault="00906AFB" w:rsidP="00906AFB">
      <w:pPr>
        <w:spacing w:after="0" w:line="240" w:lineRule="auto"/>
        <w:ind w:left="720" w:hanging="720"/>
        <w:contextualSpacing/>
        <w:jc w:val="both"/>
        <w:rPr>
          <w:rFonts w:ascii="Arial" w:eastAsia="Times New Roman" w:hAnsi="Arial" w:cs="Arial"/>
          <w:sz w:val="24"/>
          <w:szCs w:val="24"/>
        </w:rPr>
      </w:pPr>
    </w:p>
    <w:p w:rsidR="00906AFB" w:rsidRPr="00906AFB" w:rsidRDefault="00906AFB" w:rsidP="00F859A4">
      <w:pPr>
        <w:numPr>
          <w:ilvl w:val="0"/>
          <w:numId w:val="18"/>
        </w:numPr>
        <w:spacing w:before="120" w:after="0" w:line="240" w:lineRule="auto"/>
        <w:ind w:hanging="720"/>
        <w:contextualSpacing/>
        <w:jc w:val="both"/>
        <w:rPr>
          <w:rFonts w:ascii="Arial" w:eastAsia="Times New Roman" w:hAnsi="Arial" w:cs="Arial"/>
          <w:sz w:val="24"/>
          <w:szCs w:val="24"/>
        </w:rPr>
      </w:pPr>
      <w:r w:rsidRPr="00906AFB">
        <w:rPr>
          <w:rFonts w:ascii="Arial" w:eastAsia="Times New Roman" w:hAnsi="Arial" w:cs="Arial"/>
          <w:sz w:val="24"/>
          <w:szCs w:val="24"/>
        </w:rPr>
        <w:t>Derecho a la participación, que corresponde al derecho a tener acceso a la información que les concierne, a que sus opiniones sean consultadas y a participar en las decisiones que los afectan.</w:t>
      </w:r>
    </w:p>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b/>
          <w:sz w:val="24"/>
          <w:szCs w:val="24"/>
          <w:lang w:val="es-ES" w:eastAsia="en-US"/>
        </w:rPr>
        <w:t>Artículo 85</w:t>
      </w:r>
      <w:r w:rsidRPr="00906AFB">
        <w:rPr>
          <w:rFonts w:ascii="Arial" w:eastAsia="Calibri" w:hAnsi="Arial" w:cs="Arial"/>
          <w:sz w:val="24"/>
          <w:szCs w:val="24"/>
          <w:lang w:val="es-ES" w:eastAsia="en-US"/>
        </w:rPr>
        <w:t>. En materia de transversalidad presupuestaria para los derechos de los jóvenes</w:t>
      </w:r>
      <w:r w:rsidR="00E22E97">
        <w:rPr>
          <w:rFonts w:ascii="Arial" w:eastAsia="Calibri" w:hAnsi="Arial" w:cs="Arial"/>
          <w:sz w:val="24"/>
          <w:szCs w:val="24"/>
          <w:lang w:val="es-ES" w:eastAsia="en-US"/>
        </w:rPr>
        <w:t>,</w:t>
      </w:r>
      <w:r w:rsidRPr="00906AFB">
        <w:rPr>
          <w:rFonts w:ascii="Arial" w:eastAsia="Calibri" w:hAnsi="Arial" w:cs="Arial"/>
          <w:sz w:val="24"/>
          <w:szCs w:val="24"/>
          <w:lang w:val="es-ES" w:eastAsia="en-US"/>
        </w:rPr>
        <w:t xml:space="preserve"> se deberá atender lo previsto en la Ley de la Juventud del Estado de Colima la cual tiene por objeto regir las políticas públicas y sociales de la juventud, a efecto de contribuir al desarrollo integral de la misma, mediante su inclusión social plena al proceso de desarrollo económico, educativo y cultural. </w:t>
      </w:r>
    </w:p>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sz w:val="24"/>
          <w:szCs w:val="24"/>
          <w:lang w:val="es-ES" w:eastAsia="en-US"/>
        </w:rPr>
        <w:t xml:space="preserve">Dicha transversalidad atenderá las acciones que se desarrollen para dar atención prioritaria a jóvenes: </w:t>
      </w:r>
    </w:p>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Pr="00906AFB" w:rsidRDefault="00906AFB" w:rsidP="00F859A4">
      <w:pPr>
        <w:numPr>
          <w:ilvl w:val="0"/>
          <w:numId w:val="19"/>
        </w:numPr>
        <w:spacing w:before="120" w:after="0" w:line="240" w:lineRule="auto"/>
        <w:ind w:hanging="720"/>
        <w:contextualSpacing/>
        <w:jc w:val="both"/>
        <w:rPr>
          <w:rFonts w:ascii="Arial" w:eastAsia="Times New Roman" w:hAnsi="Arial" w:cs="Arial"/>
          <w:sz w:val="24"/>
          <w:szCs w:val="24"/>
        </w:rPr>
      </w:pPr>
      <w:r w:rsidRPr="00906AFB">
        <w:rPr>
          <w:rFonts w:ascii="Arial" w:eastAsia="Times New Roman" w:hAnsi="Arial" w:cs="Arial"/>
          <w:sz w:val="24"/>
          <w:szCs w:val="24"/>
        </w:rPr>
        <w:t xml:space="preserve">Embarazadas; </w:t>
      </w:r>
    </w:p>
    <w:p w:rsidR="00906AFB" w:rsidRPr="00906AFB" w:rsidRDefault="00906AFB" w:rsidP="00906AFB">
      <w:pPr>
        <w:spacing w:after="0" w:line="240" w:lineRule="auto"/>
        <w:ind w:left="720" w:hanging="720"/>
        <w:contextualSpacing/>
        <w:jc w:val="both"/>
        <w:rPr>
          <w:rFonts w:ascii="Arial" w:eastAsia="Times New Roman" w:hAnsi="Arial" w:cs="Arial"/>
          <w:sz w:val="24"/>
          <w:szCs w:val="24"/>
        </w:rPr>
      </w:pPr>
    </w:p>
    <w:p w:rsidR="00906AFB" w:rsidRPr="00906AFB" w:rsidRDefault="00906AFB" w:rsidP="00F859A4">
      <w:pPr>
        <w:numPr>
          <w:ilvl w:val="0"/>
          <w:numId w:val="19"/>
        </w:numPr>
        <w:spacing w:before="120" w:after="0" w:line="240" w:lineRule="auto"/>
        <w:ind w:hanging="720"/>
        <w:contextualSpacing/>
        <w:jc w:val="both"/>
        <w:rPr>
          <w:rFonts w:ascii="Arial" w:eastAsia="Times New Roman" w:hAnsi="Arial" w:cs="Arial"/>
          <w:sz w:val="24"/>
          <w:szCs w:val="24"/>
        </w:rPr>
      </w:pPr>
      <w:r w:rsidRPr="00906AFB">
        <w:rPr>
          <w:rFonts w:ascii="Arial" w:eastAsia="Times New Roman" w:hAnsi="Arial" w:cs="Arial"/>
          <w:sz w:val="24"/>
          <w:szCs w:val="24"/>
        </w:rPr>
        <w:t xml:space="preserve">Madres solteras; </w:t>
      </w:r>
    </w:p>
    <w:p w:rsidR="00906AFB" w:rsidRPr="00906AFB" w:rsidRDefault="00906AFB" w:rsidP="00906AFB">
      <w:pPr>
        <w:spacing w:after="0" w:line="240" w:lineRule="auto"/>
        <w:ind w:left="720" w:hanging="720"/>
        <w:contextualSpacing/>
        <w:jc w:val="both"/>
        <w:rPr>
          <w:rFonts w:ascii="Arial" w:eastAsia="Times New Roman" w:hAnsi="Arial" w:cs="Arial"/>
          <w:sz w:val="24"/>
          <w:szCs w:val="24"/>
        </w:rPr>
      </w:pPr>
    </w:p>
    <w:p w:rsidR="00906AFB" w:rsidRPr="00906AFB" w:rsidRDefault="00906AFB" w:rsidP="00F859A4">
      <w:pPr>
        <w:numPr>
          <w:ilvl w:val="0"/>
          <w:numId w:val="19"/>
        </w:numPr>
        <w:spacing w:before="120" w:after="0" w:line="240" w:lineRule="auto"/>
        <w:ind w:hanging="720"/>
        <w:contextualSpacing/>
        <w:jc w:val="both"/>
        <w:rPr>
          <w:rFonts w:ascii="Arial" w:eastAsia="Times New Roman" w:hAnsi="Arial" w:cs="Arial"/>
          <w:sz w:val="24"/>
          <w:szCs w:val="24"/>
        </w:rPr>
      </w:pPr>
      <w:r w:rsidRPr="00906AFB">
        <w:rPr>
          <w:rFonts w:ascii="Arial" w:eastAsia="Times New Roman" w:hAnsi="Arial" w:cs="Arial"/>
          <w:sz w:val="24"/>
          <w:szCs w:val="24"/>
        </w:rPr>
        <w:t xml:space="preserve">Víctimas de cualquier delito; </w:t>
      </w:r>
    </w:p>
    <w:p w:rsidR="00906AFB" w:rsidRPr="00906AFB" w:rsidRDefault="00906AFB" w:rsidP="00906AFB">
      <w:pPr>
        <w:spacing w:after="0" w:line="240" w:lineRule="auto"/>
        <w:ind w:left="720" w:hanging="720"/>
        <w:contextualSpacing/>
        <w:jc w:val="both"/>
        <w:rPr>
          <w:rFonts w:ascii="Arial" w:eastAsia="Times New Roman" w:hAnsi="Arial" w:cs="Arial"/>
          <w:sz w:val="24"/>
          <w:szCs w:val="24"/>
        </w:rPr>
      </w:pPr>
    </w:p>
    <w:p w:rsidR="00906AFB" w:rsidRPr="00906AFB" w:rsidRDefault="00906AFB" w:rsidP="00F859A4">
      <w:pPr>
        <w:numPr>
          <w:ilvl w:val="0"/>
          <w:numId w:val="19"/>
        </w:numPr>
        <w:spacing w:before="120" w:after="0" w:line="240" w:lineRule="auto"/>
        <w:ind w:hanging="720"/>
        <w:contextualSpacing/>
        <w:jc w:val="both"/>
        <w:rPr>
          <w:rFonts w:ascii="Arial" w:eastAsia="Times New Roman" w:hAnsi="Arial" w:cs="Arial"/>
          <w:sz w:val="24"/>
          <w:szCs w:val="24"/>
        </w:rPr>
      </w:pPr>
      <w:r w:rsidRPr="00906AFB">
        <w:rPr>
          <w:rFonts w:ascii="Arial" w:eastAsia="Times New Roman" w:hAnsi="Arial" w:cs="Arial"/>
          <w:sz w:val="24"/>
          <w:szCs w:val="24"/>
        </w:rPr>
        <w:t xml:space="preserve">En situación de calle; </w:t>
      </w:r>
    </w:p>
    <w:p w:rsidR="00906AFB" w:rsidRPr="00906AFB" w:rsidRDefault="00906AFB" w:rsidP="00906AFB">
      <w:pPr>
        <w:spacing w:after="0" w:line="240" w:lineRule="auto"/>
        <w:ind w:left="720" w:hanging="720"/>
        <w:contextualSpacing/>
        <w:jc w:val="both"/>
        <w:rPr>
          <w:rFonts w:ascii="Arial" w:eastAsia="Times New Roman" w:hAnsi="Arial" w:cs="Arial"/>
          <w:sz w:val="24"/>
          <w:szCs w:val="24"/>
        </w:rPr>
      </w:pPr>
    </w:p>
    <w:p w:rsidR="00906AFB" w:rsidRPr="00906AFB" w:rsidRDefault="00906AFB" w:rsidP="00F859A4">
      <w:pPr>
        <w:numPr>
          <w:ilvl w:val="0"/>
          <w:numId w:val="19"/>
        </w:numPr>
        <w:spacing w:before="120" w:after="0" w:line="240" w:lineRule="auto"/>
        <w:ind w:hanging="720"/>
        <w:contextualSpacing/>
        <w:jc w:val="both"/>
        <w:rPr>
          <w:rFonts w:ascii="Arial" w:eastAsia="Times New Roman" w:hAnsi="Arial" w:cs="Arial"/>
          <w:sz w:val="24"/>
          <w:szCs w:val="24"/>
        </w:rPr>
      </w:pPr>
      <w:r w:rsidRPr="00906AFB">
        <w:rPr>
          <w:rFonts w:ascii="Arial" w:eastAsia="Times New Roman" w:hAnsi="Arial" w:cs="Arial"/>
          <w:sz w:val="24"/>
          <w:szCs w:val="24"/>
        </w:rPr>
        <w:t xml:space="preserve">Exclusión social o privación de la libertad; </w:t>
      </w:r>
    </w:p>
    <w:p w:rsidR="00906AFB" w:rsidRPr="00906AFB" w:rsidRDefault="00906AFB" w:rsidP="00906AFB">
      <w:pPr>
        <w:spacing w:after="0" w:line="240" w:lineRule="auto"/>
        <w:ind w:left="720" w:hanging="720"/>
        <w:contextualSpacing/>
        <w:jc w:val="both"/>
        <w:rPr>
          <w:rFonts w:ascii="Arial" w:eastAsia="Times New Roman" w:hAnsi="Arial" w:cs="Arial"/>
          <w:sz w:val="24"/>
          <w:szCs w:val="24"/>
        </w:rPr>
      </w:pPr>
    </w:p>
    <w:p w:rsidR="00906AFB" w:rsidRPr="00906AFB" w:rsidRDefault="00906AFB" w:rsidP="00F859A4">
      <w:pPr>
        <w:numPr>
          <w:ilvl w:val="0"/>
          <w:numId w:val="19"/>
        </w:numPr>
        <w:spacing w:before="120" w:after="0" w:line="240" w:lineRule="auto"/>
        <w:ind w:hanging="720"/>
        <w:contextualSpacing/>
        <w:jc w:val="both"/>
        <w:rPr>
          <w:rFonts w:ascii="Arial" w:eastAsia="Times New Roman" w:hAnsi="Arial" w:cs="Arial"/>
          <w:sz w:val="24"/>
          <w:szCs w:val="24"/>
        </w:rPr>
      </w:pPr>
      <w:r w:rsidRPr="00906AFB">
        <w:rPr>
          <w:rFonts w:ascii="Arial" w:eastAsia="Times New Roman" w:hAnsi="Arial" w:cs="Arial"/>
          <w:sz w:val="24"/>
          <w:szCs w:val="24"/>
        </w:rPr>
        <w:t>Migrantes;</w:t>
      </w:r>
    </w:p>
    <w:p w:rsidR="00906AFB" w:rsidRPr="00906AFB" w:rsidRDefault="00906AFB" w:rsidP="00906AFB">
      <w:pPr>
        <w:spacing w:after="0" w:line="240" w:lineRule="auto"/>
        <w:ind w:left="720" w:hanging="720"/>
        <w:contextualSpacing/>
        <w:jc w:val="both"/>
        <w:rPr>
          <w:rFonts w:ascii="Arial" w:eastAsia="Times New Roman" w:hAnsi="Arial" w:cs="Arial"/>
          <w:sz w:val="24"/>
          <w:szCs w:val="24"/>
        </w:rPr>
      </w:pPr>
    </w:p>
    <w:p w:rsidR="00906AFB" w:rsidRPr="00906AFB" w:rsidRDefault="00906AFB" w:rsidP="00F859A4">
      <w:pPr>
        <w:numPr>
          <w:ilvl w:val="0"/>
          <w:numId w:val="19"/>
        </w:numPr>
        <w:spacing w:before="120" w:after="0" w:line="240" w:lineRule="auto"/>
        <w:ind w:hanging="720"/>
        <w:contextualSpacing/>
        <w:jc w:val="both"/>
        <w:rPr>
          <w:rFonts w:ascii="Arial" w:eastAsia="Times New Roman" w:hAnsi="Arial" w:cs="Arial"/>
          <w:sz w:val="24"/>
          <w:szCs w:val="24"/>
        </w:rPr>
      </w:pPr>
      <w:r w:rsidRPr="00906AFB">
        <w:rPr>
          <w:rFonts w:ascii="Arial" w:eastAsia="Times New Roman" w:hAnsi="Arial" w:cs="Arial"/>
          <w:sz w:val="24"/>
          <w:szCs w:val="24"/>
        </w:rPr>
        <w:t xml:space="preserve">Con discapacidad; </w:t>
      </w:r>
    </w:p>
    <w:p w:rsidR="00906AFB" w:rsidRPr="00906AFB" w:rsidRDefault="00906AFB" w:rsidP="00906AFB">
      <w:pPr>
        <w:spacing w:after="0" w:line="240" w:lineRule="auto"/>
        <w:ind w:left="720" w:hanging="720"/>
        <w:contextualSpacing/>
        <w:jc w:val="both"/>
        <w:rPr>
          <w:rFonts w:ascii="Arial" w:eastAsia="Times New Roman" w:hAnsi="Arial" w:cs="Arial"/>
          <w:sz w:val="24"/>
          <w:szCs w:val="24"/>
        </w:rPr>
      </w:pPr>
    </w:p>
    <w:p w:rsidR="00906AFB" w:rsidRPr="00906AFB" w:rsidRDefault="00906AFB" w:rsidP="00F859A4">
      <w:pPr>
        <w:numPr>
          <w:ilvl w:val="0"/>
          <w:numId w:val="19"/>
        </w:numPr>
        <w:spacing w:before="120" w:after="0" w:line="240" w:lineRule="auto"/>
        <w:ind w:hanging="720"/>
        <w:contextualSpacing/>
        <w:jc w:val="both"/>
        <w:rPr>
          <w:rFonts w:ascii="Arial" w:eastAsia="Times New Roman" w:hAnsi="Arial" w:cs="Arial"/>
          <w:sz w:val="24"/>
          <w:szCs w:val="24"/>
        </w:rPr>
      </w:pPr>
      <w:r w:rsidRPr="00906AFB">
        <w:rPr>
          <w:rFonts w:ascii="Arial" w:eastAsia="Times New Roman" w:hAnsi="Arial" w:cs="Arial"/>
          <w:sz w:val="24"/>
          <w:szCs w:val="24"/>
        </w:rPr>
        <w:t xml:space="preserve">Con enfermedades crónicas; y </w:t>
      </w:r>
    </w:p>
    <w:p w:rsidR="00906AFB" w:rsidRPr="00906AFB" w:rsidRDefault="00906AFB" w:rsidP="00906AFB">
      <w:pPr>
        <w:spacing w:after="0" w:line="240" w:lineRule="auto"/>
        <w:ind w:left="720" w:hanging="720"/>
        <w:contextualSpacing/>
        <w:jc w:val="both"/>
        <w:rPr>
          <w:rFonts w:ascii="Arial" w:eastAsia="Times New Roman" w:hAnsi="Arial" w:cs="Arial"/>
          <w:sz w:val="24"/>
          <w:szCs w:val="24"/>
        </w:rPr>
      </w:pPr>
    </w:p>
    <w:p w:rsidR="00906AFB" w:rsidRPr="00906AFB" w:rsidRDefault="00906AFB" w:rsidP="00F859A4">
      <w:pPr>
        <w:numPr>
          <w:ilvl w:val="0"/>
          <w:numId w:val="19"/>
        </w:numPr>
        <w:spacing w:before="120" w:after="0" w:line="240" w:lineRule="auto"/>
        <w:ind w:hanging="720"/>
        <w:contextualSpacing/>
        <w:jc w:val="both"/>
        <w:rPr>
          <w:rFonts w:ascii="Arial" w:eastAsia="Times New Roman" w:hAnsi="Arial" w:cs="Arial"/>
          <w:sz w:val="24"/>
          <w:szCs w:val="24"/>
        </w:rPr>
      </w:pPr>
      <w:r w:rsidRPr="00906AFB">
        <w:rPr>
          <w:rFonts w:ascii="Arial" w:eastAsia="Times New Roman" w:hAnsi="Arial" w:cs="Arial"/>
          <w:sz w:val="24"/>
          <w:szCs w:val="24"/>
        </w:rPr>
        <w:t>Indígenas.</w:t>
      </w:r>
    </w:p>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b/>
          <w:sz w:val="24"/>
          <w:szCs w:val="24"/>
          <w:lang w:val="es-ES" w:eastAsia="en-US"/>
        </w:rPr>
        <w:t>Artículo 86</w:t>
      </w:r>
      <w:r w:rsidRPr="00906AFB">
        <w:rPr>
          <w:rFonts w:ascii="Arial" w:eastAsia="Calibri" w:hAnsi="Arial" w:cs="Arial"/>
          <w:sz w:val="24"/>
          <w:szCs w:val="24"/>
          <w:lang w:val="es-ES" w:eastAsia="en-US"/>
        </w:rPr>
        <w:t>. En la priorización de acciones para la atención a grupos vulnerables, se privilegiará la atención a: indígenas, adultos en plenitud, jefas de familia, niñas, niños y adolescentes en situación de riesgo, mujeres víctimas de violencia y personas con discapacidad. Lo anterior, en el marco de lo previsto en la Ley de Desarrollo Social para el Estado de Colima, la cual tiene por objeto promover, proteger y garantizar el pleno ejercicio de los derechos sociales de los habitantes de la Entidad, consagrados en la Constitución Política de los Estados Unidos Mexicanos y la propia del Estado Libre y Soberano de Colima, mediante una Política Estatal de Desarrollo Social orientada a:</w:t>
      </w:r>
    </w:p>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Pr="00906AFB" w:rsidRDefault="00906AFB" w:rsidP="00F859A4">
      <w:pPr>
        <w:numPr>
          <w:ilvl w:val="0"/>
          <w:numId w:val="20"/>
        </w:numPr>
        <w:spacing w:before="120" w:after="0" w:line="240" w:lineRule="auto"/>
        <w:ind w:hanging="720"/>
        <w:contextualSpacing/>
        <w:jc w:val="both"/>
        <w:rPr>
          <w:rFonts w:ascii="Arial" w:eastAsia="Times New Roman" w:hAnsi="Arial" w:cs="Arial"/>
          <w:sz w:val="24"/>
          <w:szCs w:val="24"/>
        </w:rPr>
      </w:pPr>
      <w:r w:rsidRPr="00906AFB">
        <w:rPr>
          <w:rFonts w:ascii="Arial" w:eastAsia="Times New Roman" w:hAnsi="Arial" w:cs="Arial"/>
          <w:sz w:val="24"/>
          <w:szCs w:val="24"/>
        </w:rPr>
        <w:t xml:space="preserve">Cumplir con la responsabilidad social del Estado y Municipios, asumiendo plenamente las obligaciones constitucionales en materia de desarrollo social, a efecto de garantizar el pleno goce de sus derechos sociales universales; </w:t>
      </w:r>
    </w:p>
    <w:p w:rsidR="00906AFB" w:rsidRPr="00906AFB" w:rsidRDefault="00906AFB" w:rsidP="00906AFB">
      <w:pPr>
        <w:spacing w:after="0" w:line="240" w:lineRule="auto"/>
        <w:ind w:left="720" w:hanging="720"/>
        <w:contextualSpacing/>
        <w:jc w:val="both"/>
        <w:rPr>
          <w:rFonts w:ascii="Arial" w:eastAsia="Times New Roman" w:hAnsi="Arial" w:cs="Arial"/>
          <w:sz w:val="24"/>
          <w:szCs w:val="24"/>
        </w:rPr>
      </w:pPr>
    </w:p>
    <w:p w:rsidR="00906AFB" w:rsidRPr="00906AFB" w:rsidRDefault="00906AFB" w:rsidP="00F859A4">
      <w:pPr>
        <w:numPr>
          <w:ilvl w:val="0"/>
          <w:numId w:val="20"/>
        </w:numPr>
        <w:spacing w:before="120" w:after="0" w:line="240" w:lineRule="auto"/>
        <w:ind w:hanging="720"/>
        <w:contextualSpacing/>
        <w:jc w:val="both"/>
        <w:rPr>
          <w:rFonts w:ascii="Arial" w:eastAsia="Times New Roman" w:hAnsi="Arial" w:cs="Arial"/>
          <w:sz w:val="24"/>
          <w:szCs w:val="24"/>
        </w:rPr>
      </w:pPr>
      <w:r w:rsidRPr="00906AFB">
        <w:rPr>
          <w:rFonts w:ascii="Arial" w:eastAsia="Times New Roman" w:hAnsi="Arial" w:cs="Arial"/>
          <w:sz w:val="24"/>
          <w:szCs w:val="24"/>
        </w:rPr>
        <w:t>Generar las condiciones que aseguren el desarrollo social y el pleno disfrute de los derechos sociales;</w:t>
      </w:r>
    </w:p>
    <w:p w:rsidR="00906AFB" w:rsidRPr="00906AFB" w:rsidRDefault="00906AFB" w:rsidP="00906AFB">
      <w:pPr>
        <w:spacing w:after="0" w:line="240" w:lineRule="auto"/>
        <w:ind w:left="720" w:hanging="720"/>
        <w:contextualSpacing/>
        <w:jc w:val="both"/>
        <w:rPr>
          <w:rFonts w:ascii="Arial" w:eastAsia="Times New Roman" w:hAnsi="Arial" w:cs="Arial"/>
          <w:sz w:val="24"/>
          <w:szCs w:val="24"/>
        </w:rPr>
      </w:pPr>
    </w:p>
    <w:p w:rsidR="00906AFB" w:rsidRPr="00906AFB" w:rsidRDefault="00906AFB" w:rsidP="00F859A4">
      <w:pPr>
        <w:numPr>
          <w:ilvl w:val="0"/>
          <w:numId w:val="20"/>
        </w:numPr>
        <w:spacing w:before="120" w:after="0" w:line="240" w:lineRule="auto"/>
        <w:ind w:hanging="720"/>
        <w:contextualSpacing/>
        <w:jc w:val="both"/>
        <w:rPr>
          <w:rFonts w:ascii="Arial" w:eastAsia="Times New Roman" w:hAnsi="Arial" w:cs="Arial"/>
          <w:sz w:val="24"/>
          <w:szCs w:val="24"/>
        </w:rPr>
      </w:pPr>
      <w:r w:rsidRPr="00906AFB">
        <w:rPr>
          <w:rFonts w:ascii="Arial" w:eastAsia="Times New Roman" w:hAnsi="Arial" w:cs="Arial"/>
          <w:sz w:val="24"/>
          <w:szCs w:val="24"/>
        </w:rPr>
        <w:t>Garantizar el derecho igualitario e incondicional de toda persona al desarrollo social y el acceso a sus programas;</w:t>
      </w:r>
    </w:p>
    <w:p w:rsidR="00906AFB" w:rsidRPr="00906AFB" w:rsidRDefault="00906AFB" w:rsidP="00906AFB">
      <w:pPr>
        <w:spacing w:after="0" w:line="240" w:lineRule="auto"/>
        <w:ind w:left="720" w:hanging="720"/>
        <w:contextualSpacing/>
        <w:jc w:val="both"/>
        <w:rPr>
          <w:rFonts w:ascii="Arial" w:eastAsia="Times New Roman" w:hAnsi="Arial" w:cs="Arial"/>
          <w:sz w:val="24"/>
          <w:szCs w:val="24"/>
        </w:rPr>
      </w:pPr>
    </w:p>
    <w:p w:rsidR="00906AFB" w:rsidRPr="00906AFB" w:rsidRDefault="00906AFB" w:rsidP="00F859A4">
      <w:pPr>
        <w:numPr>
          <w:ilvl w:val="0"/>
          <w:numId w:val="20"/>
        </w:numPr>
        <w:spacing w:before="120" w:after="0" w:line="240" w:lineRule="auto"/>
        <w:ind w:hanging="720"/>
        <w:contextualSpacing/>
        <w:jc w:val="both"/>
        <w:rPr>
          <w:rFonts w:ascii="Arial" w:eastAsia="Times New Roman" w:hAnsi="Arial" w:cs="Arial"/>
          <w:sz w:val="24"/>
          <w:szCs w:val="24"/>
        </w:rPr>
      </w:pPr>
      <w:r w:rsidRPr="00906AFB">
        <w:rPr>
          <w:rFonts w:ascii="Arial" w:eastAsia="Times New Roman" w:hAnsi="Arial" w:cs="Arial"/>
          <w:sz w:val="24"/>
          <w:szCs w:val="24"/>
        </w:rPr>
        <w:t>Combatir con eficiencia la pobreza, la marginación y la exclusión social;</w:t>
      </w:r>
    </w:p>
    <w:p w:rsidR="00906AFB" w:rsidRPr="00906AFB" w:rsidRDefault="00906AFB" w:rsidP="00906AFB">
      <w:pPr>
        <w:spacing w:after="0" w:line="240" w:lineRule="auto"/>
        <w:ind w:left="720" w:hanging="720"/>
        <w:contextualSpacing/>
        <w:jc w:val="both"/>
        <w:rPr>
          <w:rFonts w:ascii="Arial" w:eastAsia="Times New Roman" w:hAnsi="Arial" w:cs="Arial"/>
          <w:sz w:val="24"/>
          <w:szCs w:val="24"/>
        </w:rPr>
      </w:pPr>
    </w:p>
    <w:p w:rsidR="00906AFB" w:rsidRPr="00906AFB" w:rsidRDefault="00906AFB" w:rsidP="00F859A4">
      <w:pPr>
        <w:numPr>
          <w:ilvl w:val="0"/>
          <w:numId w:val="20"/>
        </w:numPr>
        <w:spacing w:before="120" w:after="0" w:line="240" w:lineRule="auto"/>
        <w:ind w:hanging="720"/>
        <w:contextualSpacing/>
        <w:jc w:val="both"/>
        <w:rPr>
          <w:rFonts w:ascii="Arial" w:eastAsia="Times New Roman" w:hAnsi="Arial" w:cs="Arial"/>
          <w:sz w:val="24"/>
          <w:szCs w:val="24"/>
        </w:rPr>
      </w:pPr>
      <w:r w:rsidRPr="00906AFB">
        <w:rPr>
          <w:rFonts w:ascii="Arial" w:eastAsia="Times New Roman" w:hAnsi="Arial" w:cs="Arial"/>
          <w:sz w:val="24"/>
          <w:szCs w:val="24"/>
        </w:rPr>
        <w:t>Implementar acciones que busquen la plena equidad social para todos los grupos excluidos, en condiciones de subordinación o discriminación por razones de su condición socioeconómica, edad, sexo, pertenencia étnica o racial, características físicas, preferencia sexual, origen nacional, práctica religiosa o cualquier otra;</w:t>
      </w:r>
    </w:p>
    <w:p w:rsidR="00906AFB" w:rsidRPr="00906AFB" w:rsidRDefault="00906AFB" w:rsidP="00906AFB">
      <w:pPr>
        <w:spacing w:after="0" w:line="240" w:lineRule="auto"/>
        <w:ind w:left="720" w:hanging="720"/>
        <w:contextualSpacing/>
        <w:jc w:val="both"/>
        <w:rPr>
          <w:rFonts w:ascii="Arial" w:eastAsia="Times New Roman" w:hAnsi="Arial" w:cs="Arial"/>
          <w:sz w:val="24"/>
          <w:szCs w:val="24"/>
        </w:rPr>
      </w:pPr>
    </w:p>
    <w:p w:rsidR="00906AFB" w:rsidRPr="00906AFB" w:rsidRDefault="00906AFB" w:rsidP="00F859A4">
      <w:pPr>
        <w:numPr>
          <w:ilvl w:val="0"/>
          <w:numId w:val="20"/>
        </w:numPr>
        <w:spacing w:before="120" w:after="0" w:line="240" w:lineRule="auto"/>
        <w:ind w:hanging="720"/>
        <w:contextualSpacing/>
        <w:jc w:val="both"/>
        <w:rPr>
          <w:rFonts w:ascii="Arial" w:eastAsia="Times New Roman" w:hAnsi="Arial" w:cs="Arial"/>
          <w:sz w:val="24"/>
          <w:szCs w:val="24"/>
        </w:rPr>
      </w:pPr>
      <w:r w:rsidRPr="00906AFB">
        <w:rPr>
          <w:rFonts w:ascii="Arial" w:eastAsia="Times New Roman" w:hAnsi="Arial" w:cs="Arial"/>
          <w:sz w:val="24"/>
          <w:szCs w:val="24"/>
        </w:rPr>
        <w:t>Establecer las bases para un desarrollo social integral, garantizando la evaluación del impacto de los programas de desarrollo social; y</w:t>
      </w:r>
    </w:p>
    <w:p w:rsidR="00906AFB" w:rsidRPr="00906AFB" w:rsidRDefault="00906AFB" w:rsidP="00906AFB">
      <w:pPr>
        <w:spacing w:after="0" w:line="240" w:lineRule="auto"/>
        <w:ind w:left="720" w:hanging="720"/>
        <w:contextualSpacing/>
        <w:jc w:val="both"/>
        <w:rPr>
          <w:rFonts w:ascii="Arial" w:eastAsia="Times New Roman" w:hAnsi="Arial" w:cs="Arial"/>
          <w:sz w:val="24"/>
          <w:szCs w:val="24"/>
        </w:rPr>
      </w:pPr>
    </w:p>
    <w:p w:rsidR="00906AFB" w:rsidRPr="00906AFB" w:rsidRDefault="00906AFB" w:rsidP="00F859A4">
      <w:pPr>
        <w:numPr>
          <w:ilvl w:val="0"/>
          <w:numId w:val="20"/>
        </w:numPr>
        <w:spacing w:before="120" w:after="0" w:line="240" w:lineRule="auto"/>
        <w:ind w:hanging="720"/>
        <w:contextualSpacing/>
        <w:jc w:val="both"/>
        <w:rPr>
          <w:rFonts w:ascii="Arial" w:eastAsia="Times New Roman" w:hAnsi="Arial" w:cs="Arial"/>
          <w:sz w:val="24"/>
          <w:szCs w:val="24"/>
        </w:rPr>
      </w:pPr>
      <w:r w:rsidRPr="00906AFB">
        <w:rPr>
          <w:rFonts w:ascii="Arial" w:eastAsia="Times New Roman" w:hAnsi="Arial" w:cs="Arial"/>
          <w:sz w:val="24"/>
          <w:szCs w:val="24"/>
        </w:rPr>
        <w:t>Garantizar la inclusión social y determinar las bases para la promoción y participación social organizada y para su vinculación con los programas, estrategias y recursos gubernamentales para el desarrollo social.</w:t>
      </w:r>
    </w:p>
    <w:p w:rsidR="00906AFB" w:rsidRPr="00906AFB" w:rsidRDefault="00906AFB" w:rsidP="00906AFB">
      <w:pPr>
        <w:spacing w:after="0" w:line="240" w:lineRule="auto"/>
        <w:ind w:left="720"/>
        <w:contextualSpacing/>
        <w:jc w:val="both"/>
        <w:rPr>
          <w:rFonts w:ascii="Arial" w:eastAsia="Times New Roman" w:hAnsi="Arial" w:cs="Arial"/>
          <w:sz w:val="24"/>
          <w:szCs w:val="24"/>
        </w:rPr>
      </w:pPr>
    </w:p>
    <w:p w:rsidR="00FD430F" w:rsidRDefault="00FD430F" w:rsidP="00906AFB">
      <w:pPr>
        <w:spacing w:after="0" w:line="240" w:lineRule="auto"/>
        <w:jc w:val="both"/>
        <w:rPr>
          <w:rFonts w:ascii="Arial" w:eastAsia="Calibri" w:hAnsi="Arial" w:cs="Arial"/>
          <w:b/>
          <w:sz w:val="24"/>
          <w:szCs w:val="24"/>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b/>
          <w:sz w:val="24"/>
          <w:szCs w:val="24"/>
          <w:lang w:val="es-ES" w:eastAsia="en-US"/>
        </w:rPr>
        <w:t>Artículo 87</w:t>
      </w:r>
      <w:r w:rsidRPr="00906AFB">
        <w:rPr>
          <w:rFonts w:ascii="Arial" w:eastAsia="Calibri" w:hAnsi="Arial" w:cs="Arial"/>
          <w:sz w:val="24"/>
          <w:szCs w:val="24"/>
          <w:lang w:val="es-ES" w:eastAsia="en-US"/>
        </w:rPr>
        <w:t>. Las Dependencias del Ejecutivo y Entidades del Estado en el ámbito de sus respectivas competencias y con cargo a sus presupuestos, adoptarán medidas para destinar recursos orientados a atender la mitigación de los efectos del cambio climático en función de lo previsto en la Ley Ambiental para el Desarrollo Sustentable del Estado de Colima, cuyo objeto es la preservación y restauración del equilibrio ecológico, la protección al ambiente, así como propiciar el desarrollo sustentable.</w:t>
      </w:r>
    </w:p>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sz w:val="24"/>
          <w:szCs w:val="24"/>
          <w:lang w:val="es-ES" w:eastAsia="en-US"/>
        </w:rPr>
        <w:t>Para el ejercicio fiscal 2017 se prevé la asignación presupuestal de $300,000 a la partida 41145 Fondo Ambiental para la Mitigación del Cambio</w:t>
      </w:r>
      <w:r w:rsidR="00C552C8">
        <w:rPr>
          <w:rFonts w:ascii="Arial" w:eastAsia="Calibri" w:hAnsi="Arial" w:cs="Arial"/>
          <w:sz w:val="24"/>
          <w:szCs w:val="24"/>
          <w:lang w:val="es-ES" w:eastAsia="en-US"/>
        </w:rPr>
        <w:t xml:space="preserve"> Climático</w:t>
      </w:r>
      <w:r w:rsidRPr="00906AFB">
        <w:rPr>
          <w:rFonts w:ascii="Arial" w:eastAsia="Calibri" w:hAnsi="Arial" w:cs="Arial"/>
          <w:sz w:val="24"/>
          <w:szCs w:val="24"/>
          <w:lang w:val="es-ES" w:eastAsia="en-US"/>
        </w:rPr>
        <w:t>.</w:t>
      </w:r>
    </w:p>
    <w:p w:rsidR="00906AFB" w:rsidRDefault="00906AFB" w:rsidP="00906AFB">
      <w:pPr>
        <w:spacing w:after="0" w:line="240" w:lineRule="auto"/>
        <w:jc w:val="both"/>
        <w:rPr>
          <w:rFonts w:ascii="Arial" w:eastAsia="Calibri" w:hAnsi="Arial" w:cs="Arial"/>
          <w:sz w:val="24"/>
          <w:szCs w:val="24"/>
          <w:lang w:val="es-ES" w:eastAsia="en-US"/>
        </w:rPr>
      </w:pPr>
    </w:p>
    <w:p w:rsidR="00E24DE2" w:rsidRDefault="00E24DE2" w:rsidP="00906AFB">
      <w:pPr>
        <w:spacing w:after="0" w:line="240" w:lineRule="auto"/>
        <w:jc w:val="both"/>
        <w:rPr>
          <w:rFonts w:ascii="Arial" w:eastAsia="Calibri" w:hAnsi="Arial" w:cs="Arial"/>
          <w:sz w:val="24"/>
          <w:szCs w:val="24"/>
          <w:lang w:val="es-ES" w:eastAsia="en-US"/>
        </w:rPr>
      </w:pPr>
    </w:p>
    <w:p w:rsidR="00E24DE2" w:rsidRPr="00906AFB" w:rsidRDefault="00E24DE2" w:rsidP="00906AFB">
      <w:pPr>
        <w:spacing w:after="0" w:line="240" w:lineRule="auto"/>
        <w:jc w:val="both"/>
        <w:rPr>
          <w:rFonts w:ascii="Arial" w:eastAsia="Calibri" w:hAnsi="Arial" w:cs="Arial"/>
          <w:sz w:val="24"/>
          <w:szCs w:val="24"/>
          <w:lang w:val="es-ES" w:eastAsia="en-US"/>
        </w:rPr>
      </w:pPr>
    </w:p>
    <w:p w:rsidR="00906AFB" w:rsidRPr="00906AFB" w:rsidRDefault="00906AFB" w:rsidP="00906AFB">
      <w:pPr>
        <w:keepNext/>
        <w:keepLines/>
        <w:spacing w:after="0" w:line="240" w:lineRule="auto"/>
        <w:jc w:val="center"/>
        <w:outlineLvl w:val="0"/>
        <w:rPr>
          <w:rFonts w:ascii="Arial" w:eastAsia="Times New Roman" w:hAnsi="Arial" w:cs="Arial"/>
          <w:b/>
          <w:sz w:val="24"/>
          <w:szCs w:val="24"/>
          <w:lang w:val="es-ES" w:eastAsia="en-US"/>
        </w:rPr>
      </w:pPr>
      <w:bookmarkStart w:id="40" w:name="_Toc465292965"/>
      <w:bookmarkStart w:id="41" w:name="_Toc465292893"/>
      <w:r w:rsidRPr="00906AFB">
        <w:rPr>
          <w:rFonts w:ascii="Arial" w:eastAsia="Times New Roman" w:hAnsi="Arial" w:cs="Arial"/>
          <w:b/>
          <w:sz w:val="24"/>
          <w:szCs w:val="24"/>
          <w:lang w:val="es-ES" w:eastAsia="en-US"/>
        </w:rPr>
        <w:t xml:space="preserve">TITULO QUINTO </w:t>
      </w:r>
    </w:p>
    <w:p w:rsidR="00906AFB" w:rsidRPr="00906AFB" w:rsidRDefault="00852AAE" w:rsidP="00906AFB">
      <w:pPr>
        <w:keepNext/>
        <w:keepLines/>
        <w:spacing w:after="0" w:line="240" w:lineRule="auto"/>
        <w:jc w:val="center"/>
        <w:outlineLvl w:val="0"/>
        <w:rPr>
          <w:rFonts w:ascii="Arial" w:eastAsia="Times New Roman" w:hAnsi="Arial" w:cs="Arial"/>
          <w:b/>
          <w:sz w:val="24"/>
          <w:szCs w:val="24"/>
          <w:lang w:val="es-ES" w:eastAsia="en-US"/>
        </w:rPr>
      </w:pPr>
      <w:r>
        <w:rPr>
          <w:rFonts w:ascii="Arial" w:eastAsia="Times New Roman" w:hAnsi="Arial" w:cs="Arial"/>
          <w:b/>
          <w:sz w:val="24"/>
          <w:szCs w:val="24"/>
          <w:lang w:val="es-ES" w:eastAsia="en-US"/>
        </w:rPr>
        <w:t xml:space="preserve">RESPONSABILIDADES Y </w:t>
      </w:r>
      <w:r w:rsidR="00906AFB" w:rsidRPr="00906AFB">
        <w:rPr>
          <w:rFonts w:ascii="Arial" w:eastAsia="Times New Roman" w:hAnsi="Arial" w:cs="Arial"/>
          <w:b/>
          <w:sz w:val="24"/>
          <w:szCs w:val="24"/>
          <w:lang w:val="es-ES" w:eastAsia="en-US"/>
        </w:rPr>
        <w:t>SANCIONES</w:t>
      </w:r>
      <w:bookmarkEnd w:id="40"/>
      <w:bookmarkEnd w:id="41"/>
    </w:p>
    <w:p w:rsidR="00906AFB" w:rsidRPr="00906AFB" w:rsidRDefault="00906AFB" w:rsidP="00906AFB">
      <w:pPr>
        <w:spacing w:after="0" w:line="240" w:lineRule="auto"/>
        <w:jc w:val="center"/>
        <w:rPr>
          <w:rFonts w:ascii="Arial" w:eastAsia="Calibri" w:hAnsi="Arial" w:cs="Arial"/>
          <w:b/>
          <w:sz w:val="24"/>
          <w:szCs w:val="24"/>
          <w:lang w:val="es-ES" w:eastAsia="en-US"/>
        </w:rPr>
      </w:pPr>
    </w:p>
    <w:p w:rsidR="00906AFB" w:rsidRPr="00906AFB" w:rsidRDefault="00906AFB" w:rsidP="00906AFB">
      <w:pPr>
        <w:spacing w:after="0" w:line="240" w:lineRule="auto"/>
        <w:jc w:val="center"/>
        <w:rPr>
          <w:rFonts w:ascii="Arial" w:eastAsia="Calibri" w:hAnsi="Arial" w:cs="Arial"/>
          <w:b/>
          <w:sz w:val="24"/>
          <w:szCs w:val="24"/>
          <w:lang w:val="es-ES" w:eastAsia="en-US"/>
        </w:rPr>
      </w:pPr>
      <w:r w:rsidRPr="00906AFB">
        <w:rPr>
          <w:rFonts w:ascii="Arial" w:eastAsia="Calibri" w:hAnsi="Arial" w:cs="Arial"/>
          <w:b/>
          <w:sz w:val="24"/>
          <w:szCs w:val="24"/>
          <w:lang w:val="es-ES" w:eastAsia="en-US"/>
        </w:rPr>
        <w:t xml:space="preserve">CAPÍTULO ÚNICO </w:t>
      </w:r>
    </w:p>
    <w:p w:rsidR="00906AFB" w:rsidRPr="00906AFB" w:rsidRDefault="00852AAE" w:rsidP="00906AFB">
      <w:pPr>
        <w:spacing w:after="0" w:line="240" w:lineRule="auto"/>
        <w:jc w:val="center"/>
        <w:rPr>
          <w:rFonts w:ascii="Arial" w:eastAsia="Calibri" w:hAnsi="Arial" w:cs="Arial"/>
          <w:b/>
          <w:sz w:val="24"/>
          <w:szCs w:val="24"/>
          <w:lang w:val="es-ES" w:eastAsia="en-US"/>
        </w:rPr>
      </w:pPr>
      <w:r>
        <w:rPr>
          <w:rFonts w:ascii="Arial" w:eastAsia="Calibri" w:hAnsi="Arial" w:cs="Arial"/>
          <w:b/>
          <w:sz w:val="24"/>
          <w:szCs w:val="24"/>
          <w:lang w:val="es-ES" w:eastAsia="en-US"/>
        </w:rPr>
        <w:t xml:space="preserve">RESPONSABILIDADES Y </w:t>
      </w:r>
      <w:r w:rsidR="00906AFB" w:rsidRPr="00906AFB">
        <w:rPr>
          <w:rFonts w:ascii="Arial" w:eastAsia="Calibri" w:hAnsi="Arial" w:cs="Arial"/>
          <w:b/>
          <w:sz w:val="24"/>
          <w:szCs w:val="24"/>
          <w:lang w:val="es-ES" w:eastAsia="en-US"/>
        </w:rPr>
        <w:t>SANCIONES</w:t>
      </w:r>
    </w:p>
    <w:p w:rsidR="00906AFB" w:rsidRPr="00906AFB" w:rsidRDefault="00906AFB" w:rsidP="00906AFB">
      <w:pPr>
        <w:spacing w:after="0" w:line="240" w:lineRule="auto"/>
        <w:jc w:val="both"/>
        <w:rPr>
          <w:rFonts w:ascii="Arial" w:eastAsia="Calibri" w:hAnsi="Arial" w:cs="Arial"/>
          <w:sz w:val="24"/>
          <w:szCs w:val="24"/>
          <w:lang w:val="es-ES" w:eastAsia="en-US"/>
        </w:rPr>
      </w:pPr>
    </w:p>
    <w:p w:rsidR="001726D7" w:rsidRPr="007F2BCB" w:rsidRDefault="00906AFB" w:rsidP="00906AFB">
      <w:pPr>
        <w:spacing w:after="0" w:line="240" w:lineRule="auto"/>
        <w:jc w:val="both"/>
        <w:rPr>
          <w:rFonts w:ascii="Arial" w:eastAsia="Calibri" w:hAnsi="Arial" w:cs="Arial"/>
          <w:sz w:val="24"/>
          <w:szCs w:val="24"/>
          <w:lang w:val="es-ES" w:eastAsia="en-US"/>
        </w:rPr>
      </w:pPr>
      <w:r w:rsidRPr="007F2BCB">
        <w:rPr>
          <w:rFonts w:ascii="Arial" w:eastAsia="Calibri" w:hAnsi="Arial" w:cs="Arial"/>
          <w:b/>
          <w:sz w:val="24"/>
          <w:szCs w:val="24"/>
          <w:lang w:val="es-ES" w:eastAsia="en-US"/>
        </w:rPr>
        <w:t>Artículo 88</w:t>
      </w:r>
      <w:r w:rsidR="00174111" w:rsidRPr="007F2BCB">
        <w:rPr>
          <w:rFonts w:ascii="Arial" w:eastAsia="Calibri" w:hAnsi="Arial" w:cs="Arial"/>
          <w:sz w:val="24"/>
          <w:szCs w:val="24"/>
          <w:lang w:val="es-ES" w:eastAsia="en-US"/>
        </w:rPr>
        <w:t>. Será responsabilidad de los poderes Ejecutivo, Legislativo y Judicial, de las dependencias de la Administración Pública Centralizada del Estado, de las entidades de la Administración Pública Paraestatal, de los órganos estatales autónomos previstos en la Constitución Política del Estado Libre y Soberano de Colima</w:t>
      </w:r>
      <w:r w:rsidR="001726D7" w:rsidRPr="007F2BCB">
        <w:rPr>
          <w:rFonts w:ascii="Arial" w:eastAsia="Calibri" w:hAnsi="Arial" w:cs="Arial"/>
          <w:sz w:val="24"/>
          <w:szCs w:val="24"/>
          <w:lang w:val="es-ES" w:eastAsia="en-US"/>
        </w:rPr>
        <w:t xml:space="preserve">, de los órganos internos de control de los entes públicos, </w:t>
      </w:r>
      <w:r w:rsidR="00174111" w:rsidRPr="007F2BCB">
        <w:rPr>
          <w:rFonts w:ascii="Arial" w:eastAsia="Calibri" w:hAnsi="Arial" w:cs="Arial"/>
          <w:sz w:val="24"/>
          <w:szCs w:val="24"/>
          <w:lang w:val="es-ES" w:eastAsia="en-US"/>
        </w:rPr>
        <w:t>del Órgano Superior de Auditoría y Fiscalización Gubernamental</w:t>
      </w:r>
      <w:r w:rsidR="00D7189F" w:rsidRPr="007F2BCB">
        <w:rPr>
          <w:rFonts w:ascii="Arial" w:eastAsia="Calibri" w:hAnsi="Arial" w:cs="Arial"/>
          <w:sz w:val="24"/>
          <w:szCs w:val="24"/>
          <w:lang w:val="es-ES" w:eastAsia="en-US"/>
        </w:rPr>
        <w:t xml:space="preserve"> del Estado </w:t>
      </w:r>
      <w:r w:rsidR="00174111" w:rsidRPr="007F2BCB">
        <w:rPr>
          <w:rFonts w:ascii="Arial" w:eastAsia="Calibri" w:hAnsi="Arial" w:cs="Arial"/>
          <w:sz w:val="24"/>
          <w:szCs w:val="24"/>
          <w:lang w:val="es-ES" w:eastAsia="en-US"/>
        </w:rPr>
        <w:t>y</w:t>
      </w:r>
      <w:r w:rsidR="001726D7" w:rsidRPr="007F2BCB">
        <w:rPr>
          <w:rFonts w:ascii="Arial" w:eastAsia="Calibri" w:hAnsi="Arial" w:cs="Arial"/>
          <w:sz w:val="24"/>
          <w:szCs w:val="24"/>
          <w:lang w:val="es-ES" w:eastAsia="en-US"/>
        </w:rPr>
        <w:t>,</w:t>
      </w:r>
      <w:r w:rsidR="00174111" w:rsidRPr="007F2BCB">
        <w:rPr>
          <w:rFonts w:ascii="Arial" w:eastAsia="Calibri" w:hAnsi="Arial" w:cs="Arial"/>
          <w:sz w:val="24"/>
          <w:szCs w:val="24"/>
          <w:lang w:val="es-ES" w:eastAsia="en-US"/>
        </w:rPr>
        <w:t xml:space="preserve"> </w:t>
      </w:r>
      <w:r w:rsidR="00C66D14" w:rsidRPr="007F2BCB">
        <w:rPr>
          <w:rFonts w:ascii="Arial" w:eastAsia="Calibri" w:hAnsi="Arial" w:cs="Arial"/>
          <w:sz w:val="24"/>
          <w:szCs w:val="24"/>
          <w:lang w:val="es-ES" w:eastAsia="en-US"/>
        </w:rPr>
        <w:t xml:space="preserve">en </w:t>
      </w:r>
      <w:r w:rsidR="001726D7" w:rsidRPr="007F2BCB">
        <w:rPr>
          <w:rFonts w:ascii="Arial" w:eastAsia="Calibri" w:hAnsi="Arial" w:cs="Arial"/>
          <w:sz w:val="24"/>
          <w:szCs w:val="24"/>
          <w:lang w:val="es-ES" w:eastAsia="en-US"/>
        </w:rPr>
        <w:t xml:space="preserve">general, de toda persona física o moral, pública o privada, sujeta a la aplicación u observancia del presente Decreto, </w:t>
      </w:r>
      <w:r w:rsidRPr="007F2BCB">
        <w:rPr>
          <w:rFonts w:ascii="Arial" w:eastAsia="Calibri" w:hAnsi="Arial" w:cs="Arial"/>
          <w:sz w:val="24"/>
          <w:szCs w:val="24"/>
          <w:lang w:val="es-ES" w:eastAsia="en-US"/>
        </w:rPr>
        <w:t xml:space="preserve">en el ámbito de sus respectivas competencias, cumplir y hacer cumplir </w:t>
      </w:r>
      <w:r w:rsidR="00174111" w:rsidRPr="007F2BCB">
        <w:rPr>
          <w:rFonts w:ascii="Arial" w:eastAsia="Calibri" w:hAnsi="Arial" w:cs="Arial"/>
          <w:sz w:val="24"/>
          <w:szCs w:val="24"/>
          <w:lang w:val="es-ES" w:eastAsia="en-US"/>
        </w:rPr>
        <w:t>sus disposiciones</w:t>
      </w:r>
      <w:r w:rsidR="001726D7" w:rsidRPr="007F2BCB">
        <w:rPr>
          <w:rFonts w:ascii="Arial" w:eastAsia="Calibri" w:hAnsi="Arial" w:cs="Arial"/>
          <w:sz w:val="24"/>
          <w:szCs w:val="24"/>
          <w:lang w:val="es-ES" w:eastAsia="en-US"/>
        </w:rPr>
        <w:t>.</w:t>
      </w:r>
      <w:r w:rsidR="00174111" w:rsidRPr="007F2BCB">
        <w:rPr>
          <w:rFonts w:ascii="Arial" w:eastAsia="Calibri" w:hAnsi="Arial" w:cs="Arial"/>
          <w:sz w:val="24"/>
          <w:szCs w:val="24"/>
          <w:lang w:val="es-ES" w:eastAsia="en-US"/>
        </w:rPr>
        <w:t xml:space="preserve"> </w:t>
      </w:r>
    </w:p>
    <w:p w:rsidR="001726D7" w:rsidRPr="007F2BCB" w:rsidRDefault="001726D7" w:rsidP="00906AFB">
      <w:pPr>
        <w:spacing w:after="0" w:line="240" w:lineRule="auto"/>
        <w:jc w:val="both"/>
        <w:rPr>
          <w:rFonts w:ascii="Arial" w:eastAsia="Calibri" w:hAnsi="Arial" w:cs="Arial"/>
          <w:sz w:val="24"/>
          <w:szCs w:val="24"/>
          <w:lang w:val="es-ES" w:eastAsia="en-US"/>
        </w:rPr>
      </w:pPr>
    </w:p>
    <w:p w:rsidR="00C66D14" w:rsidRDefault="001726D7" w:rsidP="001726D7">
      <w:pPr>
        <w:spacing w:after="0" w:line="240" w:lineRule="auto"/>
        <w:jc w:val="both"/>
        <w:rPr>
          <w:rFonts w:ascii="Arial" w:eastAsia="Times New Roman" w:hAnsi="Arial" w:cs="Arial"/>
          <w:sz w:val="24"/>
          <w:szCs w:val="24"/>
          <w:lang w:eastAsia="en-US"/>
        </w:rPr>
      </w:pPr>
      <w:r w:rsidRPr="007F2BCB">
        <w:rPr>
          <w:rFonts w:ascii="Arial" w:eastAsia="Calibri" w:hAnsi="Arial" w:cs="Arial"/>
          <w:b/>
          <w:sz w:val="24"/>
          <w:szCs w:val="24"/>
          <w:lang w:val="es-ES" w:eastAsia="en-US"/>
        </w:rPr>
        <w:t xml:space="preserve">Artículo 89. </w:t>
      </w:r>
      <w:r w:rsidR="00852AAE" w:rsidRPr="007F2BCB">
        <w:rPr>
          <w:rFonts w:ascii="Arial" w:eastAsia="Times New Roman" w:hAnsi="Arial" w:cs="Arial"/>
          <w:sz w:val="24"/>
          <w:szCs w:val="24"/>
          <w:lang w:eastAsia="en-US"/>
        </w:rPr>
        <w:t xml:space="preserve">Los actos u omisiones que impliquen el incumplimiento a las </w:t>
      </w:r>
      <w:r w:rsidRPr="007F2BCB">
        <w:rPr>
          <w:rFonts w:ascii="Arial" w:eastAsia="Times New Roman" w:hAnsi="Arial" w:cs="Arial"/>
          <w:sz w:val="24"/>
          <w:szCs w:val="24"/>
          <w:lang w:eastAsia="en-US"/>
        </w:rPr>
        <w:t xml:space="preserve">disposiciones </w:t>
      </w:r>
      <w:r w:rsidR="00D7189F" w:rsidRPr="007F2BCB">
        <w:rPr>
          <w:rFonts w:ascii="Arial" w:eastAsia="Times New Roman" w:hAnsi="Arial" w:cs="Arial"/>
          <w:sz w:val="24"/>
          <w:szCs w:val="24"/>
          <w:lang w:eastAsia="en-US"/>
        </w:rPr>
        <w:t>contenidas</w:t>
      </w:r>
      <w:r w:rsidR="00C66D14" w:rsidRPr="007F2BCB">
        <w:rPr>
          <w:rFonts w:ascii="Arial" w:eastAsia="Times New Roman" w:hAnsi="Arial" w:cs="Arial"/>
          <w:sz w:val="24"/>
          <w:szCs w:val="24"/>
          <w:lang w:eastAsia="en-US"/>
        </w:rPr>
        <w:t xml:space="preserve"> en el presente Decreto</w:t>
      </w:r>
      <w:r w:rsidR="00852AAE" w:rsidRPr="007F2BCB">
        <w:rPr>
          <w:rFonts w:ascii="Arial" w:eastAsia="Times New Roman" w:hAnsi="Arial" w:cs="Arial"/>
          <w:sz w:val="24"/>
          <w:szCs w:val="24"/>
          <w:lang w:eastAsia="en-US"/>
        </w:rPr>
        <w:t xml:space="preserve"> y demás </w:t>
      </w:r>
      <w:r w:rsidR="00C66D14" w:rsidRPr="007F2BCB">
        <w:rPr>
          <w:rFonts w:ascii="Arial" w:eastAsia="Times New Roman" w:hAnsi="Arial" w:cs="Arial"/>
          <w:sz w:val="24"/>
          <w:szCs w:val="24"/>
          <w:lang w:eastAsia="en-US"/>
        </w:rPr>
        <w:t>ordenamientos aplicables en materia de presupuesto, gasto público, disciplina financiera, deuda o responsabilidad hacendaria, serán conocidos y sancionados de conformidad con lo previsto en la Ley General de Responsabilidades Administrativas, la Ley de Fiscalización Superior del Estado, la Ley Estatal de Responsabilidades de los Servidores Públicos y demás legislación aplicable.</w:t>
      </w:r>
      <w:r w:rsidR="00C66D14">
        <w:rPr>
          <w:rFonts w:ascii="Arial" w:eastAsia="Times New Roman" w:hAnsi="Arial" w:cs="Arial"/>
          <w:sz w:val="24"/>
          <w:szCs w:val="24"/>
          <w:lang w:eastAsia="en-US"/>
        </w:rPr>
        <w:t xml:space="preserve"> </w:t>
      </w:r>
    </w:p>
    <w:p w:rsidR="00C66D14" w:rsidRDefault="00C66D14" w:rsidP="001726D7">
      <w:pPr>
        <w:spacing w:after="0" w:line="240" w:lineRule="auto"/>
        <w:jc w:val="both"/>
        <w:rPr>
          <w:rFonts w:ascii="Arial" w:eastAsia="Times New Roman" w:hAnsi="Arial" w:cs="Arial"/>
          <w:sz w:val="24"/>
          <w:szCs w:val="24"/>
          <w:lang w:eastAsia="en-US"/>
        </w:rPr>
      </w:pPr>
    </w:p>
    <w:p w:rsidR="00E24DE2" w:rsidRDefault="00E24DE2" w:rsidP="001726D7">
      <w:pPr>
        <w:spacing w:after="0" w:line="240" w:lineRule="auto"/>
        <w:jc w:val="both"/>
        <w:rPr>
          <w:rFonts w:ascii="Arial" w:eastAsia="Times New Roman" w:hAnsi="Arial" w:cs="Arial"/>
          <w:sz w:val="24"/>
          <w:szCs w:val="24"/>
          <w:lang w:eastAsia="en-US"/>
        </w:rPr>
      </w:pPr>
    </w:p>
    <w:p w:rsidR="00906AFB" w:rsidRPr="00B613BE" w:rsidRDefault="00906AFB" w:rsidP="00906AFB">
      <w:pPr>
        <w:keepNext/>
        <w:keepLines/>
        <w:spacing w:after="0" w:line="240" w:lineRule="auto"/>
        <w:jc w:val="center"/>
        <w:outlineLvl w:val="0"/>
        <w:rPr>
          <w:rFonts w:ascii="Arial" w:eastAsia="Times New Roman" w:hAnsi="Arial" w:cs="Arial"/>
          <w:b/>
          <w:sz w:val="24"/>
          <w:szCs w:val="24"/>
          <w:lang w:val="es-ES" w:eastAsia="en-US"/>
        </w:rPr>
      </w:pPr>
      <w:bookmarkStart w:id="42" w:name="_Toc465292966"/>
      <w:bookmarkStart w:id="43" w:name="_Toc465292894"/>
      <w:r w:rsidRPr="00B613BE">
        <w:rPr>
          <w:rFonts w:ascii="Arial" w:eastAsia="Times New Roman" w:hAnsi="Arial" w:cs="Arial"/>
          <w:b/>
          <w:sz w:val="24"/>
          <w:szCs w:val="24"/>
          <w:lang w:val="es-ES" w:eastAsia="en-US"/>
        </w:rPr>
        <w:t>TRANSITORIOS</w:t>
      </w:r>
      <w:bookmarkEnd w:id="42"/>
      <w:bookmarkEnd w:id="43"/>
    </w:p>
    <w:p w:rsidR="00906AFB" w:rsidRDefault="00906AFB" w:rsidP="00906AFB">
      <w:pPr>
        <w:spacing w:after="0" w:line="240" w:lineRule="auto"/>
        <w:jc w:val="both"/>
        <w:rPr>
          <w:rFonts w:ascii="Arial" w:eastAsia="Calibri" w:hAnsi="Arial" w:cs="Arial"/>
          <w:sz w:val="24"/>
          <w:szCs w:val="24"/>
          <w:lang w:val="es-ES" w:eastAsia="en-US"/>
        </w:rPr>
      </w:pPr>
    </w:p>
    <w:p w:rsidR="00E24DE2" w:rsidRPr="00B613BE" w:rsidRDefault="00E24DE2" w:rsidP="00906AFB">
      <w:pPr>
        <w:spacing w:after="0" w:line="240" w:lineRule="auto"/>
        <w:jc w:val="both"/>
        <w:rPr>
          <w:rFonts w:ascii="Arial" w:eastAsia="Calibri" w:hAnsi="Arial" w:cs="Arial"/>
          <w:sz w:val="24"/>
          <w:szCs w:val="24"/>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b/>
          <w:sz w:val="24"/>
          <w:szCs w:val="24"/>
          <w:lang w:val="es-ES" w:eastAsia="en-US"/>
        </w:rPr>
        <w:t>PRIMERO</w:t>
      </w:r>
      <w:r w:rsidRPr="00906AFB">
        <w:rPr>
          <w:rFonts w:ascii="Arial" w:eastAsia="Calibri" w:hAnsi="Arial" w:cs="Arial"/>
          <w:sz w:val="24"/>
          <w:szCs w:val="24"/>
          <w:lang w:val="es-ES" w:eastAsia="en-US"/>
        </w:rPr>
        <w:t>. El presente Decreto</w:t>
      </w:r>
      <w:r w:rsidR="005D5B01">
        <w:rPr>
          <w:rFonts w:ascii="Arial" w:eastAsia="Calibri" w:hAnsi="Arial" w:cs="Arial"/>
          <w:sz w:val="24"/>
          <w:szCs w:val="24"/>
          <w:lang w:val="es-ES" w:eastAsia="en-US"/>
        </w:rPr>
        <w:t>, junto con los anexos que lo componen,</w:t>
      </w:r>
      <w:r w:rsidRPr="00906AFB">
        <w:rPr>
          <w:rFonts w:ascii="Arial" w:eastAsia="Calibri" w:hAnsi="Arial" w:cs="Arial"/>
          <w:sz w:val="24"/>
          <w:szCs w:val="24"/>
          <w:lang w:val="es-ES" w:eastAsia="en-US"/>
        </w:rPr>
        <w:t xml:space="preserve"> entrará en vigor el día 1º de enero de 2017, previa su publicación en el Periódico Oficial “El Estado de Colima”.</w:t>
      </w:r>
    </w:p>
    <w:p w:rsidR="00906AFB" w:rsidRPr="00906AFB" w:rsidRDefault="00906AFB" w:rsidP="00906AFB">
      <w:pPr>
        <w:spacing w:after="0" w:line="240" w:lineRule="auto"/>
        <w:jc w:val="both"/>
        <w:rPr>
          <w:rFonts w:ascii="Arial" w:eastAsia="Calibri" w:hAnsi="Arial" w:cs="Arial"/>
          <w:b/>
          <w:sz w:val="24"/>
          <w:szCs w:val="24"/>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b/>
          <w:sz w:val="24"/>
          <w:szCs w:val="24"/>
          <w:lang w:val="es-ES" w:eastAsia="en-US"/>
        </w:rPr>
        <w:t>SEGUNDO</w:t>
      </w:r>
      <w:r w:rsidRPr="00906AFB">
        <w:rPr>
          <w:rFonts w:ascii="Arial" w:eastAsia="Calibri" w:hAnsi="Arial" w:cs="Arial"/>
          <w:sz w:val="24"/>
          <w:szCs w:val="24"/>
          <w:lang w:val="es-ES" w:eastAsia="en-US"/>
        </w:rPr>
        <w:t>. Las Asociaciones Civiles e Instituciones sin fines de lucro incluidas en el artículo 22 de este Decreto, podrán acceder a la asignación</w:t>
      </w:r>
      <w:r w:rsidRPr="00906AFB">
        <w:rPr>
          <w:rFonts w:ascii="Arial" w:eastAsia="Calibri" w:hAnsi="Arial" w:cs="Arial"/>
          <w:sz w:val="24"/>
          <w:szCs w:val="24"/>
          <w:lang w:eastAsia="en-US"/>
        </w:rPr>
        <w:t xml:space="preserve"> </w:t>
      </w:r>
      <w:r w:rsidRPr="00906AFB">
        <w:rPr>
          <w:rFonts w:ascii="Arial" w:eastAsia="Calibri" w:hAnsi="Arial" w:cs="Arial"/>
          <w:sz w:val="24"/>
          <w:szCs w:val="24"/>
          <w:lang w:val="es-ES" w:eastAsia="en-US"/>
        </w:rPr>
        <w:t xml:space="preserve">presupuestal que se les asigna en el mismo, siempre y cuando se presenten a la Secretaría, a más a tardar el 31 de enero del 2017, a entregar, o en su caso a refrendar, la siguiente información: </w:t>
      </w:r>
    </w:p>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Pr="00906AFB" w:rsidRDefault="00906AFB" w:rsidP="00F859A4">
      <w:pPr>
        <w:numPr>
          <w:ilvl w:val="0"/>
          <w:numId w:val="21"/>
        </w:numPr>
        <w:spacing w:before="120" w:after="0" w:line="240" w:lineRule="auto"/>
        <w:ind w:hanging="720"/>
        <w:contextualSpacing/>
        <w:jc w:val="both"/>
        <w:rPr>
          <w:rFonts w:ascii="Arial" w:eastAsia="Times New Roman" w:hAnsi="Arial" w:cs="Arial"/>
          <w:sz w:val="24"/>
          <w:szCs w:val="24"/>
        </w:rPr>
      </w:pPr>
      <w:r w:rsidRPr="00906AFB">
        <w:rPr>
          <w:rFonts w:ascii="Arial" w:eastAsia="Times New Roman" w:hAnsi="Arial" w:cs="Arial"/>
          <w:sz w:val="24"/>
          <w:szCs w:val="24"/>
        </w:rPr>
        <w:t xml:space="preserve">Acta constitutiva de la institución; </w:t>
      </w:r>
    </w:p>
    <w:p w:rsidR="00906AFB" w:rsidRPr="00906AFB" w:rsidRDefault="00906AFB" w:rsidP="00906AFB">
      <w:pPr>
        <w:spacing w:after="0" w:line="240" w:lineRule="auto"/>
        <w:ind w:left="720" w:hanging="720"/>
        <w:contextualSpacing/>
        <w:jc w:val="both"/>
        <w:rPr>
          <w:rFonts w:ascii="Arial" w:eastAsia="Times New Roman" w:hAnsi="Arial" w:cs="Arial"/>
          <w:sz w:val="24"/>
          <w:szCs w:val="24"/>
        </w:rPr>
      </w:pPr>
    </w:p>
    <w:p w:rsidR="00906AFB" w:rsidRPr="00906AFB" w:rsidRDefault="00906AFB" w:rsidP="00F859A4">
      <w:pPr>
        <w:numPr>
          <w:ilvl w:val="0"/>
          <w:numId w:val="21"/>
        </w:numPr>
        <w:spacing w:before="120" w:after="0" w:line="240" w:lineRule="auto"/>
        <w:ind w:hanging="720"/>
        <w:contextualSpacing/>
        <w:jc w:val="both"/>
        <w:rPr>
          <w:rFonts w:ascii="Arial" w:eastAsia="Times New Roman" w:hAnsi="Arial" w:cs="Arial"/>
          <w:sz w:val="24"/>
          <w:szCs w:val="24"/>
        </w:rPr>
      </w:pPr>
      <w:r w:rsidRPr="00906AFB">
        <w:rPr>
          <w:rFonts w:ascii="Arial" w:eastAsia="Times New Roman" w:hAnsi="Arial" w:cs="Arial"/>
          <w:sz w:val="24"/>
          <w:szCs w:val="24"/>
        </w:rPr>
        <w:t xml:space="preserve">Constancia de domicilio; </w:t>
      </w:r>
    </w:p>
    <w:p w:rsidR="00906AFB" w:rsidRPr="00906AFB" w:rsidRDefault="00906AFB" w:rsidP="00906AFB">
      <w:pPr>
        <w:spacing w:after="0" w:line="240" w:lineRule="auto"/>
        <w:ind w:left="720" w:hanging="720"/>
        <w:contextualSpacing/>
        <w:jc w:val="both"/>
        <w:rPr>
          <w:rFonts w:ascii="Arial" w:eastAsia="Times New Roman" w:hAnsi="Arial" w:cs="Arial"/>
          <w:sz w:val="24"/>
          <w:szCs w:val="24"/>
        </w:rPr>
      </w:pPr>
    </w:p>
    <w:p w:rsidR="00906AFB" w:rsidRPr="00906AFB" w:rsidRDefault="00906AFB" w:rsidP="00F859A4">
      <w:pPr>
        <w:numPr>
          <w:ilvl w:val="0"/>
          <w:numId w:val="21"/>
        </w:numPr>
        <w:spacing w:before="120" w:after="0" w:line="240" w:lineRule="auto"/>
        <w:ind w:hanging="720"/>
        <w:contextualSpacing/>
        <w:jc w:val="both"/>
        <w:rPr>
          <w:rFonts w:ascii="Arial" w:eastAsia="Times New Roman" w:hAnsi="Arial" w:cs="Arial"/>
          <w:sz w:val="24"/>
          <w:szCs w:val="24"/>
        </w:rPr>
      </w:pPr>
      <w:r w:rsidRPr="00906AFB">
        <w:rPr>
          <w:rFonts w:ascii="Arial" w:eastAsia="Times New Roman" w:hAnsi="Arial" w:cs="Arial"/>
          <w:sz w:val="24"/>
          <w:szCs w:val="24"/>
        </w:rPr>
        <w:t xml:space="preserve">Documentos de identificación de su representante legal; </w:t>
      </w:r>
    </w:p>
    <w:p w:rsidR="00906AFB" w:rsidRPr="00906AFB" w:rsidRDefault="00906AFB" w:rsidP="00906AFB">
      <w:pPr>
        <w:spacing w:after="0" w:line="240" w:lineRule="auto"/>
        <w:ind w:left="720" w:hanging="720"/>
        <w:contextualSpacing/>
        <w:jc w:val="both"/>
        <w:rPr>
          <w:rFonts w:ascii="Arial" w:eastAsia="Times New Roman" w:hAnsi="Arial" w:cs="Arial"/>
          <w:sz w:val="24"/>
          <w:szCs w:val="24"/>
        </w:rPr>
      </w:pPr>
    </w:p>
    <w:p w:rsidR="00906AFB" w:rsidRPr="00906AFB" w:rsidRDefault="00906AFB" w:rsidP="00F859A4">
      <w:pPr>
        <w:numPr>
          <w:ilvl w:val="0"/>
          <w:numId w:val="21"/>
        </w:numPr>
        <w:spacing w:before="120" w:after="0" w:line="240" w:lineRule="auto"/>
        <w:ind w:hanging="720"/>
        <w:contextualSpacing/>
        <w:jc w:val="both"/>
        <w:rPr>
          <w:rFonts w:ascii="Arial" w:eastAsia="Times New Roman" w:hAnsi="Arial" w:cs="Arial"/>
          <w:sz w:val="24"/>
          <w:szCs w:val="24"/>
        </w:rPr>
      </w:pPr>
      <w:r w:rsidRPr="00906AFB">
        <w:rPr>
          <w:rFonts w:ascii="Arial" w:eastAsia="Times New Roman" w:hAnsi="Arial" w:cs="Arial"/>
          <w:sz w:val="24"/>
          <w:szCs w:val="24"/>
        </w:rPr>
        <w:t xml:space="preserve">Programa de actividades para el año 2017; </w:t>
      </w:r>
    </w:p>
    <w:p w:rsidR="00906AFB" w:rsidRPr="00906AFB" w:rsidRDefault="00906AFB" w:rsidP="00906AFB">
      <w:pPr>
        <w:spacing w:after="0" w:line="240" w:lineRule="auto"/>
        <w:ind w:left="720" w:hanging="720"/>
        <w:contextualSpacing/>
        <w:jc w:val="both"/>
        <w:rPr>
          <w:rFonts w:ascii="Arial" w:eastAsia="Times New Roman" w:hAnsi="Arial" w:cs="Arial"/>
          <w:sz w:val="24"/>
          <w:szCs w:val="24"/>
        </w:rPr>
      </w:pPr>
    </w:p>
    <w:p w:rsidR="00906AFB" w:rsidRPr="00906AFB" w:rsidRDefault="00906AFB" w:rsidP="00F859A4">
      <w:pPr>
        <w:numPr>
          <w:ilvl w:val="0"/>
          <w:numId w:val="21"/>
        </w:numPr>
        <w:spacing w:before="120" w:after="0" w:line="240" w:lineRule="auto"/>
        <w:ind w:hanging="720"/>
        <w:contextualSpacing/>
        <w:jc w:val="both"/>
        <w:rPr>
          <w:rFonts w:ascii="Arial" w:eastAsia="Times New Roman" w:hAnsi="Arial" w:cs="Arial"/>
          <w:sz w:val="24"/>
          <w:szCs w:val="24"/>
        </w:rPr>
      </w:pPr>
      <w:r w:rsidRPr="00906AFB">
        <w:rPr>
          <w:rFonts w:ascii="Arial" w:eastAsia="Times New Roman" w:hAnsi="Arial" w:cs="Arial"/>
          <w:sz w:val="24"/>
          <w:szCs w:val="24"/>
        </w:rPr>
        <w:t>Estados financieros al 31 de diciembre de 2016; y</w:t>
      </w:r>
    </w:p>
    <w:p w:rsidR="00906AFB" w:rsidRPr="00906AFB" w:rsidRDefault="00906AFB" w:rsidP="00906AFB">
      <w:pPr>
        <w:spacing w:after="0" w:line="240" w:lineRule="auto"/>
        <w:ind w:left="720" w:hanging="720"/>
        <w:contextualSpacing/>
        <w:jc w:val="both"/>
        <w:rPr>
          <w:rFonts w:ascii="Arial" w:eastAsia="Times New Roman" w:hAnsi="Arial" w:cs="Arial"/>
          <w:sz w:val="24"/>
          <w:szCs w:val="24"/>
        </w:rPr>
      </w:pPr>
    </w:p>
    <w:p w:rsidR="00906AFB" w:rsidRPr="00906AFB" w:rsidRDefault="00906AFB" w:rsidP="00F859A4">
      <w:pPr>
        <w:numPr>
          <w:ilvl w:val="0"/>
          <w:numId w:val="21"/>
        </w:numPr>
        <w:spacing w:before="120" w:after="0" w:line="240" w:lineRule="auto"/>
        <w:ind w:hanging="720"/>
        <w:contextualSpacing/>
        <w:jc w:val="both"/>
        <w:rPr>
          <w:rFonts w:ascii="Arial" w:eastAsia="Times New Roman" w:hAnsi="Arial" w:cs="Arial"/>
          <w:sz w:val="24"/>
          <w:szCs w:val="24"/>
        </w:rPr>
      </w:pPr>
      <w:r w:rsidRPr="00906AFB">
        <w:rPr>
          <w:rFonts w:ascii="Arial" w:eastAsia="Times New Roman" w:hAnsi="Arial" w:cs="Arial"/>
          <w:sz w:val="24"/>
          <w:szCs w:val="24"/>
        </w:rPr>
        <w:t>Informe de aplicación del subsidio recibido en el Ejercicio 2016.</w:t>
      </w:r>
    </w:p>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sz w:val="24"/>
          <w:szCs w:val="24"/>
          <w:lang w:val="es-ES" w:eastAsia="en-US"/>
        </w:rPr>
        <w:t>Lo dispuesto en los incisos e) y f) procede, únicamente, para aquellos organismos o asociaciones que recibieron subsidio de los autorizados en el Decreto de Presupuesto del año 2016.</w:t>
      </w:r>
    </w:p>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sz w:val="24"/>
          <w:szCs w:val="24"/>
          <w:lang w:val="es-ES" w:eastAsia="en-US"/>
        </w:rPr>
        <w:t>La Secretaría deberá cerciorarse plenamente de la existencia y funcionalidad de los Asociaciones Civiles e Instituciones sin fines de lucro, señaladas en el párrafo anterior. Para tal efecto, podrá retener la aportación de recursos, sea única, inicial o cualquier ministración periódica, hasta en tanto dichos organismos comprueban ante la Secretaría y ante la Contraloría General, su constitución legal, presupuesto y programa de trabajo autorizado por su órgano de administración o similar; así como, la rendición del informe de aplicación del subsidio recibido en el Ejercicio 2016, en su caso.</w:t>
      </w:r>
    </w:p>
    <w:p w:rsidR="00906AFB" w:rsidRPr="00906AFB" w:rsidRDefault="00906AFB" w:rsidP="00906AFB">
      <w:pPr>
        <w:spacing w:after="0" w:line="240" w:lineRule="auto"/>
        <w:jc w:val="both"/>
        <w:rPr>
          <w:rFonts w:ascii="Arial" w:eastAsia="Calibri" w:hAnsi="Arial" w:cs="Arial"/>
          <w:b/>
          <w:sz w:val="24"/>
          <w:szCs w:val="24"/>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b/>
          <w:sz w:val="24"/>
          <w:szCs w:val="24"/>
          <w:lang w:val="es-ES" w:eastAsia="en-US"/>
        </w:rPr>
        <w:t>TERCERO</w:t>
      </w:r>
      <w:r w:rsidRPr="00906AFB">
        <w:rPr>
          <w:rFonts w:ascii="Arial" w:eastAsia="Calibri" w:hAnsi="Arial" w:cs="Arial"/>
          <w:sz w:val="24"/>
          <w:szCs w:val="24"/>
          <w:lang w:val="es-ES" w:eastAsia="en-US"/>
        </w:rPr>
        <w:t>. En cumplimiento a lo dispuesto por la Ley General de Contabilidad Gubernamental, el Gobierno del Estado instrumentará los documentos técnico-normativos que emita el Consejo Nacional de Armonización Contable (CONAC), conforme a los criterios y términos establecidos para ese fin.</w:t>
      </w:r>
    </w:p>
    <w:p w:rsidR="00906AFB" w:rsidRPr="00906AFB" w:rsidRDefault="00906AFB" w:rsidP="00906AFB">
      <w:pPr>
        <w:spacing w:after="0" w:line="240" w:lineRule="auto"/>
        <w:jc w:val="both"/>
        <w:rPr>
          <w:rFonts w:ascii="Arial" w:eastAsia="Calibri" w:hAnsi="Arial" w:cs="Arial"/>
          <w:sz w:val="24"/>
          <w:szCs w:val="24"/>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b/>
          <w:sz w:val="24"/>
          <w:szCs w:val="24"/>
          <w:lang w:val="es-ES" w:eastAsia="en-US"/>
        </w:rPr>
        <w:t>CUARTO</w:t>
      </w:r>
      <w:r w:rsidRPr="00906AFB">
        <w:rPr>
          <w:rFonts w:ascii="Arial" w:eastAsia="Calibri" w:hAnsi="Arial" w:cs="Arial"/>
          <w:sz w:val="24"/>
          <w:szCs w:val="24"/>
          <w:lang w:val="es-ES" w:eastAsia="en-US"/>
        </w:rPr>
        <w:t>. La información financiera y presupuestal adicional a la contenida en el presente Decreto, así como la demás que se genere durante el ejercicio fiscal, podrá ser consultada en los reportes específicos que para tal efecto difunda la Secretaría en los medios oficiales, incluyendo los medios electrónicos.</w:t>
      </w:r>
    </w:p>
    <w:p w:rsidR="00906AFB" w:rsidRDefault="00906AFB" w:rsidP="00906AFB">
      <w:pPr>
        <w:spacing w:after="0" w:line="240" w:lineRule="auto"/>
        <w:jc w:val="both"/>
        <w:rPr>
          <w:rFonts w:ascii="Arial" w:eastAsia="Calibri" w:hAnsi="Arial" w:cs="Arial"/>
          <w:sz w:val="24"/>
          <w:szCs w:val="24"/>
          <w:lang w:val="es-ES" w:eastAsia="en-US"/>
        </w:rPr>
      </w:pPr>
    </w:p>
    <w:p w:rsidR="00852AAE" w:rsidRPr="007F2BCB" w:rsidRDefault="00852AAE" w:rsidP="00852AAE">
      <w:pPr>
        <w:spacing w:after="0" w:line="240" w:lineRule="auto"/>
        <w:jc w:val="both"/>
        <w:rPr>
          <w:rFonts w:ascii="Arial" w:eastAsia="Arial" w:hAnsi="Arial" w:cs="Arial"/>
          <w:sz w:val="24"/>
          <w:szCs w:val="24"/>
          <w:lang w:eastAsia="en-US"/>
        </w:rPr>
      </w:pPr>
      <w:r w:rsidRPr="007F2BCB">
        <w:rPr>
          <w:rFonts w:ascii="Arial" w:eastAsia="Calibri" w:hAnsi="Arial" w:cs="Arial"/>
          <w:b/>
          <w:sz w:val="24"/>
          <w:szCs w:val="24"/>
          <w:lang w:val="es-ES" w:eastAsia="en-US"/>
        </w:rPr>
        <w:t>QUINTO.</w:t>
      </w:r>
      <w:r w:rsidRPr="007F2BCB">
        <w:rPr>
          <w:rFonts w:ascii="Arial" w:eastAsia="Calibri" w:hAnsi="Arial" w:cs="Arial"/>
          <w:sz w:val="24"/>
          <w:szCs w:val="24"/>
          <w:lang w:val="es-ES" w:eastAsia="en-US"/>
        </w:rPr>
        <w:t xml:space="preserve"> </w:t>
      </w:r>
      <w:r w:rsidRPr="007F2BCB">
        <w:rPr>
          <w:rFonts w:ascii="Arial" w:eastAsia="Arial" w:hAnsi="Arial" w:cs="Arial"/>
          <w:sz w:val="24"/>
          <w:szCs w:val="24"/>
          <w:lang w:eastAsia="en-US"/>
        </w:rPr>
        <w:t xml:space="preserve">En tanto entra en vigor la Ley General de Responsabilidades Administrativas, en atención a lo dispuesto en los artículos primero, segundo y tercero transitorios del  </w:t>
      </w:r>
      <w:r w:rsidRPr="007F2BCB">
        <w:rPr>
          <w:rFonts w:ascii="Arial" w:eastAsia="Arial" w:hAnsi="Arial" w:cs="Arial"/>
          <w:i/>
          <w:sz w:val="24"/>
          <w:szCs w:val="24"/>
          <w:lang w:eastAsia="en-US"/>
        </w:rPr>
        <w:t>Decreto por el que se expide la Ley General del Sistema Nacional Anticorrupción, la Ley General de Responsabilidades Administrativas, y la Ley Orgánica del Tribunal Federal de Justicia Administrativa</w:t>
      </w:r>
      <w:r w:rsidRPr="007F2BCB">
        <w:rPr>
          <w:rFonts w:ascii="Arial" w:eastAsia="Arial" w:hAnsi="Arial" w:cs="Arial"/>
          <w:sz w:val="24"/>
          <w:szCs w:val="24"/>
          <w:lang w:eastAsia="en-US"/>
        </w:rPr>
        <w:t>, publicado el día 18 de julio del 2016 en el Diario Oficial de la Federación, continuará aplicándose la legislación local en materia de responsabilidades que se encuentre vigente a la fecha de entrada en vigor del referido Decreto, observándose lo siguiente:</w:t>
      </w:r>
    </w:p>
    <w:p w:rsidR="00852AAE" w:rsidRPr="007F2BCB" w:rsidRDefault="00852AAE" w:rsidP="00852AAE">
      <w:pPr>
        <w:spacing w:after="0" w:line="240" w:lineRule="auto"/>
        <w:jc w:val="both"/>
        <w:rPr>
          <w:rFonts w:ascii="Arial" w:eastAsia="Arial" w:hAnsi="Arial" w:cs="Arial"/>
          <w:sz w:val="24"/>
          <w:szCs w:val="24"/>
          <w:lang w:eastAsia="en-US"/>
        </w:rPr>
      </w:pPr>
    </w:p>
    <w:p w:rsidR="00852AAE" w:rsidRDefault="00852AAE" w:rsidP="00852AAE">
      <w:pPr>
        <w:spacing w:after="0" w:line="240" w:lineRule="auto"/>
        <w:jc w:val="both"/>
        <w:rPr>
          <w:rFonts w:ascii="Arial" w:eastAsia="Arial" w:hAnsi="Arial" w:cs="Arial"/>
          <w:sz w:val="24"/>
          <w:szCs w:val="24"/>
          <w:lang w:eastAsia="en-US"/>
        </w:rPr>
      </w:pPr>
      <w:r w:rsidRPr="007F2BCB">
        <w:rPr>
          <w:rFonts w:ascii="Arial" w:eastAsia="Arial" w:hAnsi="Arial" w:cs="Arial"/>
          <w:sz w:val="24"/>
          <w:szCs w:val="24"/>
          <w:lang w:eastAsia="en-US"/>
        </w:rPr>
        <w:t>Las responsabilidades que deriven de la fiscalización de las cuentas públicas continuarán siendo conocidas y sancionadas por el Órgano Superior de Auditoría y Fiscalización Gubernamental del Estado y el Congreso del Estado</w:t>
      </w:r>
      <w:r w:rsidR="00D7189F" w:rsidRPr="007F2BCB">
        <w:rPr>
          <w:rFonts w:ascii="Arial" w:eastAsia="Arial" w:hAnsi="Arial" w:cs="Arial"/>
          <w:sz w:val="24"/>
          <w:szCs w:val="24"/>
          <w:lang w:eastAsia="en-US"/>
        </w:rPr>
        <w:t>, en el ámbito de sus respectivas competencias,</w:t>
      </w:r>
      <w:r w:rsidRPr="007F2BCB">
        <w:rPr>
          <w:rFonts w:ascii="Arial" w:eastAsia="Arial" w:hAnsi="Arial" w:cs="Arial"/>
          <w:sz w:val="24"/>
          <w:szCs w:val="24"/>
          <w:lang w:eastAsia="en-US"/>
        </w:rPr>
        <w:t xml:space="preserve"> en los términos previstos en la Constitución Política del Estado Libre y Soberano de Colima y la Ley de Fiscalización Superior del Estado.</w:t>
      </w:r>
    </w:p>
    <w:p w:rsidR="00E24DE2" w:rsidRPr="007F2BCB" w:rsidRDefault="00E24DE2" w:rsidP="00852AAE">
      <w:pPr>
        <w:spacing w:after="0" w:line="240" w:lineRule="auto"/>
        <w:jc w:val="both"/>
        <w:rPr>
          <w:rFonts w:ascii="Arial" w:eastAsia="Arial" w:hAnsi="Arial" w:cs="Arial"/>
          <w:sz w:val="24"/>
          <w:szCs w:val="24"/>
          <w:lang w:eastAsia="en-US"/>
        </w:rPr>
      </w:pPr>
    </w:p>
    <w:p w:rsidR="00852AAE" w:rsidRPr="007F2BCB" w:rsidRDefault="00852AAE" w:rsidP="00852AAE">
      <w:pPr>
        <w:spacing w:after="0" w:line="240" w:lineRule="auto"/>
        <w:jc w:val="both"/>
        <w:rPr>
          <w:rFonts w:ascii="Arial" w:eastAsia="Arial" w:hAnsi="Arial" w:cs="Arial"/>
          <w:color w:val="000000"/>
          <w:sz w:val="24"/>
          <w:szCs w:val="24"/>
          <w:lang w:val="es-ES"/>
        </w:rPr>
      </w:pPr>
      <w:r w:rsidRPr="007F2BCB">
        <w:rPr>
          <w:rFonts w:ascii="Arial" w:eastAsia="Arial" w:hAnsi="Arial" w:cs="Arial"/>
          <w:sz w:val="24"/>
          <w:szCs w:val="24"/>
          <w:lang w:eastAsia="en-US"/>
        </w:rPr>
        <w:t>Las responsabilidades administrativas continuarán siendo conocidas y sancionadas por los Órganos Internos de Control de los Entes Públicos y, en su caso, por el superior jerárquico del servidor público responsable, en los términos de la Ley Estatal de Responsabilidades de los Servidores Públicos y de las leyes y normas que rijan el funcionamiento de tales Entes Públicos.</w:t>
      </w:r>
    </w:p>
    <w:p w:rsidR="00852AAE" w:rsidRPr="007F2BCB" w:rsidRDefault="00852AAE" w:rsidP="00906AFB">
      <w:pPr>
        <w:spacing w:after="0" w:line="240" w:lineRule="auto"/>
        <w:jc w:val="both"/>
        <w:rPr>
          <w:rFonts w:ascii="Arial" w:eastAsia="Calibri" w:hAnsi="Arial" w:cs="Arial"/>
          <w:sz w:val="24"/>
          <w:szCs w:val="24"/>
          <w:lang w:val="es-ES" w:eastAsia="en-US"/>
        </w:rPr>
      </w:pPr>
    </w:p>
    <w:p w:rsidR="00852AAE" w:rsidRDefault="00D7189F" w:rsidP="00906AFB">
      <w:pPr>
        <w:spacing w:after="0" w:line="240" w:lineRule="auto"/>
        <w:jc w:val="both"/>
        <w:rPr>
          <w:rFonts w:ascii="Arial" w:eastAsia="Calibri" w:hAnsi="Arial" w:cs="Arial"/>
          <w:sz w:val="24"/>
          <w:szCs w:val="24"/>
          <w:lang w:val="es-ES" w:eastAsia="en-US"/>
        </w:rPr>
      </w:pPr>
      <w:r w:rsidRPr="007F2BCB">
        <w:rPr>
          <w:rFonts w:ascii="Arial" w:hAnsi="Arial" w:cs="Arial"/>
          <w:sz w:val="24"/>
          <w:szCs w:val="24"/>
        </w:rPr>
        <w:t>Si el incumplimiento o falta del servidor público o particular responsable deriva en una responsabilidad diversa a las anteriores, sea política, penal, civil o de cualquier otro carácter, aunque se trate de la misma conducta, ésta se promoverá y fincará autónomamente, imponiéndose por parte de la autoridad competente las sanciones que correspondan al tipo de responsabilidad de que se trate, en términos de la legislación que le sea aplicable.</w:t>
      </w:r>
    </w:p>
    <w:p w:rsidR="00852AAE" w:rsidRPr="00906AFB" w:rsidRDefault="00852AAE" w:rsidP="00906AFB">
      <w:pPr>
        <w:spacing w:after="0" w:line="240" w:lineRule="auto"/>
        <w:jc w:val="both"/>
        <w:rPr>
          <w:rFonts w:ascii="Arial" w:eastAsia="Calibri" w:hAnsi="Arial" w:cs="Arial"/>
          <w:sz w:val="24"/>
          <w:szCs w:val="24"/>
          <w:lang w:val="es-ES" w:eastAsia="en-US"/>
        </w:rPr>
      </w:pPr>
    </w:p>
    <w:p w:rsidR="00906AFB" w:rsidRPr="00906AFB" w:rsidRDefault="00906AFB" w:rsidP="00906AFB">
      <w:pPr>
        <w:spacing w:after="0" w:line="240" w:lineRule="auto"/>
        <w:jc w:val="both"/>
        <w:rPr>
          <w:rFonts w:ascii="Arial" w:eastAsia="Calibri" w:hAnsi="Arial" w:cs="Arial"/>
          <w:sz w:val="24"/>
          <w:szCs w:val="24"/>
          <w:lang w:val="es-ES" w:eastAsia="en-US"/>
        </w:rPr>
      </w:pPr>
      <w:r w:rsidRPr="00906AFB">
        <w:rPr>
          <w:rFonts w:ascii="Arial" w:eastAsia="Calibri" w:hAnsi="Arial" w:cs="Arial"/>
          <w:sz w:val="24"/>
          <w:szCs w:val="24"/>
          <w:lang w:val="es-ES" w:eastAsia="en-US"/>
        </w:rPr>
        <w:t>El Gobernador del Estado dispondrá se publique, circule y observe.</w:t>
      </w:r>
    </w:p>
    <w:p w:rsidR="00906AFB" w:rsidRPr="00906AFB" w:rsidRDefault="00906AFB" w:rsidP="00906AFB">
      <w:pPr>
        <w:spacing w:before="120" w:after="0" w:line="240" w:lineRule="auto"/>
        <w:jc w:val="both"/>
        <w:rPr>
          <w:rFonts w:ascii="Arial" w:eastAsia="Calibri" w:hAnsi="Arial" w:cs="Arial"/>
          <w:sz w:val="24"/>
          <w:szCs w:val="24"/>
          <w:lang w:val="es-ES" w:eastAsia="en-US"/>
        </w:rPr>
      </w:pPr>
      <w:r w:rsidRPr="00906AFB">
        <w:rPr>
          <w:rFonts w:ascii="Arial" w:eastAsia="Calibri" w:hAnsi="Arial" w:cs="Arial"/>
          <w:sz w:val="24"/>
          <w:szCs w:val="24"/>
          <w:lang w:val="es-ES" w:eastAsia="en-US"/>
        </w:rPr>
        <w:t xml:space="preserve">Dado en la Residencia del Poder Ejecutivo, en Palacio de Gobierno el día 29 de octubre del año 2016. </w:t>
      </w:r>
    </w:p>
    <w:p w:rsidR="00906AFB" w:rsidRDefault="00906AFB" w:rsidP="00906AFB">
      <w:pPr>
        <w:spacing w:before="120" w:after="0" w:line="240" w:lineRule="auto"/>
        <w:jc w:val="both"/>
        <w:rPr>
          <w:rFonts w:ascii="Arial" w:eastAsia="Calibri" w:hAnsi="Arial" w:cs="Arial"/>
          <w:sz w:val="24"/>
          <w:szCs w:val="24"/>
          <w:lang w:val="es-ES" w:eastAsia="en-US"/>
        </w:rPr>
      </w:pPr>
    </w:p>
    <w:p w:rsidR="00E24DE2" w:rsidRPr="00906AFB" w:rsidRDefault="00E24DE2" w:rsidP="00906AFB">
      <w:pPr>
        <w:spacing w:before="120" w:after="0" w:line="240" w:lineRule="auto"/>
        <w:jc w:val="both"/>
        <w:rPr>
          <w:rFonts w:ascii="Arial" w:eastAsia="Calibri" w:hAnsi="Arial" w:cs="Arial"/>
          <w:sz w:val="24"/>
          <w:szCs w:val="24"/>
          <w:lang w:val="es-ES" w:eastAsia="en-US"/>
        </w:rPr>
      </w:pPr>
    </w:p>
    <w:p w:rsidR="00906AFB" w:rsidRPr="00906AFB" w:rsidRDefault="00906AFB" w:rsidP="00906AFB">
      <w:pPr>
        <w:spacing w:after="0" w:line="240" w:lineRule="auto"/>
        <w:jc w:val="center"/>
        <w:rPr>
          <w:rFonts w:ascii="Arial" w:eastAsia="Calibri" w:hAnsi="Arial" w:cs="Arial"/>
          <w:b/>
          <w:sz w:val="24"/>
          <w:szCs w:val="24"/>
          <w:lang w:val="es-ES" w:eastAsia="en-US"/>
        </w:rPr>
      </w:pPr>
      <w:r w:rsidRPr="00906AFB">
        <w:rPr>
          <w:rFonts w:ascii="Arial" w:eastAsia="Calibri" w:hAnsi="Arial" w:cs="Arial"/>
          <w:b/>
          <w:sz w:val="24"/>
          <w:szCs w:val="24"/>
          <w:lang w:val="es-ES" w:eastAsia="en-US"/>
        </w:rPr>
        <w:t>ATENTAMENTE</w:t>
      </w:r>
    </w:p>
    <w:p w:rsidR="00906AFB" w:rsidRPr="00906AFB" w:rsidRDefault="00906AFB" w:rsidP="00906AFB">
      <w:pPr>
        <w:spacing w:after="0" w:line="240" w:lineRule="auto"/>
        <w:jc w:val="center"/>
        <w:rPr>
          <w:rFonts w:ascii="Arial" w:eastAsia="Calibri" w:hAnsi="Arial" w:cs="Arial"/>
          <w:b/>
          <w:sz w:val="24"/>
          <w:szCs w:val="24"/>
          <w:lang w:val="es-ES" w:eastAsia="en-US"/>
        </w:rPr>
      </w:pPr>
      <w:r w:rsidRPr="00906AFB">
        <w:rPr>
          <w:rFonts w:ascii="Arial" w:eastAsia="Calibri" w:hAnsi="Arial" w:cs="Arial"/>
          <w:b/>
          <w:sz w:val="24"/>
          <w:szCs w:val="24"/>
          <w:lang w:val="es-ES" w:eastAsia="en-US"/>
        </w:rPr>
        <w:t>SUFRAGIO EFECTIVO. NO REELECCIÓN.</w:t>
      </w:r>
    </w:p>
    <w:p w:rsidR="00906AFB" w:rsidRPr="00906AFB" w:rsidRDefault="00906AFB" w:rsidP="00906AFB">
      <w:pPr>
        <w:spacing w:after="0" w:line="240" w:lineRule="auto"/>
        <w:jc w:val="center"/>
        <w:rPr>
          <w:rFonts w:ascii="Arial" w:eastAsia="Calibri" w:hAnsi="Arial" w:cs="Arial"/>
          <w:b/>
          <w:sz w:val="24"/>
          <w:szCs w:val="24"/>
          <w:lang w:val="es-ES" w:eastAsia="en-US"/>
        </w:rPr>
      </w:pPr>
    </w:p>
    <w:p w:rsidR="00906AFB" w:rsidRDefault="00906AFB" w:rsidP="00906AFB">
      <w:pPr>
        <w:spacing w:after="0" w:line="240" w:lineRule="auto"/>
        <w:jc w:val="center"/>
        <w:rPr>
          <w:rFonts w:ascii="Arial" w:eastAsia="Calibri" w:hAnsi="Arial" w:cs="Arial"/>
          <w:b/>
          <w:sz w:val="24"/>
          <w:szCs w:val="24"/>
          <w:lang w:val="es-ES" w:eastAsia="en-US"/>
        </w:rPr>
      </w:pPr>
    </w:p>
    <w:p w:rsidR="00E24DE2" w:rsidRDefault="00E24DE2" w:rsidP="00906AFB">
      <w:pPr>
        <w:spacing w:after="0" w:line="240" w:lineRule="auto"/>
        <w:jc w:val="center"/>
        <w:rPr>
          <w:rFonts w:ascii="Arial" w:eastAsia="Calibri" w:hAnsi="Arial" w:cs="Arial"/>
          <w:b/>
          <w:sz w:val="24"/>
          <w:szCs w:val="24"/>
          <w:lang w:val="es-ES" w:eastAsia="en-US"/>
        </w:rPr>
      </w:pPr>
    </w:p>
    <w:p w:rsidR="00E24DE2" w:rsidRPr="00906AFB" w:rsidRDefault="00E24DE2" w:rsidP="00906AFB">
      <w:pPr>
        <w:spacing w:after="0" w:line="240" w:lineRule="auto"/>
        <w:jc w:val="center"/>
        <w:rPr>
          <w:rFonts w:ascii="Arial" w:eastAsia="Calibri" w:hAnsi="Arial" w:cs="Arial"/>
          <w:b/>
          <w:sz w:val="24"/>
          <w:szCs w:val="24"/>
          <w:lang w:val="es-ES" w:eastAsia="en-US"/>
        </w:rPr>
      </w:pPr>
    </w:p>
    <w:p w:rsidR="00906AFB" w:rsidRPr="00906AFB" w:rsidRDefault="00906AFB" w:rsidP="00906AFB">
      <w:pPr>
        <w:spacing w:after="0" w:line="240" w:lineRule="auto"/>
        <w:jc w:val="center"/>
        <w:rPr>
          <w:rFonts w:ascii="Arial" w:eastAsia="Calibri" w:hAnsi="Arial" w:cs="Arial"/>
          <w:b/>
          <w:sz w:val="24"/>
          <w:szCs w:val="24"/>
          <w:lang w:val="es-ES" w:eastAsia="en-US"/>
        </w:rPr>
      </w:pPr>
    </w:p>
    <w:p w:rsidR="00906AFB" w:rsidRDefault="00906AFB" w:rsidP="00906AFB">
      <w:pPr>
        <w:spacing w:after="0" w:line="240" w:lineRule="auto"/>
        <w:jc w:val="center"/>
        <w:rPr>
          <w:rFonts w:ascii="Arial" w:eastAsia="Calibri" w:hAnsi="Arial" w:cs="Arial"/>
          <w:b/>
          <w:sz w:val="24"/>
          <w:szCs w:val="24"/>
          <w:lang w:val="es-ES" w:eastAsia="en-US"/>
        </w:rPr>
      </w:pPr>
    </w:p>
    <w:p w:rsidR="00A514C3" w:rsidRPr="00906AFB" w:rsidRDefault="00A514C3" w:rsidP="00906AFB">
      <w:pPr>
        <w:spacing w:after="0" w:line="240" w:lineRule="auto"/>
        <w:jc w:val="center"/>
        <w:rPr>
          <w:rFonts w:ascii="Arial" w:eastAsia="Calibri" w:hAnsi="Arial" w:cs="Arial"/>
          <w:b/>
          <w:sz w:val="24"/>
          <w:szCs w:val="24"/>
          <w:lang w:val="es-ES" w:eastAsia="en-US"/>
        </w:rPr>
      </w:pPr>
    </w:p>
    <w:p w:rsidR="00906AFB" w:rsidRPr="00906AFB" w:rsidRDefault="00906AFB" w:rsidP="00906AFB">
      <w:pPr>
        <w:spacing w:after="0" w:line="240" w:lineRule="auto"/>
        <w:jc w:val="center"/>
        <w:rPr>
          <w:rFonts w:ascii="Arial" w:eastAsia="Calibri" w:hAnsi="Arial" w:cs="Arial"/>
          <w:b/>
          <w:sz w:val="24"/>
          <w:szCs w:val="24"/>
          <w:lang w:val="es-ES" w:eastAsia="en-US"/>
        </w:rPr>
      </w:pPr>
      <w:r w:rsidRPr="00906AFB">
        <w:rPr>
          <w:rFonts w:ascii="Arial" w:eastAsia="Calibri" w:hAnsi="Arial" w:cs="Arial"/>
          <w:b/>
          <w:sz w:val="24"/>
          <w:szCs w:val="24"/>
          <w:lang w:val="es-ES" w:eastAsia="en-US"/>
        </w:rPr>
        <w:t>JOSÉ IGNACIO PERALTA SÁNCHEZ</w:t>
      </w:r>
    </w:p>
    <w:p w:rsidR="00906AFB" w:rsidRPr="00906AFB" w:rsidRDefault="00906AFB" w:rsidP="00906AFB">
      <w:pPr>
        <w:spacing w:after="0" w:line="240" w:lineRule="auto"/>
        <w:jc w:val="center"/>
        <w:rPr>
          <w:rFonts w:ascii="Arial" w:eastAsia="Calibri" w:hAnsi="Arial" w:cs="Arial"/>
          <w:b/>
          <w:sz w:val="24"/>
          <w:szCs w:val="24"/>
          <w:lang w:val="es-ES" w:eastAsia="en-US"/>
        </w:rPr>
      </w:pPr>
      <w:r w:rsidRPr="00906AFB">
        <w:rPr>
          <w:rFonts w:ascii="Arial" w:eastAsia="Calibri" w:hAnsi="Arial" w:cs="Arial"/>
          <w:b/>
          <w:sz w:val="24"/>
          <w:szCs w:val="24"/>
          <w:lang w:val="es-ES" w:eastAsia="en-US"/>
        </w:rPr>
        <w:t>GOBERNADOR CONSTITUCIONAL DEL ESTADO</w:t>
      </w:r>
    </w:p>
    <w:p w:rsidR="00906AFB" w:rsidRPr="00906AFB" w:rsidRDefault="00906AFB" w:rsidP="00906AFB">
      <w:pPr>
        <w:spacing w:after="0" w:line="240" w:lineRule="auto"/>
        <w:jc w:val="center"/>
        <w:rPr>
          <w:rFonts w:ascii="Arial" w:eastAsia="Calibri" w:hAnsi="Arial" w:cs="Arial"/>
          <w:b/>
          <w:sz w:val="24"/>
          <w:szCs w:val="24"/>
          <w:lang w:val="es-ES" w:eastAsia="en-US"/>
        </w:rPr>
      </w:pPr>
    </w:p>
    <w:p w:rsidR="00906AFB" w:rsidRPr="00906AFB" w:rsidRDefault="00906AFB" w:rsidP="00906AFB">
      <w:pPr>
        <w:spacing w:after="0" w:line="240" w:lineRule="auto"/>
        <w:jc w:val="center"/>
        <w:rPr>
          <w:rFonts w:ascii="Arial" w:eastAsia="Calibri" w:hAnsi="Arial" w:cs="Arial"/>
          <w:b/>
          <w:sz w:val="24"/>
          <w:szCs w:val="24"/>
          <w:lang w:val="es-ES" w:eastAsia="en-US"/>
        </w:rPr>
      </w:pPr>
    </w:p>
    <w:p w:rsidR="00906AFB" w:rsidRDefault="00906AFB" w:rsidP="00906AFB">
      <w:pPr>
        <w:spacing w:after="0" w:line="240" w:lineRule="auto"/>
        <w:jc w:val="center"/>
        <w:rPr>
          <w:rFonts w:ascii="Arial" w:eastAsia="Calibri" w:hAnsi="Arial" w:cs="Arial"/>
          <w:b/>
          <w:sz w:val="24"/>
          <w:szCs w:val="24"/>
          <w:lang w:val="es-ES" w:eastAsia="en-US"/>
        </w:rPr>
      </w:pPr>
    </w:p>
    <w:p w:rsidR="00E24DE2" w:rsidRDefault="00E24DE2" w:rsidP="00906AFB">
      <w:pPr>
        <w:spacing w:after="0" w:line="240" w:lineRule="auto"/>
        <w:jc w:val="center"/>
        <w:rPr>
          <w:rFonts w:ascii="Arial" w:eastAsia="Calibri" w:hAnsi="Arial" w:cs="Arial"/>
          <w:b/>
          <w:sz w:val="24"/>
          <w:szCs w:val="24"/>
          <w:lang w:val="es-ES" w:eastAsia="en-US"/>
        </w:rPr>
      </w:pPr>
    </w:p>
    <w:p w:rsidR="00E24DE2" w:rsidRPr="00906AFB" w:rsidRDefault="00E24DE2" w:rsidP="00906AFB">
      <w:pPr>
        <w:spacing w:after="0" w:line="240" w:lineRule="auto"/>
        <w:jc w:val="center"/>
        <w:rPr>
          <w:rFonts w:ascii="Arial" w:eastAsia="Calibri" w:hAnsi="Arial" w:cs="Arial"/>
          <w:b/>
          <w:sz w:val="24"/>
          <w:szCs w:val="24"/>
          <w:lang w:val="es-ES" w:eastAsia="en-US"/>
        </w:rPr>
      </w:pPr>
    </w:p>
    <w:p w:rsidR="00906AFB" w:rsidRDefault="00906AFB" w:rsidP="00906AFB">
      <w:pPr>
        <w:spacing w:after="0" w:line="240" w:lineRule="auto"/>
        <w:jc w:val="center"/>
        <w:rPr>
          <w:rFonts w:ascii="Arial" w:eastAsia="Calibri" w:hAnsi="Arial" w:cs="Arial"/>
          <w:b/>
          <w:sz w:val="24"/>
          <w:szCs w:val="24"/>
          <w:lang w:val="es-ES" w:eastAsia="en-US"/>
        </w:rPr>
      </w:pPr>
    </w:p>
    <w:p w:rsidR="00A514C3" w:rsidRDefault="00A514C3" w:rsidP="00906AFB">
      <w:pPr>
        <w:spacing w:after="0" w:line="240" w:lineRule="auto"/>
        <w:jc w:val="center"/>
        <w:rPr>
          <w:rFonts w:ascii="Arial" w:eastAsia="Calibri" w:hAnsi="Arial" w:cs="Arial"/>
          <w:b/>
          <w:sz w:val="24"/>
          <w:szCs w:val="24"/>
          <w:lang w:val="es-ES" w:eastAsia="en-US"/>
        </w:rPr>
      </w:pPr>
    </w:p>
    <w:p w:rsidR="00A514C3" w:rsidRDefault="00A514C3" w:rsidP="00906AFB">
      <w:pPr>
        <w:spacing w:after="0" w:line="240" w:lineRule="auto"/>
        <w:jc w:val="center"/>
        <w:rPr>
          <w:rFonts w:ascii="Arial" w:eastAsia="Calibri" w:hAnsi="Arial" w:cs="Arial"/>
          <w:b/>
          <w:sz w:val="24"/>
          <w:szCs w:val="24"/>
          <w:lang w:val="es-ES" w:eastAsia="en-US"/>
        </w:rPr>
      </w:pPr>
    </w:p>
    <w:p w:rsidR="00A514C3" w:rsidRDefault="00A514C3" w:rsidP="00906AFB">
      <w:pPr>
        <w:spacing w:after="0" w:line="240" w:lineRule="auto"/>
        <w:jc w:val="center"/>
        <w:rPr>
          <w:rFonts w:ascii="Arial" w:eastAsia="Calibri" w:hAnsi="Arial" w:cs="Arial"/>
          <w:b/>
          <w:sz w:val="24"/>
          <w:szCs w:val="24"/>
          <w:lang w:val="es-ES" w:eastAsia="en-US"/>
        </w:rPr>
      </w:pPr>
    </w:p>
    <w:p w:rsidR="00A514C3" w:rsidRDefault="00A514C3" w:rsidP="00906AFB">
      <w:pPr>
        <w:spacing w:after="0" w:line="240" w:lineRule="auto"/>
        <w:jc w:val="center"/>
        <w:rPr>
          <w:rFonts w:ascii="Arial" w:eastAsia="Calibri" w:hAnsi="Arial" w:cs="Arial"/>
          <w:b/>
          <w:sz w:val="24"/>
          <w:szCs w:val="24"/>
          <w:lang w:val="es-ES" w:eastAsia="en-US"/>
        </w:rPr>
      </w:pPr>
    </w:p>
    <w:p w:rsidR="00A514C3" w:rsidRPr="00906AFB" w:rsidRDefault="00A514C3" w:rsidP="00906AFB">
      <w:pPr>
        <w:spacing w:after="0" w:line="240" w:lineRule="auto"/>
        <w:jc w:val="center"/>
        <w:rPr>
          <w:rFonts w:ascii="Arial" w:eastAsia="Calibri" w:hAnsi="Arial" w:cs="Arial"/>
          <w:b/>
          <w:sz w:val="24"/>
          <w:szCs w:val="24"/>
          <w:lang w:val="es-ES" w:eastAsia="en-US"/>
        </w:rPr>
      </w:pPr>
    </w:p>
    <w:p w:rsidR="00906AFB" w:rsidRPr="00906AFB" w:rsidRDefault="00906AFB" w:rsidP="00906AFB">
      <w:pPr>
        <w:spacing w:after="0" w:line="240" w:lineRule="auto"/>
        <w:jc w:val="center"/>
        <w:rPr>
          <w:rFonts w:ascii="Arial" w:eastAsia="Calibri" w:hAnsi="Arial" w:cs="Arial"/>
          <w:b/>
          <w:sz w:val="24"/>
          <w:szCs w:val="24"/>
          <w:lang w:val="es-ES" w:eastAsia="en-US"/>
        </w:rPr>
      </w:pPr>
      <w:r w:rsidRPr="00906AFB">
        <w:rPr>
          <w:rFonts w:ascii="Arial" w:eastAsia="Calibri" w:hAnsi="Arial" w:cs="Arial"/>
          <w:b/>
          <w:sz w:val="24"/>
          <w:szCs w:val="24"/>
          <w:lang w:val="es-ES" w:eastAsia="en-US"/>
        </w:rPr>
        <w:t>ARNOLDO OCHOA GONZÁLEZ</w:t>
      </w:r>
    </w:p>
    <w:p w:rsidR="00906AFB" w:rsidRPr="00906AFB" w:rsidRDefault="00906AFB" w:rsidP="00906AFB">
      <w:pPr>
        <w:spacing w:after="0" w:line="240" w:lineRule="auto"/>
        <w:jc w:val="center"/>
        <w:rPr>
          <w:rFonts w:ascii="Arial" w:eastAsia="Calibri" w:hAnsi="Arial" w:cs="Arial"/>
          <w:b/>
          <w:sz w:val="24"/>
          <w:szCs w:val="24"/>
          <w:lang w:val="es-ES" w:eastAsia="en-US"/>
        </w:rPr>
      </w:pPr>
      <w:r w:rsidRPr="00906AFB">
        <w:rPr>
          <w:rFonts w:ascii="Arial" w:eastAsia="Calibri" w:hAnsi="Arial" w:cs="Arial"/>
          <w:b/>
          <w:sz w:val="24"/>
          <w:szCs w:val="24"/>
          <w:lang w:val="es-ES" w:eastAsia="en-US"/>
        </w:rPr>
        <w:t>SECRETARIO GENERAL DE GOBIERNO</w:t>
      </w:r>
    </w:p>
    <w:p w:rsidR="00600372" w:rsidRDefault="00600372" w:rsidP="00906AFB">
      <w:pPr>
        <w:spacing w:after="0" w:line="240" w:lineRule="auto"/>
        <w:jc w:val="center"/>
        <w:rPr>
          <w:rFonts w:ascii="Arial" w:eastAsia="Arial Unicode MS" w:hAnsi="Arial" w:cs="Arial"/>
          <w:b/>
          <w:sz w:val="24"/>
          <w:szCs w:val="24"/>
          <w:u w:color="000000"/>
          <w:lang w:val="es-ES"/>
        </w:rPr>
      </w:pPr>
    </w:p>
    <w:p w:rsidR="00600372" w:rsidRDefault="00600372" w:rsidP="00906AFB">
      <w:pPr>
        <w:spacing w:after="0" w:line="240" w:lineRule="auto"/>
        <w:jc w:val="center"/>
        <w:rPr>
          <w:rFonts w:ascii="Arial" w:eastAsia="Arial Unicode MS" w:hAnsi="Arial" w:cs="Arial"/>
          <w:b/>
          <w:sz w:val="24"/>
          <w:szCs w:val="24"/>
          <w:u w:color="000000"/>
          <w:lang w:val="es-ES"/>
        </w:rPr>
      </w:pPr>
    </w:p>
    <w:p w:rsidR="00E24DE2" w:rsidRDefault="00E24DE2" w:rsidP="00906AFB">
      <w:pPr>
        <w:spacing w:after="0" w:line="240" w:lineRule="auto"/>
        <w:jc w:val="center"/>
        <w:rPr>
          <w:rFonts w:ascii="Arial" w:eastAsia="Arial Unicode MS" w:hAnsi="Arial" w:cs="Arial"/>
          <w:b/>
          <w:sz w:val="24"/>
          <w:szCs w:val="24"/>
          <w:u w:color="000000"/>
          <w:lang w:val="es-ES"/>
        </w:rPr>
      </w:pPr>
    </w:p>
    <w:p w:rsidR="00E24DE2" w:rsidRDefault="00E24DE2" w:rsidP="00906AFB">
      <w:pPr>
        <w:spacing w:after="0" w:line="240" w:lineRule="auto"/>
        <w:jc w:val="center"/>
        <w:rPr>
          <w:rFonts w:ascii="Arial" w:eastAsia="Arial Unicode MS" w:hAnsi="Arial" w:cs="Arial"/>
          <w:b/>
          <w:sz w:val="24"/>
          <w:szCs w:val="24"/>
          <w:u w:color="000000"/>
          <w:lang w:val="es-ES"/>
        </w:rPr>
      </w:pPr>
    </w:p>
    <w:p w:rsidR="00600372" w:rsidRPr="00906AFB" w:rsidRDefault="00600372" w:rsidP="00906AFB">
      <w:pPr>
        <w:spacing w:after="0" w:line="240" w:lineRule="auto"/>
        <w:jc w:val="center"/>
        <w:rPr>
          <w:rFonts w:ascii="Arial" w:eastAsia="Arial Unicode MS" w:hAnsi="Arial" w:cs="Arial"/>
          <w:b/>
          <w:sz w:val="24"/>
          <w:szCs w:val="24"/>
          <w:u w:color="000000"/>
          <w:lang w:val="es-ES"/>
        </w:rPr>
      </w:pPr>
    </w:p>
    <w:p w:rsidR="00906AFB" w:rsidRDefault="00906AFB" w:rsidP="00906AFB">
      <w:pPr>
        <w:spacing w:after="0" w:line="240" w:lineRule="auto"/>
        <w:jc w:val="center"/>
        <w:rPr>
          <w:rFonts w:ascii="Arial" w:eastAsia="Arial Unicode MS" w:hAnsi="Arial" w:cs="Arial"/>
          <w:b/>
          <w:sz w:val="24"/>
          <w:szCs w:val="24"/>
          <w:u w:color="000000"/>
          <w:lang w:val="es-ES"/>
        </w:rPr>
      </w:pPr>
    </w:p>
    <w:p w:rsidR="00A514C3" w:rsidRPr="00906AFB" w:rsidRDefault="00A514C3" w:rsidP="00906AFB">
      <w:pPr>
        <w:spacing w:after="0" w:line="240" w:lineRule="auto"/>
        <w:jc w:val="center"/>
        <w:rPr>
          <w:rFonts w:ascii="Arial" w:eastAsia="Arial Unicode MS" w:hAnsi="Arial" w:cs="Arial"/>
          <w:b/>
          <w:sz w:val="24"/>
          <w:szCs w:val="24"/>
          <w:u w:color="000000"/>
          <w:lang w:val="es-ES"/>
        </w:rPr>
      </w:pPr>
    </w:p>
    <w:p w:rsidR="00906AFB" w:rsidRPr="00906AFB" w:rsidRDefault="00906AFB" w:rsidP="00906AFB">
      <w:pPr>
        <w:spacing w:after="0" w:line="240" w:lineRule="auto"/>
        <w:jc w:val="center"/>
        <w:rPr>
          <w:rFonts w:ascii="Arial" w:eastAsia="Arial Bold" w:hAnsi="Arial" w:cs="Arial"/>
          <w:b/>
          <w:sz w:val="24"/>
          <w:szCs w:val="24"/>
          <w:u w:color="000000"/>
          <w:lang w:val="es-ES"/>
        </w:rPr>
      </w:pPr>
      <w:r w:rsidRPr="00906AFB">
        <w:rPr>
          <w:rFonts w:ascii="Arial" w:eastAsia="Arial Unicode MS" w:hAnsi="Arial" w:cs="Arial"/>
          <w:b/>
          <w:sz w:val="24"/>
          <w:szCs w:val="24"/>
          <w:u w:color="000000"/>
          <w:lang w:val="es-ES"/>
        </w:rPr>
        <w:t>CARLOS ARTURO NORIEGA GARCÍA</w:t>
      </w:r>
    </w:p>
    <w:p w:rsidR="00906AFB" w:rsidRPr="00906AFB" w:rsidRDefault="00906AFB" w:rsidP="00906AFB">
      <w:pPr>
        <w:spacing w:after="0" w:line="240" w:lineRule="auto"/>
        <w:jc w:val="center"/>
        <w:rPr>
          <w:rFonts w:ascii="Arial" w:eastAsia="Arial Bold" w:hAnsi="Arial" w:cs="Arial"/>
          <w:b/>
          <w:sz w:val="24"/>
          <w:szCs w:val="24"/>
          <w:u w:color="000000"/>
          <w:lang w:val="es-ES"/>
        </w:rPr>
      </w:pPr>
      <w:r w:rsidRPr="00906AFB">
        <w:rPr>
          <w:rFonts w:ascii="Arial" w:eastAsia="Arial Unicode MS" w:hAnsi="Arial" w:cs="Arial"/>
          <w:b/>
          <w:sz w:val="24"/>
          <w:szCs w:val="24"/>
          <w:u w:color="000000"/>
          <w:lang w:val="es-ES"/>
        </w:rPr>
        <w:t>SECRETARIO DE PLANEACIÓN Y FINANZAS</w:t>
      </w:r>
    </w:p>
    <w:p w:rsidR="00906AFB" w:rsidRPr="00906AFB" w:rsidRDefault="00906AFB" w:rsidP="00906AFB">
      <w:pPr>
        <w:spacing w:after="0" w:line="240" w:lineRule="auto"/>
        <w:jc w:val="center"/>
        <w:rPr>
          <w:rFonts w:ascii="Arial" w:eastAsia="Calibri" w:hAnsi="Arial" w:cs="Arial"/>
          <w:b/>
          <w:sz w:val="24"/>
          <w:szCs w:val="24"/>
          <w:lang w:eastAsia="en-US"/>
        </w:rPr>
      </w:pPr>
    </w:p>
    <w:p w:rsidR="00906AFB" w:rsidRPr="00906AFB" w:rsidRDefault="00906AFB" w:rsidP="00906AFB">
      <w:pPr>
        <w:spacing w:after="0" w:line="240" w:lineRule="auto"/>
        <w:jc w:val="center"/>
        <w:rPr>
          <w:rFonts w:ascii="Arial" w:eastAsia="Calibri" w:hAnsi="Arial" w:cs="Arial"/>
          <w:b/>
          <w:sz w:val="24"/>
          <w:szCs w:val="24"/>
          <w:lang w:val="es-ES" w:eastAsia="en-US"/>
        </w:rPr>
      </w:pPr>
    </w:p>
    <w:p w:rsidR="00906AFB" w:rsidRPr="00906AFB" w:rsidRDefault="00906AFB" w:rsidP="00906AFB">
      <w:pPr>
        <w:spacing w:after="0" w:line="240" w:lineRule="auto"/>
        <w:jc w:val="center"/>
        <w:rPr>
          <w:rFonts w:ascii="Arial" w:eastAsia="Calibri" w:hAnsi="Arial" w:cs="Arial"/>
          <w:b/>
          <w:sz w:val="24"/>
          <w:szCs w:val="24"/>
          <w:lang w:val="es-ES" w:eastAsia="en-US"/>
        </w:rPr>
      </w:pPr>
    </w:p>
    <w:p w:rsidR="00906AFB" w:rsidRPr="00906AFB" w:rsidRDefault="00906AFB" w:rsidP="00906AFB">
      <w:pPr>
        <w:spacing w:after="0" w:line="240" w:lineRule="auto"/>
        <w:jc w:val="center"/>
        <w:rPr>
          <w:rFonts w:ascii="Arial" w:eastAsia="Calibri" w:hAnsi="Arial" w:cs="Arial"/>
          <w:b/>
          <w:sz w:val="24"/>
          <w:szCs w:val="24"/>
          <w:lang w:val="es-ES" w:eastAsia="en-US"/>
        </w:rPr>
      </w:pPr>
    </w:p>
    <w:p w:rsidR="00906AFB" w:rsidRPr="00906AFB" w:rsidRDefault="00906AFB" w:rsidP="00906AFB">
      <w:pPr>
        <w:spacing w:after="0" w:line="240" w:lineRule="auto"/>
        <w:jc w:val="center"/>
        <w:rPr>
          <w:rFonts w:ascii="Arial" w:eastAsia="Calibri" w:hAnsi="Arial" w:cs="Arial"/>
          <w:b/>
          <w:sz w:val="24"/>
          <w:szCs w:val="24"/>
          <w:lang w:val="es-ES" w:eastAsia="en-US"/>
        </w:rPr>
      </w:pPr>
    </w:p>
    <w:p w:rsidR="00906AFB" w:rsidRPr="00906AFB" w:rsidRDefault="00906AFB" w:rsidP="00906AFB">
      <w:pPr>
        <w:spacing w:after="0" w:line="240" w:lineRule="auto"/>
        <w:jc w:val="center"/>
        <w:rPr>
          <w:rFonts w:ascii="Arial" w:eastAsia="Calibri" w:hAnsi="Arial" w:cs="Arial"/>
          <w:b/>
          <w:sz w:val="24"/>
          <w:szCs w:val="24"/>
          <w:lang w:val="es-ES" w:eastAsia="en-US"/>
        </w:rPr>
      </w:pPr>
    </w:p>
    <w:p w:rsidR="00906AFB" w:rsidRPr="00906AFB" w:rsidRDefault="00906AFB" w:rsidP="00906AFB">
      <w:pPr>
        <w:spacing w:after="0" w:line="240" w:lineRule="auto"/>
        <w:jc w:val="center"/>
        <w:rPr>
          <w:rFonts w:ascii="Arial" w:eastAsia="Calibri" w:hAnsi="Arial" w:cs="Arial"/>
          <w:b/>
          <w:sz w:val="24"/>
          <w:szCs w:val="24"/>
          <w:lang w:val="es-ES" w:eastAsia="en-US"/>
        </w:rPr>
      </w:pPr>
    </w:p>
    <w:p w:rsidR="00906AFB" w:rsidRPr="00906AFB" w:rsidRDefault="00906AFB" w:rsidP="00906AFB">
      <w:pPr>
        <w:spacing w:after="0" w:line="240" w:lineRule="auto"/>
        <w:jc w:val="center"/>
        <w:rPr>
          <w:rFonts w:ascii="Arial" w:eastAsia="Calibri" w:hAnsi="Arial" w:cs="Arial"/>
          <w:b/>
          <w:sz w:val="24"/>
          <w:szCs w:val="24"/>
          <w:lang w:val="es-ES" w:eastAsia="en-US"/>
        </w:rPr>
      </w:pPr>
      <w:r w:rsidRPr="00906AFB">
        <w:rPr>
          <w:rFonts w:ascii="Arial" w:eastAsia="Calibri" w:hAnsi="Arial" w:cs="Arial"/>
          <w:b/>
          <w:sz w:val="24"/>
          <w:szCs w:val="24"/>
          <w:lang w:val="es-ES" w:eastAsia="en-US"/>
        </w:rPr>
        <w:t>ANDRÉS GERARDO GARCÍA NORIEGA</w:t>
      </w:r>
    </w:p>
    <w:p w:rsidR="00906AFB" w:rsidRPr="00906AFB" w:rsidRDefault="00906AFB" w:rsidP="00906AFB">
      <w:pPr>
        <w:spacing w:after="0" w:line="240" w:lineRule="auto"/>
        <w:jc w:val="center"/>
        <w:rPr>
          <w:rFonts w:ascii="Arial" w:eastAsia="Calibri" w:hAnsi="Arial" w:cs="Arial"/>
          <w:b/>
          <w:sz w:val="24"/>
          <w:szCs w:val="24"/>
          <w:lang w:val="es-ES" w:eastAsia="en-US"/>
        </w:rPr>
      </w:pPr>
      <w:r w:rsidRPr="00906AFB">
        <w:rPr>
          <w:rFonts w:ascii="Arial" w:eastAsia="Calibri" w:hAnsi="Arial" w:cs="Arial"/>
          <w:b/>
          <w:sz w:val="24"/>
          <w:szCs w:val="24"/>
          <w:lang w:val="es-ES" w:eastAsia="en-US"/>
        </w:rPr>
        <w:t>CONSEJERO JURÍDICO DEL PODER EJECUTIVO DEL ESTADO</w:t>
      </w:r>
    </w:p>
    <w:p w:rsidR="008D3031" w:rsidRDefault="008D3031" w:rsidP="008D3031">
      <w:pPr>
        <w:spacing w:after="0" w:line="240" w:lineRule="auto"/>
        <w:jc w:val="center"/>
        <w:rPr>
          <w:rFonts w:ascii="Arial" w:hAnsi="Arial" w:cs="Arial"/>
          <w:b/>
          <w:sz w:val="24"/>
          <w:szCs w:val="24"/>
        </w:rPr>
      </w:pPr>
    </w:p>
    <w:bookmarkEnd w:id="1"/>
    <w:bookmarkEnd w:id="2"/>
    <w:p w:rsidR="00906AFB" w:rsidRDefault="00906AFB" w:rsidP="008D3031">
      <w:pPr>
        <w:spacing w:after="0" w:line="240" w:lineRule="auto"/>
        <w:jc w:val="center"/>
        <w:rPr>
          <w:rFonts w:ascii="Arial" w:hAnsi="Arial" w:cs="Arial"/>
          <w:b/>
          <w:sz w:val="24"/>
          <w:szCs w:val="24"/>
        </w:rPr>
      </w:pPr>
    </w:p>
    <w:p w:rsidR="007F5179" w:rsidRDefault="007F5179" w:rsidP="008D3031">
      <w:pPr>
        <w:spacing w:after="0" w:line="240" w:lineRule="auto"/>
        <w:jc w:val="center"/>
        <w:rPr>
          <w:rFonts w:ascii="Arial" w:hAnsi="Arial" w:cs="Arial"/>
          <w:b/>
          <w:sz w:val="24"/>
          <w:szCs w:val="24"/>
        </w:rPr>
      </w:pPr>
    </w:p>
    <w:p w:rsidR="007F5179" w:rsidRDefault="007F5179" w:rsidP="008D3031">
      <w:pPr>
        <w:spacing w:after="0" w:line="240" w:lineRule="auto"/>
        <w:jc w:val="center"/>
        <w:rPr>
          <w:rFonts w:ascii="Arial" w:hAnsi="Arial" w:cs="Arial"/>
          <w:b/>
          <w:sz w:val="24"/>
          <w:szCs w:val="24"/>
        </w:rPr>
      </w:pPr>
    </w:p>
    <w:p w:rsidR="007F5179" w:rsidRDefault="007F5179" w:rsidP="008D3031">
      <w:pPr>
        <w:spacing w:after="0" w:line="240" w:lineRule="auto"/>
        <w:jc w:val="center"/>
        <w:rPr>
          <w:rFonts w:ascii="Arial" w:hAnsi="Arial" w:cs="Arial"/>
          <w:b/>
          <w:sz w:val="24"/>
          <w:szCs w:val="24"/>
        </w:rPr>
      </w:pPr>
    </w:p>
    <w:p w:rsidR="00E24DE2" w:rsidRDefault="00E24DE2">
      <w:pPr>
        <w:rPr>
          <w:rFonts w:ascii="Arial" w:hAnsi="Arial" w:cs="Arial"/>
          <w:b/>
          <w:sz w:val="24"/>
          <w:szCs w:val="24"/>
        </w:rPr>
      </w:pPr>
      <w:r>
        <w:rPr>
          <w:rFonts w:ascii="Arial" w:hAnsi="Arial" w:cs="Arial"/>
          <w:b/>
          <w:sz w:val="24"/>
          <w:szCs w:val="24"/>
        </w:rPr>
        <w:br w:type="page"/>
      </w:r>
    </w:p>
    <w:p w:rsidR="007F5179" w:rsidRDefault="007F5179" w:rsidP="00A514C3">
      <w:pPr>
        <w:spacing w:after="0" w:line="240" w:lineRule="auto"/>
        <w:rPr>
          <w:rFonts w:ascii="Arial" w:hAnsi="Arial" w:cs="Arial"/>
          <w:b/>
          <w:sz w:val="24"/>
          <w:szCs w:val="24"/>
        </w:rPr>
      </w:pPr>
    </w:p>
    <w:p w:rsidR="00A514C3" w:rsidRDefault="00A514C3" w:rsidP="00A514C3">
      <w:pPr>
        <w:spacing w:after="0" w:line="240" w:lineRule="auto"/>
        <w:rPr>
          <w:rFonts w:ascii="Arial" w:hAnsi="Arial" w:cs="Arial"/>
          <w:b/>
          <w:sz w:val="24"/>
          <w:szCs w:val="24"/>
        </w:rPr>
      </w:pPr>
    </w:p>
    <w:p w:rsidR="00A514C3" w:rsidRDefault="00A514C3" w:rsidP="00A514C3">
      <w:pPr>
        <w:spacing w:after="0" w:line="240" w:lineRule="auto"/>
        <w:rPr>
          <w:rFonts w:ascii="Arial" w:hAnsi="Arial" w:cs="Arial"/>
          <w:b/>
          <w:sz w:val="24"/>
          <w:szCs w:val="24"/>
        </w:rPr>
      </w:pPr>
    </w:p>
    <w:p w:rsidR="00A514C3" w:rsidRDefault="00A514C3" w:rsidP="00A514C3">
      <w:pPr>
        <w:spacing w:after="0" w:line="240" w:lineRule="auto"/>
        <w:rPr>
          <w:rFonts w:ascii="Arial" w:hAnsi="Arial" w:cs="Arial"/>
          <w:b/>
          <w:sz w:val="24"/>
          <w:szCs w:val="24"/>
        </w:rPr>
      </w:pPr>
    </w:p>
    <w:p w:rsidR="00A514C3" w:rsidRDefault="00A514C3" w:rsidP="00A514C3">
      <w:pPr>
        <w:spacing w:after="0" w:line="240" w:lineRule="auto"/>
        <w:rPr>
          <w:rFonts w:ascii="Arial" w:hAnsi="Arial" w:cs="Arial"/>
          <w:b/>
          <w:sz w:val="24"/>
          <w:szCs w:val="24"/>
        </w:rPr>
      </w:pPr>
    </w:p>
    <w:p w:rsidR="00A514C3" w:rsidRDefault="00A514C3" w:rsidP="00A514C3">
      <w:pPr>
        <w:spacing w:after="0" w:line="240" w:lineRule="auto"/>
        <w:rPr>
          <w:rFonts w:ascii="Arial" w:hAnsi="Arial" w:cs="Arial"/>
          <w:b/>
          <w:sz w:val="24"/>
          <w:szCs w:val="24"/>
        </w:rPr>
      </w:pPr>
    </w:p>
    <w:p w:rsidR="00A514C3" w:rsidRDefault="00A514C3" w:rsidP="00A514C3">
      <w:pPr>
        <w:spacing w:after="0" w:line="240" w:lineRule="auto"/>
        <w:rPr>
          <w:rFonts w:ascii="Arial" w:hAnsi="Arial" w:cs="Arial"/>
          <w:b/>
          <w:sz w:val="24"/>
          <w:szCs w:val="24"/>
        </w:rPr>
      </w:pPr>
    </w:p>
    <w:p w:rsidR="007F5179" w:rsidRDefault="007F5179" w:rsidP="008D3031">
      <w:pPr>
        <w:spacing w:after="0" w:line="240" w:lineRule="auto"/>
        <w:jc w:val="center"/>
        <w:rPr>
          <w:rFonts w:ascii="Arial" w:hAnsi="Arial" w:cs="Arial"/>
          <w:b/>
          <w:sz w:val="24"/>
          <w:szCs w:val="24"/>
        </w:rPr>
      </w:pPr>
    </w:p>
    <w:p w:rsidR="007F5179" w:rsidRDefault="007F5179" w:rsidP="008D3031">
      <w:pPr>
        <w:spacing w:after="0" w:line="240" w:lineRule="auto"/>
        <w:jc w:val="center"/>
        <w:rPr>
          <w:rFonts w:ascii="Arial" w:hAnsi="Arial" w:cs="Arial"/>
          <w:b/>
          <w:sz w:val="24"/>
          <w:szCs w:val="24"/>
        </w:rPr>
      </w:pPr>
    </w:p>
    <w:p w:rsidR="007F5179" w:rsidRDefault="007F5179" w:rsidP="008D3031">
      <w:pPr>
        <w:spacing w:after="0" w:line="240" w:lineRule="auto"/>
        <w:jc w:val="center"/>
        <w:rPr>
          <w:rFonts w:ascii="Arial" w:hAnsi="Arial" w:cs="Arial"/>
          <w:b/>
          <w:sz w:val="24"/>
          <w:szCs w:val="24"/>
        </w:rPr>
      </w:pPr>
    </w:p>
    <w:p w:rsidR="007F5179" w:rsidRDefault="007F5179" w:rsidP="008D3031">
      <w:pPr>
        <w:spacing w:after="0" w:line="240" w:lineRule="auto"/>
        <w:jc w:val="center"/>
        <w:rPr>
          <w:rFonts w:ascii="Arial" w:hAnsi="Arial" w:cs="Arial"/>
          <w:b/>
          <w:sz w:val="24"/>
          <w:szCs w:val="24"/>
        </w:rPr>
      </w:pPr>
    </w:p>
    <w:p w:rsidR="007F5179" w:rsidRDefault="007F5179" w:rsidP="008D3031">
      <w:pPr>
        <w:spacing w:after="0" w:line="240" w:lineRule="auto"/>
        <w:jc w:val="center"/>
        <w:rPr>
          <w:rFonts w:ascii="Arial" w:hAnsi="Arial" w:cs="Arial"/>
          <w:b/>
          <w:sz w:val="24"/>
          <w:szCs w:val="24"/>
        </w:rPr>
      </w:pPr>
    </w:p>
    <w:p w:rsidR="007F5179" w:rsidRDefault="007F5179" w:rsidP="008D3031">
      <w:pPr>
        <w:spacing w:after="0" w:line="240" w:lineRule="auto"/>
        <w:jc w:val="center"/>
        <w:rPr>
          <w:rFonts w:ascii="Arial" w:hAnsi="Arial" w:cs="Arial"/>
          <w:b/>
          <w:sz w:val="24"/>
          <w:szCs w:val="24"/>
        </w:rPr>
      </w:pPr>
    </w:p>
    <w:p w:rsidR="007F5179" w:rsidRDefault="007F5179" w:rsidP="008D3031">
      <w:pPr>
        <w:spacing w:after="0" w:line="240" w:lineRule="auto"/>
        <w:jc w:val="center"/>
        <w:rPr>
          <w:rFonts w:ascii="Arial" w:hAnsi="Arial" w:cs="Arial"/>
          <w:b/>
          <w:sz w:val="24"/>
          <w:szCs w:val="24"/>
        </w:rPr>
      </w:pPr>
    </w:p>
    <w:p w:rsidR="007F5179" w:rsidRDefault="007F5179" w:rsidP="008D3031">
      <w:pPr>
        <w:spacing w:after="0" w:line="240" w:lineRule="auto"/>
        <w:jc w:val="center"/>
        <w:rPr>
          <w:rFonts w:ascii="Arial" w:hAnsi="Arial" w:cs="Arial"/>
          <w:b/>
          <w:sz w:val="24"/>
          <w:szCs w:val="24"/>
        </w:rPr>
      </w:pPr>
    </w:p>
    <w:p w:rsidR="007F5179" w:rsidRDefault="007F5179" w:rsidP="008D3031">
      <w:pPr>
        <w:spacing w:after="0" w:line="240" w:lineRule="auto"/>
        <w:jc w:val="center"/>
        <w:rPr>
          <w:rFonts w:ascii="Arial" w:hAnsi="Arial" w:cs="Arial"/>
          <w:b/>
          <w:sz w:val="24"/>
          <w:szCs w:val="24"/>
        </w:rPr>
      </w:pPr>
    </w:p>
    <w:p w:rsidR="007F5179" w:rsidRPr="007F5179" w:rsidRDefault="007F5179" w:rsidP="007F5179">
      <w:pPr>
        <w:spacing w:after="0" w:line="240" w:lineRule="auto"/>
        <w:jc w:val="both"/>
        <w:rPr>
          <w:rFonts w:ascii="Arial" w:hAnsi="Arial" w:cs="Arial"/>
          <w:b/>
          <w:sz w:val="36"/>
          <w:szCs w:val="36"/>
        </w:rPr>
      </w:pPr>
    </w:p>
    <w:p w:rsidR="007F5179" w:rsidRPr="007F5179" w:rsidRDefault="007F5179" w:rsidP="007F5179">
      <w:pPr>
        <w:autoSpaceDE w:val="0"/>
        <w:autoSpaceDN w:val="0"/>
        <w:adjustRightInd w:val="0"/>
        <w:spacing w:after="0" w:line="240" w:lineRule="auto"/>
        <w:jc w:val="both"/>
        <w:rPr>
          <w:rFonts w:ascii="Arial" w:hAnsi="Arial" w:cs="Arial"/>
          <w:b/>
          <w:bCs/>
          <w:color w:val="FF0000"/>
          <w:sz w:val="36"/>
          <w:szCs w:val="36"/>
        </w:rPr>
      </w:pPr>
      <w:r w:rsidRPr="007F5179">
        <w:rPr>
          <w:rFonts w:ascii="Arial" w:hAnsi="Arial" w:cs="Arial"/>
          <w:b/>
          <w:bCs/>
          <w:sz w:val="36"/>
          <w:szCs w:val="36"/>
        </w:rPr>
        <w:t xml:space="preserve">TOMO IV. ANEXOS PROGRAMÁTICO-PRESUPUESTARIOS. </w:t>
      </w:r>
    </w:p>
    <w:p w:rsidR="007F5179" w:rsidRPr="008D3031" w:rsidRDefault="007F5179" w:rsidP="008D3031">
      <w:pPr>
        <w:spacing w:after="0" w:line="240" w:lineRule="auto"/>
        <w:jc w:val="center"/>
        <w:rPr>
          <w:rFonts w:ascii="Arial" w:hAnsi="Arial" w:cs="Arial"/>
          <w:b/>
          <w:sz w:val="24"/>
          <w:szCs w:val="24"/>
        </w:rPr>
      </w:pPr>
    </w:p>
    <w:sectPr w:rsidR="007F5179" w:rsidRPr="008D3031" w:rsidSect="006E1FBC">
      <w:headerReference w:type="default" r:id="rId63"/>
      <w:footerReference w:type="default" r:id="rId6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77CB" w:rsidRDefault="00B577CB" w:rsidP="00567446">
      <w:pPr>
        <w:spacing w:after="0" w:line="240" w:lineRule="auto"/>
      </w:pPr>
      <w:r>
        <w:separator/>
      </w:r>
    </w:p>
  </w:endnote>
  <w:endnote w:type="continuationSeparator" w:id="0">
    <w:p w:rsidR="00B577CB" w:rsidRDefault="00B577CB" w:rsidP="005674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Rotis Sans Serif Std Light">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SoberanaSans-Black">
    <w:altName w:val="Calibri"/>
    <w:panose1 w:val="00000000000000000000"/>
    <w:charset w:val="00"/>
    <w:family w:val="auto"/>
    <w:notTrueType/>
    <w:pitch w:val="default"/>
    <w:sig w:usb0="00000003" w:usb1="00000000" w:usb2="00000000" w:usb3="00000000" w:csb0="00000001" w:csb1="00000000"/>
  </w:font>
  <w:font w:name="Colaborate-Regular">
    <w:panose1 w:val="00000000000000000000"/>
    <w:charset w:val="00"/>
    <w:family w:val="modern"/>
    <w:notTrueType/>
    <w:pitch w:val="variable"/>
    <w:sig w:usb0="00000003" w:usb1="00000000" w:usb2="00000000" w:usb3="00000000" w:csb0="00000001" w:csb1="00000000"/>
  </w:font>
  <w:font w:name="Arial Bold">
    <w:altName w:val="Times New Roman"/>
    <w:charset w:val="00"/>
    <w:family w:val="roman"/>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6210483"/>
      <w:docPartObj>
        <w:docPartGallery w:val="Page Numbers (Bottom of Page)"/>
        <w:docPartUnique/>
      </w:docPartObj>
    </w:sdtPr>
    <w:sdtEndPr/>
    <w:sdtContent>
      <w:p w:rsidR="008A5921" w:rsidRDefault="008A5921">
        <w:pPr>
          <w:pStyle w:val="Piedepgina"/>
          <w:jc w:val="right"/>
        </w:pPr>
        <w:r>
          <w:t xml:space="preserve">“2016, Año de la Inclusión e Igualdad para las personas con Autismo”                        </w:t>
        </w:r>
        <w:r>
          <w:fldChar w:fldCharType="begin"/>
        </w:r>
        <w:r>
          <w:instrText>PAGE   \* MERGEFORMAT</w:instrText>
        </w:r>
        <w:r>
          <w:fldChar w:fldCharType="separate"/>
        </w:r>
        <w:r w:rsidR="003034AD" w:rsidRPr="003034AD">
          <w:rPr>
            <w:noProof/>
            <w:lang w:val="es-ES"/>
          </w:rPr>
          <w:t>2</w:t>
        </w:r>
        <w:r>
          <w:fldChar w:fldCharType="end"/>
        </w:r>
      </w:p>
    </w:sdtContent>
  </w:sdt>
  <w:p w:rsidR="008A5921" w:rsidRDefault="008A592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77CB" w:rsidRDefault="00B577CB" w:rsidP="00567446">
      <w:pPr>
        <w:spacing w:after="0" w:line="240" w:lineRule="auto"/>
      </w:pPr>
      <w:r>
        <w:separator/>
      </w:r>
    </w:p>
  </w:footnote>
  <w:footnote w:type="continuationSeparator" w:id="0">
    <w:p w:rsidR="00B577CB" w:rsidRDefault="00B577CB" w:rsidP="00567446">
      <w:pPr>
        <w:spacing w:after="0" w:line="240" w:lineRule="auto"/>
      </w:pPr>
      <w:r>
        <w:continuationSeparator/>
      </w:r>
    </w:p>
  </w:footnote>
  <w:footnote w:id="1">
    <w:p w:rsidR="008A5921" w:rsidRDefault="008A5921" w:rsidP="00E23519">
      <w:pPr>
        <w:pStyle w:val="Textonotapie"/>
        <w:jc w:val="both"/>
      </w:pPr>
      <w:r>
        <w:rPr>
          <w:rStyle w:val="Refdenotaalpie"/>
        </w:rPr>
        <w:footnoteRef/>
      </w:r>
      <w:r>
        <w:t xml:space="preserve"> </w:t>
      </w:r>
      <w:r w:rsidRPr="004F072A">
        <w:rPr>
          <w:rFonts w:ascii="Arial" w:hAnsi="Arial" w:cs="Arial"/>
          <w:sz w:val="22"/>
          <w:szCs w:val="22"/>
        </w:rPr>
        <w:t>“</w:t>
      </w:r>
      <w:r w:rsidRPr="004F072A">
        <w:rPr>
          <w:rFonts w:ascii="Arial" w:hAnsi="Arial" w:cs="Arial"/>
          <w:b/>
          <w:sz w:val="22"/>
          <w:szCs w:val="22"/>
        </w:rPr>
        <w:t>Libro Blanco:</w:t>
      </w:r>
      <w:r w:rsidRPr="004F072A">
        <w:rPr>
          <w:rFonts w:ascii="Arial" w:hAnsi="Arial" w:cs="Arial"/>
          <w:sz w:val="22"/>
          <w:szCs w:val="22"/>
        </w:rPr>
        <w:t xml:space="preserve"> es el documento público gubernamental en el que se hacen constar las acciones y resultados obtenidos más destacados de un programa, proyecto o asunto relevante y trascendente de la Administración Pública Federal…” (Lineamientos para la Elaboración e Integración de Libros Blancos y de Memorias Documentales, Diario Oficial de la Federación D.O.F.10.10.2011)</w:t>
      </w:r>
    </w:p>
  </w:footnote>
  <w:footnote w:id="2">
    <w:p w:rsidR="008A5921" w:rsidRDefault="008A5921" w:rsidP="00E23519">
      <w:pPr>
        <w:pStyle w:val="Textonotapie"/>
      </w:pPr>
      <w:r>
        <w:rPr>
          <w:rStyle w:val="Refdenotaalpie"/>
        </w:rPr>
        <w:footnoteRef/>
      </w:r>
      <w:r>
        <w:t xml:space="preserve"> Véase </w:t>
      </w:r>
      <w:r w:rsidRPr="007242E2">
        <w:t>http://www.bancomundial.org/es/topic/disasterriskmanagement/overview</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5921" w:rsidRDefault="008A5921" w:rsidP="00A0651B">
    <w:pPr>
      <w:pStyle w:val="Encabezado"/>
    </w:pPr>
    <w:r>
      <w:rPr>
        <w:noProof/>
      </w:rPr>
      <w:drawing>
        <wp:anchor distT="0" distB="0" distL="114300" distR="114300" simplePos="0" relativeHeight="251658752" behindDoc="0" locked="0" layoutInCell="1" allowOverlap="1" wp14:anchorId="2E3A0FE3" wp14:editId="04803283">
          <wp:simplePos x="0" y="0"/>
          <wp:positionH relativeFrom="column">
            <wp:posOffset>-473075</wp:posOffset>
          </wp:positionH>
          <wp:positionV relativeFrom="paragraph">
            <wp:posOffset>-609546</wp:posOffset>
          </wp:positionV>
          <wp:extent cx="2076450" cy="2076450"/>
          <wp:effectExtent l="0" t="0" r="0" b="0"/>
          <wp:wrapNone/>
          <wp:docPr id="4" name="Imagen 1" descr="\\RECEPCION\Users\Public\Scan.jpg"/>
          <wp:cNvGraphicFramePr/>
          <a:graphic xmlns:a="http://schemas.openxmlformats.org/drawingml/2006/main">
            <a:graphicData uri="http://schemas.openxmlformats.org/drawingml/2006/picture">
              <pic:pic xmlns:pic="http://schemas.openxmlformats.org/drawingml/2006/picture">
                <pic:nvPicPr>
                  <pic:cNvPr id="2" name="Imagen 1" descr="\\RECEPCION\Users\Public\Scan.jpg"/>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2076450" cy="20764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8A5921" w:rsidRDefault="008A5921" w:rsidP="00A0651B">
    <w:pPr>
      <w:pStyle w:val="Encabezado"/>
    </w:pPr>
  </w:p>
  <w:p w:rsidR="008A5921" w:rsidRDefault="008A5921" w:rsidP="00A0651B">
    <w:pPr>
      <w:pStyle w:val="Encabezado"/>
    </w:pPr>
  </w:p>
  <w:p w:rsidR="008A5921" w:rsidRDefault="008A5921" w:rsidP="00A0651B">
    <w:pPr>
      <w:pStyle w:val="Encabezado"/>
    </w:pPr>
  </w:p>
  <w:p w:rsidR="008A5921" w:rsidRDefault="008A5921" w:rsidP="00A0651B">
    <w:pPr>
      <w:pStyle w:val="Encabezado"/>
    </w:pPr>
  </w:p>
  <w:p w:rsidR="008A5921" w:rsidRDefault="008A5921" w:rsidP="00A0651B">
    <w:pPr>
      <w:pStyle w:val="Encabezado"/>
    </w:pPr>
  </w:p>
  <w:p w:rsidR="008A5921" w:rsidRDefault="008A5921" w:rsidP="00A0651B">
    <w:pPr>
      <w:pStyle w:val="Encabezado"/>
    </w:pPr>
  </w:p>
  <w:p w:rsidR="008A5921" w:rsidRPr="007C1547" w:rsidRDefault="008A5921" w:rsidP="007C1547">
    <w:pPr>
      <w:spacing w:after="0" w:line="240" w:lineRule="auto"/>
      <w:rPr>
        <w:rFonts w:ascii="Arial Narrow" w:hAnsi="Arial Narrow"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B7121"/>
    <w:multiLevelType w:val="hybridMultilevel"/>
    <w:tmpl w:val="DBBC48E8"/>
    <w:lvl w:ilvl="0" w:tplc="F446EC18">
      <w:start w:val="1"/>
      <w:numFmt w:val="upperRoman"/>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 w15:restartNumberingAfterBreak="0">
    <w:nsid w:val="01350608"/>
    <w:multiLevelType w:val="hybridMultilevel"/>
    <w:tmpl w:val="28F251D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06E652D2"/>
    <w:multiLevelType w:val="hybridMultilevel"/>
    <w:tmpl w:val="1534DC5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C9A232C"/>
    <w:multiLevelType w:val="hybridMultilevel"/>
    <w:tmpl w:val="0C5221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EDA633B"/>
    <w:multiLevelType w:val="hybridMultilevel"/>
    <w:tmpl w:val="2192321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EF21815"/>
    <w:multiLevelType w:val="hybridMultilevel"/>
    <w:tmpl w:val="736C8D66"/>
    <w:lvl w:ilvl="0" w:tplc="197C293E">
      <w:start w:val="1"/>
      <w:numFmt w:val="upperRoman"/>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 w15:restartNumberingAfterBreak="0">
    <w:nsid w:val="0F4D35EE"/>
    <w:multiLevelType w:val="hybridMultilevel"/>
    <w:tmpl w:val="9880CDF0"/>
    <w:lvl w:ilvl="0" w:tplc="366C31DE">
      <w:start w:val="1"/>
      <w:numFmt w:val="upperRoman"/>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12C11D1D"/>
    <w:multiLevelType w:val="hybridMultilevel"/>
    <w:tmpl w:val="A0FE9ECC"/>
    <w:lvl w:ilvl="0" w:tplc="6004D450">
      <w:start w:val="1"/>
      <w:numFmt w:val="decimal"/>
      <w:lvlText w:val="%1."/>
      <w:lvlJc w:val="left"/>
      <w:pPr>
        <w:ind w:left="720" w:hanging="360"/>
      </w:pPr>
      <w:rPr>
        <w:rFonts w:hint="default"/>
        <w:b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8B217BF"/>
    <w:multiLevelType w:val="hybridMultilevel"/>
    <w:tmpl w:val="5C8823E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8E06F68"/>
    <w:multiLevelType w:val="hybridMultilevel"/>
    <w:tmpl w:val="5B66EAB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F6E7C15"/>
    <w:multiLevelType w:val="multilevel"/>
    <w:tmpl w:val="A056AE14"/>
    <w:lvl w:ilvl="0">
      <w:start w:val="1"/>
      <w:numFmt w:val="decimal"/>
      <w:lvlText w:val="%1."/>
      <w:lvlJc w:val="left"/>
      <w:pPr>
        <w:ind w:left="720" w:hanging="360"/>
      </w:pPr>
      <w:rPr>
        <w:rFonts w:hint="default"/>
      </w:rPr>
    </w:lvl>
    <w:lvl w:ilvl="1">
      <w:start w:val="1"/>
      <w:numFmt w:val="decimal"/>
      <w:isLgl/>
      <w:lvlText w:val="%1.%2"/>
      <w:lvlJc w:val="left"/>
      <w:pPr>
        <w:ind w:left="1140" w:hanging="780"/>
      </w:pPr>
      <w:rPr>
        <w:rFonts w:hint="default"/>
      </w:rPr>
    </w:lvl>
    <w:lvl w:ilvl="2">
      <w:start w:val="1"/>
      <w:numFmt w:val="decimal"/>
      <w:isLgl/>
      <w:lvlText w:val="%1.%2.%3"/>
      <w:lvlJc w:val="left"/>
      <w:pPr>
        <w:ind w:left="1140" w:hanging="7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20FD468C"/>
    <w:multiLevelType w:val="multilevel"/>
    <w:tmpl w:val="9208C2C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229D21A7"/>
    <w:multiLevelType w:val="hybridMultilevel"/>
    <w:tmpl w:val="66F4371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4952298"/>
    <w:multiLevelType w:val="hybridMultilevel"/>
    <w:tmpl w:val="9D0A0890"/>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93810D6"/>
    <w:multiLevelType w:val="hybridMultilevel"/>
    <w:tmpl w:val="5D4491C0"/>
    <w:lvl w:ilvl="0" w:tplc="F446EC18">
      <w:start w:val="1"/>
      <w:numFmt w:val="upperRoman"/>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5" w15:restartNumberingAfterBreak="0">
    <w:nsid w:val="29555851"/>
    <w:multiLevelType w:val="multilevel"/>
    <w:tmpl w:val="D25A536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15:restartNumberingAfterBreak="0">
    <w:nsid w:val="2B6B6391"/>
    <w:multiLevelType w:val="hybridMultilevel"/>
    <w:tmpl w:val="19202BB6"/>
    <w:lvl w:ilvl="0" w:tplc="9D0C5090">
      <w:start w:val="1"/>
      <w:numFmt w:val="upperRoman"/>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2C172233"/>
    <w:multiLevelType w:val="hybridMultilevel"/>
    <w:tmpl w:val="64E03C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88343D3"/>
    <w:multiLevelType w:val="hybridMultilevel"/>
    <w:tmpl w:val="878452A6"/>
    <w:lvl w:ilvl="0" w:tplc="6FDA6F8A">
      <w:start w:val="1"/>
      <w:numFmt w:val="upperRoman"/>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15:restartNumberingAfterBreak="0">
    <w:nsid w:val="38A125C5"/>
    <w:multiLevelType w:val="hybridMultilevel"/>
    <w:tmpl w:val="7C5419AC"/>
    <w:lvl w:ilvl="0" w:tplc="971CAA2A">
      <w:start w:val="1"/>
      <w:numFmt w:val="upperRoman"/>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0" w15:restartNumberingAfterBreak="0">
    <w:nsid w:val="3F4A4588"/>
    <w:multiLevelType w:val="hybridMultilevel"/>
    <w:tmpl w:val="5EF8C7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1C14C34"/>
    <w:multiLevelType w:val="hybridMultilevel"/>
    <w:tmpl w:val="4BDA7038"/>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2" w15:restartNumberingAfterBreak="0">
    <w:nsid w:val="448A36AC"/>
    <w:multiLevelType w:val="hybridMultilevel"/>
    <w:tmpl w:val="C184979E"/>
    <w:lvl w:ilvl="0" w:tplc="28C44A0A">
      <w:start w:val="1"/>
      <w:numFmt w:val="upperRoman"/>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15:restartNumberingAfterBreak="0">
    <w:nsid w:val="45C44435"/>
    <w:multiLevelType w:val="hybridMultilevel"/>
    <w:tmpl w:val="57305BA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D724965"/>
    <w:multiLevelType w:val="hybridMultilevel"/>
    <w:tmpl w:val="531A5FD2"/>
    <w:lvl w:ilvl="0" w:tplc="F280B814">
      <w:start w:val="1"/>
      <w:numFmt w:val="upperRoman"/>
      <w:lvlText w:val="%1."/>
      <w:lvlJc w:val="left"/>
      <w:pPr>
        <w:ind w:left="720" w:hanging="360"/>
      </w:pPr>
    </w:lvl>
    <w:lvl w:ilvl="1" w:tplc="886E8890">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15:restartNumberingAfterBreak="0">
    <w:nsid w:val="54FC17AD"/>
    <w:multiLevelType w:val="hybridMultilevel"/>
    <w:tmpl w:val="C6CE6C6A"/>
    <w:lvl w:ilvl="0" w:tplc="B5F27D42">
      <w:start w:val="1"/>
      <w:numFmt w:val="upperRoman"/>
      <w:lvlText w:val="%1."/>
      <w:lvlJc w:val="left"/>
      <w:pPr>
        <w:ind w:left="1004" w:hanging="360"/>
      </w:pPr>
    </w:lvl>
    <w:lvl w:ilvl="1" w:tplc="0C0A0003">
      <w:start w:val="1"/>
      <w:numFmt w:val="bullet"/>
      <w:lvlText w:val="o"/>
      <w:lvlJc w:val="left"/>
      <w:pPr>
        <w:ind w:left="1724" w:hanging="360"/>
      </w:pPr>
      <w:rPr>
        <w:rFonts w:ascii="Courier New" w:hAnsi="Courier New" w:cs="Courier New" w:hint="default"/>
      </w:rPr>
    </w:lvl>
    <w:lvl w:ilvl="2" w:tplc="0C0A0005">
      <w:start w:val="1"/>
      <w:numFmt w:val="bullet"/>
      <w:lvlText w:val=""/>
      <w:lvlJc w:val="left"/>
      <w:pPr>
        <w:ind w:left="2444" w:hanging="360"/>
      </w:pPr>
      <w:rPr>
        <w:rFonts w:ascii="Wingdings" w:hAnsi="Wingdings" w:hint="default"/>
      </w:rPr>
    </w:lvl>
    <w:lvl w:ilvl="3" w:tplc="0C0A0001">
      <w:start w:val="1"/>
      <w:numFmt w:val="bullet"/>
      <w:lvlText w:val=""/>
      <w:lvlJc w:val="left"/>
      <w:pPr>
        <w:ind w:left="3164" w:hanging="360"/>
      </w:pPr>
      <w:rPr>
        <w:rFonts w:ascii="Symbol" w:hAnsi="Symbol" w:hint="default"/>
      </w:rPr>
    </w:lvl>
    <w:lvl w:ilvl="4" w:tplc="0C0A0003">
      <w:start w:val="1"/>
      <w:numFmt w:val="bullet"/>
      <w:lvlText w:val="o"/>
      <w:lvlJc w:val="left"/>
      <w:pPr>
        <w:ind w:left="3884" w:hanging="360"/>
      </w:pPr>
      <w:rPr>
        <w:rFonts w:ascii="Courier New" w:hAnsi="Courier New" w:cs="Courier New" w:hint="default"/>
      </w:rPr>
    </w:lvl>
    <w:lvl w:ilvl="5" w:tplc="0C0A0005">
      <w:start w:val="1"/>
      <w:numFmt w:val="bullet"/>
      <w:lvlText w:val=""/>
      <w:lvlJc w:val="left"/>
      <w:pPr>
        <w:ind w:left="4604" w:hanging="360"/>
      </w:pPr>
      <w:rPr>
        <w:rFonts w:ascii="Wingdings" w:hAnsi="Wingdings" w:hint="default"/>
      </w:rPr>
    </w:lvl>
    <w:lvl w:ilvl="6" w:tplc="0C0A0001">
      <w:start w:val="1"/>
      <w:numFmt w:val="bullet"/>
      <w:lvlText w:val=""/>
      <w:lvlJc w:val="left"/>
      <w:pPr>
        <w:ind w:left="5324" w:hanging="360"/>
      </w:pPr>
      <w:rPr>
        <w:rFonts w:ascii="Symbol" w:hAnsi="Symbol" w:hint="default"/>
      </w:rPr>
    </w:lvl>
    <w:lvl w:ilvl="7" w:tplc="0C0A0003">
      <w:start w:val="1"/>
      <w:numFmt w:val="bullet"/>
      <w:lvlText w:val="o"/>
      <w:lvlJc w:val="left"/>
      <w:pPr>
        <w:ind w:left="6044" w:hanging="360"/>
      </w:pPr>
      <w:rPr>
        <w:rFonts w:ascii="Courier New" w:hAnsi="Courier New" w:cs="Courier New" w:hint="default"/>
      </w:rPr>
    </w:lvl>
    <w:lvl w:ilvl="8" w:tplc="0C0A0005">
      <w:start w:val="1"/>
      <w:numFmt w:val="bullet"/>
      <w:lvlText w:val=""/>
      <w:lvlJc w:val="left"/>
      <w:pPr>
        <w:ind w:left="6764" w:hanging="360"/>
      </w:pPr>
      <w:rPr>
        <w:rFonts w:ascii="Wingdings" w:hAnsi="Wingdings" w:hint="default"/>
      </w:rPr>
    </w:lvl>
  </w:abstractNum>
  <w:abstractNum w:abstractNumId="26" w15:restartNumberingAfterBreak="0">
    <w:nsid w:val="55CB2310"/>
    <w:multiLevelType w:val="hybridMultilevel"/>
    <w:tmpl w:val="CD58452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6A076C7"/>
    <w:multiLevelType w:val="hybridMultilevel"/>
    <w:tmpl w:val="26BAF8DC"/>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88B104F"/>
    <w:multiLevelType w:val="hybridMultilevel"/>
    <w:tmpl w:val="B66039F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98C2B0D"/>
    <w:multiLevelType w:val="hybridMultilevel"/>
    <w:tmpl w:val="884076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CEE7241"/>
    <w:multiLevelType w:val="hybridMultilevel"/>
    <w:tmpl w:val="D3A4B3C4"/>
    <w:lvl w:ilvl="0" w:tplc="080A0005">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1" w15:restartNumberingAfterBreak="0">
    <w:nsid w:val="69966C60"/>
    <w:multiLevelType w:val="hybridMultilevel"/>
    <w:tmpl w:val="BA169218"/>
    <w:lvl w:ilvl="0" w:tplc="77D80CBA">
      <w:start w:val="1"/>
      <w:numFmt w:val="upperRoman"/>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2" w15:restartNumberingAfterBreak="0">
    <w:nsid w:val="6EB611C9"/>
    <w:multiLevelType w:val="hybridMultilevel"/>
    <w:tmpl w:val="F3547C72"/>
    <w:lvl w:ilvl="0" w:tplc="6BBEC436">
      <w:start w:val="1"/>
      <w:numFmt w:val="upperRoman"/>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3" w15:restartNumberingAfterBreak="0">
    <w:nsid w:val="7012235B"/>
    <w:multiLevelType w:val="hybridMultilevel"/>
    <w:tmpl w:val="3C54C6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08602E2"/>
    <w:multiLevelType w:val="hybridMultilevel"/>
    <w:tmpl w:val="74A6953A"/>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5" w15:restartNumberingAfterBreak="0">
    <w:nsid w:val="769867EE"/>
    <w:multiLevelType w:val="hybridMultilevel"/>
    <w:tmpl w:val="2C646EA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8297D33"/>
    <w:multiLevelType w:val="hybridMultilevel"/>
    <w:tmpl w:val="B66281D0"/>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7" w15:restartNumberingAfterBreak="0">
    <w:nsid w:val="7BBF1295"/>
    <w:multiLevelType w:val="hybridMultilevel"/>
    <w:tmpl w:val="3BE2B70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C300EBE"/>
    <w:multiLevelType w:val="hybridMultilevel"/>
    <w:tmpl w:val="5D1C8C6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E3F7826"/>
    <w:multiLevelType w:val="hybridMultilevel"/>
    <w:tmpl w:val="299E204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F6812D4"/>
    <w:multiLevelType w:val="hybridMultilevel"/>
    <w:tmpl w:val="767AA29C"/>
    <w:lvl w:ilvl="0" w:tplc="62E216C2">
      <w:start w:val="1"/>
      <w:numFmt w:val="upperRoman"/>
      <w:lvlText w:val="%1."/>
      <w:lvlJc w:val="left"/>
      <w:pPr>
        <w:ind w:left="720" w:hanging="360"/>
      </w:pPr>
      <w:rPr>
        <w:strike w:val="0"/>
        <w:dstrike w:val="0"/>
        <w:color w:val="auto"/>
        <w:u w:val="none"/>
        <w:effect w:val="none"/>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1" w15:restartNumberingAfterBreak="0">
    <w:nsid w:val="7FDD1ADC"/>
    <w:multiLevelType w:val="hybridMultilevel"/>
    <w:tmpl w:val="5E2AE5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13"/>
  </w:num>
  <w:num w:numId="4">
    <w:abstractNumId w:val="4"/>
  </w:num>
  <w:num w:numId="5">
    <w:abstractNumId w:val="20"/>
  </w:num>
  <w:num w:numId="6">
    <w:abstractNumId w:val="11"/>
  </w:num>
  <w:num w:numId="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lvlOverride w:ilvl="0">
      <w:startOverride w:val="1"/>
    </w:lvlOverride>
    <w:lvlOverride w:ilvl="1"/>
    <w:lvlOverride w:ilvl="2"/>
    <w:lvlOverride w:ilvl="3"/>
    <w:lvlOverride w:ilvl="4"/>
    <w:lvlOverride w:ilvl="5"/>
    <w:lvlOverride w:ilvl="6"/>
    <w:lvlOverride w:ilvl="7"/>
    <w:lvlOverride w:ilvl="8"/>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3"/>
  </w:num>
  <w:num w:numId="23">
    <w:abstractNumId w:val="17"/>
  </w:num>
  <w:num w:numId="24">
    <w:abstractNumId w:val="3"/>
  </w:num>
  <w:num w:numId="25">
    <w:abstractNumId w:val="26"/>
  </w:num>
  <w:num w:numId="26">
    <w:abstractNumId w:val="27"/>
  </w:num>
  <w:num w:numId="27">
    <w:abstractNumId w:val="38"/>
  </w:num>
  <w:num w:numId="28">
    <w:abstractNumId w:val="29"/>
  </w:num>
  <w:num w:numId="29">
    <w:abstractNumId w:val="39"/>
  </w:num>
  <w:num w:numId="30">
    <w:abstractNumId w:val="9"/>
  </w:num>
  <w:num w:numId="31">
    <w:abstractNumId w:val="12"/>
  </w:num>
  <w:num w:numId="32">
    <w:abstractNumId w:val="23"/>
  </w:num>
  <w:num w:numId="33">
    <w:abstractNumId w:val="41"/>
  </w:num>
  <w:num w:numId="34">
    <w:abstractNumId w:val="1"/>
  </w:num>
  <w:num w:numId="35">
    <w:abstractNumId w:val="30"/>
  </w:num>
  <w:num w:numId="36">
    <w:abstractNumId w:val="8"/>
  </w:num>
  <w:num w:numId="37">
    <w:abstractNumId w:val="37"/>
  </w:num>
  <w:num w:numId="38">
    <w:abstractNumId w:val="28"/>
  </w:num>
  <w:num w:numId="39">
    <w:abstractNumId w:val="36"/>
  </w:num>
  <w:num w:numId="40">
    <w:abstractNumId w:val="35"/>
  </w:num>
  <w:num w:numId="41">
    <w:abstractNumId w:val="34"/>
  </w:num>
  <w:num w:numId="42">
    <w:abstractNumId w:val="2"/>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6200"/>
    <w:rsid w:val="00000B14"/>
    <w:rsid w:val="00000B36"/>
    <w:rsid w:val="00000CED"/>
    <w:rsid w:val="00001D7C"/>
    <w:rsid w:val="00002886"/>
    <w:rsid w:val="0000320F"/>
    <w:rsid w:val="000045D5"/>
    <w:rsid w:val="00005EA1"/>
    <w:rsid w:val="00006037"/>
    <w:rsid w:val="00012ABD"/>
    <w:rsid w:val="00013F86"/>
    <w:rsid w:val="00014FFD"/>
    <w:rsid w:val="00017278"/>
    <w:rsid w:val="00021AC2"/>
    <w:rsid w:val="00022590"/>
    <w:rsid w:val="00025C13"/>
    <w:rsid w:val="00027B18"/>
    <w:rsid w:val="00033D97"/>
    <w:rsid w:val="00035FC3"/>
    <w:rsid w:val="00036B9D"/>
    <w:rsid w:val="00036BB5"/>
    <w:rsid w:val="00037B86"/>
    <w:rsid w:val="00037FA6"/>
    <w:rsid w:val="0004107B"/>
    <w:rsid w:val="00041B7B"/>
    <w:rsid w:val="000443D0"/>
    <w:rsid w:val="00046DC1"/>
    <w:rsid w:val="000501F2"/>
    <w:rsid w:val="0005177A"/>
    <w:rsid w:val="0005304B"/>
    <w:rsid w:val="00053A08"/>
    <w:rsid w:val="00053C6E"/>
    <w:rsid w:val="00054B7A"/>
    <w:rsid w:val="00054C12"/>
    <w:rsid w:val="00055DD6"/>
    <w:rsid w:val="0005698A"/>
    <w:rsid w:val="000571D5"/>
    <w:rsid w:val="000608AB"/>
    <w:rsid w:val="00064982"/>
    <w:rsid w:val="0007127F"/>
    <w:rsid w:val="000721BC"/>
    <w:rsid w:val="00073328"/>
    <w:rsid w:val="0007405B"/>
    <w:rsid w:val="00074892"/>
    <w:rsid w:val="00076A9D"/>
    <w:rsid w:val="0007745F"/>
    <w:rsid w:val="000774A1"/>
    <w:rsid w:val="00077D05"/>
    <w:rsid w:val="00077F5E"/>
    <w:rsid w:val="00077F9E"/>
    <w:rsid w:val="000821DB"/>
    <w:rsid w:val="000830B6"/>
    <w:rsid w:val="00083573"/>
    <w:rsid w:val="00085579"/>
    <w:rsid w:val="00087531"/>
    <w:rsid w:val="00093049"/>
    <w:rsid w:val="00094178"/>
    <w:rsid w:val="000A285C"/>
    <w:rsid w:val="000A3814"/>
    <w:rsid w:val="000A3BFD"/>
    <w:rsid w:val="000A63D4"/>
    <w:rsid w:val="000A68B6"/>
    <w:rsid w:val="000A6D55"/>
    <w:rsid w:val="000A7088"/>
    <w:rsid w:val="000A7655"/>
    <w:rsid w:val="000A767B"/>
    <w:rsid w:val="000B1190"/>
    <w:rsid w:val="000B15CD"/>
    <w:rsid w:val="000B16FF"/>
    <w:rsid w:val="000B20E3"/>
    <w:rsid w:val="000B3337"/>
    <w:rsid w:val="000B39D8"/>
    <w:rsid w:val="000B4DE0"/>
    <w:rsid w:val="000B7482"/>
    <w:rsid w:val="000C4963"/>
    <w:rsid w:val="000C59BA"/>
    <w:rsid w:val="000C7424"/>
    <w:rsid w:val="000D00DA"/>
    <w:rsid w:val="000D00F6"/>
    <w:rsid w:val="000D01F1"/>
    <w:rsid w:val="000D053F"/>
    <w:rsid w:val="000D12B2"/>
    <w:rsid w:val="000D1659"/>
    <w:rsid w:val="000D28F3"/>
    <w:rsid w:val="000D2B80"/>
    <w:rsid w:val="000D41DB"/>
    <w:rsid w:val="000D48CC"/>
    <w:rsid w:val="000D664A"/>
    <w:rsid w:val="000D66DC"/>
    <w:rsid w:val="000E1F23"/>
    <w:rsid w:val="000E36EF"/>
    <w:rsid w:val="000E5987"/>
    <w:rsid w:val="000F0FB5"/>
    <w:rsid w:val="000F12CE"/>
    <w:rsid w:val="000F256E"/>
    <w:rsid w:val="000F35C1"/>
    <w:rsid w:val="000F4D00"/>
    <w:rsid w:val="000F5564"/>
    <w:rsid w:val="000F575D"/>
    <w:rsid w:val="000F589D"/>
    <w:rsid w:val="000F6A2C"/>
    <w:rsid w:val="0011219B"/>
    <w:rsid w:val="0011307E"/>
    <w:rsid w:val="00114053"/>
    <w:rsid w:val="001143B6"/>
    <w:rsid w:val="00115045"/>
    <w:rsid w:val="001159C7"/>
    <w:rsid w:val="00117153"/>
    <w:rsid w:val="00121125"/>
    <w:rsid w:val="0012173B"/>
    <w:rsid w:val="00122118"/>
    <w:rsid w:val="00123E5E"/>
    <w:rsid w:val="00124EA1"/>
    <w:rsid w:val="001264FF"/>
    <w:rsid w:val="00130259"/>
    <w:rsid w:val="001317A0"/>
    <w:rsid w:val="00131FA7"/>
    <w:rsid w:val="001333F5"/>
    <w:rsid w:val="00133D0C"/>
    <w:rsid w:val="0013457C"/>
    <w:rsid w:val="001352AC"/>
    <w:rsid w:val="00136200"/>
    <w:rsid w:val="00136272"/>
    <w:rsid w:val="00136422"/>
    <w:rsid w:val="00141647"/>
    <w:rsid w:val="001416A2"/>
    <w:rsid w:val="001418E9"/>
    <w:rsid w:val="00141C8D"/>
    <w:rsid w:val="00142702"/>
    <w:rsid w:val="00145D12"/>
    <w:rsid w:val="00145D7D"/>
    <w:rsid w:val="00151318"/>
    <w:rsid w:val="001525C0"/>
    <w:rsid w:val="00152BF2"/>
    <w:rsid w:val="00152C39"/>
    <w:rsid w:val="00153054"/>
    <w:rsid w:val="00153DD2"/>
    <w:rsid w:val="00156573"/>
    <w:rsid w:val="0015776B"/>
    <w:rsid w:val="00157AA6"/>
    <w:rsid w:val="00157F0F"/>
    <w:rsid w:val="00160D70"/>
    <w:rsid w:val="0016313E"/>
    <w:rsid w:val="00163C13"/>
    <w:rsid w:val="00163E08"/>
    <w:rsid w:val="0016704B"/>
    <w:rsid w:val="00167887"/>
    <w:rsid w:val="001711AF"/>
    <w:rsid w:val="00171D10"/>
    <w:rsid w:val="001726D7"/>
    <w:rsid w:val="00174111"/>
    <w:rsid w:val="00174D90"/>
    <w:rsid w:val="00175BA0"/>
    <w:rsid w:val="00176B1A"/>
    <w:rsid w:val="001772EF"/>
    <w:rsid w:val="00185C72"/>
    <w:rsid w:val="00186ED4"/>
    <w:rsid w:val="00186FB0"/>
    <w:rsid w:val="001900B2"/>
    <w:rsid w:val="00190EFD"/>
    <w:rsid w:val="00195472"/>
    <w:rsid w:val="00197ADC"/>
    <w:rsid w:val="00197DDC"/>
    <w:rsid w:val="001A1C41"/>
    <w:rsid w:val="001A23CA"/>
    <w:rsid w:val="001A47F9"/>
    <w:rsid w:val="001A6857"/>
    <w:rsid w:val="001A71DA"/>
    <w:rsid w:val="001A7B3A"/>
    <w:rsid w:val="001B092A"/>
    <w:rsid w:val="001B1579"/>
    <w:rsid w:val="001B40E1"/>
    <w:rsid w:val="001B503D"/>
    <w:rsid w:val="001C337A"/>
    <w:rsid w:val="001C6503"/>
    <w:rsid w:val="001C6933"/>
    <w:rsid w:val="001C7A0F"/>
    <w:rsid w:val="001D0A4B"/>
    <w:rsid w:val="001D10E7"/>
    <w:rsid w:val="001D1D01"/>
    <w:rsid w:val="001D3871"/>
    <w:rsid w:val="001E4BCC"/>
    <w:rsid w:val="001E662D"/>
    <w:rsid w:val="001E79E8"/>
    <w:rsid w:val="001F0C0E"/>
    <w:rsid w:val="001F39F7"/>
    <w:rsid w:val="001F3C88"/>
    <w:rsid w:val="001F5C98"/>
    <w:rsid w:val="001F7D88"/>
    <w:rsid w:val="001F7F55"/>
    <w:rsid w:val="00200B15"/>
    <w:rsid w:val="002025AF"/>
    <w:rsid w:val="00203640"/>
    <w:rsid w:val="002041D1"/>
    <w:rsid w:val="002048F8"/>
    <w:rsid w:val="002113E0"/>
    <w:rsid w:val="00212A29"/>
    <w:rsid w:val="002133F6"/>
    <w:rsid w:val="00214289"/>
    <w:rsid w:val="002152A9"/>
    <w:rsid w:val="00215EFE"/>
    <w:rsid w:val="00215F39"/>
    <w:rsid w:val="0021723E"/>
    <w:rsid w:val="002211AA"/>
    <w:rsid w:val="002241D3"/>
    <w:rsid w:val="00227249"/>
    <w:rsid w:val="00227A08"/>
    <w:rsid w:val="00227C11"/>
    <w:rsid w:val="00230BD2"/>
    <w:rsid w:val="00232D83"/>
    <w:rsid w:val="002345CB"/>
    <w:rsid w:val="00236CF2"/>
    <w:rsid w:val="002372FB"/>
    <w:rsid w:val="0023745B"/>
    <w:rsid w:val="002400E1"/>
    <w:rsid w:val="00241A5E"/>
    <w:rsid w:val="00242238"/>
    <w:rsid w:val="00243098"/>
    <w:rsid w:val="0024499B"/>
    <w:rsid w:val="00247508"/>
    <w:rsid w:val="0025154E"/>
    <w:rsid w:val="002525F0"/>
    <w:rsid w:val="00253164"/>
    <w:rsid w:val="00257C78"/>
    <w:rsid w:val="00260303"/>
    <w:rsid w:val="00260F39"/>
    <w:rsid w:val="0026221A"/>
    <w:rsid w:val="002628BD"/>
    <w:rsid w:val="00262EC4"/>
    <w:rsid w:val="00263A42"/>
    <w:rsid w:val="002641D8"/>
    <w:rsid w:val="00265114"/>
    <w:rsid w:val="002668B3"/>
    <w:rsid w:val="002674BC"/>
    <w:rsid w:val="00270314"/>
    <w:rsid w:val="0027148E"/>
    <w:rsid w:val="00272C89"/>
    <w:rsid w:val="00274691"/>
    <w:rsid w:val="00280CD6"/>
    <w:rsid w:val="00281F46"/>
    <w:rsid w:val="00283B5E"/>
    <w:rsid w:val="00285781"/>
    <w:rsid w:val="00290563"/>
    <w:rsid w:val="00290637"/>
    <w:rsid w:val="00291BC8"/>
    <w:rsid w:val="0029398C"/>
    <w:rsid w:val="0029414A"/>
    <w:rsid w:val="0029464B"/>
    <w:rsid w:val="00294A47"/>
    <w:rsid w:val="00294FDF"/>
    <w:rsid w:val="00296374"/>
    <w:rsid w:val="0029638D"/>
    <w:rsid w:val="002A0EA4"/>
    <w:rsid w:val="002A1064"/>
    <w:rsid w:val="002A1583"/>
    <w:rsid w:val="002A5F70"/>
    <w:rsid w:val="002A7ABF"/>
    <w:rsid w:val="002A7D55"/>
    <w:rsid w:val="002B1792"/>
    <w:rsid w:val="002B268B"/>
    <w:rsid w:val="002B287E"/>
    <w:rsid w:val="002B2D7E"/>
    <w:rsid w:val="002C0C2F"/>
    <w:rsid w:val="002C774C"/>
    <w:rsid w:val="002C7E2F"/>
    <w:rsid w:val="002D0E33"/>
    <w:rsid w:val="002D3F58"/>
    <w:rsid w:val="002D401C"/>
    <w:rsid w:val="002D4A9C"/>
    <w:rsid w:val="002D6B07"/>
    <w:rsid w:val="002D70D5"/>
    <w:rsid w:val="002D7A07"/>
    <w:rsid w:val="002E3A5C"/>
    <w:rsid w:val="002E49C7"/>
    <w:rsid w:val="002E77EE"/>
    <w:rsid w:val="002F2BE7"/>
    <w:rsid w:val="002F439A"/>
    <w:rsid w:val="002F68E6"/>
    <w:rsid w:val="002F6FE9"/>
    <w:rsid w:val="003024FC"/>
    <w:rsid w:val="003034AD"/>
    <w:rsid w:val="00303E21"/>
    <w:rsid w:val="00304FC5"/>
    <w:rsid w:val="00305598"/>
    <w:rsid w:val="00306811"/>
    <w:rsid w:val="00306ECB"/>
    <w:rsid w:val="00307A0C"/>
    <w:rsid w:val="0031058E"/>
    <w:rsid w:val="0031482A"/>
    <w:rsid w:val="00314C7D"/>
    <w:rsid w:val="00315703"/>
    <w:rsid w:val="00316EED"/>
    <w:rsid w:val="00320DE1"/>
    <w:rsid w:val="00321430"/>
    <w:rsid w:val="00321E69"/>
    <w:rsid w:val="00324762"/>
    <w:rsid w:val="00325344"/>
    <w:rsid w:val="00325CE2"/>
    <w:rsid w:val="0032740B"/>
    <w:rsid w:val="003303C2"/>
    <w:rsid w:val="00331638"/>
    <w:rsid w:val="00333A34"/>
    <w:rsid w:val="00335346"/>
    <w:rsid w:val="003371EE"/>
    <w:rsid w:val="00341BD2"/>
    <w:rsid w:val="00342136"/>
    <w:rsid w:val="00343232"/>
    <w:rsid w:val="00343390"/>
    <w:rsid w:val="00344AD0"/>
    <w:rsid w:val="0034745E"/>
    <w:rsid w:val="0034752A"/>
    <w:rsid w:val="003504E0"/>
    <w:rsid w:val="003513F4"/>
    <w:rsid w:val="0035179E"/>
    <w:rsid w:val="003519CD"/>
    <w:rsid w:val="00355D2D"/>
    <w:rsid w:val="00355F1C"/>
    <w:rsid w:val="003576D9"/>
    <w:rsid w:val="00360488"/>
    <w:rsid w:val="00360DEC"/>
    <w:rsid w:val="00361377"/>
    <w:rsid w:val="00361E5E"/>
    <w:rsid w:val="003650E8"/>
    <w:rsid w:val="00367573"/>
    <w:rsid w:val="0037096E"/>
    <w:rsid w:val="00375D5A"/>
    <w:rsid w:val="00381283"/>
    <w:rsid w:val="003828F4"/>
    <w:rsid w:val="00382A5D"/>
    <w:rsid w:val="00383CE8"/>
    <w:rsid w:val="00384264"/>
    <w:rsid w:val="00384AAF"/>
    <w:rsid w:val="00384E87"/>
    <w:rsid w:val="0038579E"/>
    <w:rsid w:val="00387791"/>
    <w:rsid w:val="00390D11"/>
    <w:rsid w:val="00391254"/>
    <w:rsid w:val="003922C8"/>
    <w:rsid w:val="00395493"/>
    <w:rsid w:val="003A250D"/>
    <w:rsid w:val="003A26C8"/>
    <w:rsid w:val="003A284E"/>
    <w:rsid w:val="003A2D1E"/>
    <w:rsid w:val="003A36E6"/>
    <w:rsid w:val="003B0489"/>
    <w:rsid w:val="003B0D7C"/>
    <w:rsid w:val="003B10DD"/>
    <w:rsid w:val="003B10F0"/>
    <w:rsid w:val="003B21E7"/>
    <w:rsid w:val="003B243B"/>
    <w:rsid w:val="003B4E8D"/>
    <w:rsid w:val="003B55C2"/>
    <w:rsid w:val="003B62BB"/>
    <w:rsid w:val="003B64BF"/>
    <w:rsid w:val="003B7346"/>
    <w:rsid w:val="003C005D"/>
    <w:rsid w:val="003C12A0"/>
    <w:rsid w:val="003C239E"/>
    <w:rsid w:val="003C3BD8"/>
    <w:rsid w:val="003C4441"/>
    <w:rsid w:val="003C5984"/>
    <w:rsid w:val="003C5D72"/>
    <w:rsid w:val="003C6CF3"/>
    <w:rsid w:val="003C71A5"/>
    <w:rsid w:val="003D0C91"/>
    <w:rsid w:val="003D2C32"/>
    <w:rsid w:val="003D5141"/>
    <w:rsid w:val="003D5FD8"/>
    <w:rsid w:val="003D723D"/>
    <w:rsid w:val="003E23D6"/>
    <w:rsid w:val="003E2506"/>
    <w:rsid w:val="003E4432"/>
    <w:rsid w:val="003E656A"/>
    <w:rsid w:val="003F089B"/>
    <w:rsid w:val="003F19B8"/>
    <w:rsid w:val="003F25E3"/>
    <w:rsid w:val="003F3B37"/>
    <w:rsid w:val="003F48A1"/>
    <w:rsid w:val="00400E01"/>
    <w:rsid w:val="004020F0"/>
    <w:rsid w:val="00403071"/>
    <w:rsid w:val="004031EB"/>
    <w:rsid w:val="004035B3"/>
    <w:rsid w:val="00405B50"/>
    <w:rsid w:val="00410E71"/>
    <w:rsid w:val="00410FB8"/>
    <w:rsid w:val="00414438"/>
    <w:rsid w:val="004211D3"/>
    <w:rsid w:val="00422A5F"/>
    <w:rsid w:val="00422E9F"/>
    <w:rsid w:val="0042349D"/>
    <w:rsid w:val="0042596D"/>
    <w:rsid w:val="00430A5F"/>
    <w:rsid w:val="00430CE7"/>
    <w:rsid w:val="00431984"/>
    <w:rsid w:val="00431E3E"/>
    <w:rsid w:val="0043270B"/>
    <w:rsid w:val="004345F9"/>
    <w:rsid w:val="00436991"/>
    <w:rsid w:val="00440F2C"/>
    <w:rsid w:val="00443BB7"/>
    <w:rsid w:val="0044467A"/>
    <w:rsid w:val="004450F1"/>
    <w:rsid w:val="00446B14"/>
    <w:rsid w:val="00446F7C"/>
    <w:rsid w:val="00447095"/>
    <w:rsid w:val="00447EA6"/>
    <w:rsid w:val="004534FD"/>
    <w:rsid w:val="004539E1"/>
    <w:rsid w:val="004545D7"/>
    <w:rsid w:val="00455F12"/>
    <w:rsid w:val="0045731A"/>
    <w:rsid w:val="004573F5"/>
    <w:rsid w:val="00457DFC"/>
    <w:rsid w:val="00460002"/>
    <w:rsid w:val="004608E7"/>
    <w:rsid w:val="00460C8A"/>
    <w:rsid w:val="00462E97"/>
    <w:rsid w:val="0046448A"/>
    <w:rsid w:val="00464E09"/>
    <w:rsid w:val="00466353"/>
    <w:rsid w:val="00466C52"/>
    <w:rsid w:val="00467114"/>
    <w:rsid w:val="00467EDF"/>
    <w:rsid w:val="004725B2"/>
    <w:rsid w:val="004731FC"/>
    <w:rsid w:val="0047364B"/>
    <w:rsid w:val="00475025"/>
    <w:rsid w:val="004802CA"/>
    <w:rsid w:val="00480724"/>
    <w:rsid w:val="00481FFC"/>
    <w:rsid w:val="00485E4D"/>
    <w:rsid w:val="004863E6"/>
    <w:rsid w:val="00490987"/>
    <w:rsid w:val="0049117D"/>
    <w:rsid w:val="00491727"/>
    <w:rsid w:val="00491AD5"/>
    <w:rsid w:val="00491CB8"/>
    <w:rsid w:val="00491F8B"/>
    <w:rsid w:val="00493AB5"/>
    <w:rsid w:val="00493BE6"/>
    <w:rsid w:val="0049576F"/>
    <w:rsid w:val="004975D9"/>
    <w:rsid w:val="00497E4A"/>
    <w:rsid w:val="004A077B"/>
    <w:rsid w:val="004A0E9F"/>
    <w:rsid w:val="004A26A9"/>
    <w:rsid w:val="004A48BF"/>
    <w:rsid w:val="004A4A65"/>
    <w:rsid w:val="004A5B40"/>
    <w:rsid w:val="004A6A28"/>
    <w:rsid w:val="004A6BB1"/>
    <w:rsid w:val="004B1016"/>
    <w:rsid w:val="004B15B5"/>
    <w:rsid w:val="004B269F"/>
    <w:rsid w:val="004B33D6"/>
    <w:rsid w:val="004B44E4"/>
    <w:rsid w:val="004B623D"/>
    <w:rsid w:val="004C0062"/>
    <w:rsid w:val="004C11E4"/>
    <w:rsid w:val="004C1808"/>
    <w:rsid w:val="004C1B6B"/>
    <w:rsid w:val="004C29C6"/>
    <w:rsid w:val="004C64A2"/>
    <w:rsid w:val="004C6DE7"/>
    <w:rsid w:val="004D1D9D"/>
    <w:rsid w:val="004D3057"/>
    <w:rsid w:val="004D70E5"/>
    <w:rsid w:val="004E1BEF"/>
    <w:rsid w:val="004E292F"/>
    <w:rsid w:val="004E3DAE"/>
    <w:rsid w:val="004E6666"/>
    <w:rsid w:val="004F0398"/>
    <w:rsid w:val="004F072A"/>
    <w:rsid w:val="004F2566"/>
    <w:rsid w:val="004F2983"/>
    <w:rsid w:val="004F2D05"/>
    <w:rsid w:val="004F36A5"/>
    <w:rsid w:val="004F3BF9"/>
    <w:rsid w:val="004F4AE6"/>
    <w:rsid w:val="004F4D59"/>
    <w:rsid w:val="004F57B8"/>
    <w:rsid w:val="004F6712"/>
    <w:rsid w:val="00503795"/>
    <w:rsid w:val="00505C05"/>
    <w:rsid w:val="00505EE1"/>
    <w:rsid w:val="005108F9"/>
    <w:rsid w:val="005130F9"/>
    <w:rsid w:val="005134EB"/>
    <w:rsid w:val="00513FD4"/>
    <w:rsid w:val="00516C31"/>
    <w:rsid w:val="00517D7B"/>
    <w:rsid w:val="005208D0"/>
    <w:rsid w:val="00520BD4"/>
    <w:rsid w:val="005220E8"/>
    <w:rsid w:val="00522886"/>
    <w:rsid w:val="00523485"/>
    <w:rsid w:val="00524D23"/>
    <w:rsid w:val="00524D7A"/>
    <w:rsid w:val="0052522B"/>
    <w:rsid w:val="00525C68"/>
    <w:rsid w:val="00525CD5"/>
    <w:rsid w:val="00527360"/>
    <w:rsid w:val="00527F11"/>
    <w:rsid w:val="005317A5"/>
    <w:rsid w:val="005321AD"/>
    <w:rsid w:val="005332BE"/>
    <w:rsid w:val="005337FB"/>
    <w:rsid w:val="00533C1F"/>
    <w:rsid w:val="0053446B"/>
    <w:rsid w:val="00540EA4"/>
    <w:rsid w:val="00542D1A"/>
    <w:rsid w:val="00543F54"/>
    <w:rsid w:val="00544A3F"/>
    <w:rsid w:val="00545FED"/>
    <w:rsid w:val="00546A30"/>
    <w:rsid w:val="00553C7B"/>
    <w:rsid w:val="00553E3E"/>
    <w:rsid w:val="0055569D"/>
    <w:rsid w:val="00556674"/>
    <w:rsid w:val="00557FD8"/>
    <w:rsid w:val="00560057"/>
    <w:rsid w:val="00562B9E"/>
    <w:rsid w:val="00563561"/>
    <w:rsid w:val="00564594"/>
    <w:rsid w:val="00565402"/>
    <w:rsid w:val="00567446"/>
    <w:rsid w:val="00567A31"/>
    <w:rsid w:val="00571F6A"/>
    <w:rsid w:val="00572400"/>
    <w:rsid w:val="00573991"/>
    <w:rsid w:val="005768ED"/>
    <w:rsid w:val="00577E6B"/>
    <w:rsid w:val="00581AD9"/>
    <w:rsid w:val="00582D30"/>
    <w:rsid w:val="005848E3"/>
    <w:rsid w:val="00587977"/>
    <w:rsid w:val="005947FA"/>
    <w:rsid w:val="00595E50"/>
    <w:rsid w:val="0059782F"/>
    <w:rsid w:val="005A1132"/>
    <w:rsid w:val="005A4DD3"/>
    <w:rsid w:val="005A6221"/>
    <w:rsid w:val="005A65FF"/>
    <w:rsid w:val="005A6A6A"/>
    <w:rsid w:val="005A6EB1"/>
    <w:rsid w:val="005B1038"/>
    <w:rsid w:val="005B13C3"/>
    <w:rsid w:val="005B3F27"/>
    <w:rsid w:val="005B4A11"/>
    <w:rsid w:val="005B68C8"/>
    <w:rsid w:val="005C1546"/>
    <w:rsid w:val="005C25B5"/>
    <w:rsid w:val="005C2685"/>
    <w:rsid w:val="005C271C"/>
    <w:rsid w:val="005C6135"/>
    <w:rsid w:val="005C78CC"/>
    <w:rsid w:val="005C7BB8"/>
    <w:rsid w:val="005D025A"/>
    <w:rsid w:val="005D0725"/>
    <w:rsid w:val="005D0A0B"/>
    <w:rsid w:val="005D16ED"/>
    <w:rsid w:val="005D2710"/>
    <w:rsid w:val="005D4C29"/>
    <w:rsid w:val="005D5B01"/>
    <w:rsid w:val="005D6FDD"/>
    <w:rsid w:val="005D7989"/>
    <w:rsid w:val="005D7C25"/>
    <w:rsid w:val="005E0868"/>
    <w:rsid w:val="005E3A08"/>
    <w:rsid w:val="005E49FA"/>
    <w:rsid w:val="005E54D6"/>
    <w:rsid w:val="005E6805"/>
    <w:rsid w:val="005E768A"/>
    <w:rsid w:val="005E7E16"/>
    <w:rsid w:val="005F0DCD"/>
    <w:rsid w:val="005F11AB"/>
    <w:rsid w:val="005F1B08"/>
    <w:rsid w:val="005F227E"/>
    <w:rsid w:val="005F25BD"/>
    <w:rsid w:val="005F353E"/>
    <w:rsid w:val="005F3864"/>
    <w:rsid w:val="005F4DAE"/>
    <w:rsid w:val="005F79FA"/>
    <w:rsid w:val="00600372"/>
    <w:rsid w:val="006016BC"/>
    <w:rsid w:val="00603CAE"/>
    <w:rsid w:val="00603E95"/>
    <w:rsid w:val="006074FE"/>
    <w:rsid w:val="00610035"/>
    <w:rsid w:val="0061215E"/>
    <w:rsid w:val="006126F4"/>
    <w:rsid w:val="00612CD5"/>
    <w:rsid w:val="006141A2"/>
    <w:rsid w:val="0061472C"/>
    <w:rsid w:val="006200F7"/>
    <w:rsid w:val="00621C23"/>
    <w:rsid w:val="00623018"/>
    <w:rsid w:val="00623ABA"/>
    <w:rsid w:val="00624403"/>
    <w:rsid w:val="00624E6E"/>
    <w:rsid w:val="006277BC"/>
    <w:rsid w:val="00627E9F"/>
    <w:rsid w:val="0063638D"/>
    <w:rsid w:val="0063718D"/>
    <w:rsid w:val="00637DB0"/>
    <w:rsid w:val="00643904"/>
    <w:rsid w:val="00645150"/>
    <w:rsid w:val="006458A8"/>
    <w:rsid w:val="00646FAA"/>
    <w:rsid w:val="00647B66"/>
    <w:rsid w:val="006507E0"/>
    <w:rsid w:val="00652FDF"/>
    <w:rsid w:val="00653310"/>
    <w:rsid w:val="00653C60"/>
    <w:rsid w:val="00653F2B"/>
    <w:rsid w:val="006543CB"/>
    <w:rsid w:val="00655459"/>
    <w:rsid w:val="00656BD2"/>
    <w:rsid w:val="00660058"/>
    <w:rsid w:val="00661359"/>
    <w:rsid w:val="006618E1"/>
    <w:rsid w:val="00662006"/>
    <w:rsid w:val="00663A4D"/>
    <w:rsid w:val="006640D1"/>
    <w:rsid w:val="00664E06"/>
    <w:rsid w:val="00665760"/>
    <w:rsid w:val="00665E78"/>
    <w:rsid w:val="00666296"/>
    <w:rsid w:val="00667041"/>
    <w:rsid w:val="00667057"/>
    <w:rsid w:val="00670768"/>
    <w:rsid w:val="00671094"/>
    <w:rsid w:val="0067261B"/>
    <w:rsid w:val="006770EE"/>
    <w:rsid w:val="00677621"/>
    <w:rsid w:val="00677A7E"/>
    <w:rsid w:val="00680B07"/>
    <w:rsid w:val="00687F4F"/>
    <w:rsid w:val="00694F81"/>
    <w:rsid w:val="00696D2F"/>
    <w:rsid w:val="006A1ED0"/>
    <w:rsid w:val="006A30FB"/>
    <w:rsid w:val="006A3288"/>
    <w:rsid w:val="006A36C1"/>
    <w:rsid w:val="006A3DBF"/>
    <w:rsid w:val="006A5667"/>
    <w:rsid w:val="006A66B6"/>
    <w:rsid w:val="006A6E24"/>
    <w:rsid w:val="006A6F20"/>
    <w:rsid w:val="006A7170"/>
    <w:rsid w:val="006A7FC7"/>
    <w:rsid w:val="006B2003"/>
    <w:rsid w:val="006B31FE"/>
    <w:rsid w:val="006B6031"/>
    <w:rsid w:val="006B6E91"/>
    <w:rsid w:val="006B7864"/>
    <w:rsid w:val="006C032C"/>
    <w:rsid w:val="006C0B65"/>
    <w:rsid w:val="006C1DD4"/>
    <w:rsid w:val="006C1E76"/>
    <w:rsid w:val="006C21C5"/>
    <w:rsid w:val="006C3B66"/>
    <w:rsid w:val="006C5CCB"/>
    <w:rsid w:val="006D036E"/>
    <w:rsid w:val="006D29E1"/>
    <w:rsid w:val="006D2C00"/>
    <w:rsid w:val="006D4A86"/>
    <w:rsid w:val="006D5B76"/>
    <w:rsid w:val="006E0356"/>
    <w:rsid w:val="006E1FBC"/>
    <w:rsid w:val="006E220E"/>
    <w:rsid w:val="006E23D5"/>
    <w:rsid w:val="006E278E"/>
    <w:rsid w:val="006E5127"/>
    <w:rsid w:val="006E59FB"/>
    <w:rsid w:val="006E6404"/>
    <w:rsid w:val="006E651B"/>
    <w:rsid w:val="006F030E"/>
    <w:rsid w:val="006F157D"/>
    <w:rsid w:val="006F4C1D"/>
    <w:rsid w:val="006F6658"/>
    <w:rsid w:val="006F7580"/>
    <w:rsid w:val="00701F88"/>
    <w:rsid w:val="007029CF"/>
    <w:rsid w:val="00704B04"/>
    <w:rsid w:val="007056D2"/>
    <w:rsid w:val="007066BF"/>
    <w:rsid w:val="007068D0"/>
    <w:rsid w:val="007120C2"/>
    <w:rsid w:val="007123B6"/>
    <w:rsid w:val="00713F03"/>
    <w:rsid w:val="0071539C"/>
    <w:rsid w:val="007165F3"/>
    <w:rsid w:val="00717300"/>
    <w:rsid w:val="00717840"/>
    <w:rsid w:val="00720793"/>
    <w:rsid w:val="0072327F"/>
    <w:rsid w:val="00723C49"/>
    <w:rsid w:val="007242E2"/>
    <w:rsid w:val="007257E9"/>
    <w:rsid w:val="00725FA5"/>
    <w:rsid w:val="00727AA8"/>
    <w:rsid w:val="007308FA"/>
    <w:rsid w:val="007339F3"/>
    <w:rsid w:val="00733B1C"/>
    <w:rsid w:val="0074000C"/>
    <w:rsid w:val="007400DC"/>
    <w:rsid w:val="00740222"/>
    <w:rsid w:val="00740DE8"/>
    <w:rsid w:val="00741A00"/>
    <w:rsid w:val="00742AB8"/>
    <w:rsid w:val="00742F16"/>
    <w:rsid w:val="00743919"/>
    <w:rsid w:val="00744F26"/>
    <w:rsid w:val="00745496"/>
    <w:rsid w:val="00745839"/>
    <w:rsid w:val="007462A7"/>
    <w:rsid w:val="0074635B"/>
    <w:rsid w:val="00746A19"/>
    <w:rsid w:val="007504CF"/>
    <w:rsid w:val="00752435"/>
    <w:rsid w:val="00754CF0"/>
    <w:rsid w:val="00754FE0"/>
    <w:rsid w:val="00755C7D"/>
    <w:rsid w:val="0075712E"/>
    <w:rsid w:val="0075747E"/>
    <w:rsid w:val="00757D54"/>
    <w:rsid w:val="00763725"/>
    <w:rsid w:val="0076708D"/>
    <w:rsid w:val="0077011F"/>
    <w:rsid w:val="00773A9E"/>
    <w:rsid w:val="007762BD"/>
    <w:rsid w:val="00777972"/>
    <w:rsid w:val="00780C09"/>
    <w:rsid w:val="00780FDA"/>
    <w:rsid w:val="00781A4F"/>
    <w:rsid w:val="00781E24"/>
    <w:rsid w:val="00782F19"/>
    <w:rsid w:val="0078306D"/>
    <w:rsid w:val="00783C9D"/>
    <w:rsid w:val="00783E59"/>
    <w:rsid w:val="00784C21"/>
    <w:rsid w:val="00790BB7"/>
    <w:rsid w:val="00791611"/>
    <w:rsid w:val="00791C52"/>
    <w:rsid w:val="00792537"/>
    <w:rsid w:val="00792E77"/>
    <w:rsid w:val="007957EF"/>
    <w:rsid w:val="00797A0D"/>
    <w:rsid w:val="007A2E2C"/>
    <w:rsid w:val="007A6B46"/>
    <w:rsid w:val="007A7E6F"/>
    <w:rsid w:val="007B0D44"/>
    <w:rsid w:val="007B22E2"/>
    <w:rsid w:val="007B46E6"/>
    <w:rsid w:val="007B5A0B"/>
    <w:rsid w:val="007B5A4F"/>
    <w:rsid w:val="007B6BEE"/>
    <w:rsid w:val="007B7943"/>
    <w:rsid w:val="007B7C65"/>
    <w:rsid w:val="007B7CF9"/>
    <w:rsid w:val="007C03A9"/>
    <w:rsid w:val="007C11D3"/>
    <w:rsid w:val="007C1547"/>
    <w:rsid w:val="007C1AA0"/>
    <w:rsid w:val="007C289E"/>
    <w:rsid w:val="007C3ECB"/>
    <w:rsid w:val="007C4147"/>
    <w:rsid w:val="007C56D2"/>
    <w:rsid w:val="007C6F69"/>
    <w:rsid w:val="007D0D98"/>
    <w:rsid w:val="007D11A2"/>
    <w:rsid w:val="007D1C1D"/>
    <w:rsid w:val="007D215C"/>
    <w:rsid w:val="007D290E"/>
    <w:rsid w:val="007D62DC"/>
    <w:rsid w:val="007D6926"/>
    <w:rsid w:val="007E064E"/>
    <w:rsid w:val="007E1DB9"/>
    <w:rsid w:val="007E1F2C"/>
    <w:rsid w:val="007E341B"/>
    <w:rsid w:val="007E37FD"/>
    <w:rsid w:val="007E479B"/>
    <w:rsid w:val="007E4916"/>
    <w:rsid w:val="007E6643"/>
    <w:rsid w:val="007F1017"/>
    <w:rsid w:val="007F1228"/>
    <w:rsid w:val="007F1C02"/>
    <w:rsid w:val="007F2582"/>
    <w:rsid w:val="007F2BCB"/>
    <w:rsid w:val="007F2F6A"/>
    <w:rsid w:val="007F39CC"/>
    <w:rsid w:val="007F401F"/>
    <w:rsid w:val="007F5179"/>
    <w:rsid w:val="007F5FEF"/>
    <w:rsid w:val="00800927"/>
    <w:rsid w:val="00803216"/>
    <w:rsid w:val="008038ED"/>
    <w:rsid w:val="0080483D"/>
    <w:rsid w:val="00805A79"/>
    <w:rsid w:val="00805D67"/>
    <w:rsid w:val="0080653B"/>
    <w:rsid w:val="00806B14"/>
    <w:rsid w:val="00807264"/>
    <w:rsid w:val="00807DFD"/>
    <w:rsid w:val="00807E0D"/>
    <w:rsid w:val="00810A2A"/>
    <w:rsid w:val="008114F5"/>
    <w:rsid w:val="00811FDA"/>
    <w:rsid w:val="00812317"/>
    <w:rsid w:val="00812627"/>
    <w:rsid w:val="00815FEE"/>
    <w:rsid w:val="00820000"/>
    <w:rsid w:val="00821F04"/>
    <w:rsid w:val="0082203A"/>
    <w:rsid w:val="00823393"/>
    <w:rsid w:val="00823D2D"/>
    <w:rsid w:val="00823F87"/>
    <w:rsid w:val="00824439"/>
    <w:rsid w:val="00825E1F"/>
    <w:rsid w:val="0082662F"/>
    <w:rsid w:val="00832839"/>
    <w:rsid w:val="0083470B"/>
    <w:rsid w:val="008363C9"/>
    <w:rsid w:val="0084146E"/>
    <w:rsid w:val="008426D4"/>
    <w:rsid w:val="00842E60"/>
    <w:rsid w:val="008430EF"/>
    <w:rsid w:val="0084312B"/>
    <w:rsid w:val="008445B2"/>
    <w:rsid w:val="00847002"/>
    <w:rsid w:val="008507FD"/>
    <w:rsid w:val="00852AAE"/>
    <w:rsid w:val="00854140"/>
    <w:rsid w:val="00855D70"/>
    <w:rsid w:val="008577E8"/>
    <w:rsid w:val="00860696"/>
    <w:rsid w:val="00860C3E"/>
    <w:rsid w:val="008621DD"/>
    <w:rsid w:val="00862901"/>
    <w:rsid w:val="008650FE"/>
    <w:rsid w:val="00870BA9"/>
    <w:rsid w:val="0087598E"/>
    <w:rsid w:val="0087733B"/>
    <w:rsid w:val="0087742D"/>
    <w:rsid w:val="008774E2"/>
    <w:rsid w:val="008828CF"/>
    <w:rsid w:val="008833D8"/>
    <w:rsid w:val="008836A6"/>
    <w:rsid w:val="00884E18"/>
    <w:rsid w:val="00884EE9"/>
    <w:rsid w:val="008855C9"/>
    <w:rsid w:val="008876CF"/>
    <w:rsid w:val="008922A7"/>
    <w:rsid w:val="0089240B"/>
    <w:rsid w:val="00892B33"/>
    <w:rsid w:val="00893896"/>
    <w:rsid w:val="008A1057"/>
    <w:rsid w:val="008A118C"/>
    <w:rsid w:val="008A4B6E"/>
    <w:rsid w:val="008A5921"/>
    <w:rsid w:val="008A5CD9"/>
    <w:rsid w:val="008A72A0"/>
    <w:rsid w:val="008A787E"/>
    <w:rsid w:val="008B2367"/>
    <w:rsid w:val="008B5F6D"/>
    <w:rsid w:val="008B676E"/>
    <w:rsid w:val="008C430E"/>
    <w:rsid w:val="008C670D"/>
    <w:rsid w:val="008D145A"/>
    <w:rsid w:val="008D3031"/>
    <w:rsid w:val="008D3F8E"/>
    <w:rsid w:val="008D66EA"/>
    <w:rsid w:val="008D7140"/>
    <w:rsid w:val="008D74B9"/>
    <w:rsid w:val="008E1D94"/>
    <w:rsid w:val="008E2A7D"/>
    <w:rsid w:val="008E70DD"/>
    <w:rsid w:val="008E779D"/>
    <w:rsid w:val="008F0361"/>
    <w:rsid w:val="008F0E32"/>
    <w:rsid w:val="008F2C18"/>
    <w:rsid w:val="008F38DE"/>
    <w:rsid w:val="008F4003"/>
    <w:rsid w:val="008F74A9"/>
    <w:rsid w:val="008F78F7"/>
    <w:rsid w:val="00901FB8"/>
    <w:rsid w:val="00902D09"/>
    <w:rsid w:val="009042A5"/>
    <w:rsid w:val="009063E2"/>
    <w:rsid w:val="00906A22"/>
    <w:rsid w:val="00906AFB"/>
    <w:rsid w:val="00907A2C"/>
    <w:rsid w:val="00913D66"/>
    <w:rsid w:val="00914C4E"/>
    <w:rsid w:val="009156BF"/>
    <w:rsid w:val="00916AB3"/>
    <w:rsid w:val="0091723D"/>
    <w:rsid w:val="009220B7"/>
    <w:rsid w:val="0092750A"/>
    <w:rsid w:val="00927CD8"/>
    <w:rsid w:val="009345E0"/>
    <w:rsid w:val="00934F1A"/>
    <w:rsid w:val="00935128"/>
    <w:rsid w:val="0093676D"/>
    <w:rsid w:val="00941260"/>
    <w:rsid w:val="00941F04"/>
    <w:rsid w:val="009421B2"/>
    <w:rsid w:val="0094254E"/>
    <w:rsid w:val="00942CD9"/>
    <w:rsid w:val="009443E6"/>
    <w:rsid w:val="009446BA"/>
    <w:rsid w:val="009466C8"/>
    <w:rsid w:val="00950C49"/>
    <w:rsid w:val="00951352"/>
    <w:rsid w:val="00951B1F"/>
    <w:rsid w:val="00953E79"/>
    <w:rsid w:val="00953E80"/>
    <w:rsid w:val="00954DB1"/>
    <w:rsid w:val="0095576A"/>
    <w:rsid w:val="00956395"/>
    <w:rsid w:val="009570A6"/>
    <w:rsid w:val="009606EF"/>
    <w:rsid w:val="009613DD"/>
    <w:rsid w:val="009632C6"/>
    <w:rsid w:val="00963A96"/>
    <w:rsid w:val="009664C9"/>
    <w:rsid w:val="00970B09"/>
    <w:rsid w:val="0097184A"/>
    <w:rsid w:val="00973C04"/>
    <w:rsid w:val="00974F5E"/>
    <w:rsid w:val="009770A6"/>
    <w:rsid w:val="00982035"/>
    <w:rsid w:val="00982205"/>
    <w:rsid w:val="00982465"/>
    <w:rsid w:val="009872E0"/>
    <w:rsid w:val="00987319"/>
    <w:rsid w:val="009876B5"/>
    <w:rsid w:val="009918E2"/>
    <w:rsid w:val="00992433"/>
    <w:rsid w:val="0099289B"/>
    <w:rsid w:val="009946CF"/>
    <w:rsid w:val="009969EB"/>
    <w:rsid w:val="00997E73"/>
    <w:rsid w:val="009A2DC1"/>
    <w:rsid w:val="009A7CCE"/>
    <w:rsid w:val="009A7D0F"/>
    <w:rsid w:val="009B17C7"/>
    <w:rsid w:val="009B2281"/>
    <w:rsid w:val="009B3570"/>
    <w:rsid w:val="009B6C01"/>
    <w:rsid w:val="009B7381"/>
    <w:rsid w:val="009C2A96"/>
    <w:rsid w:val="009C46F2"/>
    <w:rsid w:val="009D145E"/>
    <w:rsid w:val="009D1ABC"/>
    <w:rsid w:val="009D45F2"/>
    <w:rsid w:val="009D4839"/>
    <w:rsid w:val="009D5F4D"/>
    <w:rsid w:val="009D726F"/>
    <w:rsid w:val="009D7C2F"/>
    <w:rsid w:val="009E086D"/>
    <w:rsid w:val="009E17D9"/>
    <w:rsid w:val="009E2AA9"/>
    <w:rsid w:val="009E517D"/>
    <w:rsid w:val="009F4216"/>
    <w:rsid w:val="009F712D"/>
    <w:rsid w:val="00A00DB6"/>
    <w:rsid w:val="00A00F45"/>
    <w:rsid w:val="00A02BF2"/>
    <w:rsid w:val="00A0430D"/>
    <w:rsid w:val="00A056C1"/>
    <w:rsid w:val="00A0651B"/>
    <w:rsid w:val="00A066BC"/>
    <w:rsid w:val="00A06FE0"/>
    <w:rsid w:val="00A07365"/>
    <w:rsid w:val="00A1204A"/>
    <w:rsid w:val="00A12C66"/>
    <w:rsid w:val="00A14037"/>
    <w:rsid w:val="00A1516B"/>
    <w:rsid w:val="00A16335"/>
    <w:rsid w:val="00A1682B"/>
    <w:rsid w:val="00A20205"/>
    <w:rsid w:val="00A219A3"/>
    <w:rsid w:val="00A21DAF"/>
    <w:rsid w:val="00A232DE"/>
    <w:rsid w:val="00A24790"/>
    <w:rsid w:val="00A24CE5"/>
    <w:rsid w:val="00A250B2"/>
    <w:rsid w:val="00A26A75"/>
    <w:rsid w:val="00A31AA1"/>
    <w:rsid w:val="00A31E73"/>
    <w:rsid w:val="00A33E0E"/>
    <w:rsid w:val="00A3421B"/>
    <w:rsid w:val="00A34BEB"/>
    <w:rsid w:val="00A34FB2"/>
    <w:rsid w:val="00A3761B"/>
    <w:rsid w:val="00A37EBC"/>
    <w:rsid w:val="00A4056A"/>
    <w:rsid w:val="00A40D9F"/>
    <w:rsid w:val="00A47BF0"/>
    <w:rsid w:val="00A514C3"/>
    <w:rsid w:val="00A53CF3"/>
    <w:rsid w:val="00A542BF"/>
    <w:rsid w:val="00A56725"/>
    <w:rsid w:val="00A56EAF"/>
    <w:rsid w:val="00A571CA"/>
    <w:rsid w:val="00A613DA"/>
    <w:rsid w:val="00A62CD4"/>
    <w:rsid w:val="00A645CD"/>
    <w:rsid w:val="00A66B95"/>
    <w:rsid w:val="00A67D70"/>
    <w:rsid w:val="00A707F3"/>
    <w:rsid w:val="00A70C8A"/>
    <w:rsid w:val="00A74F64"/>
    <w:rsid w:val="00A75084"/>
    <w:rsid w:val="00A75C55"/>
    <w:rsid w:val="00A76DE0"/>
    <w:rsid w:val="00A81226"/>
    <w:rsid w:val="00A81D29"/>
    <w:rsid w:val="00A82B13"/>
    <w:rsid w:val="00A83961"/>
    <w:rsid w:val="00A83F8D"/>
    <w:rsid w:val="00A854CD"/>
    <w:rsid w:val="00A8584E"/>
    <w:rsid w:val="00A85D5D"/>
    <w:rsid w:val="00A91BB2"/>
    <w:rsid w:val="00A97340"/>
    <w:rsid w:val="00A97BF5"/>
    <w:rsid w:val="00AA01B8"/>
    <w:rsid w:val="00AA34D8"/>
    <w:rsid w:val="00AA474E"/>
    <w:rsid w:val="00AA475F"/>
    <w:rsid w:val="00AA4CB7"/>
    <w:rsid w:val="00AA4E54"/>
    <w:rsid w:val="00AA7102"/>
    <w:rsid w:val="00AB05D2"/>
    <w:rsid w:val="00AB3AF5"/>
    <w:rsid w:val="00AB48CA"/>
    <w:rsid w:val="00AB636E"/>
    <w:rsid w:val="00AB7CFE"/>
    <w:rsid w:val="00AB7D19"/>
    <w:rsid w:val="00AC7A42"/>
    <w:rsid w:val="00AD0A44"/>
    <w:rsid w:val="00AD0EC9"/>
    <w:rsid w:val="00AD1473"/>
    <w:rsid w:val="00AD17DB"/>
    <w:rsid w:val="00AD1F11"/>
    <w:rsid w:val="00AD219E"/>
    <w:rsid w:val="00AD2556"/>
    <w:rsid w:val="00AD2FD3"/>
    <w:rsid w:val="00AD41BA"/>
    <w:rsid w:val="00AD4C82"/>
    <w:rsid w:val="00AD54A6"/>
    <w:rsid w:val="00AD7281"/>
    <w:rsid w:val="00AD72AA"/>
    <w:rsid w:val="00AD7F05"/>
    <w:rsid w:val="00AE0063"/>
    <w:rsid w:val="00AE1139"/>
    <w:rsid w:val="00AE2841"/>
    <w:rsid w:val="00AE2E16"/>
    <w:rsid w:val="00AE4A3B"/>
    <w:rsid w:val="00AE6E6E"/>
    <w:rsid w:val="00AF0434"/>
    <w:rsid w:val="00AF08D9"/>
    <w:rsid w:val="00AF1B67"/>
    <w:rsid w:val="00AF1E97"/>
    <w:rsid w:val="00AF3B24"/>
    <w:rsid w:val="00AF434C"/>
    <w:rsid w:val="00AF5566"/>
    <w:rsid w:val="00AF6D2D"/>
    <w:rsid w:val="00B00621"/>
    <w:rsid w:val="00B00B20"/>
    <w:rsid w:val="00B015C9"/>
    <w:rsid w:val="00B02883"/>
    <w:rsid w:val="00B02FBE"/>
    <w:rsid w:val="00B03960"/>
    <w:rsid w:val="00B051D4"/>
    <w:rsid w:val="00B077D9"/>
    <w:rsid w:val="00B07F8F"/>
    <w:rsid w:val="00B10D6B"/>
    <w:rsid w:val="00B138C5"/>
    <w:rsid w:val="00B14697"/>
    <w:rsid w:val="00B15014"/>
    <w:rsid w:val="00B17351"/>
    <w:rsid w:val="00B177D4"/>
    <w:rsid w:val="00B204CB"/>
    <w:rsid w:val="00B2299F"/>
    <w:rsid w:val="00B22FEF"/>
    <w:rsid w:val="00B2383E"/>
    <w:rsid w:val="00B24438"/>
    <w:rsid w:val="00B24739"/>
    <w:rsid w:val="00B24AB1"/>
    <w:rsid w:val="00B24FAB"/>
    <w:rsid w:val="00B25497"/>
    <w:rsid w:val="00B25A81"/>
    <w:rsid w:val="00B26E58"/>
    <w:rsid w:val="00B277FE"/>
    <w:rsid w:val="00B3049B"/>
    <w:rsid w:val="00B32E4A"/>
    <w:rsid w:val="00B40B00"/>
    <w:rsid w:val="00B417BA"/>
    <w:rsid w:val="00B41F31"/>
    <w:rsid w:val="00B4344A"/>
    <w:rsid w:val="00B43AC2"/>
    <w:rsid w:val="00B43CCA"/>
    <w:rsid w:val="00B46948"/>
    <w:rsid w:val="00B51427"/>
    <w:rsid w:val="00B524E9"/>
    <w:rsid w:val="00B52861"/>
    <w:rsid w:val="00B56C49"/>
    <w:rsid w:val="00B577CB"/>
    <w:rsid w:val="00B608F4"/>
    <w:rsid w:val="00B613BE"/>
    <w:rsid w:val="00B67042"/>
    <w:rsid w:val="00B67A3C"/>
    <w:rsid w:val="00B70E25"/>
    <w:rsid w:val="00B70FC3"/>
    <w:rsid w:val="00B7258F"/>
    <w:rsid w:val="00B731DE"/>
    <w:rsid w:val="00B75398"/>
    <w:rsid w:val="00B755CD"/>
    <w:rsid w:val="00B75F5E"/>
    <w:rsid w:val="00B808E6"/>
    <w:rsid w:val="00B81DA6"/>
    <w:rsid w:val="00B82BF3"/>
    <w:rsid w:val="00B8302E"/>
    <w:rsid w:val="00B85975"/>
    <w:rsid w:val="00B873FD"/>
    <w:rsid w:val="00B876E2"/>
    <w:rsid w:val="00B90C9D"/>
    <w:rsid w:val="00B90F94"/>
    <w:rsid w:val="00B91D6F"/>
    <w:rsid w:val="00B92006"/>
    <w:rsid w:val="00B92949"/>
    <w:rsid w:val="00B92F7F"/>
    <w:rsid w:val="00B92FC3"/>
    <w:rsid w:val="00B93C23"/>
    <w:rsid w:val="00B97E95"/>
    <w:rsid w:val="00BA4E7A"/>
    <w:rsid w:val="00BB0A86"/>
    <w:rsid w:val="00BB2519"/>
    <w:rsid w:val="00BB3274"/>
    <w:rsid w:val="00BB4157"/>
    <w:rsid w:val="00BB55CE"/>
    <w:rsid w:val="00BB7FF9"/>
    <w:rsid w:val="00BC478D"/>
    <w:rsid w:val="00BC4A36"/>
    <w:rsid w:val="00BC4BDC"/>
    <w:rsid w:val="00BC5F4D"/>
    <w:rsid w:val="00BC7561"/>
    <w:rsid w:val="00BD0834"/>
    <w:rsid w:val="00BD157A"/>
    <w:rsid w:val="00BD1E76"/>
    <w:rsid w:val="00BD2E6D"/>
    <w:rsid w:val="00BD3B4A"/>
    <w:rsid w:val="00BD5889"/>
    <w:rsid w:val="00BD5F2C"/>
    <w:rsid w:val="00BE1B60"/>
    <w:rsid w:val="00BE1C8E"/>
    <w:rsid w:val="00BE28D0"/>
    <w:rsid w:val="00BE2D1C"/>
    <w:rsid w:val="00BE719D"/>
    <w:rsid w:val="00BF120B"/>
    <w:rsid w:val="00BF14C3"/>
    <w:rsid w:val="00BF24A1"/>
    <w:rsid w:val="00BF2771"/>
    <w:rsid w:val="00BF2BF1"/>
    <w:rsid w:val="00BF486B"/>
    <w:rsid w:val="00BF5CB1"/>
    <w:rsid w:val="00BF7903"/>
    <w:rsid w:val="00BF7F24"/>
    <w:rsid w:val="00C00F87"/>
    <w:rsid w:val="00C016AB"/>
    <w:rsid w:val="00C01816"/>
    <w:rsid w:val="00C01CE9"/>
    <w:rsid w:val="00C03BB7"/>
    <w:rsid w:val="00C041A9"/>
    <w:rsid w:val="00C04C50"/>
    <w:rsid w:val="00C061A9"/>
    <w:rsid w:val="00C06586"/>
    <w:rsid w:val="00C07C8E"/>
    <w:rsid w:val="00C11B44"/>
    <w:rsid w:val="00C163E2"/>
    <w:rsid w:val="00C168A6"/>
    <w:rsid w:val="00C16A91"/>
    <w:rsid w:val="00C16D0D"/>
    <w:rsid w:val="00C1721F"/>
    <w:rsid w:val="00C22900"/>
    <w:rsid w:val="00C22A61"/>
    <w:rsid w:val="00C22C2D"/>
    <w:rsid w:val="00C25218"/>
    <w:rsid w:val="00C25FF9"/>
    <w:rsid w:val="00C27546"/>
    <w:rsid w:val="00C275F0"/>
    <w:rsid w:val="00C310A3"/>
    <w:rsid w:val="00C31A31"/>
    <w:rsid w:val="00C35352"/>
    <w:rsid w:val="00C35DCE"/>
    <w:rsid w:val="00C36792"/>
    <w:rsid w:val="00C41AD3"/>
    <w:rsid w:val="00C44036"/>
    <w:rsid w:val="00C451A9"/>
    <w:rsid w:val="00C461D6"/>
    <w:rsid w:val="00C47B79"/>
    <w:rsid w:val="00C50098"/>
    <w:rsid w:val="00C526EA"/>
    <w:rsid w:val="00C52DEA"/>
    <w:rsid w:val="00C54376"/>
    <w:rsid w:val="00C54564"/>
    <w:rsid w:val="00C552C8"/>
    <w:rsid w:val="00C55425"/>
    <w:rsid w:val="00C615F6"/>
    <w:rsid w:val="00C63D20"/>
    <w:rsid w:val="00C63EFA"/>
    <w:rsid w:val="00C66D14"/>
    <w:rsid w:val="00C70AC1"/>
    <w:rsid w:val="00C72562"/>
    <w:rsid w:val="00C7403A"/>
    <w:rsid w:val="00C753D7"/>
    <w:rsid w:val="00C75A57"/>
    <w:rsid w:val="00C75F86"/>
    <w:rsid w:val="00C761CF"/>
    <w:rsid w:val="00C76F1F"/>
    <w:rsid w:val="00C81F5A"/>
    <w:rsid w:val="00C825D0"/>
    <w:rsid w:val="00C86178"/>
    <w:rsid w:val="00C86A41"/>
    <w:rsid w:val="00C879CA"/>
    <w:rsid w:val="00C92AF9"/>
    <w:rsid w:val="00C94F45"/>
    <w:rsid w:val="00C95AD0"/>
    <w:rsid w:val="00C95BEE"/>
    <w:rsid w:val="00CA01B6"/>
    <w:rsid w:val="00CA0372"/>
    <w:rsid w:val="00CA07F3"/>
    <w:rsid w:val="00CA11FB"/>
    <w:rsid w:val="00CA2A50"/>
    <w:rsid w:val="00CA5357"/>
    <w:rsid w:val="00CA6AAE"/>
    <w:rsid w:val="00CA6E34"/>
    <w:rsid w:val="00CA712E"/>
    <w:rsid w:val="00CA7C16"/>
    <w:rsid w:val="00CB0073"/>
    <w:rsid w:val="00CB19D4"/>
    <w:rsid w:val="00CB1B2C"/>
    <w:rsid w:val="00CB44AA"/>
    <w:rsid w:val="00CB7541"/>
    <w:rsid w:val="00CD30A3"/>
    <w:rsid w:val="00CD3465"/>
    <w:rsid w:val="00CD3C6A"/>
    <w:rsid w:val="00CD44C3"/>
    <w:rsid w:val="00CD4C73"/>
    <w:rsid w:val="00CD4FAA"/>
    <w:rsid w:val="00CD74A1"/>
    <w:rsid w:val="00CE0577"/>
    <w:rsid w:val="00CE1FBD"/>
    <w:rsid w:val="00CE3DF5"/>
    <w:rsid w:val="00CE5EAE"/>
    <w:rsid w:val="00CF0CAF"/>
    <w:rsid w:val="00CF20DB"/>
    <w:rsid w:val="00CF4172"/>
    <w:rsid w:val="00CF4C6C"/>
    <w:rsid w:val="00CF711F"/>
    <w:rsid w:val="00CF754E"/>
    <w:rsid w:val="00CF773D"/>
    <w:rsid w:val="00D018E4"/>
    <w:rsid w:val="00D03F5D"/>
    <w:rsid w:val="00D046B2"/>
    <w:rsid w:val="00D05BBB"/>
    <w:rsid w:val="00D110D3"/>
    <w:rsid w:val="00D12171"/>
    <w:rsid w:val="00D15A58"/>
    <w:rsid w:val="00D160C2"/>
    <w:rsid w:val="00D1741F"/>
    <w:rsid w:val="00D17734"/>
    <w:rsid w:val="00D17BF2"/>
    <w:rsid w:val="00D212E7"/>
    <w:rsid w:val="00D212FE"/>
    <w:rsid w:val="00D234C1"/>
    <w:rsid w:val="00D23E59"/>
    <w:rsid w:val="00D2412A"/>
    <w:rsid w:val="00D24F46"/>
    <w:rsid w:val="00D2560B"/>
    <w:rsid w:val="00D258BE"/>
    <w:rsid w:val="00D25960"/>
    <w:rsid w:val="00D273E4"/>
    <w:rsid w:val="00D34468"/>
    <w:rsid w:val="00D3607E"/>
    <w:rsid w:val="00D36E4E"/>
    <w:rsid w:val="00D4069D"/>
    <w:rsid w:val="00D408E8"/>
    <w:rsid w:val="00D42F07"/>
    <w:rsid w:val="00D4440B"/>
    <w:rsid w:val="00D451F1"/>
    <w:rsid w:val="00D47EF6"/>
    <w:rsid w:val="00D50310"/>
    <w:rsid w:val="00D51290"/>
    <w:rsid w:val="00D518EB"/>
    <w:rsid w:val="00D538B7"/>
    <w:rsid w:val="00D5625A"/>
    <w:rsid w:val="00D60CC0"/>
    <w:rsid w:val="00D6518C"/>
    <w:rsid w:val="00D6535E"/>
    <w:rsid w:val="00D7189F"/>
    <w:rsid w:val="00D73948"/>
    <w:rsid w:val="00D744BA"/>
    <w:rsid w:val="00D85112"/>
    <w:rsid w:val="00D85F93"/>
    <w:rsid w:val="00D861E6"/>
    <w:rsid w:val="00D866B3"/>
    <w:rsid w:val="00D86B51"/>
    <w:rsid w:val="00D909F5"/>
    <w:rsid w:val="00D90F07"/>
    <w:rsid w:val="00D9104D"/>
    <w:rsid w:val="00D9135D"/>
    <w:rsid w:val="00D936F2"/>
    <w:rsid w:val="00D94E50"/>
    <w:rsid w:val="00D965C4"/>
    <w:rsid w:val="00DA0A49"/>
    <w:rsid w:val="00DA71B3"/>
    <w:rsid w:val="00DA7A52"/>
    <w:rsid w:val="00DB0770"/>
    <w:rsid w:val="00DB2208"/>
    <w:rsid w:val="00DB2BE2"/>
    <w:rsid w:val="00DB4017"/>
    <w:rsid w:val="00DB44ED"/>
    <w:rsid w:val="00DB621D"/>
    <w:rsid w:val="00DC5785"/>
    <w:rsid w:val="00DC7DA6"/>
    <w:rsid w:val="00DD15C1"/>
    <w:rsid w:val="00DD197C"/>
    <w:rsid w:val="00DD24B2"/>
    <w:rsid w:val="00DD31D6"/>
    <w:rsid w:val="00DD36B0"/>
    <w:rsid w:val="00DD47B8"/>
    <w:rsid w:val="00DE31F9"/>
    <w:rsid w:val="00DE3DF5"/>
    <w:rsid w:val="00DE5FF1"/>
    <w:rsid w:val="00DE7FB5"/>
    <w:rsid w:val="00DF3CAC"/>
    <w:rsid w:val="00DF5B85"/>
    <w:rsid w:val="00E008F4"/>
    <w:rsid w:val="00E02C39"/>
    <w:rsid w:val="00E030EF"/>
    <w:rsid w:val="00E04EAF"/>
    <w:rsid w:val="00E063E1"/>
    <w:rsid w:val="00E06CCB"/>
    <w:rsid w:val="00E072BA"/>
    <w:rsid w:val="00E1205F"/>
    <w:rsid w:val="00E131B5"/>
    <w:rsid w:val="00E1500E"/>
    <w:rsid w:val="00E15A45"/>
    <w:rsid w:val="00E16393"/>
    <w:rsid w:val="00E1742B"/>
    <w:rsid w:val="00E17A2E"/>
    <w:rsid w:val="00E21BF8"/>
    <w:rsid w:val="00E22997"/>
    <w:rsid w:val="00E22E97"/>
    <w:rsid w:val="00E23519"/>
    <w:rsid w:val="00E241D5"/>
    <w:rsid w:val="00E24971"/>
    <w:rsid w:val="00E2499C"/>
    <w:rsid w:val="00E24DE2"/>
    <w:rsid w:val="00E27AA1"/>
    <w:rsid w:val="00E312B1"/>
    <w:rsid w:val="00E316BC"/>
    <w:rsid w:val="00E3512D"/>
    <w:rsid w:val="00E35160"/>
    <w:rsid w:val="00E365E0"/>
    <w:rsid w:val="00E37153"/>
    <w:rsid w:val="00E4037B"/>
    <w:rsid w:val="00E40A72"/>
    <w:rsid w:val="00E4367B"/>
    <w:rsid w:val="00E451BF"/>
    <w:rsid w:val="00E452E0"/>
    <w:rsid w:val="00E4590C"/>
    <w:rsid w:val="00E47ED6"/>
    <w:rsid w:val="00E50473"/>
    <w:rsid w:val="00E532D2"/>
    <w:rsid w:val="00E532E7"/>
    <w:rsid w:val="00E53706"/>
    <w:rsid w:val="00E609DD"/>
    <w:rsid w:val="00E60EFE"/>
    <w:rsid w:val="00E64E8E"/>
    <w:rsid w:val="00E66518"/>
    <w:rsid w:val="00E671C9"/>
    <w:rsid w:val="00E67D20"/>
    <w:rsid w:val="00E70278"/>
    <w:rsid w:val="00E715D2"/>
    <w:rsid w:val="00E74EA5"/>
    <w:rsid w:val="00E76D7F"/>
    <w:rsid w:val="00E77A0F"/>
    <w:rsid w:val="00E80A0D"/>
    <w:rsid w:val="00E81654"/>
    <w:rsid w:val="00E8342B"/>
    <w:rsid w:val="00E83840"/>
    <w:rsid w:val="00E83EFD"/>
    <w:rsid w:val="00E91F76"/>
    <w:rsid w:val="00E920CC"/>
    <w:rsid w:val="00E92FA5"/>
    <w:rsid w:val="00E93B3D"/>
    <w:rsid w:val="00E94966"/>
    <w:rsid w:val="00EA1151"/>
    <w:rsid w:val="00EA1E46"/>
    <w:rsid w:val="00EA3E9E"/>
    <w:rsid w:val="00EA4DE9"/>
    <w:rsid w:val="00EA5D52"/>
    <w:rsid w:val="00EA6637"/>
    <w:rsid w:val="00EA7ABF"/>
    <w:rsid w:val="00EB06F6"/>
    <w:rsid w:val="00EB172A"/>
    <w:rsid w:val="00EB26BB"/>
    <w:rsid w:val="00EB2775"/>
    <w:rsid w:val="00EB2FED"/>
    <w:rsid w:val="00EB5CA4"/>
    <w:rsid w:val="00EB6B2D"/>
    <w:rsid w:val="00EC374B"/>
    <w:rsid w:val="00EC4BD4"/>
    <w:rsid w:val="00EC6142"/>
    <w:rsid w:val="00EC6468"/>
    <w:rsid w:val="00EC6B10"/>
    <w:rsid w:val="00ED0265"/>
    <w:rsid w:val="00ED03EC"/>
    <w:rsid w:val="00ED13B9"/>
    <w:rsid w:val="00ED1843"/>
    <w:rsid w:val="00ED2774"/>
    <w:rsid w:val="00ED3AD6"/>
    <w:rsid w:val="00ED7A7E"/>
    <w:rsid w:val="00ED7E08"/>
    <w:rsid w:val="00EE01AD"/>
    <w:rsid w:val="00EE0FEA"/>
    <w:rsid w:val="00EE1605"/>
    <w:rsid w:val="00EE2689"/>
    <w:rsid w:val="00EE2DD2"/>
    <w:rsid w:val="00EE572C"/>
    <w:rsid w:val="00EE732A"/>
    <w:rsid w:val="00EF115C"/>
    <w:rsid w:val="00EF3849"/>
    <w:rsid w:val="00EF41B5"/>
    <w:rsid w:val="00EF5B14"/>
    <w:rsid w:val="00EF716D"/>
    <w:rsid w:val="00EF78DB"/>
    <w:rsid w:val="00F01811"/>
    <w:rsid w:val="00F01848"/>
    <w:rsid w:val="00F02905"/>
    <w:rsid w:val="00F02C5D"/>
    <w:rsid w:val="00F02EFD"/>
    <w:rsid w:val="00F05A50"/>
    <w:rsid w:val="00F05F99"/>
    <w:rsid w:val="00F100B3"/>
    <w:rsid w:val="00F10AD6"/>
    <w:rsid w:val="00F10EDE"/>
    <w:rsid w:val="00F11D01"/>
    <w:rsid w:val="00F161A4"/>
    <w:rsid w:val="00F203D6"/>
    <w:rsid w:val="00F206A9"/>
    <w:rsid w:val="00F2097A"/>
    <w:rsid w:val="00F214E6"/>
    <w:rsid w:val="00F22622"/>
    <w:rsid w:val="00F236A4"/>
    <w:rsid w:val="00F23A64"/>
    <w:rsid w:val="00F346E6"/>
    <w:rsid w:val="00F37A1F"/>
    <w:rsid w:val="00F410A0"/>
    <w:rsid w:val="00F4135D"/>
    <w:rsid w:val="00F41F0D"/>
    <w:rsid w:val="00F43D57"/>
    <w:rsid w:val="00F443D0"/>
    <w:rsid w:val="00F45145"/>
    <w:rsid w:val="00F46257"/>
    <w:rsid w:val="00F54B80"/>
    <w:rsid w:val="00F5635B"/>
    <w:rsid w:val="00F5706E"/>
    <w:rsid w:val="00F578EE"/>
    <w:rsid w:val="00F60F83"/>
    <w:rsid w:val="00F65A53"/>
    <w:rsid w:val="00F6673C"/>
    <w:rsid w:val="00F66BD6"/>
    <w:rsid w:val="00F708C0"/>
    <w:rsid w:val="00F73DB1"/>
    <w:rsid w:val="00F758AB"/>
    <w:rsid w:val="00F80D5B"/>
    <w:rsid w:val="00F82D63"/>
    <w:rsid w:val="00F8326E"/>
    <w:rsid w:val="00F83B24"/>
    <w:rsid w:val="00F859A4"/>
    <w:rsid w:val="00F952C6"/>
    <w:rsid w:val="00F97455"/>
    <w:rsid w:val="00FA02ED"/>
    <w:rsid w:val="00FA1169"/>
    <w:rsid w:val="00FA373E"/>
    <w:rsid w:val="00FA3F13"/>
    <w:rsid w:val="00FA55D2"/>
    <w:rsid w:val="00FA6F7B"/>
    <w:rsid w:val="00FA7479"/>
    <w:rsid w:val="00FA77D2"/>
    <w:rsid w:val="00FB1782"/>
    <w:rsid w:val="00FB343D"/>
    <w:rsid w:val="00FB3FC1"/>
    <w:rsid w:val="00FB4D5C"/>
    <w:rsid w:val="00FC09D8"/>
    <w:rsid w:val="00FC1209"/>
    <w:rsid w:val="00FC1F85"/>
    <w:rsid w:val="00FC4743"/>
    <w:rsid w:val="00FC63F2"/>
    <w:rsid w:val="00FD1800"/>
    <w:rsid w:val="00FD2073"/>
    <w:rsid w:val="00FD2FFD"/>
    <w:rsid w:val="00FD37D1"/>
    <w:rsid w:val="00FD430F"/>
    <w:rsid w:val="00FD43F7"/>
    <w:rsid w:val="00FD4D9C"/>
    <w:rsid w:val="00FD59E4"/>
    <w:rsid w:val="00FE11AB"/>
    <w:rsid w:val="00FE24C7"/>
    <w:rsid w:val="00FE2F7C"/>
    <w:rsid w:val="00FE3E53"/>
    <w:rsid w:val="00FE5225"/>
    <w:rsid w:val="00FF185D"/>
    <w:rsid w:val="00FF2994"/>
    <w:rsid w:val="00FF3BAB"/>
    <w:rsid w:val="00FF6DA4"/>
    <w:rsid w:val="00FF75A2"/>
    <w:rsid w:val="00FF7642"/>
    <w:rsid w:val="00FF772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C28B26C-A664-4D5E-9C48-957A0D8F5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AD728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tulo2">
    <w:name w:val="heading 2"/>
    <w:basedOn w:val="Normal"/>
    <w:next w:val="Normal"/>
    <w:link w:val="Ttulo2Car"/>
    <w:uiPriority w:val="9"/>
    <w:semiHidden/>
    <w:unhideWhenUsed/>
    <w:qFormat/>
    <w:rsid w:val="005220E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906AFB"/>
    <w:pPr>
      <w:keepNext/>
      <w:keepLines/>
      <w:spacing w:before="40" w:after="0"/>
      <w:outlineLvl w:val="2"/>
    </w:pPr>
    <w:rPr>
      <w:rFonts w:ascii="Calibri Light" w:eastAsia="Times New Roman" w:hAnsi="Calibri Light" w:cs="Times New Roman"/>
      <w:color w:val="1F4D78"/>
      <w:sz w:val="24"/>
      <w:szCs w:val="24"/>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491A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491AD5"/>
    <w:pPr>
      <w:ind w:left="720"/>
      <w:contextualSpacing/>
    </w:pPr>
  </w:style>
  <w:style w:type="paragraph" w:customStyle="1" w:styleId="Default">
    <w:name w:val="Default"/>
    <w:rsid w:val="005D0A0B"/>
    <w:pPr>
      <w:autoSpaceDE w:val="0"/>
      <w:autoSpaceDN w:val="0"/>
      <w:adjustRightInd w:val="0"/>
      <w:spacing w:after="0" w:line="240" w:lineRule="auto"/>
    </w:pPr>
    <w:rPr>
      <w:rFonts w:ascii="Bookman Old Style" w:hAnsi="Bookman Old Style" w:cs="Bookman Old Style"/>
      <w:color w:val="000000"/>
      <w:sz w:val="24"/>
      <w:szCs w:val="24"/>
    </w:rPr>
  </w:style>
  <w:style w:type="paragraph" w:styleId="NormalWeb">
    <w:name w:val="Normal (Web)"/>
    <w:basedOn w:val="Normal"/>
    <w:uiPriority w:val="99"/>
    <w:unhideWhenUsed/>
    <w:rsid w:val="00AD728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uiPriority w:val="9"/>
    <w:rsid w:val="00AD7281"/>
    <w:rPr>
      <w:rFonts w:ascii="Times New Roman" w:eastAsia="Times New Roman" w:hAnsi="Times New Roman" w:cs="Times New Roman"/>
      <w:b/>
      <w:bCs/>
      <w:kern w:val="36"/>
      <w:sz w:val="48"/>
      <w:szCs w:val="48"/>
      <w:lang w:eastAsia="es-MX"/>
    </w:rPr>
  </w:style>
  <w:style w:type="paragraph" w:customStyle="1" w:styleId="CuerpoA">
    <w:name w:val="Cuerpo A"/>
    <w:rsid w:val="00157F0F"/>
    <w:pPr>
      <w:pBdr>
        <w:top w:val="nil"/>
        <w:left w:val="nil"/>
        <w:bottom w:val="nil"/>
        <w:right w:val="nil"/>
        <w:between w:val="nil"/>
        <w:bar w:val="nil"/>
      </w:pBdr>
    </w:pPr>
    <w:rPr>
      <w:rFonts w:ascii="Calibri" w:eastAsia="Calibri" w:hAnsi="Calibri" w:cs="Calibri"/>
      <w:color w:val="000000"/>
      <w:u w:color="000000"/>
      <w:bdr w:val="nil"/>
      <w:lang w:val="es-ES_tradnl"/>
    </w:rPr>
  </w:style>
  <w:style w:type="paragraph" w:customStyle="1" w:styleId="CuerpoB">
    <w:name w:val="Cuerpo B"/>
    <w:rsid w:val="00157F0F"/>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lang w:val="es-ES_tradnl"/>
    </w:rPr>
  </w:style>
  <w:style w:type="paragraph" w:customStyle="1" w:styleId="Cuerpo">
    <w:name w:val="Cuerpo"/>
    <w:rsid w:val="00157F0F"/>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lang w:val="es-ES_tradnl"/>
    </w:rPr>
  </w:style>
  <w:style w:type="paragraph" w:customStyle="1" w:styleId="Texto">
    <w:name w:val="Texto"/>
    <w:basedOn w:val="Normal"/>
    <w:link w:val="TextoCar"/>
    <w:qFormat/>
    <w:rsid w:val="00AD1F11"/>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AD1F11"/>
    <w:rPr>
      <w:rFonts w:ascii="Arial" w:eastAsia="Times New Roman" w:hAnsi="Arial" w:cs="Arial"/>
      <w:sz w:val="18"/>
      <w:szCs w:val="20"/>
      <w:lang w:val="es-ES" w:eastAsia="es-ES"/>
    </w:rPr>
  </w:style>
  <w:style w:type="table" w:styleId="Sombreadoclaro-nfasis3">
    <w:name w:val="Light Shading Accent 3"/>
    <w:basedOn w:val="Tablanormal"/>
    <w:uiPriority w:val="60"/>
    <w:rsid w:val="0080483D"/>
    <w:pPr>
      <w:spacing w:after="0" w:line="240" w:lineRule="auto"/>
    </w:pPr>
    <w:rPr>
      <w:rFonts w:ascii="Calibri" w:eastAsia="Calibri" w:hAnsi="Calibri" w:cs="Times New Roman"/>
      <w:color w:val="76923C" w:themeColor="accent3" w:themeShade="BF"/>
      <w:sz w:val="20"/>
      <w:szCs w:val="20"/>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PrrafodelistaCar">
    <w:name w:val="Párrafo de lista Car"/>
    <w:link w:val="Prrafodelista"/>
    <w:uiPriority w:val="34"/>
    <w:locked/>
    <w:rsid w:val="0007405B"/>
  </w:style>
  <w:style w:type="character" w:customStyle="1" w:styleId="A4">
    <w:name w:val="A4"/>
    <w:uiPriority w:val="99"/>
    <w:rsid w:val="00610035"/>
    <w:rPr>
      <w:rFonts w:cs="Rotis Sans Serif Std Light"/>
      <w:color w:val="000000"/>
      <w:sz w:val="26"/>
      <w:szCs w:val="26"/>
    </w:rPr>
  </w:style>
  <w:style w:type="paragraph" w:styleId="Encabezado">
    <w:name w:val="header"/>
    <w:basedOn w:val="Normal"/>
    <w:link w:val="EncabezadoCar"/>
    <w:uiPriority w:val="99"/>
    <w:unhideWhenUsed/>
    <w:rsid w:val="0056744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67446"/>
  </w:style>
  <w:style w:type="paragraph" w:styleId="Piedepgina">
    <w:name w:val="footer"/>
    <w:basedOn w:val="Normal"/>
    <w:link w:val="PiedepginaCar"/>
    <w:uiPriority w:val="99"/>
    <w:unhideWhenUsed/>
    <w:rsid w:val="0056744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67446"/>
  </w:style>
  <w:style w:type="character" w:styleId="Refdecomentario">
    <w:name w:val="annotation reference"/>
    <w:basedOn w:val="Fuentedeprrafopredeter"/>
    <w:uiPriority w:val="99"/>
    <w:semiHidden/>
    <w:unhideWhenUsed/>
    <w:rsid w:val="00B873FD"/>
    <w:rPr>
      <w:sz w:val="16"/>
      <w:szCs w:val="16"/>
    </w:rPr>
  </w:style>
  <w:style w:type="paragraph" w:styleId="Textocomentario">
    <w:name w:val="annotation text"/>
    <w:basedOn w:val="Normal"/>
    <w:link w:val="TextocomentarioCar"/>
    <w:uiPriority w:val="99"/>
    <w:semiHidden/>
    <w:unhideWhenUsed/>
    <w:rsid w:val="00B873F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873FD"/>
    <w:rPr>
      <w:sz w:val="20"/>
      <w:szCs w:val="20"/>
    </w:rPr>
  </w:style>
  <w:style w:type="paragraph" w:styleId="Asuntodelcomentario">
    <w:name w:val="annotation subject"/>
    <w:basedOn w:val="Textocomentario"/>
    <w:next w:val="Textocomentario"/>
    <w:link w:val="AsuntodelcomentarioCar"/>
    <w:uiPriority w:val="99"/>
    <w:semiHidden/>
    <w:unhideWhenUsed/>
    <w:rsid w:val="00B873FD"/>
    <w:rPr>
      <w:b/>
      <w:bCs/>
    </w:rPr>
  </w:style>
  <w:style w:type="character" w:customStyle="1" w:styleId="AsuntodelcomentarioCar">
    <w:name w:val="Asunto del comentario Car"/>
    <w:basedOn w:val="TextocomentarioCar"/>
    <w:link w:val="Asuntodelcomentario"/>
    <w:uiPriority w:val="99"/>
    <w:semiHidden/>
    <w:rsid w:val="00B873FD"/>
    <w:rPr>
      <w:b/>
      <w:bCs/>
      <w:sz w:val="20"/>
      <w:szCs w:val="20"/>
    </w:rPr>
  </w:style>
  <w:style w:type="paragraph" w:styleId="Revisin">
    <w:name w:val="Revision"/>
    <w:hidden/>
    <w:uiPriority w:val="99"/>
    <w:semiHidden/>
    <w:rsid w:val="00B873FD"/>
    <w:pPr>
      <w:spacing w:after="0" w:line="240" w:lineRule="auto"/>
    </w:pPr>
  </w:style>
  <w:style w:type="paragraph" w:styleId="Textodeglobo">
    <w:name w:val="Balloon Text"/>
    <w:basedOn w:val="Normal"/>
    <w:link w:val="TextodegloboCar"/>
    <w:uiPriority w:val="99"/>
    <w:semiHidden/>
    <w:unhideWhenUsed/>
    <w:rsid w:val="00B873F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873FD"/>
    <w:rPr>
      <w:rFonts w:ascii="Tahoma" w:hAnsi="Tahoma" w:cs="Tahoma"/>
      <w:sz w:val="16"/>
      <w:szCs w:val="16"/>
    </w:rPr>
  </w:style>
  <w:style w:type="paragraph" w:customStyle="1" w:styleId="titulo-nota">
    <w:name w:val="titulo-nota"/>
    <w:basedOn w:val="Normal"/>
    <w:rsid w:val="00410E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umen-nota">
    <w:name w:val="resumen-nota"/>
    <w:basedOn w:val="Normal"/>
    <w:rsid w:val="00410E7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410E71"/>
  </w:style>
  <w:style w:type="character" w:styleId="Textoennegrita">
    <w:name w:val="Strong"/>
    <w:basedOn w:val="Fuentedeprrafopredeter"/>
    <w:uiPriority w:val="22"/>
    <w:qFormat/>
    <w:rsid w:val="00215EFE"/>
    <w:rPr>
      <w:b/>
      <w:bCs/>
    </w:rPr>
  </w:style>
  <w:style w:type="character" w:styleId="nfasis">
    <w:name w:val="Emphasis"/>
    <w:basedOn w:val="Fuentedeprrafopredeter"/>
    <w:uiPriority w:val="20"/>
    <w:qFormat/>
    <w:rsid w:val="00215EFE"/>
    <w:rPr>
      <w:i/>
      <w:iCs/>
    </w:rPr>
  </w:style>
  <w:style w:type="character" w:styleId="Hipervnculo">
    <w:name w:val="Hyperlink"/>
    <w:basedOn w:val="Fuentedeprrafopredeter"/>
    <w:uiPriority w:val="99"/>
    <w:unhideWhenUsed/>
    <w:rsid w:val="00215F39"/>
    <w:rPr>
      <w:color w:val="0000FF"/>
      <w:u w:val="single"/>
    </w:rPr>
  </w:style>
  <w:style w:type="paragraph" w:customStyle="1" w:styleId="Pa7">
    <w:name w:val="Pa7"/>
    <w:basedOn w:val="Default"/>
    <w:next w:val="Default"/>
    <w:uiPriority w:val="99"/>
    <w:rsid w:val="001F5C98"/>
    <w:pPr>
      <w:spacing w:line="261" w:lineRule="atLeast"/>
    </w:pPr>
    <w:rPr>
      <w:rFonts w:ascii="Rotis Sans Serif Std Light" w:hAnsi="Rotis Sans Serif Std Light" w:cstheme="minorBidi"/>
      <w:color w:val="auto"/>
    </w:rPr>
  </w:style>
  <w:style w:type="paragraph" w:customStyle="1" w:styleId="Pa25">
    <w:name w:val="Pa25"/>
    <w:basedOn w:val="Default"/>
    <w:next w:val="Default"/>
    <w:uiPriority w:val="99"/>
    <w:rsid w:val="001F5C98"/>
    <w:pPr>
      <w:spacing w:line="321" w:lineRule="atLeast"/>
    </w:pPr>
    <w:rPr>
      <w:rFonts w:ascii="Rotis Sans Serif Std Light" w:hAnsi="Rotis Sans Serif Std Light" w:cstheme="minorBidi"/>
      <w:color w:val="auto"/>
    </w:rPr>
  </w:style>
  <w:style w:type="character" w:customStyle="1" w:styleId="cb-author">
    <w:name w:val="cb-author"/>
    <w:basedOn w:val="Fuentedeprrafopredeter"/>
    <w:rsid w:val="009D7C2F"/>
  </w:style>
  <w:style w:type="character" w:customStyle="1" w:styleId="cb-date">
    <w:name w:val="cb-date"/>
    <w:basedOn w:val="Fuentedeprrafopredeter"/>
    <w:rsid w:val="009D7C2F"/>
  </w:style>
  <w:style w:type="table" w:customStyle="1" w:styleId="Tablaconcuadrcula1">
    <w:name w:val="Tabla con cuadrícula1"/>
    <w:basedOn w:val="Tablanormal"/>
    <w:next w:val="Tablaconcuadrcula"/>
    <w:uiPriority w:val="59"/>
    <w:rsid w:val="0077797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31">
    <w:name w:val="Sombreado claro - Énfasis 31"/>
    <w:basedOn w:val="Tablanormal"/>
    <w:next w:val="Sombreadoclaro-nfasis3"/>
    <w:uiPriority w:val="60"/>
    <w:rsid w:val="00777972"/>
    <w:pPr>
      <w:spacing w:after="0" w:line="240" w:lineRule="auto"/>
    </w:pPr>
    <w:rPr>
      <w:rFonts w:ascii="Calibri" w:eastAsia="Calibri" w:hAnsi="Calibri" w:cs="Times New Roman"/>
      <w:color w:val="76923C" w:themeColor="accent3" w:themeShade="BF"/>
      <w:sz w:val="20"/>
      <w:szCs w:val="20"/>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btn-pdf">
    <w:name w:val="btn-pdf"/>
    <w:basedOn w:val="Fuentedeprrafopredeter"/>
    <w:rsid w:val="0025154E"/>
  </w:style>
  <w:style w:type="table" w:customStyle="1" w:styleId="Tabladecuadrcula1clara-nfasis31">
    <w:name w:val="Tabla de cuadrícula 1 clara - Énfasis 31"/>
    <w:basedOn w:val="Tablanormal"/>
    <w:uiPriority w:val="46"/>
    <w:rsid w:val="00041B7B"/>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Tablanormal51">
    <w:name w:val="Tabla normal 51"/>
    <w:basedOn w:val="Tablanormal"/>
    <w:uiPriority w:val="45"/>
    <w:rsid w:val="003504E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ANOTACION">
    <w:name w:val="ANOTACION"/>
    <w:basedOn w:val="Normal"/>
    <w:link w:val="ANOTACIONCar"/>
    <w:rsid w:val="00A056C1"/>
    <w:pPr>
      <w:spacing w:before="101" w:after="101" w:line="216" w:lineRule="atLeast"/>
      <w:jc w:val="center"/>
    </w:pPr>
    <w:rPr>
      <w:rFonts w:ascii="Times New Roman" w:eastAsia="Times New Roman" w:hAnsi="Times New Roman" w:cs="Times New Roman"/>
      <w:b/>
      <w:sz w:val="18"/>
      <w:szCs w:val="20"/>
      <w:lang w:val="es-ES_tradnl" w:eastAsia="es-ES"/>
    </w:rPr>
  </w:style>
  <w:style w:type="character" w:customStyle="1" w:styleId="ANOTACIONCar">
    <w:name w:val="ANOTACION Car"/>
    <w:link w:val="ANOTACION"/>
    <w:locked/>
    <w:rsid w:val="00A056C1"/>
    <w:rPr>
      <w:rFonts w:ascii="Times New Roman" w:eastAsia="Times New Roman" w:hAnsi="Times New Roman" w:cs="Times New Roman"/>
      <w:b/>
      <w:sz w:val="18"/>
      <w:szCs w:val="20"/>
      <w:lang w:val="es-ES_tradnl" w:eastAsia="es-ES"/>
    </w:rPr>
  </w:style>
  <w:style w:type="paragraph" w:styleId="Textonotapie">
    <w:name w:val="footnote text"/>
    <w:basedOn w:val="Normal"/>
    <w:link w:val="TextonotapieCar"/>
    <w:uiPriority w:val="99"/>
    <w:semiHidden/>
    <w:unhideWhenUsed/>
    <w:rsid w:val="004F072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F072A"/>
    <w:rPr>
      <w:sz w:val="20"/>
      <w:szCs w:val="20"/>
    </w:rPr>
  </w:style>
  <w:style w:type="character" w:styleId="Refdenotaalpie">
    <w:name w:val="footnote reference"/>
    <w:basedOn w:val="Fuentedeprrafopredeter"/>
    <w:uiPriority w:val="99"/>
    <w:semiHidden/>
    <w:unhideWhenUsed/>
    <w:rsid w:val="004F072A"/>
    <w:rPr>
      <w:vertAlign w:val="superscript"/>
    </w:rPr>
  </w:style>
  <w:style w:type="paragraph" w:styleId="Sinespaciado">
    <w:name w:val="No Spacing"/>
    <w:uiPriority w:val="1"/>
    <w:qFormat/>
    <w:rsid w:val="00033D97"/>
    <w:pPr>
      <w:spacing w:after="0" w:line="240" w:lineRule="auto"/>
    </w:pPr>
  </w:style>
  <w:style w:type="paragraph" w:styleId="Textoindependiente2">
    <w:name w:val="Body Text 2"/>
    <w:basedOn w:val="Normal"/>
    <w:link w:val="Textoindependiente2Car"/>
    <w:rsid w:val="00EA1151"/>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rsid w:val="00EA1151"/>
    <w:rPr>
      <w:rFonts w:ascii="Times New Roman" w:eastAsia="Times New Roman" w:hAnsi="Times New Roman" w:cs="Times New Roman"/>
      <w:sz w:val="24"/>
      <w:szCs w:val="24"/>
      <w:lang w:val="es-ES" w:eastAsia="es-ES"/>
    </w:rPr>
  </w:style>
  <w:style w:type="character" w:customStyle="1" w:styleId="Ttulo2Car">
    <w:name w:val="Título 2 Car"/>
    <w:basedOn w:val="Fuentedeprrafopredeter"/>
    <w:link w:val="Ttulo2"/>
    <w:uiPriority w:val="9"/>
    <w:semiHidden/>
    <w:rsid w:val="005220E8"/>
    <w:rPr>
      <w:rFonts w:asciiTheme="majorHAnsi" w:eastAsiaTheme="majorEastAsia" w:hAnsiTheme="majorHAnsi" w:cstheme="majorBidi"/>
      <w:color w:val="365F91" w:themeColor="accent1" w:themeShade="BF"/>
      <w:sz w:val="26"/>
      <w:szCs w:val="26"/>
    </w:rPr>
  </w:style>
  <w:style w:type="paragraph" w:customStyle="1" w:styleId="Ttulo31">
    <w:name w:val="Título 31"/>
    <w:basedOn w:val="Normal"/>
    <w:next w:val="Normal"/>
    <w:uiPriority w:val="9"/>
    <w:semiHidden/>
    <w:unhideWhenUsed/>
    <w:qFormat/>
    <w:rsid w:val="00906AFB"/>
    <w:pPr>
      <w:keepNext/>
      <w:keepLines/>
      <w:spacing w:before="40" w:after="0" w:line="360" w:lineRule="auto"/>
      <w:jc w:val="both"/>
      <w:outlineLvl w:val="2"/>
    </w:pPr>
    <w:rPr>
      <w:rFonts w:ascii="Calibri Light" w:eastAsia="Times New Roman" w:hAnsi="Calibri Light" w:cs="Times New Roman"/>
      <w:color w:val="1F4D78"/>
      <w:sz w:val="24"/>
      <w:szCs w:val="24"/>
      <w:lang w:val="es-ES" w:eastAsia="en-US"/>
    </w:rPr>
  </w:style>
  <w:style w:type="numbering" w:customStyle="1" w:styleId="Sinlista1">
    <w:name w:val="Sin lista1"/>
    <w:next w:val="Sinlista"/>
    <w:uiPriority w:val="99"/>
    <w:semiHidden/>
    <w:unhideWhenUsed/>
    <w:rsid w:val="00906AFB"/>
  </w:style>
  <w:style w:type="character" w:customStyle="1" w:styleId="Ttulo3Car">
    <w:name w:val="Título 3 Car"/>
    <w:basedOn w:val="Fuentedeprrafopredeter"/>
    <w:link w:val="Ttulo3"/>
    <w:uiPriority w:val="9"/>
    <w:semiHidden/>
    <w:rsid w:val="00906AFB"/>
    <w:rPr>
      <w:rFonts w:ascii="Calibri Light" w:eastAsia="Times New Roman" w:hAnsi="Calibri Light" w:cs="Times New Roman"/>
      <w:color w:val="1F4D78"/>
      <w:sz w:val="24"/>
      <w:szCs w:val="24"/>
      <w:lang w:val="es-ES" w:eastAsia="en-US"/>
    </w:rPr>
  </w:style>
  <w:style w:type="character" w:customStyle="1" w:styleId="Hipervnculovisitado1">
    <w:name w:val="Hipervínculo visitado1"/>
    <w:basedOn w:val="Fuentedeprrafopredeter"/>
    <w:uiPriority w:val="99"/>
    <w:semiHidden/>
    <w:unhideWhenUsed/>
    <w:rsid w:val="00906AFB"/>
    <w:rPr>
      <w:color w:val="954F72"/>
      <w:u w:val="single"/>
    </w:rPr>
  </w:style>
  <w:style w:type="paragraph" w:customStyle="1" w:styleId="msonormal0">
    <w:name w:val="msonormal"/>
    <w:basedOn w:val="Normal"/>
    <w:uiPriority w:val="99"/>
    <w:semiHidden/>
    <w:rsid w:val="00906AFB"/>
    <w:pPr>
      <w:spacing w:before="100" w:beforeAutospacing="1" w:after="100" w:afterAutospacing="1" w:line="360" w:lineRule="auto"/>
    </w:pPr>
    <w:rPr>
      <w:rFonts w:ascii="Times New Roman" w:eastAsia="Times New Roman" w:hAnsi="Times New Roman" w:cs="Times New Roman"/>
      <w:sz w:val="24"/>
      <w:szCs w:val="24"/>
      <w:lang w:val="es-ES" w:eastAsia="es-ES"/>
    </w:rPr>
  </w:style>
  <w:style w:type="paragraph" w:styleId="TDC1">
    <w:name w:val="toc 1"/>
    <w:basedOn w:val="Normal"/>
    <w:next w:val="Normal"/>
    <w:autoRedefine/>
    <w:uiPriority w:val="39"/>
    <w:semiHidden/>
    <w:unhideWhenUsed/>
    <w:rsid w:val="00906AFB"/>
    <w:pPr>
      <w:spacing w:before="120" w:after="100" w:line="360" w:lineRule="auto"/>
      <w:jc w:val="both"/>
    </w:pPr>
    <w:rPr>
      <w:rFonts w:ascii="Arial" w:eastAsia="Calibri" w:hAnsi="Arial" w:cs="Times New Roman"/>
      <w:lang w:val="es-ES" w:eastAsia="en-US"/>
    </w:rPr>
  </w:style>
  <w:style w:type="paragraph" w:styleId="TDC2">
    <w:name w:val="toc 2"/>
    <w:basedOn w:val="Normal"/>
    <w:next w:val="Normal"/>
    <w:autoRedefine/>
    <w:uiPriority w:val="39"/>
    <w:semiHidden/>
    <w:unhideWhenUsed/>
    <w:rsid w:val="00906AFB"/>
    <w:pPr>
      <w:spacing w:after="100" w:line="256" w:lineRule="auto"/>
      <w:ind w:left="220"/>
    </w:pPr>
    <w:rPr>
      <w:rFonts w:ascii="Calibri" w:eastAsia="Times New Roman" w:hAnsi="Calibri" w:cs="Times New Roman"/>
    </w:rPr>
  </w:style>
  <w:style w:type="paragraph" w:styleId="TDC3">
    <w:name w:val="toc 3"/>
    <w:basedOn w:val="Normal"/>
    <w:next w:val="Normal"/>
    <w:autoRedefine/>
    <w:uiPriority w:val="39"/>
    <w:semiHidden/>
    <w:unhideWhenUsed/>
    <w:rsid w:val="00906AFB"/>
    <w:pPr>
      <w:spacing w:after="100" w:line="256" w:lineRule="auto"/>
      <w:ind w:left="440"/>
    </w:pPr>
    <w:rPr>
      <w:rFonts w:ascii="Calibri" w:eastAsia="Times New Roman" w:hAnsi="Calibri" w:cs="Times New Roman"/>
    </w:rPr>
  </w:style>
  <w:style w:type="paragraph" w:styleId="Subttulo">
    <w:name w:val="Subtitle"/>
    <w:basedOn w:val="Normal"/>
    <w:next w:val="Normal"/>
    <w:link w:val="SubttuloCar"/>
    <w:uiPriority w:val="11"/>
    <w:qFormat/>
    <w:rsid w:val="00906AFB"/>
    <w:pPr>
      <w:spacing w:after="0" w:line="240" w:lineRule="auto"/>
      <w:jc w:val="center"/>
    </w:pPr>
    <w:rPr>
      <w:rFonts w:ascii="Arial" w:eastAsia="Times New Roman" w:hAnsi="Arial" w:cs="Times New Roman"/>
      <w:b/>
      <w:sz w:val="20"/>
      <w:lang w:val="es-ES" w:eastAsia="en-US"/>
    </w:rPr>
  </w:style>
  <w:style w:type="character" w:customStyle="1" w:styleId="SubttuloCar">
    <w:name w:val="Subtítulo Car"/>
    <w:basedOn w:val="Fuentedeprrafopredeter"/>
    <w:link w:val="Subttulo"/>
    <w:uiPriority w:val="11"/>
    <w:rsid w:val="00906AFB"/>
    <w:rPr>
      <w:rFonts w:ascii="Arial" w:eastAsia="Times New Roman" w:hAnsi="Arial" w:cs="Times New Roman"/>
      <w:b/>
      <w:sz w:val="20"/>
      <w:lang w:val="es-ES" w:eastAsia="en-US"/>
    </w:rPr>
  </w:style>
  <w:style w:type="paragraph" w:customStyle="1" w:styleId="TtuloTDC1">
    <w:name w:val="Título TDC1"/>
    <w:basedOn w:val="Ttulo1"/>
    <w:next w:val="Normal"/>
    <w:uiPriority w:val="39"/>
    <w:semiHidden/>
    <w:unhideWhenUsed/>
    <w:qFormat/>
    <w:rsid w:val="00906AFB"/>
    <w:pPr>
      <w:keepNext/>
      <w:keepLines/>
      <w:spacing w:before="240" w:beforeAutospacing="0" w:after="0" w:afterAutospacing="0" w:line="256" w:lineRule="auto"/>
      <w:outlineLvl w:val="9"/>
    </w:pPr>
    <w:rPr>
      <w:rFonts w:ascii="Calibri Light" w:hAnsi="Calibri Light"/>
      <w:b w:val="0"/>
      <w:bCs w:val="0"/>
      <w:color w:val="2E74B5"/>
      <w:kern w:val="0"/>
      <w:sz w:val="32"/>
      <w:szCs w:val="32"/>
    </w:rPr>
  </w:style>
  <w:style w:type="table" w:customStyle="1" w:styleId="Tablaconcuadrcula2">
    <w:name w:val="Tabla con cuadrícula2"/>
    <w:basedOn w:val="Tablanormal"/>
    <w:next w:val="Tablaconcuadrcula"/>
    <w:uiPriority w:val="39"/>
    <w:rsid w:val="00906AFB"/>
    <w:pPr>
      <w:spacing w:after="0" w:line="240" w:lineRule="auto"/>
    </w:pPr>
    <w:rPr>
      <w:rFonts w:ascii="Calibri" w:eastAsia="Calibri" w:hAnsi="Calibri" w:cs="Times New Roman"/>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1">
    <w:name w:val="Título 3 Car1"/>
    <w:basedOn w:val="Fuentedeprrafopredeter"/>
    <w:uiPriority w:val="9"/>
    <w:semiHidden/>
    <w:rsid w:val="00906AFB"/>
    <w:rPr>
      <w:rFonts w:asciiTheme="majorHAnsi" w:eastAsiaTheme="majorEastAsia" w:hAnsiTheme="majorHAnsi" w:cstheme="majorBidi"/>
      <w:color w:val="243F60" w:themeColor="accent1" w:themeShade="7F"/>
      <w:sz w:val="24"/>
      <w:szCs w:val="24"/>
    </w:rPr>
  </w:style>
  <w:style w:type="character" w:styleId="Hipervnculovisitado">
    <w:name w:val="FollowedHyperlink"/>
    <w:basedOn w:val="Fuentedeprrafopredeter"/>
    <w:uiPriority w:val="99"/>
    <w:semiHidden/>
    <w:unhideWhenUsed/>
    <w:rsid w:val="00906AF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2165">
      <w:bodyDiv w:val="1"/>
      <w:marLeft w:val="0"/>
      <w:marRight w:val="0"/>
      <w:marTop w:val="0"/>
      <w:marBottom w:val="0"/>
      <w:divBdr>
        <w:top w:val="none" w:sz="0" w:space="0" w:color="auto"/>
        <w:left w:val="none" w:sz="0" w:space="0" w:color="auto"/>
        <w:bottom w:val="none" w:sz="0" w:space="0" w:color="auto"/>
        <w:right w:val="none" w:sz="0" w:space="0" w:color="auto"/>
      </w:divBdr>
    </w:div>
    <w:div w:id="5711836">
      <w:bodyDiv w:val="1"/>
      <w:marLeft w:val="0"/>
      <w:marRight w:val="0"/>
      <w:marTop w:val="0"/>
      <w:marBottom w:val="0"/>
      <w:divBdr>
        <w:top w:val="none" w:sz="0" w:space="0" w:color="auto"/>
        <w:left w:val="none" w:sz="0" w:space="0" w:color="auto"/>
        <w:bottom w:val="none" w:sz="0" w:space="0" w:color="auto"/>
        <w:right w:val="none" w:sz="0" w:space="0" w:color="auto"/>
      </w:divBdr>
    </w:div>
    <w:div w:id="21908654">
      <w:bodyDiv w:val="1"/>
      <w:marLeft w:val="0"/>
      <w:marRight w:val="0"/>
      <w:marTop w:val="0"/>
      <w:marBottom w:val="0"/>
      <w:divBdr>
        <w:top w:val="none" w:sz="0" w:space="0" w:color="auto"/>
        <w:left w:val="none" w:sz="0" w:space="0" w:color="auto"/>
        <w:bottom w:val="none" w:sz="0" w:space="0" w:color="auto"/>
        <w:right w:val="none" w:sz="0" w:space="0" w:color="auto"/>
      </w:divBdr>
    </w:div>
    <w:div w:id="29768570">
      <w:bodyDiv w:val="1"/>
      <w:marLeft w:val="0"/>
      <w:marRight w:val="0"/>
      <w:marTop w:val="0"/>
      <w:marBottom w:val="0"/>
      <w:divBdr>
        <w:top w:val="none" w:sz="0" w:space="0" w:color="auto"/>
        <w:left w:val="none" w:sz="0" w:space="0" w:color="auto"/>
        <w:bottom w:val="none" w:sz="0" w:space="0" w:color="auto"/>
        <w:right w:val="none" w:sz="0" w:space="0" w:color="auto"/>
      </w:divBdr>
    </w:div>
    <w:div w:id="36200918">
      <w:bodyDiv w:val="1"/>
      <w:marLeft w:val="0"/>
      <w:marRight w:val="0"/>
      <w:marTop w:val="0"/>
      <w:marBottom w:val="0"/>
      <w:divBdr>
        <w:top w:val="none" w:sz="0" w:space="0" w:color="auto"/>
        <w:left w:val="none" w:sz="0" w:space="0" w:color="auto"/>
        <w:bottom w:val="none" w:sz="0" w:space="0" w:color="auto"/>
        <w:right w:val="none" w:sz="0" w:space="0" w:color="auto"/>
      </w:divBdr>
    </w:div>
    <w:div w:id="37436479">
      <w:bodyDiv w:val="1"/>
      <w:marLeft w:val="0"/>
      <w:marRight w:val="0"/>
      <w:marTop w:val="0"/>
      <w:marBottom w:val="0"/>
      <w:divBdr>
        <w:top w:val="none" w:sz="0" w:space="0" w:color="auto"/>
        <w:left w:val="none" w:sz="0" w:space="0" w:color="auto"/>
        <w:bottom w:val="none" w:sz="0" w:space="0" w:color="auto"/>
        <w:right w:val="none" w:sz="0" w:space="0" w:color="auto"/>
      </w:divBdr>
    </w:div>
    <w:div w:id="39132106">
      <w:bodyDiv w:val="1"/>
      <w:marLeft w:val="0"/>
      <w:marRight w:val="0"/>
      <w:marTop w:val="0"/>
      <w:marBottom w:val="0"/>
      <w:divBdr>
        <w:top w:val="none" w:sz="0" w:space="0" w:color="auto"/>
        <w:left w:val="none" w:sz="0" w:space="0" w:color="auto"/>
        <w:bottom w:val="none" w:sz="0" w:space="0" w:color="auto"/>
        <w:right w:val="none" w:sz="0" w:space="0" w:color="auto"/>
      </w:divBdr>
    </w:div>
    <w:div w:id="44255797">
      <w:bodyDiv w:val="1"/>
      <w:marLeft w:val="0"/>
      <w:marRight w:val="0"/>
      <w:marTop w:val="0"/>
      <w:marBottom w:val="0"/>
      <w:divBdr>
        <w:top w:val="none" w:sz="0" w:space="0" w:color="auto"/>
        <w:left w:val="none" w:sz="0" w:space="0" w:color="auto"/>
        <w:bottom w:val="none" w:sz="0" w:space="0" w:color="auto"/>
        <w:right w:val="none" w:sz="0" w:space="0" w:color="auto"/>
      </w:divBdr>
    </w:div>
    <w:div w:id="53504017">
      <w:bodyDiv w:val="1"/>
      <w:marLeft w:val="0"/>
      <w:marRight w:val="0"/>
      <w:marTop w:val="0"/>
      <w:marBottom w:val="0"/>
      <w:divBdr>
        <w:top w:val="none" w:sz="0" w:space="0" w:color="auto"/>
        <w:left w:val="none" w:sz="0" w:space="0" w:color="auto"/>
        <w:bottom w:val="none" w:sz="0" w:space="0" w:color="auto"/>
        <w:right w:val="none" w:sz="0" w:space="0" w:color="auto"/>
      </w:divBdr>
    </w:div>
    <w:div w:id="55906575">
      <w:bodyDiv w:val="1"/>
      <w:marLeft w:val="0"/>
      <w:marRight w:val="0"/>
      <w:marTop w:val="0"/>
      <w:marBottom w:val="0"/>
      <w:divBdr>
        <w:top w:val="none" w:sz="0" w:space="0" w:color="auto"/>
        <w:left w:val="none" w:sz="0" w:space="0" w:color="auto"/>
        <w:bottom w:val="none" w:sz="0" w:space="0" w:color="auto"/>
        <w:right w:val="none" w:sz="0" w:space="0" w:color="auto"/>
      </w:divBdr>
    </w:div>
    <w:div w:id="60758475">
      <w:bodyDiv w:val="1"/>
      <w:marLeft w:val="0"/>
      <w:marRight w:val="0"/>
      <w:marTop w:val="0"/>
      <w:marBottom w:val="0"/>
      <w:divBdr>
        <w:top w:val="none" w:sz="0" w:space="0" w:color="auto"/>
        <w:left w:val="none" w:sz="0" w:space="0" w:color="auto"/>
        <w:bottom w:val="none" w:sz="0" w:space="0" w:color="auto"/>
        <w:right w:val="none" w:sz="0" w:space="0" w:color="auto"/>
      </w:divBdr>
    </w:div>
    <w:div w:id="69620563">
      <w:bodyDiv w:val="1"/>
      <w:marLeft w:val="0"/>
      <w:marRight w:val="0"/>
      <w:marTop w:val="0"/>
      <w:marBottom w:val="0"/>
      <w:divBdr>
        <w:top w:val="none" w:sz="0" w:space="0" w:color="auto"/>
        <w:left w:val="none" w:sz="0" w:space="0" w:color="auto"/>
        <w:bottom w:val="none" w:sz="0" w:space="0" w:color="auto"/>
        <w:right w:val="none" w:sz="0" w:space="0" w:color="auto"/>
      </w:divBdr>
    </w:div>
    <w:div w:id="72974213">
      <w:bodyDiv w:val="1"/>
      <w:marLeft w:val="0"/>
      <w:marRight w:val="0"/>
      <w:marTop w:val="0"/>
      <w:marBottom w:val="0"/>
      <w:divBdr>
        <w:top w:val="none" w:sz="0" w:space="0" w:color="auto"/>
        <w:left w:val="none" w:sz="0" w:space="0" w:color="auto"/>
        <w:bottom w:val="none" w:sz="0" w:space="0" w:color="auto"/>
        <w:right w:val="none" w:sz="0" w:space="0" w:color="auto"/>
      </w:divBdr>
    </w:div>
    <w:div w:id="77750255">
      <w:bodyDiv w:val="1"/>
      <w:marLeft w:val="0"/>
      <w:marRight w:val="0"/>
      <w:marTop w:val="0"/>
      <w:marBottom w:val="0"/>
      <w:divBdr>
        <w:top w:val="none" w:sz="0" w:space="0" w:color="auto"/>
        <w:left w:val="none" w:sz="0" w:space="0" w:color="auto"/>
        <w:bottom w:val="none" w:sz="0" w:space="0" w:color="auto"/>
        <w:right w:val="none" w:sz="0" w:space="0" w:color="auto"/>
      </w:divBdr>
    </w:div>
    <w:div w:id="82650149">
      <w:bodyDiv w:val="1"/>
      <w:marLeft w:val="0"/>
      <w:marRight w:val="0"/>
      <w:marTop w:val="0"/>
      <w:marBottom w:val="0"/>
      <w:divBdr>
        <w:top w:val="none" w:sz="0" w:space="0" w:color="auto"/>
        <w:left w:val="none" w:sz="0" w:space="0" w:color="auto"/>
        <w:bottom w:val="none" w:sz="0" w:space="0" w:color="auto"/>
        <w:right w:val="none" w:sz="0" w:space="0" w:color="auto"/>
      </w:divBdr>
    </w:div>
    <w:div w:id="90247309">
      <w:bodyDiv w:val="1"/>
      <w:marLeft w:val="0"/>
      <w:marRight w:val="0"/>
      <w:marTop w:val="0"/>
      <w:marBottom w:val="0"/>
      <w:divBdr>
        <w:top w:val="none" w:sz="0" w:space="0" w:color="auto"/>
        <w:left w:val="none" w:sz="0" w:space="0" w:color="auto"/>
        <w:bottom w:val="none" w:sz="0" w:space="0" w:color="auto"/>
        <w:right w:val="none" w:sz="0" w:space="0" w:color="auto"/>
      </w:divBdr>
    </w:div>
    <w:div w:id="92170147">
      <w:bodyDiv w:val="1"/>
      <w:marLeft w:val="0"/>
      <w:marRight w:val="0"/>
      <w:marTop w:val="0"/>
      <w:marBottom w:val="0"/>
      <w:divBdr>
        <w:top w:val="none" w:sz="0" w:space="0" w:color="auto"/>
        <w:left w:val="none" w:sz="0" w:space="0" w:color="auto"/>
        <w:bottom w:val="none" w:sz="0" w:space="0" w:color="auto"/>
        <w:right w:val="none" w:sz="0" w:space="0" w:color="auto"/>
      </w:divBdr>
    </w:div>
    <w:div w:id="100614680">
      <w:bodyDiv w:val="1"/>
      <w:marLeft w:val="0"/>
      <w:marRight w:val="0"/>
      <w:marTop w:val="0"/>
      <w:marBottom w:val="0"/>
      <w:divBdr>
        <w:top w:val="none" w:sz="0" w:space="0" w:color="auto"/>
        <w:left w:val="none" w:sz="0" w:space="0" w:color="auto"/>
        <w:bottom w:val="none" w:sz="0" w:space="0" w:color="auto"/>
        <w:right w:val="none" w:sz="0" w:space="0" w:color="auto"/>
      </w:divBdr>
    </w:div>
    <w:div w:id="102504638">
      <w:bodyDiv w:val="1"/>
      <w:marLeft w:val="0"/>
      <w:marRight w:val="0"/>
      <w:marTop w:val="0"/>
      <w:marBottom w:val="0"/>
      <w:divBdr>
        <w:top w:val="none" w:sz="0" w:space="0" w:color="auto"/>
        <w:left w:val="none" w:sz="0" w:space="0" w:color="auto"/>
        <w:bottom w:val="none" w:sz="0" w:space="0" w:color="auto"/>
        <w:right w:val="none" w:sz="0" w:space="0" w:color="auto"/>
      </w:divBdr>
    </w:div>
    <w:div w:id="114759282">
      <w:bodyDiv w:val="1"/>
      <w:marLeft w:val="0"/>
      <w:marRight w:val="0"/>
      <w:marTop w:val="0"/>
      <w:marBottom w:val="0"/>
      <w:divBdr>
        <w:top w:val="none" w:sz="0" w:space="0" w:color="auto"/>
        <w:left w:val="none" w:sz="0" w:space="0" w:color="auto"/>
        <w:bottom w:val="none" w:sz="0" w:space="0" w:color="auto"/>
        <w:right w:val="none" w:sz="0" w:space="0" w:color="auto"/>
      </w:divBdr>
    </w:div>
    <w:div w:id="116069947">
      <w:bodyDiv w:val="1"/>
      <w:marLeft w:val="0"/>
      <w:marRight w:val="0"/>
      <w:marTop w:val="0"/>
      <w:marBottom w:val="0"/>
      <w:divBdr>
        <w:top w:val="none" w:sz="0" w:space="0" w:color="auto"/>
        <w:left w:val="none" w:sz="0" w:space="0" w:color="auto"/>
        <w:bottom w:val="none" w:sz="0" w:space="0" w:color="auto"/>
        <w:right w:val="none" w:sz="0" w:space="0" w:color="auto"/>
      </w:divBdr>
    </w:div>
    <w:div w:id="118031851">
      <w:bodyDiv w:val="1"/>
      <w:marLeft w:val="0"/>
      <w:marRight w:val="0"/>
      <w:marTop w:val="0"/>
      <w:marBottom w:val="0"/>
      <w:divBdr>
        <w:top w:val="none" w:sz="0" w:space="0" w:color="auto"/>
        <w:left w:val="none" w:sz="0" w:space="0" w:color="auto"/>
        <w:bottom w:val="none" w:sz="0" w:space="0" w:color="auto"/>
        <w:right w:val="none" w:sz="0" w:space="0" w:color="auto"/>
      </w:divBdr>
    </w:div>
    <w:div w:id="118644857">
      <w:bodyDiv w:val="1"/>
      <w:marLeft w:val="0"/>
      <w:marRight w:val="0"/>
      <w:marTop w:val="0"/>
      <w:marBottom w:val="0"/>
      <w:divBdr>
        <w:top w:val="none" w:sz="0" w:space="0" w:color="auto"/>
        <w:left w:val="none" w:sz="0" w:space="0" w:color="auto"/>
        <w:bottom w:val="none" w:sz="0" w:space="0" w:color="auto"/>
        <w:right w:val="none" w:sz="0" w:space="0" w:color="auto"/>
      </w:divBdr>
    </w:div>
    <w:div w:id="129447621">
      <w:bodyDiv w:val="1"/>
      <w:marLeft w:val="0"/>
      <w:marRight w:val="0"/>
      <w:marTop w:val="0"/>
      <w:marBottom w:val="0"/>
      <w:divBdr>
        <w:top w:val="none" w:sz="0" w:space="0" w:color="auto"/>
        <w:left w:val="none" w:sz="0" w:space="0" w:color="auto"/>
        <w:bottom w:val="none" w:sz="0" w:space="0" w:color="auto"/>
        <w:right w:val="none" w:sz="0" w:space="0" w:color="auto"/>
      </w:divBdr>
    </w:div>
    <w:div w:id="140467963">
      <w:bodyDiv w:val="1"/>
      <w:marLeft w:val="0"/>
      <w:marRight w:val="0"/>
      <w:marTop w:val="0"/>
      <w:marBottom w:val="0"/>
      <w:divBdr>
        <w:top w:val="none" w:sz="0" w:space="0" w:color="auto"/>
        <w:left w:val="none" w:sz="0" w:space="0" w:color="auto"/>
        <w:bottom w:val="none" w:sz="0" w:space="0" w:color="auto"/>
        <w:right w:val="none" w:sz="0" w:space="0" w:color="auto"/>
      </w:divBdr>
    </w:div>
    <w:div w:id="141849737">
      <w:bodyDiv w:val="1"/>
      <w:marLeft w:val="0"/>
      <w:marRight w:val="0"/>
      <w:marTop w:val="0"/>
      <w:marBottom w:val="0"/>
      <w:divBdr>
        <w:top w:val="none" w:sz="0" w:space="0" w:color="auto"/>
        <w:left w:val="none" w:sz="0" w:space="0" w:color="auto"/>
        <w:bottom w:val="none" w:sz="0" w:space="0" w:color="auto"/>
        <w:right w:val="none" w:sz="0" w:space="0" w:color="auto"/>
      </w:divBdr>
    </w:div>
    <w:div w:id="145898800">
      <w:bodyDiv w:val="1"/>
      <w:marLeft w:val="0"/>
      <w:marRight w:val="0"/>
      <w:marTop w:val="0"/>
      <w:marBottom w:val="0"/>
      <w:divBdr>
        <w:top w:val="none" w:sz="0" w:space="0" w:color="auto"/>
        <w:left w:val="none" w:sz="0" w:space="0" w:color="auto"/>
        <w:bottom w:val="none" w:sz="0" w:space="0" w:color="auto"/>
        <w:right w:val="none" w:sz="0" w:space="0" w:color="auto"/>
      </w:divBdr>
    </w:div>
    <w:div w:id="155726035">
      <w:bodyDiv w:val="1"/>
      <w:marLeft w:val="0"/>
      <w:marRight w:val="0"/>
      <w:marTop w:val="0"/>
      <w:marBottom w:val="0"/>
      <w:divBdr>
        <w:top w:val="none" w:sz="0" w:space="0" w:color="auto"/>
        <w:left w:val="none" w:sz="0" w:space="0" w:color="auto"/>
        <w:bottom w:val="none" w:sz="0" w:space="0" w:color="auto"/>
        <w:right w:val="none" w:sz="0" w:space="0" w:color="auto"/>
      </w:divBdr>
    </w:div>
    <w:div w:id="156729078">
      <w:bodyDiv w:val="1"/>
      <w:marLeft w:val="0"/>
      <w:marRight w:val="0"/>
      <w:marTop w:val="0"/>
      <w:marBottom w:val="0"/>
      <w:divBdr>
        <w:top w:val="none" w:sz="0" w:space="0" w:color="auto"/>
        <w:left w:val="none" w:sz="0" w:space="0" w:color="auto"/>
        <w:bottom w:val="none" w:sz="0" w:space="0" w:color="auto"/>
        <w:right w:val="none" w:sz="0" w:space="0" w:color="auto"/>
      </w:divBdr>
    </w:div>
    <w:div w:id="156775935">
      <w:bodyDiv w:val="1"/>
      <w:marLeft w:val="0"/>
      <w:marRight w:val="0"/>
      <w:marTop w:val="0"/>
      <w:marBottom w:val="0"/>
      <w:divBdr>
        <w:top w:val="none" w:sz="0" w:space="0" w:color="auto"/>
        <w:left w:val="none" w:sz="0" w:space="0" w:color="auto"/>
        <w:bottom w:val="none" w:sz="0" w:space="0" w:color="auto"/>
        <w:right w:val="none" w:sz="0" w:space="0" w:color="auto"/>
      </w:divBdr>
    </w:div>
    <w:div w:id="157573721">
      <w:bodyDiv w:val="1"/>
      <w:marLeft w:val="0"/>
      <w:marRight w:val="0"/>
      <w:marTop w:val="0"/>
      <w:marBottom w:val="0"/>
      <w:divBdr>
        <w:top w:val="none" w:sz="0" w:space="0" w:color="auto"/>
        <w:left w:val="none" w:sz="0" w:space="0" w:color="auto"/>
        <w:bottom w:val="none" w:sz="0" w:space="0" w:color="auto"/>
        <w:right w:val="none" w:sz="0" w:space="0" w:color="auto"/>
      </w:divBdr>
    </w:div>
    <w:div w:id="166598049">
      <w:bodyDiv w:val="1"/>
      <w:marLeft w:val="0"/>
      <w:marRight w:val="0"/>
      <w:marTop w:val="0"/>
      <w:marBottom w:val="0"/>
      <w:divBdr>
        <w:top w:val="none" w:sz="0" w:space="0" w:color="auto"/>
        <w:left w:val="none" w:sz="0" w:space="0" w:color="auto"/>
        <w:bottom w:val="none" w:sz="0" w:space="0" w:color="auto"/>
        <w:right w:val="none" w:sz="0" w:space="0" w:color="auto"/>
      </w:divBdr>
    </w:div>
    <w:div w:id="168378175">
      <w:bodyDiv w:val="1"/>
      <w:marLeft w:val="0"/>
      <w:marRight w:val="0"/>
      <w:marTop w:val="0"/>
      <w:marBottom w:val="0"/>
      <w:divBdr>
        <w:top w:val="none" w:sz="0" w:space="0" w:color="auto"/>
        <w:left w:val="none" w:sz="0" w:space="0" w:color="auto"/>
        <w:bottom w:val="none" w:sz="0" w:space="0" w:color="auto"/>
        <w:right w:val="none" w:sz="0" w:space="0" w:color="auto"/>
      </w:divBdr>
    </w:div>
    <w:div w:id="171189207">
      <w:bodyDiv w:val="1"/>
      <w:marLeft w:val="0"/>
      <w:marRight w:val="0"/>
      <w:marTop w:val="0"/>
      <w:marBottom w:val="0"/>
      <w:divBdr>
        <w:top w:val="none" w:sz="0" w:space="0" w:color="auto"/>
        <w:left w:val="none" w:sz="0" w:space="0" w:color="auto"/>
        <w:bottom w:val="none" w:sz="0" w:space="0" w:color="auto"/>
        <w:right w:val="none" w:sz="0" w:space="0" w:color="auto"/>
      </w:divBdr>
    </w:div>
    <w:div w:id="179970214">
      <w:bodyDiv w:val="1"/>
      <w:marLeft w:val="0"/>
      <w:marRight w:val="0"/>
      <w:marTop w:val="0"/>
      <w:marBottom w:val="0"/>
      <w:divBdr>
        <w:top w:val="none" w:sz="0" w:space="0" w:color="auto"/>
        <w:left w:val="none" w:sz="0" w:space="0" w:color="auto"/>
        <w:bottom w:val="none" w:sz="0" w:space="0" w:color="auto"/>
        <w:right w:val="none" w:sz="0" w:space="0" w:color="auto"/>
      </w:divBdr>
    </w:div>
    <w:div w:id="184363997">
      <w:bodyDiv w:val="1"/>
      <w:marLeft w:val="0"/>
      <w:marRight w:val="0"/>
      <w:marTop w:val="0"/>
      <w:marBottom w:val="0"/>
      <w:divBdr>
        <w:top w:val="none" w:sz="0" w:space="0" w:color="auto"/>
        <w:left w:val="none" w:sz="0" w:space="0" w:color="auto"/>
        <w:bottom w:val="none" w:sz="0" w:space="0" w:color="auto"/>
        <w:right w:val="none" w:sz="0" w:space="0" w:color="auto"/>
      </w:divBdr>
    </w:div>
    <w:div w:id="190536669">
      <w:bodyDiv w:val="1"/>
      <w:marLeft w:val="0"/>
      <w:marRight w:val="0"/>
      <w:marTop w:val="0"/>
      <w:marBottom w:val="0"/>
      <w:divBdr>
        <w:top w:val="none" w:sz="0" w:space="0" w:color="auto"/>
        <w:left w:val="none" w:sz="0" w:space="0" w:color="auto"/>
        <w:bottom w:val="none" w:sz="0" w:space="0" w:color="auto"/>
        <w:right w:val="none" w:sz="0" w:space="0" w:color="auto"/>
      </w:divBdr>
    </w:div>
    <w:div w:id="191504872">
      <w:bodyDiv w:val="1"/>
      <w:marLeft w:val="0"/>
      <w:marRight w:val="0"/>
      <w:marTop w:val="0"/>
      <w:marBottom w:val="0"/>
      <w:divBdr>
        <w:top w:val="none" w:sz="0" w:space="0" w:color="auto"/>
        <w:left w:val="none" w:sz="0" w:space="0" w:color="auto"/>
        <w:bottom w:val="none" w:sz="0" w:space="0" w:color="auto"/>
        <w:right w:val="none" w:sz="0" w:space="0" w:color="auto"/>
      </w:divBdr>
    </w:div>
    <w:div w:id="200752980">
      <w:bodyDiv w:val="1"/>
      <w:marLeft w:val="0"/>
      <w:marRight w:val="0"/>
      <w:marTop w:val="0"/>
      <w:marBottom w:val="0"/>
      <w:divBdr>
        <w:top w:val="none" w:sz="0" w:space="0" w:color="auto"/>
        <w:left w:val="none" w:sz="0" w:space="0" w:color="auto"/>
        <w:bottom w:val="none" w:sz="0" w:space="0" w:color="auto"/>
        <w:right w:val="none" w:sz="0" w:space="0" w:color="auto"/>
      </w:divBdr>
    </w:div>
    <w:div w:id="209340973">
      <w:bodyDiv w:val="1"/>
      <w:marLeft w:val="0"/>
      <w:marRight w:val="0"/>
      <w:marTop w:val="0"/>
      <w:marBottom w:val="0"/>
      <w:divBdr>
        <w:top w:val="none" w:sz="0" w:space="0" w:color="auto"/>
        <w:left w:val="none" w:sz="0" w:space="0" w:color="auto"/>
        <w:bottom w:val="none" w:sz="0" w:space="0" w:color="auto"/>
        <w:right w:val="none" w:sz="0" w:space="0" w:color="auto"/>
      </w:divBdr>
    </w:div>
    <w:div w:id="210191876">
      <w:bodyDiv w:val="1"/>
      <w:marLeft w:val="0"/>
      <w:marRight w:val="0"/>
      <w:marTop w:val="0"/>
      <w:marBottom w:val="0"/>
      <w:divBdr>
        <w:top w:val="none" w:sz="0" w:space="0" w:color="auto"/>
        <w:left w:val="none" w:sz="0" w:space="0" w:color="auto"/>
        <w:bottom w:val="none" w:sz="0" w:space="0" w:color="auto"/>
        <w:right w:val="none" w:sz="0" w:space="0" w:color="auto"/>
      </w:divBdr>
    </w:div>
    <w:div w:id="217475205">
      <w:bodyDiv w:val="1"/>
      <w:marLeft w:val="0"/>
      <w:marRight w:val="0"/>
      <w:marTop w:val="0"/>
      <w:marBottom w:val="0"/>
      <w:divBdr>
        <w:top w:val="none" w:sz="0" w:space="0" w:color="auto"/>
        <w:left w:val="none" w:sz="0" w:space="0" w:color="auto"/>
        <w:bottom w:val="none" w:sz="0" w:space="0" w:color="auto"/>
        <w:right w:val="none" w:sz="0" w:space="0" w:color="auto"/>
      </w:divBdr>
    </w:div>
    <w:div w:id="226958912">
      <w:bodyDiv w:val="1"/>
      <w:marLeft w:val="0"/>
      <w:marRight w:val="0"/>
      <w:marTop w:val="0"/>
      <w:marBottom w:val="0"/>
      <w:divBdr>
        <w:top w:val="none" w:sz="0" w:space="0" w:color="auto"/>
        <w:left w:val="none" w:sz="0" w:space="0" w:color="auto"/>
        <w:bottom w:val="none" w:sz="0" w:space="0" w:color="auto"/>
        <w:right w:val="none" w:sz="0" w:space="0" w:color="auto"/>
      </w:divBdr>
    </w:div>
    <w:div w:id="235553425">
      <w:bodyDiv w:val="1"/>
      <w:marLeft w:val="0"/>
      <w:marRight w:val="0"/>
      <w:marTop w:val="0"/>
      <w:marBottom w:val="0"/>
      <w:divBdr>
        <w:top w:val="none" w:sz="0" w:space="0" w:color="auto"/>
        <w:left w:val="none" w:sz="0" w:space="0" w:color="auto"/>
        <w:bottom w:val="none" w:sz="0" w:space="0" w:color="auto"/>
        <w:right w:val="none" w:sz="0" w:space="0" w:color="auto"/>
      </w:divBdr>
    </w:div>
    <w:div w:id="235630930">
      <w:bodyDiv w:val="1"/>
      <w:marLeft w:val="0"/>
      <w:marRight w:val="0"/>
      <w:marTop w:val="0"/>
      <w:marBottom w:val="0"/>
      <w:divBdr>
        <w:top w:val="none" w:sz="0" w:space="0" w:color="auto"/>
        <w:left w:val="none" w:sz="0" w:space="0" w:color="auto"/>
        <w:bottom w:val="none" w:sz="0" w:space="0" w:color="auto"/>
        <w:right w:val="none" w:sz="0" w:space="0" w:color="auto"/>
      </w:divBdr>
    </w:div>
    <w:div w:id="241917676">
      <w:bodyDiv w:val="1"/>
      <w:marLeft w:val="0"/>
      <w:marRight w:val="0"/>
      <w:marTop w:val="0"/>
      <w:marBottom w:val="0"/>
      <w:divBdr>
        <w:top w:val="none" w:sz="0" w:space="0" w:color="auto"/>
        <w:left w:val="none" w:sz="0" w:space="0" w:color="auto"/>
        <w:bottom w:val="none" w:sz="0" w:space="0" w:color="auto"/>
        <w:right w:val="none" w:sz="0" w:space="0" w:color="auto"/>
      </w:divBdr>
    </w:div>
    <w:div w:id="242761815">
      <w:bodyDiv w:val="1"/>
      <w:marLeft w:val="0"/>
      <w:marRight w:val="0"/>
      <w:marTop w:val="0"/>
      <w:marBottom w:val="0"/>
      <w:divBdr>
        <w:top w:val="none" w:sz="0" w:space="0" w:color="auto"/>
        <w:left w:val="none" w:sz="0" w:space="0" w:color="auto"/>
        <w:bottom w:val="none" w:sz="0" w:space="0" w:color="auto"/>
        <w:right w:val="none" w:sz="0" w:space="0" w:color="auto"/>
      </w:divBdr>
    </w:div>
    <w:div w:id="247352396">
      <w:bodyDiv w:val="1"/>
      <w:marLeft w:val="0"/>
      <w:marRight w:val="0"/>
      <w:marTop w:val="0"/>
      <w:marBottom w:val="0"/>
      <w:divBdr>
        <w:top w:val="none" w:sz="0" w:space="0" w:color="auto"/>
        <w:left w:val="none" w:sz="0" w:space="0" w:color="auto"/>
        <w:bottom w:val="none" w:sz="0" w:space="0" w:color="auto"/>
        <w:right w:val="none" w:sz="0" w:space="0" w:color="auto"/>
      </w:divBdr>
    </w:div>
    <w:div w:id="253127541">
      <w:bodyDiv w:val="1"/>
      <w:marLeft w:val="0"/>
      <w:marRight w:val="0"/>
      <w:marTop w:val="0"/>
      <w:marBottom w:val="0"/>
      <w:divBdr>
        <w:top w:val="none" w:sz="0" w:space="0" w:color="auto"/>
        <w:left w:val="none" w:sz="0" w:space="0" w:color="auto"/>
        <w:bottom w:val="none" w:sz="0" w:space="0" w:color="auto"/>
        <w:right w:val="none" w:sz="0" w:space="0" w:color="auto"/>
      </w:divBdr>
    </w:div>
    <w:div w:id="257375018">
      <w:bodyDiv w:val="1"/>
      <w:marLeft w:val="0"/>
      <w:marRight w:val="0"/>
      <w:marTop w:val="0"/>
      <w:marBottom w:val="0"/>
      <w:divBdr>
        <w:top w:val="none" w:sz="0" w:space="0" w:color="auto"/>
        <w:left w:val="none" w:sz="0" w:space="0" w:color="auto"/>
        <w:bottom w:val="none" w:sz="0" w:space="0" w:color="auto"/>
        <w:right w:val="none" w:sz="0" w:space="0" w:color="auto"/>
      </w:divBdr>
    </w:div>
    <w:div w:id="260263118">
      <w:bodyDiv w:val="1"/>
      <w:marLeft w:val="0"/>
      <w:marRight w:val="0"/>
      <w:marTop w:val="0"/>
      <w:marBottom w:val="0"/>
      <w:divBdr>
        <w:top w:val="none" w:sz="0" w:space="0" w:color="auto"/>
        <w:left w:val="none" w:sz="0" w:space="0" w:color="auto"/>
        <w:bottom w:val="none" w:sz="0" w:space="0" w:color="auto"/>
        <w:right w:val="none" w:sz="0" w:space="0" w:color="auto"/>
      </w:divBdr>
    </w:div>
    <w:div w:id="262499184">
      <w:bodyDiv w:val="1"/>
      <w:marLeft w:val="0"/>
      <w:marRight w:val="0"/>
      <w:marTop w:val="0"/>
      <w:marBottom w:val="0"/>
      <w:divBdr>
        <w:top w:val="none" w:sz="0" w:space="0" w:color="auto"/>
        <w:left w:val="none" w:sz="0" w:space="0" w:color="auto"/>
        <w:bottom w:val="none" w:sz="0" w:space="0" w:color="auto"/>
        <w:right w:val="none" w:sz="0" w:space="0" w:color="auto"/>
      </w:divBdr>
    </w:div>
    <w:div w:id="266086318">
      <w:bodyDiv w:val="1"/>
      <w:marLeft w:val="0"/>
      <w:marRight w:val="0"/>
      <w:marTop w:val="0"/>
      <w:marBottom w:val="0"/>
      <w:divBdr>
        <w:top w:val="none" w:sz="0" w:space="0" w:color="auto"/>
        <w:left w:val="none" w:sz="0" w:space="0" w:color="auto"/>
        <w:bottom w:val="none" w:sz="0" w:space="0" w:color="auto"/>
        <w:right w:val="none" w:sz="0" w:space="0" w:color="auto"/>
      </w:divBdr>
    </w:div>
    <w:div w:id="273445766">
      <w:bodyDiv w:val="1"/>
      <w:marLeft w:val="0"/>
      <w:marRight w:val="0"/>
      <w:marTop w:val="0"/>
      <w:marBottom w:val="0"/>
      <w:divBdr>
        <w:top w:val="none" w:sz="0" w:space="0" w:color="auto"/>
        <w:left w:val="none" w:sz="0" w:space="0" w:color="auto"/>
        <w:bottom w:val="none" w:sz="0" w:space="0" w:color="auto"/>
        <w:right w:val="none" w:sz="0" w:space="0" w:color="auto"/>
      </w:divBdr>
    </w:div>
    <w:div w:id="275523220">
      <w:bodyDiv w:val="1"/>
      <w:marLeft w:val="0"/>
      <w:marRight w:val="0"/>
      <w:marTop w:val="0"/>
      <w:marBottom w:val="0"/>
      <w:divBdr>
        <w:top w:val="none" w:sz="0" w:space="0" w:color="auto"/>
        <w:left w:val="none" w:sz="0" w:space="0" w:color="auto"/>
        <w:bottom w:val="none" w:sz="0" w:space="0" w:color="auto"/>
        <w:right w:val="none" w:sz="0" w:space="0" w:color="auto"/>
      </w:divBdr>
    </w:div>
    <w:div w:id="277876316">
      <w:bodyDiv w:val="1"/>
      <w:marLeft w:val="0"/>
      <w:marRight w:val="0"/>
      <w:marTop w:val="0"/>
      <w:marBottom w:val="0"/>
      <w:divBdr>
        <w:top w:val="none" w:sz="0" w:space="0" w:color="auto"/>
        <w:left w:val="none" w:sz="0" w:space="0" w:color="auto"/>
        <w:bottom w:val="none" w:sz="0" w:space="0" w:color="auto"/>
        <w:right w:val="none" w:sz="0" w:space="0" w:color="auto"/>
      </w:divBdr>
    </w:div>
    <w:div w:id="279999824">
      <w:bodyDiv w:val="1"/>
      <w:marLeft w:val="0"/>
      <w:marRight w:val="0"/>
      <w:marTop w:val="0"/>
      <w:marBottom w:val="0"/>
      <w:divBdr>
        <w:top w:val="none" w:sz="0" w:space="0" w:color="auto"/>
        <w:left w:val="none" w:sz="0" w:space="0" w:color="auto"/>
        <w:bottom w:val="none" w:sz="0" w:space="0" w:color="auto"/>
        <w:right w:val="none" w:sz="0" w:space="0" w:color="auto"/>
      </w:divBdr>
    </w:div>
    <w:div w:id="280887584">
      <w:bodyDiv w:val="1"/>
      <w:marLeft w:val="0"/>
      <w:marRight w:val="0"/>
      <w:marTop w:val="0"/>
      <w:marBottom w:val="0"/>
      <w:divBdr>
        <w:top w:val="none" w:sz="0" w:space="0" w:color="auto"/>
        <w:left w:val="none" w:sz="0" w:space="0" w:color="auto"/>
        <w:bottom w:val="none" w:sz="0" w:space="0" w:color="auto"/>
        <w:right w:val="none" w:sz="0" w:space="0" w:color="auto"/>
      </w:divBdr>
    </w:div>
    <w:div w:id="281544199">
      <w:bodyDiv w:val="1"/>
      <w:marLeft w:val="0"/>
      <w:marRight w:val="0"/>
      <w:marTop w:val="0"/>
      <w:marBottom w:val="0"/>
      <w:divBdr>
        <w:top w:val="none" w:sz="0" w:space="0" w:color="auto"/>
        <w:left w:val="none" w:sz="0" w:space="0" w:color="auto"/>
        <w:bottom w:val="none" w:sz="0" w:space="0" w:color="auto"/>
        <w:right w:val="none" w:sz="0" w:space="0" w:color="auto"/>
      </w:divBdr>
    </w:div>
    <w:div w:id="288438631">
      <w:bodyDiv w:val="1"/>
      <w:marLeft w:val="0"/>
      <w:marRight w:val="0"/>
      <w:marTop w:val="0"/>
      <w:marBottom w:val="0"/>
      <w:divBdr>
        <w:top w:val="none" w:sz="0" w:space="0" w:color="auto"/>
        <w:left w:val="none" w:sz="0" w:space="0" w:color="auto"/>
        <w:bottom w:val="none" w:sz="0" w:space="0" w:color="auto"/>
        <w:right w:val="none" w:sz="0" w:space="0" w:color="auto"/>
      </w:divBdr>
    </w:div>
    <w:div w:id="297758674">
      <w:bodyDiv w:val="1"/>
      <w:marLeft w:val="0"/>
      <w:marRight w:val="0"/>
      <w:marTop w:val="0"/>
      <w:marBottom w:val="0"/>
      <w:divBdr>
        <w:top w:val="none" w:sz="0" w:space="0" w:color="auto"/>
        <w:left w:val="none" w:sz="0" w:space="0" w:color="auto"/>
        <w:bottom w:val="none" w:sz="0" w:space="0" w:color="auto"/>
        <w:right w:val="none" w:sz="0" w:space="0" w:color="auto"/>
      </w:divBdr>
    </w:div>
    <w:div w:id="309674003">
      <w:bodyDiv w:val="1"/>
      <w:marLeft w:val="0"/>
      <w:marRight w:val="0"/>
      <w:marTop w:val="0"/>
      <w:marBottom w:val="0"/>
      <w:divBdr>
        <w:top w:val="none" w:sz="0" w:space="0" w:color="auto"/>
        <w:left w:val="none" w:sz="0" w:space="0" w:color="auto"/>
        <w:bottom w:val="none" w:sz="0" w:space="0" w:color="auto"/>
        <w:right w:val="none" w:sz="0" w:space="0" w:color="auto"/>
      </w:divBdr>
    </w:div>
    <w:div w:id="311636527">
      <w:bodyDiv w:val="1"/>
      <w:marLeft w:val="0"/>
      <w:marRight w:val="0"/>
      <w:marTop w:val="0"/>
      <w:marBottom w:val="0"/>
      <w:divBdr>
        <w:top w:val="none" w:sz="0" w:space="0" w:color="auto"/>
        <w:left w:val="none" w:sz="0" w:space="0" w:color="auto"/>
        <w:bottom w:val="none" w:sz="0" w:space="0" w:color="auto"/>
        <w:right w:val="none" w:sz="0" w:space="0" w:color="auto"/>
      </w:divBdr>
    </w:div>
    <w:div w:id="312031226">
      <w:bodyDiv w:val="1"/>
      <w:marLeft w:val="0"/>
      <w:marRight w:val="0"/>
      <w:marTop w:val="0"/>
      <w:marBottom w:val="0"/>
      <w:divBdr>
        <w:top w:val="none" w:sz="0" w:space="0" w:color="auto"/>
        <w:left w:val="none" w:sz="0" w:space="0" w:color="auto"/>
        <w:bottom w:val="none" w:sz="0" w:space="0" w:color="auto"/>
        <w:right w:val="none" w:sz="0" w:space="0" w:color="auto"/>
      </w:divBdr>
    </w:div>
    <w:div w:id="326831225">
      <w:bodyDiv w:val="1"/>
      <w:marLeft w:val="0"/>
      <w:marRight w:val="0"/>
      <w:marTop w:val="0"/>
      <w:marBottom w:val="0"/>
      <w:divBdr>
        <w:top w:val="none" w:sz="0" w:space="0" w:color="auto"/>
        <w:left w:val="none" w:sz="0" w:space="0" w:color="auto"/>
        <w:bottom w:val="none" w:sz="0" w:space="0" w:color="auto"/>
        <w:right w:val="none" w:sz="0" w:space="0" w:color="auto"/>
      </w:divBdr>
    </w:div>
    <w:div w:id="327484896">
      <w:bodyDiv w:val="1"/>
      <w:marLeft w:val="0"/>
      <w:marRight w:val="0"/>
      <w:marTop w:val="0"/>
      <w:marBottom w:val="0"/>
      <w:divBdr>
        <w:top w:val="none" w:sz="0" w:space="0" w:color="auto"/>
        <w:left w:val="none" w:sz="0" w:space="0" w:color="auto"/>
        <w:bottom w:val="none" w:sz="0" w:space="0" w:color="auto"/>
        <w:right w:val="none" w:sz="0" w:space="0" w:color="auto"/>
      </w:divBdr>
    </w:div>
    <w:div w:id="356810716">
      <w:bodyDiv w:val="1"/>
      <w:marLeft w:val="0"/>
      <w:marRight w:val="0"/>
      <w:marTop w:val="0"/>
      <w:marBottom w:val="0"/>
      <w:divBdr>
        <w:top w:val="none" w:sz="0" w:space="0" w:color="auto"/>
        <w:left w:val="none" w:sz="0" w:space="0" w:color="auto"/>
        <w:bottom w:val="none" w:sz="0" w:space="0" w:color="auto"/>
        <w:right w:val="none" w:sz="0" w:space="0" w:color="auto"/>
      </w:divBdr>
      <w:divsChild>
        <w:div w:id="444925452">
          <w:marLeft w:val="0"/>
          <w:marRight w:val="0"/>
          <w:marTop w:val="138"/>
          <w:marBottom w:val="0"/>
          <w:divBdr>
            <w:top w:val="none" w:sz="0" w:space="0" w:color="auto"/>
            <w:left w:val="none" w:sz="0" w:space="0" w:color="auto"/>
            <w:bottom w:val="none" w:sz="0" w:space="0" w:color="auto"/>
            <w:right w:val="none" w:sz="0" w:space="0" w:color="auto"/>
          </w:divBdr>
          <w:divsChild>
            <w:div w:id="423234084">
              <w:marLeft w:val="0"/>
              <w:marRight w:val="0"/>
              <w:marTop w:val="138"/>
              <w:marBottom w:val="0"/>
              <w:divBdr>
                <w:top w:val="none" w:sz="0" w:space="0" w:color="auto"/>
                <w:left w:val="none" w:sz="0" w:space="0" w:color="auto"/>
                <w:bottom w:val="none" w:sz="0" w:space="0" w:color="auto"/>
                <w:right w:val="none" w:sz="0" w:space="0" w:color="auto"/>
              </w:divBdr>
            </w:div>
          </w:divsChild>
        </w:div>
      </w:divsChild>
    </w:div>
    <w:div w:id="359279821">
      <w:bodyDiv w:val="1"/>
      <w:marLeft w:val="0"/>
      <w:marRight w:val="0"/>
      <w:marTop w:val="0"/>
      <w:marBottom w:val="0"/>
      <w:divBdr>
        <w:top w:val="none" w:sz="0" w:space="0" w:color="auto"/>
        <w:left w:val="none" w:sz="0" w:space="0" w:color="auto"/>
        <w:bottom w:val="none" w:sz="0" w:space="0" w:color="auto"/>
        <w:right w:val="none" w:sz="0" w:space="0" w:color="auto"/>
      </w:divBdr>
    </w:div>
    <w:div w:id="363870248">
      <w:bodyDiv w:val="1"/>
      <w:marLeft w:val="0"/>
      <w:marRight w:val="0"/>
      <w:marTop w:val="0"/>
      <w:marBottom w:val="0"/>
      <w:divBdr>
        <w:top w:val="none" w:sz="0" w:space="0" w:color="auto"/>
        <w:left w:val="none" w:sz="0" w:space="0" w:color="auto"/>
        <w:bottom w:val="none" w:sz="0" w:space="0" w:color="auto"/>
        <w:right w:val="none" w:sz="0" w:space="0" w:color="auto"/>
      </w:divBdr>
    </w:div>
    <w:div w:id="365058758">
      <w:bodyDiv w:val="1"/>
      <w:marLeft w:val="0"/>
      <w:marRight w:val="0"/>
      <w:marTop w:val="0"/>
      <w:marBottom w:val="0"/>
      <w:divBdr>
        <w:top w:val="none" w:sz="0" w:space="0" w:color="auto"/>
        <w:left w:val="none" w:sz="0" w:space="0" w:color="auto"/>
        <w:bottom w:val="none" w:sz="0" w:space="0" w:color="auto"/>
        <w:right w:val="none" w:sz="0" w:space="0" w:color="auto"/>
      </w:divBdr>
    </w:div>
    <w:div w:id="366567615">
      <w:bodyDiv w:val="1"/>
      <w:marLeft w:val="0"/>
      <w:marRight w:val="0"/>
      <w:marTop w:val="0"/>
      <w:marBottom w:val="0"/>
      <w:divBdr>
        <w:top w:val="none" w:sz="0" w:space="0" w:color="auto"/>
        <w:left w:val="none" w:sz="0" w:space="0" w:color="auto"/>
        <w:bottom w:val="none" w:sz="0" w:space="0" w:color="auto"/>
        <w:right w:val="none" w:sz="0" w:space="0" w:color="auto"/>
      </w:divBdr>
    </w:div>
    <w:div w:id="367143036">
      <w:bodyDiv w:val="1"/>
      <w:marLeft w:val="0"/>
      <w:marRight w:val="0"/>
      <w:marTop w:val="0"/>
      <w:marBottom w:val="0"/>
      <w:divBdr>
        <w:top w:val="none" w:sz="0" w:space="0" w:color="auto"/>
        <w:left w:val="none" w:sz="0" w:space="0" w:color="auto"/>
        <w:bottom w:val="none" w:sz="0" w:space="0" w:color="auto"/>
        <w:right w:val="none" w:sz="0" w:space="0" w:color="auto"/>
      </w:divBdr>
    </w:div>
    <w:div w:id="384452823">
      <w:bodyDiv w:val="1"/>
      <w:marLeft w:val="0"/>
      <w:marRight w:val="0"/>
      <w:marTop w:val="0"/>
      <w:marBottom w:val="0"/>
      <w:divBdr>
        <w:top w:val="none" w:sz="0" w:space="0" w:color="auto"/>
        <w:left w:val="none" w:sz="0" w:space="0" w:color="auto"/>
        <w:bottom w:val="none" w:sz="0" w:space="0" w:color="auto"/>
        <w:right w:val="none" w:sz="0" w:space="0" w:color="auto"/>
      </w:divBdr>
    </w:div>
    <w:div w:id="385422655">
      <w:bodyDiv w:val="1"/>
      <w:marLeft w:val="0"/>
      <w:marRight w:val="0"/>
      <w:marTop w:val="0"/>
      <w:marBottom w:val="0"/>
      <w:divBdr>
        <w:top w:val="none" w:sz="0" w:space="0" w:color="auto"/>
        <w:left w:val="none" w:sz="0" w:space="0" w:color="auto"/>
        <w:bottom w:val="none" w:sz="0" w:space="0" w:color="auto"/>
        <w:right w:val="none" w:sz="0" w:space="0" w:color="auto"/>
      </w:divBdr>
    </w:div>
    <w:div w:id="395712215">
      <w:bodyDiv w:val="1"/>
      <w:marLeft w:val="0"/>
      <w:marRight w:val="0"/>
      <w:marTop w:val="0"/>
      <w:marBottom w:val="0"/>
      <w:divBdr>
        <w:top w:val="none" w:sz="0" w:space="0" w:color="auto"/>
        <w:left w:val="none" w:sz="0" w:space="0" w:color="auto"/>
        <w:bottom w:val="none" w:sz="0" w:space="0" w:color="auto"/>
        <w:right w:val="none" w:sz="0" w:space="0" w:color="auto"/>
      </w:divBdr>
    </w:div>
    <w:div w:id="401417451">
      <w:bodyDiv w:val="1"/>
      <w:marLeft w:val="0"/>
      <w:marRight w:val="0"/>
      <w:marTop w:val="0"/>
      <w:marBottom w:val="0"/>
      <w:divBdr>
        <w:top w:val="none" w:sz="0" w:space="0" w:color="auto"/>
        <w:left w:val="none" w:sz="0" w:space="0" w:color="auto"/>
        <w:bottom w:val="none" w:sz="0" w:space="0" w:color="auto"/>
        <w:right w:val="none" w:sz="0" w:space="0" w:color="auto"/>
      </w:divBdr>
    </w:div>
    <w:div w:id="401634800">
      <w:bodyDiv w:val="1"/>
      <w:marLeft w:val="0"/>
      <w:marRight w:val="0"/>
      <w:marTop w:val="0"/>
      <w:marBottom w:val="0"/>
      <w:divBdr>
        <w:top w:val="none" w:sz="0" w:space="0" w:color="auto"/>
        <w:left w:val="none" w:sz="0" w:space="0" w:color="auto"/>
        <w:bottom w:val="none" w:sz="0" w:space="0" w:color="auto"/>
        <w:right w:val="none" w:sz="0" w:space="0" w:color="auto"/>
      </w:divBdr>
    </w:div>
    <w:div w:id="402529871">
      <w:bodyDiv w:val="1"/>
      <w:marLeft w:val="0"/>
      <w:marRight w:val="0"/>
      <w:marTop w:val="0"/>
      <w:marBottom w:val="0"/>
      <w:divBdr>
        <w:top w:val="none" w:sz="0" w:space="0" w:color="auto"/>
        <w:left w:val="none" w:sz="0" w:space="0" w:color="auto"/>
        <w:bottom w:val="none" w:sz="0" w:space="0" w:color="auto"/>
        <w:right w:val="none" w:sz="0" w:space="0" w:color="auto"/>
      </w:divBdr>
    </w:div>
    <w:div w:id="407389165">
      <w:bodyDiv w:val="1"/>
      <w:marLeft w:val="0"/>
      <w:marRight w:val="0"/>
      <w:marTop w:val="0"/>
      <w:marBottom w:val="0"/>
      <w:divBdr>
        <w:top w:val="none" w:sz="0" w:space="0" w:color="auto"/>
        <w:left w:val="none" w:sz="0" w:space="0" w:color="auto"/>
        <w:bottom w:val="none" w:sz="0" w:space="0" w:color="auto"/>
        <w:right w:val="none" w:sz="0" w:space="0" w:color="auto"/>
      </w:divBdr>
    </w:div>
    <w:div w:id="413091180">
      <w:bodyDiv w:val="1"/>
      <w:marLeft w:val="0"/>
      <w:marRight w:val="0"/>
      <w:marTop w:val="0"/>
      <w:marBottom w:val="0"/>
      <w:divBdr>
        <w:top w:val="none" w:sz="0" w:space="0" w:color="auto"/>
        <w:left w:val="none" w:sz="0" w:space="0" w:color="auto"/>
        <w:bottom w:val="none" w:sz="0" w:space="0" w:color="auto"/>
        <w:right w:val="none" w:sz="0" w:space="0" w:color="auto"/>
      </w:divBdr>
    </w:div>
    <w:div w:id="422531507">
      <w:bodyDiv w:val="1"/>
      <w:marLeft w:val="0"/>
      <w:marRight w:val="0"/>
      <w:marTop w:val="0"/>
      <w:marBottom w:val="0"/>
      <w:divBdr>
        <w:top w:val="none" w:sz="0" w:space="0" w:color="auto"/>
        <w:left w:val="none" w:sz="0" w:space="0" w:color="auto"/>
        <w:bottom w:val="none" w:sz="0" w:space="0" w:color="auto"/>
        <w:right w:val="none" w:sz="0" w:space="0" w:color="auto"/>
      </w:divBdr>
    </w:div>
    <w:div w:id="423649414">
      <w:bodyDiv w:val="1"/>
      <w:marLeft w:val="0"/>
      <w:marRight w:val="0"/>
      <w:marTop w:val="0"/>
      <w:marBottom w:val="0"/>
      <w:divBdr>
        <w:top w:val="none" w:sz="0" w:space="0" w:color="auto"/>
        <w:left w:val="none" w:sz="0" w:space="0" w:color="auto"/>
        <w:bottom w:val="none" w:sz="0" w:space="0" w:color="auto"/>
        <w:right w:val="none" w:sz="0" w:space="0" w:color="auto"/>
      </w:divBdr>
    </w:div>
    <w:div w:id="424813148">
      <w:bodyDiv w:val="1"/>
      <w:marLeft w:val="0"/>
      <w:marRight w:val="0"/>
      <w:marTop w:val="0"/>
      <w:marBottom w:val="0"/>
      <w:divBdr>
        <w:top w:val="none" w:sz="0" w:space="0" w:color="auto"/>
        <w:left w:val="none" w:sz="0" w:space="0" w:color="auto"/>
        <w:bottom w:val="none" w:sz="0" w:space="0" w:color="auto"/>
        <w:right w:val="none" w:sz="0" w:space="0" w:color="auto"/>
      </w:divBdr>
    </w:div>
    <w:div w:id="426385376">
      <w:bodyDiv w:val="1"/>
      <w:marLeft w:val="0"/>
      <w:marRight w:val="0"/>
      <w:marTop w:val="0"/>
      <w:marBottom w:val="0"/>
      <w:divBdr>
        <w:top w:val="none" w:sz="0" w:space="0" w:color="auto"/>
        <w:left w:val="none" w:sz="0" w:space="0" w:color="auto"/>
        <w:bottom w:val="none" w:sz="0" w:space="0" w:color="auto"/>
        <w:right w:val="none" w:sz="0" w:space="0" w:color="auto"/>
      </w:divBdr>
    </w:div>
    <w:div w:id="426509833">
      <w:bodyDiv w:val="1"/>
      <w:marLeft w:val="0"/>
      <w:marRight w:val="0"/>
      <w:marTop w:val="0"/>
      <w:marBottom w:val="0"/>
      <w:divBdr>
        <w:top w:val="none" w:sz="0" w:space="0" w:color="auto"/>
        <w:left w:val="none" w:sz="0" w:space="0" w:color="auto"/>
        <w:bottom w:val="none" w:sz="0" w:space="0" w:color="auto"/>
        <w:right w:val="none" w:sz="0" w:space="0" w:color="auto"/>
      </w:divBdr>
    </w:div>
    <w:div w:id="428160405">
      <w:bodyDiv w:val="1"/>
      <w:marLeft w:val="0"/>
      <w:marRight w:val="0"/>
      <w:marTop w:val="0"/>
      <w:marBottom w:val="0"/>
      <w:divBdr>
        <w:top w:val="none" w:sz="0" w:space="0" w:color="auto"/>
        <w:left w:val="none" w:sz="0" w:space="0" w:color="auto"/>
        <w:bottom w:val="none" w:sz="0" w:space="0" w:color="auto"/>
        <w:right w:val="none" w:sz="0" w:space="0" w:color="auto"/>
      </w:divBdr>
    </w:div>
    <w:div w:id="428282341">
      <w:bodyDiv w:val="1"/>
      <w:marLeft w:val="0"/>
      <w:marRight w:val="0"/>
      <w:marTop w:val="0"/>
      <w:marBottom w:val="0"/>
      <w:divBdr>
        <w:top w:val="none" w:sz="0" w:space="0" w:color="auto"/>
        <w:left w:val="none" w:sz="0" w:space="0" w:color="auto"/>
        <w:bottom w:val="none" w:sz="0" w:space="0" w:color="auto"/>
        <w:right w:val="none" w:sz="0" w:space="0" w:color="auto"/>
      </w:divBdr>
    </w:div>
    <w:div w:id="443961386">
      <w:bodyDiv w:val="1"/>
      <w:marLeft w:val="0"/>
      <w:marRight w:val="0"/>
      <w:marTop w:val="0"/>
      <w:marBottom w:val="0"/>
      <w:divBdr>
        <w:top w:val="none" w:sz="0" w:space="0" w:color="auto"/>
        <w:left w:val="none" w:sz="0" w:space="0" w:color="auto"/>
        <w:bottom w:val="none" w:sz="0" w:space="0" w:color="auto"/>
        <w:right w:val="none" w:sz="0" w:space="0" w:color="auto"/>
      </w:divBdr>
    </w:div>
    <w:div w:id="446319364">
      <w:bodyDiv w:val="1"/>
      <w:marLeft w:val="0"/>
      <w:marRight w:val="0"/>
      <w:marTop w:val="0"/>
      <w:marBottom w:val="0"/>
      <w:divBdr>
        <w:top w:val="none" w:sz="0" w:space="0" w:color="auto"/>
        <w:left w:val="none" w:sz="0" w:space="0" w:color="auto"/>
        <w:bottom w:val="none" w:sz="0" w:space="0" w:color="auto"/>
        <w:right w:val="none" w:sz="0" w:space="0" w:color="auto"/>
      </w:divBdr>
    </w:div>
    <w:div w:id="454643372">
      <w:bodyDiv w:val="1"/>
      <w:marLeft w:val="0"/>
      <w:marRight w:val="0"/>
      <w:marTop w:val="0"/>
      <w:marBottom w:val="0"/>
      <w:divBdr>
        <w:top w:val="none" w:sz="0" w:space="0" w:color="auto"/>
        <w:left w:val="none" w:sz="0" w:space="0" w:color="auto"/>
        <w:bottom w:val="none" w:sz="0" w:space="0" w:color="auto"/>
        <w:right w:val="none" w:sz="0" w:space="0" w:color="auto"/>
      </w:divBdr>
    </w:div>
    <w:div w:id="470484787">
      <w:bodyDiv w:val="1"/>
      <w:marLeft w:val="0"/>
      <w:marRight w:val="0"/>
      <w:marTop w:val="0"/>
      <w:marBottom w:val="0"/>
      <w:divBdr>
        <w:top w:val="none" w:sz="0" w:space="0" w:color="auto"/>
        <w:left w:val="none" w:sz="0" w:space="0" w:color="auto"/>
        <w:bottom w:val="none" w:sz="0" w:space="0" w:color="auto"/>
        <w:right w:val="none" w:sz="0" w:space="0" w:color="auto"/>
      </w:divBdr>
    </w:div>
    <w:div w:id="484249685">
      <w:bodyDiv w:val="1"/>
      <w:marLeft w:val="0"/>
      <w:marRight w:val="0"/>
      <w:marTop w:val="0"/>
      <w:marBottom w:val="0"/>
      <w:divBdr>
        <w:top w:val="none" w:sz="0" w:space="0" w:color="auto"/>
        <w:left w:val="none" w:sz="0" w:space="0" w:color="auto"/>
        <w:bottom w:val="none" w:sz="0" w:space="0" w:color="auto"/>
        <w:right w:val="none" w:sz="0" w:space="0" w:color="auto"/>
      </w:divBdr>
    </w:div>
    <w:div w:id="492113292">
      <w:bodyDiv w:val="1"/>
      <w:marLeft w:val="0"/>
      <w:marRight w:val="0"/>
      <w:marTop w:val="0"/>
      <w:marBottom w:val="0"/>
      <w:divBdr>
        <w:top w:val="none" w:sz="0" w:space="0" w:color="auto"/>
        <w:left w:val="none" w:sz="0" w:space="0" w:color="auto"/>
        <w:bottom w:val="none" w:sz="0" w:space="0" w:color="auto"/>
        <w:right w:val="none" w:sz="0" w:space="0" w:color="auto"/>
      </w:divBdr>
    </w:div>
    <w:div w:id="500774034">
      <w:bodyDiv w:val="1"/>
      <w:marLeft w:val="0"/>
      <w:marRight w:val="0"/>
      <w:marTop w:val="0"/>
      <w:marBottom w:val="0"/>
      <w:divBdr>
        <w:top w:val="none" w:sz="0" w:space="0" w:color="auto"/>
        <w:left w:val="none" w:sz="0" w:space="0" w:color="auto"/>
        <w:bottom w:val="none" w:sz="0" w:space="0" w:color="auto"/>
        <w:right w:val="none" w:sz="0" w:space="0" w:color="auto"/>
      </w:divBdr>
    </w:div>
    <w:div w:id="508446437">
      <w:bodyDiv w:val="1"/>
      <w:marLeft w:val="0"/>
      <w:marRight w:val="0"/>
      <w:marTop w:val="0"/>
      <w:marBottom w:val="0"/>
      <w:divBdr>
        <w:top w:val="none" w:sz="0" w:space="0" w:color="auto"/>
        <w:left w:val="none" w:sz="0" w:space="0" w:color="auto"/>
        <w:bottom w:val="none" w:sz="0" w:space="0" w:color="auto"/>
        <w:right w:val="none" w:sz="0" w:space="0" w:color="auto"/>
      </w:divBdr>
    </w:div>
    <w:div w:id="516313475">
      <w:bodyDiv w:val="1"/>
      <w:marLeft w:val="0"/>
      <w:marRight w:val="0"/>
      <w:marTop w:val="0"/>
      <w:marBottom w:val="0"/>
      <w:divBdr>
        <w:top w:val="none" w:sz="0" w:space="0" w:color="auto"/>
        <w:left w:val="none" w:sz="0" w:space="0" w:color="auto"/>
        <w:bottom w:val="none" w:sz="0" w:space="0" w:color="auto"/>
        <w:right w:val="none" w:sz="0" w:space="0" w:color="auto"/>
      </w:divBdr>
    </w:div>
    <w:div w:id="516387978">
      <w:bodyDiv w:val="1"/>
      <w:marLeft w:val="0"/>
      <w:marRight w:val="0"/>
      <w:marTop w:val="0"/>
      <w:marBottom w:val="0"/>
      <w:divBdr>
        <w:top w:val="none" w:sz="0" w:space="0" w:color="auto"/>
        <w:left w:val="none" w:sz="0" w:space="0" w:color="auto"/>
        <w:bottom w:val="none" w:sz="0" w:space="0" w:color="auto"/>
        <w:right w:val="none" w:sz="0" w:space="0" w:color="auto"/>
      </w:divBdr>
    </w:div>
    <w:div w:id="517308027">
      <w:bodyDiv w:val="1"/>
      <w:marLeft w:val="0"/>
      <w:marRight w:val="0"/>
      <w:marTop w:val="0"/>
      <w:marBottom w:val="0"/>
      <w:divBdr>
        <w:top w:val="none" w:sz="0" w:space="0" w:color="auto"/>
        <w:left w:val="none" w:sz="0" w:space="0" w:color="auto"/>
        <w:bottom w:val="none" w:sz="0" w:space="0" w:color="auto"/>
        <w:right w:val="none" w:sz="0" w:space="0" w:color="auto"/>
      </w:divBdr>
    </w:div>
    <w:div w:id="519515387">
      <w:bodyDiv w:val="1"/>
      <w:marLeft w:val="0"/>
      <w:marRight w:val="0"/>
      <w:marTop w:val="0"/>
      <w:marBottom w:val="0"/>
      <w:divBdr>
        <w:top w:val="none" w:sz="0" w:space="0" w:color="auto"/>
        <w:left w:val="none" w:sz="0" w:space="0" w:color="auto"/>
        <w:bottom w:val="none" w:sz="0" w:space="0" w:color="auto"/>
        <w:right w:val="none" w:sz="0" w:space="0" w:color="auto"/>
      </w:divBdr>
    </w:div>
    <w:div w:id="522673821">
      <w:bodyDiv w:val="1"/>
      <w:marLeft w:val="0"/>
      <w:marRight w:val="0"/>
      <w:marTop w:val="0"/>
      <w:marBottom w:val="0"/>
      <w:divBdr>
        <w:top w:val="none" w:sz="0" w:space="0" w:color="auto"/>
        <w:left w:val="none" w:sz="0" w:space="0" w:color="auto"/>
        <w:bottom w:val="none" w:sz="0" w:space="0" w:color="auto"/>
        <w:right w:val="none" w:sz="0" w:space="0" w:color="auto"/>
      </w:divBdr>
    </w:div>
    <w:div w:id="530924764">
      <w:bodyDiv w:val="1"/>
      <w:marLeft w:val="0"/>
      <w:marRight w:val="0"/>
      <w:marTop w:val="0"/>
      <w:marBottom w:val="0"/>
      <w:divBdr>
        <w:top w:val="none" w:sz="0" w:space="0" w:color="auto"/>
        <w:left w:val="none" w:sz="0" w:space="0" w:color="auto"/>
        <w:bottom w:val="none" w:sz="0" w:space="0" w:color="auto"/>
        <w:right w:val="none" w:sz="0" w:space="0" w:color="auto"/>
      </w:divBdr>
      <w:divsChild>
        <w:div w:id="1751777597">
          <w:marLeft w:val="0"/>
          <w:marRight w:val="0"/>
          <w:marTop w:val="0"/>
          <w:marBottom w:val="0"/>
          <w:divBdr>
            <w:top w:val="none" w:sz="0" w:space="0" w:color="auto"/>
            <w:left w:val="none" w:sz="0" w:space="0" w:color="auto"/>
            <w:bottom w:val="none" w:sz="0" w:space="0" w:color="auto"/>
            <w:right w:val="none" w:sz="0" w:space="0" w:color="auto"/>
          </w:divBdr>
        </w:div>
      </w:divsChild>
    </w:div>
    <w:div w:id="539052186">
      <w:bodyDiv w:val="1"/>
      <w:marLeft w:val="0"/>
      <w:marRight w:val="0"/>
      <w:marTop w:val="0"/>
      <w:marBottom w:val="0"/>
      <w:divBdr>
        <w:top w:val="none" w:sz="0" w:space="0" w:color="auto"/>
        <w:left w:val="none" w:sz="0" w:space="0" w:color="auto"/>
        <w:bottom w:val="none" w:sz="0" w:space="0" w:color="auto"/>
        <w:right w:val="none" w:sz="0" w:space="0" w:color="auto"/>
      </w:divBdr>
    </w:div>
    <w:div w:id="542133345">
      <w:bodyDiv w:val="1"/>
      <w:marLeft w:val="0"/>
      <w:marRight w:val="0"/>
      <w:marTop w:val="0"/>
      <w:marBottom w:val="0"/>
      <w:divBdr>
        <w:top w:val="none" w:sz="0" w:space="0" w:color="auto"/>
        <w:left w:val="none" w:sz="0" w:space="0" w:color="auto"/>
        <w:bottom w:val="none" w:sz="0" w:space="0" w:color="auto"/>
        <w:right w:val="none" w:sz="0" w:space="0" w:color="auto"/>
      </w:divBdr>
    </w:div>
    <w:div w:id="549414687">
      <w:bodyDiv w:val="1"/>
      <w:marLeft w:val="0"/>
      <w:marRight w:val="0"/>
      <w:marTop w:val="0"/>
      <w:marBottom w:val="0"/>
      <w:divBdr>
        <w:top w:val="none" w:sz="0" w:space="0" w:color="auto"/>
        <w:left w:val="none" w:sz="0" w:space="0" w:color="auto"/>
        <w:bottom w:val="none" w:sz="0" w:space="0" w:color="auto"/>
        <w:right w:val="none" w:sz="0" w:space="0" w:color="auto"/>
      </w:divBdr>
    </w:div>
    <w:div w:id="559481107">
      <w:bodyDiv w:val="1"/>
      <w:marLeft w:val="0"/>
      <w:marRight w:val="0"/>
      <w:marTop w:val="0"/>
      <w:marBottom w:val="0"/>
      <w:divBdr>
        <w:top w:val="none" w:sz="0" w:space="0" w:color="auto"/>
        <w:left w:val="none" w:sz="0" w:space="0" w:color="auto"/>
        <w:bottom w:val="none" w:sz="0" w:space="0" w:color="auto"/>
        <w:right w:val="none" w:sz="0" w:space="0" w:color="auto"/>
      </w:divBdr>
    </w:div>
    <w:div w:id="560751983">
      <w:bodyDiv w:val="1"/>
      <w:marLeft w:val="0"/>
      <w:marRight w:val="0"/>
      <w:marTop w:val="0"/>
      <w:marBottom w:val="0"/>
      <w:divBdr>
        <w:top w:val="none" w:sz="0" w:space="0" w:color="auto"/>
        <w:left w:val="none" w:sz="0" w:space="0" w:color="auto"/>
        <w:bottom w:val="none" w:sz="0" w:space="0" w:color="auto"/>
        <w:right w:val="none" w:sz="0" w:space="0" w:color="auto"/>
      </w:divBdr>
    </w:div>
    <w:div w:id="563876499">
      <w:bodyDiv w:val="1"/>
      <w:marLeft w:val="0"/>
      <w:marRight w:val="0"/>
      <w:marTop w:val="0"/>
      <w:marBottom w:val="0"/>
      <w:divBdr>
        <w:top w:val="none" w:sz="0" w:space="0" w:color="auto"/>
        <w:left w:val="none" w:sz="0" w:space="0" w:color="auto"/>
        <w:bottom w:val="none" w:sz="0" w:space="0" w:color="auto"/>
        <w:right w:val="none" w:sz="0" w:space="0" w:color="auto"/>
      </w:divBdr>
    </w:div>
    <w:div w:id="573513753">
      <w:bodyDiv w:val="1"/>
      <w:marLeft w:val="0"/>
      <w:marRight w:val="0"/>
      <w:marTop w:val="0"/>
      <w:marBottom w:val="0"/>
      <w:divBdr>
        <w:top w:val="none" w:sz="0" w:space="0" w:color="auto"/>
        <w:left w:val="none" w:sz="0" w:space="0" w:color="auto"/>
        <w:bottom w:val="none" w:sz="0" w:space="0" w:color="auto"/>
        <w:right w:val="none" w:sz="0" w:space="0" w:color="auto"/>
      </w:divBdr>
    </w:div>
    <w:div w:id="574707872">
      <w:bodyDiv w:val="1"/>
      <w:marLeft w:val="0"/>
      <w:marRight w:val="0"/>
      <w:marTop w:val="0"/>
      <w:marBottom w:val="0"/>
      <w:divBdr>
        <w:top w:val="none" w:sz="0" w:space="0" w:color="auto"/>
        <w:left w:val="none" w:sz="0" w:space="0" w:color="auto"/>
        <w:bottom w:val="none" w:sz="0" w:space="0" w:color="auto"/>
        <w:right w:val="none" w:sz="0" w:space="0" w:color="auto"/>
      </w:divBdr>
    </w:div>
    <w:div w:id="576399586">
      <w:bodyDiv w:val="1"/>
      <w:marLeft w:val="0"/>
      <w:marRight w:val="0"/>
      <w:marTop w:val="0"/>
      <w:marBottom w:val="0"/>
      <w:divBdr>
        <w:top w:val="none" w:sz="0" w:space="0" w:color="auto"/>
        <w:left w:val="none" w:sz="0" w:space="0" w:color="auto"/>
        <w:bottom w:val="none" w:sz="0" w:space="0" w:color="auto"/>
        <w:right w:val="none" w:sz="0" w:space="0" w:color="auto"/>
      </w:divBdr>
    </w:div>
    <w:div w:id="576940121">
      <w:bodyDiv w:val="1"/>
      <w:marLeft w:val="0"/>
      <w:marRight w:val="0"/>
      <w:marTop w:val="0"/>
      <w:marBottom w:val="0"/>
      <w:divBdr>
        <w:top w:val="none" w:sz="0" w:space="0" w:color="auto"/>
        <w:left w:val="none" w:sz="0" w:space="0" w:color="auto"/>
        <w:bottom w:val="none" w:sz="0" w:space="0" w:color="auto"/>
        <w:right w:val="none" w:sz="0" w:space="0" w:color="auto"/>
      </w:divBdr>
    </w:div>
    <w:div w:id="579565099">
      <w:bodyDiv w:val="1"/>
      <w:marLeft w:val="0"/>
      <w:marRight w:val="0"/>
      <w:marTop w:val="0"/>
      <w:marBottom w:val="0"/>
      <w:divBdr>
        <w:top w:val="none" w:sz="0" w:space="0" w:color="auto"/>
        <w:left w:val="none" w:sz="0" w:space="0" w:color="auto"/>
        <w:bottom w:val="none" w:sz="0" w:space="0" w:color="auto"/>
        <w:right w:val="none" w:sz="0" w:space="0" w:color="auto"/>
      </w:divBdr>
    </w:div>
    <w:div w:id="579798474">
      <w:bodyDiv w:val="1"/>
      <w:marLeft w:val="0"/>
      <w:marRight w:val="0"/>
      <w:marTop w:val="0"/>
      <w:marBottom w:val="0"/>
      <w:divBdr>
        <w:top w:val="none" w:sz="0" w:space="0" w:color="auto"/>
        <w:left w:val="none" w:sz="0" w:space="0" w:color="auto"/>
        <w:bottom w:val="none" w:sz="0" w:space="0" w:color="auto"/>
        <w:right w:val="none" w:sz="0" w:space="0" w:color="auto"/>
      </w:divBdr>
    </w:div>
    <w:div w:id="582036447">
      <w:bodyDiv w:val="1"/>
      <w:marLeft w:val="0"/>
      <w:marRight w:val="0"/>
      <w:marTop w:val="0"/>
      <w:marBottom w:val="0"/>
      <w:divBdr>
        <w:top w:val="none" w:sz="0" w:space="0" w:color="auto"/>
        <w:left w:val="none" w:sz="0" w:space="0" w:color="auto"/>
        <w:bottom w:val="none" w:sz="0" w:space="0" w:color="auto"/>
        <w:right w:val="none" w:sz="0" w:space="0" w:color="auto"/>
      </w:divBdr>
    </w:div>
    <w:div w:id="582884037">
      <w:bodyDiv w:val="1"/>
      <w:marLeft w:val="0"/>
      <w:marRight w:val="0"/>
      <w:marTop w:val="0"/>
      <w:marBottom w:val="0"/>
      <w:divBdr>
        <w:top w:val="none" w:sz="0" w:space="0" w:color="auto"/>
        <w:left w:val="none" w:sz="0" w:space="0" w:color="auto"/>
        <w:bottom w:val="none" w:sz="0" w:space="0" w:color="auto"/>
        <w:right w:val="none" w:sz="0" w:space="0" w:color="auto"/>
      </w:divBdr>
    </w:div>
    <w:div w:id="590705385">
      <w:bodyDiv w:val="1"/>
      <w:marLeft w:val="0"/>
      <w:marRight w:val="0"/>
      <w:marTop w:val="0"/>
      <w:marBottom w:val="0"/>
      <w:divBdr>
        <w:top w:val="none" w:sz="0" w:space="0" w:color="auto"/>
        <w:left w:val="none" w:sz="0" w:space="0" w:color="auto"/>
        <w:bottom w:val="none" w:sz="0" w:space="0" w:color="auto"/>
        <w:right w:val="none" w:sz="0" w:space="0" w:color="auto"/>
      </w:divBdr>
    </w:div>
    <w:div w:id="591472482">
      <w:bodyDiv w:val="1"/>
      <w:marLeft w:val="0"/>
      <w:marRight w:val="0"/>
      <w:marTop w:val="0"/>
      <w:marBottom w:val="0"/>
      <w:divBdr>
        <w:top w:val="none" w:sz="0" w:space="0" w:color="auto"/>
        <w:left w:val="none" w:sz="0" w:space="0" w:color="auto"/>
        <w:bottom w:val="none" w:sz="0" w:space="0" w:color="auto"/>
        <w:right w:val="none" w:sz="0" w:space="0" w:color="auto"/>
      </w:divBdr>
    </w:div>
    <w:div w:id="593051295">
      <w:bodyDiv w:val="1"/>
      <w:marLeft w:val="0"/>
      <w:marRight w:val="0"/>
      <w:marTop w:val="0"/>
      <w:marBottom w:val="0"/>
      <w:divBdr>
        <w:top w:val="none" w:sz="0" w:space="0" w:color="auto"/>
        <w:left w:val="none" w:sz="0" w:space="0" w:color="auto"/>
        <w:bottom w:val="none" w:sz="0" w:space="0" w:color="auto"/>
        <w:right w:val="none" w:sz="0" w:space="0" w:color="auto"/>
      </w:divBdr>
      <w:divsChild>
        <w:div w:id="2053460812">
          <w:marLeft w:val="0"/>
          <w:marRight w:val="0"/>
          <w:marTop w:val="0"/>
          <w:marBottom w:val="0"/>
          <w:divBdr>
            <w:top w:val="none" w:sz="0" w:space="0" w:color="auto"/>
            <w:left w:val="none" w:sz="0" w:space="0" w:color="auto"/>
            <w:bottom w:val="none" w:sz="0" w:space="0" w:color="auto"/>
            <w:right w:val="none" w:sz="0" w:space="0" w:color="auto"/>
          </w:divBdr>
        </w:div>
      </w:divsChild>
    </w:div>
    <w:div w:id="593367196">
      <w:bodyDiv w:val="1"/>
      <w:marLeft w:val="0"/>
      <w:marRight w:val="0"/>
      <w:marTop w:val="0"/>
      <w:marBottom w:val="0"/>
      <w:divBdr>
        <w:top w:val="none" w:sz="0" w:space="0" w:color="auto"/>
        <w:left w:val="none" w:sz="0" w:space="0" w:color="auto"/>
        <w:bottom w:val="none" w:sz="0" w:space="0" w:color="auto"/>
        <w:right w:val="none" w:sz="0" w:space="0" w:color="auto"/>
      </w:divBdr>
    </w:div>
    <w:div w:id="595946336">
      <w:bodyDiv w:val="1"/>
      <w:marLeft w:val="0"/>
      <w:marRight w:val="0"/>
      <w:marTop w:val="0"/>
      <w:marBottom w:val="0"/>
      <w:divBdr>
        <w:top w:val="none" w:sz="0" w:space="0" w:color="auto"/>
        <w:left w:val="none" w:sz="0" w:space="0" w:color="auto"/>
        <w:bottom w:val="none" w:sz="0" w:space="0" w:color="auto"/>
        <w:right w:val="none" w:sz="0" w:space="0" w:color="auto"/>
      </w:divBdr>
    </w:div>
    <w:div w:id="599222734">
      <w:bodyDiv w:val="1"/>
      <w:marLeft w:val="0"/>
      <w:marRight w:val="0"/>
      <w:marTop w:val="0"/>
      <w:marBottom w:val="0"/>
      <w:divBdr>
        <w:top w:val="none" w:sz="0" w:space="0" w:color="auto"/>
        <w:left w:val="none" w:sz="0" w:space="0" w:color="auto"/>
        <w:bottom w:val="none" w:sz="0" w:space="0" w:color="auto"/>
        <w:right w:val="none" w:sz="0" w:space="0" w:color="auto"/>
      </w:divBdr>
    </w:div>
    <w:div w:id="608123085">
      <w:bodyDiv w:val="1"/>
      <w:marLeft w:val="0"/>
      <w:marRight w:val="0"/>
      <w:marTop w:val="0"/>
      <w:marBottom w:val="0"/>
      <w:divBdr>
        <w:top w:val="none" w:sz="0" w:space="0" w:color="auto"/>
        <w:left w:val="none" w:sz="0" w:space="0" w:color="auto"/>
        <w:bottom w:val="none" w:sz="0" w:space="0" w:color="auto"/>
        <w:right w:val="none" w:sz="0" w:space="0" w:color="auto"/>
      </w:divBdr>
    </w:div>
    <w:div w:id="610161251">
      <w:bodyDiv w:val="1"/>
      <w:marLeft w:val="0"/>
      <w:marRight w:val="0"/>
      <w:marTop w:val="0"/>
      <w:marBottom w:val="0"/>
      <w:divBdr>
        <w:top w:val="none" w:sz="0" w:space="0" w:color="auto"/>
        <w:left w:val="none" w:sz="0" w:space="0" w:color="auto"/>
        <w:bottom w:val="none" w:sz="0" w:space="0" w:color="auto"/>
        <w:right w:val="none" w:sz="0" w:space="0" w:color="auto"/>
      </w:divBdr>
    </w:div>
    <w:div w:id="616372485">
      <w:bodyDiv w:val="1"/>
      <w:marLeft w:val="0"/>
      <w:marRight w:val="0"/>
      <w:marTop w:val="0"/>
      <w:marBottom w:val="0"/>
      <w:divBdr>
        <w:top w:val="none" w:sz="0" w:space="0" w:color="auto"/>
        <w:left w:val="none" w:sz="0" w:space="0" w:color="auto"/>
        <w:bottom w:val="none" w:sz="0" w:space="0" w:color="auto"/>
        <w:right w:val="none" w:sz="0" w:space="0" w:color="auto"/>
      </w:divBdr>
    </w:div>
    <w:div w:id="618488732">
      <w:bodyDiv w:val="1"/>
      <w:marLeft w:val="0"/>
      <w:marRight w:val="0"/>
      <w:marTop w:val="0"/>
      <w:marBottom w:val="0"/>
      <w:divBdr>
        <w:top w:val="none" w:sz="0" w:space="0" w:color="auto"/>
        <w:left w:val="none" w:sz="0" w:space="0" w:color="auto"/>
        <w:bottom w:val="none" w:sz="0" w:space="0" w:color="auto"/>
        <w:right w:val="none" w:sz="0" w:space="0" w:color="auto"/>
      </w:divBdr>
    </w:div>
    <w:div w:id="625700832">
      <w:bodyDiv w:val="1"/>
      <w:marLeft w:val="0"/>
      <w:marRight w:val="0"/>
      <w:marTop w:val="0"/>
      <w:marBottom w:val="0"/>
      <w:divBdr>
        <w:top w:val="none" w:sz="0" w:space="0" w:color="auto"/>
        <w:left w:val="none" w:sz="0" w:space="0" w:color="auto"/>
        <w:bottom w:val="none" w:sz="0" w:space="0" w:color="auto"/>
        <w:right w:val="none" w:sz="0" w:space="0" w:color="auto"/>
      </w:divBdr>
    </w:div>
    <w:div w:id="625742825">
      <w:bodyDiv w:val="1"/>
      <w:marLeft w:val="0"/>
      <w:marRight w:val="0"/>
      <w:marTop w:val="0"/>
      <w:marBottom w:val="0"/>
      <w:divBdr>
        <w:top w:val="none" w:sz="0" w:space="0" w:color="auto"/>
        <w:left w:val="none" w:sz="0" w:space="0" w:color="auto"/>
        <w:bottom w:val="none" w:sz="0" w:space="0" w:color="auto"/>
        <w:right w:val="none" w:sz="0" w:space="0" w:color="auto"/>
      </w:divBdr>
    </w:div>
    <w:div w:id="631643534">
      <w:bodyDiv w:val="1"/>
      <w:marLeft w:val="0"/>
      <w:marRight w:val="0"/>
      <w:marTop w:val="0"/>
      <w:marBottom w:val="0"/>
      <w:divBdr>
        <w:top w:val="none" w:sz="0" w:space="0" w:color="auto"/>
        <w:left w:val="none" w:sz="0" w:space="0" w:color="auto"/>
        <w:bottom w:val="none" w:sz="0" w:space="0" w:color="auto"/>
        <w:right w:val="none" w:sz="0" w:space="0" w:color="auto"/>
      </w:divBdr>
    </w:div>
    <w:div w:id="634943180">
      <w:bodyDiv w:val="1"/>
      <w:marLeft w:val="0"/>
      <w:marRight w:val="0"/>
      <w:marTop w:val="0"/>
      <w:marBottom w:val="0"/>
      <w:divBdr>
        <w:top w:val="none" w:sz="0" w:space="0" w:color="auto"/>
        <w:left w:val="none" w:sz="0" w:space="0" w:color="auto"/>
        <w:bottom w:val="none" w:sz="0" w:space="0" w:color="auto"/>
        <w:right w:val="none" w:sz="0" w:space="0" w:color="auto"/>
      </w:divBdr>
    </w:div>
    <w:div w:id="638926052">
      <w:bodyDiv w:val="1"/>
      <w:marLeft w:val="0"/>
      <w:marRight w:val="0"/>
      <w:marTop w:val="0"/>
      <w:marBottom w:val="0"/>
      <w:divBdr>
        <w:top w:val="none" w:sz="0" w:space="0" w:color="auto"/>
        <w:left w:val="none" w:sz="0" w:space="0" w:color="auto"/>
        <w:bottom w:val="none" w:sz="0" w:space="0" w:color="auto"/>
        <w:right w:val="none" w:sz="0" w:space="0" w:color="auto"/>
      </w:divBdr>
    </w:div>
    <w:div w:id="644821942">
      <w:bodyDiv w:val="1"/>
      <w:marLeft w:val="0"/>
      <w:marRight w:val="0"/>
      <w:marTop w:val="0"/>
      <w:marBottom w:val="0"/>
      <w:divBdr>
        <w:top w:val="none" w:sz="0" w:space="0" w:color="auto"/>
        <w:left w:val="none" w:sz="0" w:space="0" w:color="auto"/>
        <w:bottom w:val="none" w:sz="0" w:space="0" w:color="auto"/>
        <w:right w:val="none" w:sz="0" w:space="0" w:color="auto"/>
      </w:divBdr>
    </w:div>
    <w:div w:id="644972417">
      <w:bodyDiv w:val="1"/>
      <w:marLeft w:val="0"/>
      <w:marRight w:val="0"/>
      <w:marTop w:val="0"/>
      <w:marBottom w:val="0"/>
      <w:divBdr>
        <w:top w:val="none" w:sz="0" w:space="0" w:color="auto"/>
        <w:left w:val="none" w:sz="0" w:space="0" w:color="auto"/>
        <w:bottom w:val="none" w:sz="0" w:space="0" w:color="auto"/>
        <w:right w:val="none" w:sz="0" w:space="0" w:color="auto"/>
      </w:divBdr>
    </w:div>
    <w:div w:id="647784191">
      <w:bodyDiv w:val="1"/>
      <w:marLeft w:val="0"/>
      <w:marRight w:val="0"/>
      <w:marTop w:val="0"/>
      <w:marBottom w:val="0"/>
      <w:divBdr>
        <w:top w:val="none" w:sz="0" w:space="0" w:color="auto"/>
        <w:left w:val="none" w:sz="0" w:space="0" w:color="auto"/>
        <w:bottom w:val="none" w:sz="0" w:space="0" w:color="auto"/>
        <w:right w:val="none" w:sz="0" w:space="0" w:color="auto"/>
      </w:divBdr>
    </w:div>
    <w:div w:id="649405989">
      <w:bodyDiv w:val="1"/>
      <w:marLeft w:val="0"/>
      <w:marRight w:val="0"/>
      <w:marTop w:val="0"/>
      <w:marBottom w:val="0"/>
      <w:divBdr>
        <w:top w:val="none" w:sz="0" w:space="0" w:color="auto"/>
        <w:left w:val="none" w:sz="0" w:space="0" w:color="auto"/>
        <w:bottom w:val="none" w:sz="0" w:space="0" w:color="auto"/>
        <w:right w:val="none" w:sz="0" w:space="0" w:color="auto"/>
      </w:divBdr>
    </w:div>
    <w:div w:id="653797836">
      <w:bodyDiv w:val="1"/>
      <w:marLeft w:val="0"/>
      <w:marRight w:val="0"/>
      <w:marTop w:val="0"/>
      <w:marBottom w:val="0"/>
      <w:divBdr>
        <w:top w:val="none" w:sz="0" w:space="0" w:color="auto"/>
        <w:left w:val="none" w:sz="0" w:space="0" w:color="auto"/>
        <w:bottom w:val="none" w:sz="0" w:space="0" w:color="auto"/>
        <w:right w:val="none" w:sz="0" w:space="0" w:color="auto"/>
      </w:divBdr>
    </w:div>
    <w:div w:id="656343995">
      <w:bodyDiv w:val="1"/>
      <w:marLeft w:val="0"/>
      <w:marRight w:val="0"/>
      <w:marTop w:val="0"/>
      <w:marBottom w:val="0"/>
      <w:divBdr>
        <w:top w:val="none" w:sz="0" w:space="0" w:color="auto"/>
        <w:left w:val="none" w:sz="0" w:space="0" w:color="auto"/>
        <w:bottom w:val="none" w:sz="0" w:space="0" w:color="auto"/>
        <w:right w:val="none" w:sz="0" w:space="0" w:color="auto"/>
      </w:divBdr>
    </w:div>
    <w:div w:id="660277176">
      <w:bodyDiv w:val="1"/>
      <w:marLeft w:val="0"/>
      <w:marRight w:val="0"/>
      <w:marTop w:val="0"/>
      <w:marBottom w:val="0"/>
      <w:divBdr>
        <w:top w:val="none" w:sz="0" w:space="0" w:color="auto"/>
        <w:left w:val="none" w:sz="0" w:space="0" w:color="auto"/>
        <w:bottom w:val="none" w:sz="0" w:space="0" w:color="auto"/>
        <w:right w:val="none" w:sz="0" w:space="0" w:color="auto"/>
      </w:divBdr>
    </w:div>
    <w:div w:id="671683286">
      <w:bodyDiv w:val="1"/>
      <w:marLeft w:val="0"/>
      <w:marRight w:val="0"/>
      <w:marTop w:val="0"/>
      <w:marBottom w:val="0"/>
      <w:divBdr>
        <w:top w:val="none" w:sz="0" w:space="0" w:color="auto"/>
        <w:left w:val="none" w:sz="0" w:space="0" w:color="auto"/>
        <w:bottom w:val="none" w:sz="0" w:space="0" w:color="auto"/>
        <w:right w:val="none" w:sz="0" w:space="0" w:color="auto"/>
      </w:divBdr>
    </w:div>
    <w:div w:id="674038210">
      <w:bodyDiv w:val="1"/>
      <w:marLeft w:val="0"/>
      <w:marRight w:val="0"/>
      <w:marTop w:val="0"/>
      <w:marBottom w:val="0"/>
      <w:divBdr>
        <w:top w:val="none" w:sz="0" w:space="0" w:color="auto"/>
        <w:left w:val="none" w:sz="0" w:space="0" w:color="auto"/>
        <w:bottom w:val="none" w:sz="0" w:space="0" w:color="auto"/>
        <w:right w:val="none" w:sz="0" w:space="0" w:color="auto"/>
      </w:divBdr>
    </w:div>
    <w:div w:id="674453913">
      <w:bodyDiv w:val="1"/>
      <w:marLeft w:val="0"/>
      <w:marRight w:val="0"/>
      <w:marTop w:val="0"/>
      <w:marBottom w:val="0"/>
      <w:divBdr>
        <w:top w:val="none" w:sz="0" w:space="0" w:color="auto"/>
        <w:left w:val="none" w:sz="0" w:space="0" w:color="auto"/>
        <w:bottom w:val="none" w:sz="0" w:space="0" w:color="auto"/>
        <w:right w:val="none" w:sz="0" w:space="0" w:color="auto"/>
      </w:divBdr>
    </w:div>
    <w:div w:id="687829305">
      <w:bodyDiv w:val="1"/>
      <w:marLeft w:val="0"/>
      <w:marRight w:val="0"/>
      <w:marTop w:val="0"/>
      <w:marBottom w:val="0"/>
      <w:divBdr>
        <w:top w:val="none" w:sz="0" w:space="0" w:color="auto"/>
        <w:left w:val="none" w:sz="0" w:space="0" w:color="auto"/>
        <w:bottom w:val="none" w:sz="0" w:space="0" w:color="auto"/>
        <w:right w:val="none" w:sz="0" w:space="0" w:color="auto"/>
      </w:divBdr>
    </w:div>
    <w:div w:id="688410968">
      <w:bodyDiv w:val="1"/>
      <w:marLeft w:val="0"/>
      <w:marRight w:val="0"/>
      <w:marTop w:val="0"/>
      <w:marBottom w:val="0"/>
      <w:divBdr>
        <w:top w:val="none" w:sz="0" w:space="0" w:color="auto"/>
        <w:left w:val="none" w:sz="0" w:space="0" w:color="auto"/>
        <w:bottom w:val="none" w:sz="0" w:space="0" w:color="auto"/>
        <w:right w:val="none" w:sz="0" w:space="0" w:color="auto"/>
      </w:divBdr>
    </w:div>
    <w:div w:id="691759159">
      <w:bodyDiv w:val="1"/>
      <w:marLeft w:val="0"/>
      <w:marRight w:val="0"/>
      <w:marTop w:val="0"/>
      <w:marBottom w:val="0"/>
      <w:divBdr>
        <w:top w:val="none" w:sz="0" w:space="0" w:color="auto"/>
        <w:left w:val="none" w:sz="0" w:space="0" w:color="auto"/>
        <w:bottom w:val="none" w:sz="0" w:space="0" w:color="auto"/>
        <w:right w:val="none" w:sz="0" w:space="0" w:color="auto"/>
      </w:divBdr>
    </w:div>
    <w:div w:id="693575522">
      <w:bodyDiv w:val="1"/>
      <w:marLeft w:val="0"/>
      <w:marRight w:val="0"/>
      <w:marTop w:val="0"/>
      <w:marBottom w:val="0"/>
      <w:divBdr>
        <w:top w:val="none" w:sz="0" w:space="0" w:color="auto"/>
        <w:left w:val="none" w:sz="0" w:space="0" w:color="auto"/>
        <w:bottom w:val="none" w:sz="0" w:space="0" w:color="auto"/>
        <w:right w:val="none" w:sz="0" w:space="0" w:color="auto"/>
      </w:divBdr>
    </w:div>
    <w:div w:id="700786632">
      <w:bodyDiv w:val="1"/>
      <w:marLeft w:val="0"/>
      <w:marRight w:val="0"/>
      <w:marTop w:val="0"/>
      <w:marBottom w:val="0"/>
      <w:divBdr>
        <w:top w:val="none" w:sz="0" w:space="0" w:color="auto"/>
        <w:left w:val="none" w:sz="0" w:space="0" w:color="auto"/>
        <w:bottom w:val="none" w:sz="0" w:space="0" w:color="auto"/>
        <w:right w:val="none" w:sz="0" w:space="0" w:color="auto"/>
      </w:divBdr>
    </w:div>
    <w:div w:id="702480687">
      <w:bodyDiv w:val="1"/>
      <w:marLeft w:val="0"/>
      <w:marRight w:val="0"/>
      <w:marTop w:val="0"/>
      <w:marBottom w:val="0"/>
      <w:divBdr>
        <w:top w:val="none" w:sz="0" w:space="0" w:color="auto"/>
        <w:left w:val="none" w:sz="0" w:space="0" w:color="auto"/>
        <w:bottom w:val="none" w:sz="0" w:space="0" w:color="auto"/>
        <w:right w:val="none" w:sz="0" w:space="0" w:color="auto"/>
      </w:divBdr>
    </w:div>
    <w:div w:id="707946755">
      <w:bodyDiv w:val="1"/>
      <w:marLeft w:val="0"/>
      <w:marRight w:val="0"/>
      <w:marTop w:val="0"/>
      <w:marBottom w:val="0"/>
      <w:divBdr>
        <w:top w:val="none" w:sz="0" w:space="0" w:color="auto"/>
        <w:left w:val="none" w:sz="0" w:space="0" w:color="auto"/>
        <w:bottom w:val="none" w:sz="0" w:space="0" w:color="auto"/>
        <w:right w:val="none" w:sz="0" w:space="0" w:color="auto"/>
      </w:divBdr>
    </w:div>
    <w:div w:id="712922704">
      <w:bodyDiv w:val="1"/>
      <w:marLeft w:val="0"/>
      <w:marRight w:val="0"/>
      <w:marTop w:val="0"/>
      <w:marBottom w:val="0"/>
      <w:divBdr>
        <w:top w:val="none" w:sz="0" w:space="0" w:color="auto"/>
        <w:left w:val="none" w:sz="0" w:space="0" w:color="auto"/>
        <w:bottom w:val="none" w:sz="0" w:space="0" w:color="auto"/>
        <w:right w:val="none" w:sz="0" w:space="0" w:color="auto"/>
      </w:divBdr>
    </w:div>
    <w:div w:id="715131327">
      <w:bodyDiv w:val="1"/>
      <w:marLeft w:val="0"/>
      <w:marRight w:val="0"/>
      <w:marTop w:val="0"/>
      <w:marBottom w:val="0"/>
      <w:divBdr>
        <w:top w:val="none" w:sz="0" w:space="0" w:color="auto"/>
        <w:left w:val="none" w:sz="0" w:space="0" w:color="auto"/>
        <w:bottom w:val="none" w:sz="0" w:space="0" w:color="auto"/>
        <w:right w:val="none" w:sz="0" w:space="0" w:color="auto"/>
      </w:divBdr>
    </w:div>
    <w:div w:id="725226400">
      <w:bodyDiv w:val="1"/>
      <w:marLeft w:val="0"/>
      <w:marRight w:val="0"/>
      <w:marTop w:val="0"/>
      <w:marBottom w:val="0"/>
      <w:divBdr>
        <w:top w:val="none" w:sz="0" w:space="0" w:color="auto"/>
        <w:left w:val="none" w:sz="0" w:space="0" w:color="auto"/>
        <w:bottom w:val="none" w:sz="0" w:space="0" w:color="auto"/>
        <w:right w:val="none" w:sz="0" w:space="0" w:color="auto"/>
      </w:divBdr>
    </w:div>
    <w:div w:id="728921454">
      <w:bodyDiv w:val="1"/>
      <w:marLeft w:val="0"/>
      <w:marRight w:val="0"/>
      <w:marTop w:val="0"/>
      <w:marBottom w:val="0"/>
      <w:divBdr>
        <w:top w:val="none" w:sz="0" w:space="0" w:color="auto"/>
        <w:left w:val="none" w:sz="0" w:space="0" w:color="auto"/>
        <w:bottom w:val="none" w:sz="0" w:space="0" w:color="auto"/>
        <w:right w:val="none" w:sz="0" w:space="0" w:color="auto"/>
      </w:divBdr>
    </w:div>
    <w:div w:id="731344157">
      <w:bodyDiv w:val="1"/>
      <w:marLeft w:val="0"/>
      <w:marRight w:val="0"/>
      <w:marTop w:val="0"/>
      <w:marBottom w:val="0"/>
      <w:divBdr>
        <w:top w:val="none" w:sz="0" w:space="0" w:color="auto"/>
        <w:left w:val="none" w:sz="0" w:space="0" w:color="auto"/>
        <w:bottom w:val="none" w:sz="0" w:space="0" w:color="auto"/>
        <w:right w:val="none" w:sz="0" w:space="0" w:color="auto"/>
      </w:divBdr>
    </w:div>
    <w:div w:id="731390047">
      <w:bodyDiv w:val="1"/>
      <w:marLeft w:val="0"/>
      <w:marRight w:val="0"/>
      <w:marTop w:val="0"/>
      <w:marBottom w:val="0"/>
      <w:divBdr>
        <w:top w:val="none" w:sz="0" w:space="0" w:color="auto"/>
        <w:left w:val="none" w:sz="0" w:space="0" w:color="auto"/>
        <w:bottom w:val="none" w:sz="0" w:space="0" w:color="auto"/>
        <w:right w:val="none" w:sz="0" w:space="0" w:color="auto"/>
      </w:divBdr>
    </w:div>
    <w:div w:id="743144469">
      <w:bodyDiv w:val="1"/>
      <w:marLeft w:val="0"/>
      <w:marRight w:val="0"/>
      <w:marTop w:val="0"/>
      <w:marBottom w:val="0"/>
      <w:divBdr>
        <w:top w:val="none" w:sz="0" w:space="0" w:color="auto"/>
        <w:left w:val="none" w:sz="0" w:space="0" w:color="auto"/>
        <w:bottom w:val="none" w:sz="0" w:space="0" w:color="auto"/>
        <w:right w:val="none" w:sz="0" w:space="0" w:color="auto"/>
      </w:divBdr>
    </w:div>
    <w:div w:id="743727135">
      <w:bodyDiv w:val="1"/>
      <w:marLeft w:val="0"/>
      <w:marRight w:val="0"/>
      <w:marTop w:val="0"/>
      <w:marBottom w:val="0"/>
      <w:divBdr>
        <w:top w:val="none" w:sz="0" w:space="0" w:color="auto"/>
        <w:left w:val="none" w:sz="0" w:space="0" w:color="auto"/>
        <w:bottom w:val="none" w:sz="0" w:space="0" w:color="auto"/>
        <w:right w:val="none" w:sz="0" w:space="0" w:color="auto"/>
      </w:divBdr>
      <w:divsChild>
        <w:div w:id="1448306150">
          <w:marLeft w:val="0"/>
          <w:marRight w:val="0"/>
          <w:marTop w:val="0"/>
          <w:marBottom w:val="0"/>
          <w:divBdr>
            <w:top w:val="none" w:sz="0" w:space="0" w:color="auto"/>
            <w:left w:val="none" w:sz="0" w:space="0" w:color="auto"/>
            <w:bottom w:val="none" w:sz="0" w:space="0" w:color="auto"/>
            <w:right w:val="none" w:sz="0" w:space="0" w:color="auto"/>
          </w:divBdr>
        </w:div>
      </w:divsChild>
    </w:div>
    <w:div w:id="745884738">
      <w:bodyDiv w:val="1"/>
      <w:marLeft w:val="0"/>
      <w:marRight w:val="0"/>
      <w:marTop w:val="0"/>
      <w:marBottom w:val="0"/>
      <w:divBdr>
        <w:top w:val="none" w:sz="0" w:space="0" w:color="auto"/>
        <w:left w:val="none" w:sz="0" w:space="0" w:color="auto"/>
        <w:bottom w:val="none" w:sz="0" w:space="0" w:color="auto"/>
        <w:right w:val="none" w:sz="0" w:space="0" w:color="auto"/>
      </w:divBdr>
    </w:div>
    <w:div w:id="748386995">
      <w:bodyDiv w:val="1"/>
      <w:marLeft w:val="0"/>
      <w:marRight w:val="0"/>
      <w:marTop w:val="0"/>
      <w:marBottom w:val="0"/>
      <w:divBdr>
        <w:top w:val="none" w:sz="0" w:space="0" w:color="auto"/>
        <w:left w:val="none" w:sz="0" w:space="0" w:color="auto"/>
        <w:bottom w:val="none" w:sz="0" w:space="0" w:color="auto"/>
        <w:right w:val="none" w:sz="0" w:space="0" w:color="auto"/>
      </w:divBdr>
    </w:div>
    <w:div w:id="751195956">
      <w:bodyDiv w:val="1"/>
      <w:marLeft w:val="0"/>
      <w:marRight w:val="0"/>
      <w:marTop w:val="0"/>
      <w:marBottom w:val="0"/>
      <w:divBdr>
        <w:top w:val="none" w:sz="0" w:space="0" w:color="auto"/>
        <w:left w:val="none" w:sz="0" w:space="0" w:color="auto"/>
        <w:bottom w:val="none" w:sz="0" w:space="0" w:color="auto"/>
        <w:right w:val="none" w:sz="0" w:space="0" w:color="auto"/>
      </w:divBdr>
    </w:div>
    <w:div w:id="757865343">
      <w:bodyDiv w:val="1"/>
      <w:marLeft w:val="0"/>
      <w:marRight w:val="0"/>
      <w:marTop w:val="0"/>
      <w:marBottom w:val="0"/>
      <w:divBdr>
        <w:top w:val="none" w:sz="0" w:space="0" w:color="auto"/>
        <w:left w:val="none" w:sz="0" w:space="0" w:color="auto"/>
        <w:bottom w:val="none" w:sz="0" w:space="0" w:color="auto"/>
        <w:right w:val="none" w:sz="0" w:space="0" w:color="auto"/>
      </w:divBdr>
    </w:div>
    <w:div w:id="758256146">
      <w:bodyDiv w:val="1"/>
      <w:marLeft w:val="0"/>
      <w:marRight w:val="0"/>
      <w:marTop w:val="0"/>
      <w:marBottom w:val="0"/>
      <w:divBdr>
        <w:top w:val="none" w:sz="0" w:space="0" w:color="auto"/>
        <w:left w:val="none" w:sz="0" w:space="0" w:color="auto"/>
        <w:bottom w:val="none" w:sz="0" w:space="0" w:color="auto"/>
        <w:right w:val="none" w:sz="0" w:space="0" w:color="auto"/>
      </w:divBdr>
    </w:div>
    <w:div w:id="764111839">
      <w:bodyDiv w:val="1"/>
      <w:marLeft w:val="0"/>
      <w:marRight w:val="0"/>
      <w:marTop w:val="0"/>
      <w:marBottom w:val="0"/>
      <w:divBdr>
        <w:top w:val="none" w:sz="0" w:space="0" w:color="auto"/>
        <w:left w:val="none" w:sz="0" w:space="0" w:color="auto"/>
        <w:bottom w:val="none" w:sz="0" w:space="0" w:color="auto"/>
        <w:right w:val="none" w:sz="0" w:space="0" w:color="auto"/>
      </w:divBdr>
    </w:div>
    <w:div w:id="764771166">
      <w:bodyDiv w:val="1"/>
      <w:marLeft w:val="0"/>
      <w:marRight w:val="0"/>
      <w:marTop w:val="0"/>
      <w:marBottom w:val="0"/>
      <w:divBdr>
        <w:top w:val="none" w:sz="0" w:space="0" w:color="auto"/>
        <w:left w:val="none" w:sz="0" w:space="0" w:color="auto"/>
        <w:bottom w:val="none" w:sz="0" w:space="0" w:color="auto"/>
        <w:right w:val="none" w:sz="0" w:space="0" w:color="auto"/>
      </w:divBdr>
    </w:div>
    <w:div w:id="765075946">
      <w:bodyDiv w:val="1"/>
      <w:marLeft w:val="0"/>
      <w:marRight w:val="0"/>
      <w:marTop w:val="0"/>
      <w:marBottom w:val="0"/>
      <w:divBdr>
        <w:top w:val="none" w:sz="0" w:space="0" w:color="auto"/>
        <w:left w:val="none" w:sz="0" w:space="0" w:color="auto"/>
        <w:bottom w:val="none" w:sz="0" w:space="0" w:color="auto"/>
        <w:right w:val="none" w:sz="0" w:space="0" w:color="auto"/>
      </w:divBdr>
    </w:div>
    <w:div w:id="766197028">
      <w:bodyDiv w:val="1"/>
      <w:marLeft w:val="0"/>
      <w:marRight w:val="0"/>
      <w:marTop w:val="0"/>
      <w:marBottom w:val="0"/>
      <w:divBdr>
        <w:top w:val="none" w:sz="0" w:space="0" w:color="auto"/>
        <w:left w:val="none" w:sz="0" w:space="0" w:color="auto"/>
        <w:bottom w:val="none" w:sz="0" w:space="0" w:color="auto"/>
        <w:right w:val="none" w:sz="0" w:space="0" w:color="auto"/>
      </w:divBdr>
    </w:div>
    <w:div w:id="766736845">
      <w:bodyDiv w:val="1"/>
      <w:marLeft w:val="0"/>
      <w:marRight w:val="0"/>
      <w:marTop w:val="0"/>
      <w:marBottom w:val="0"/>
      <w:divBdr>
        <w:top w:val="none" w:sz="0" w:space="0" w:color="auto"/>
        <w:left w:val="none" w:sz="0" w:space="0" w:color="auto"/>
        <w:bottom w:val="none" w:sz="0" w:space="0" w:color="auto"/>
        <w:right w:val="none" w:sz="0" w:space="0" w:color="auto"/>
      </w:divBdr>
    </w:div>
    <w:div w:id="772478062">
      <w:bodyDiv w:val="1"/>
      <w:marLeft w:val="0"/>
      <w:marRight w:val="0"/>
      <w:marTop w:val="0"/>
      <w:marBottom w:val="0"/>
      <w:divBdr>
        <w:top w:val="none" w:sz="0" w:space="0" w:color="auto"/>
        <w:left w:val="none" w:sz="0" w:space="0" w:color="auto"/>
        <w:bottom w:val="none" w:sz="0" w:space="0" w:color="auto"/>
        <w:right w:val="none" w:sz="0" w:space="0" w:color="auto"/>
      </w:divBdr>
    </w:div>
    <w:div w:id="778837717">
      <w:bodyDiv w:val="1"/>
      <w:marLeft w:val="0"/>
      <w:marRight w:val="0"/>
      <w:marTop w:val="0"/>
      <w:marBottom w:val="0"/>
      <w:divBdr>
        <w:top w:val="none" w:sz="0" w:space="0" w:color="auto"/>
        <w:left w:val="none" w:sz="0" w:space="0" w:color="auto"/>
        <w:bottom w:val="none" w:sz="0" w:space="0" w:color="auto"/>
        <w:right w:val="none" w:sz="0" w:space="0" w:color="auto"/>
      </w:divBdr>
    </w:div>
    <w:div w:id="785466207">
      <w:bodyDiv w:val="1"/>
      <w:marLeft w:val="0"/>
      <w:marRight w:val="0"/>
      <w:marTop w:val="0"/>
      <w:marBottom w:val="0"/>
      <w:divBdr>
        <w:top w:val="none" w:sz="0" w:space="0" w:color="auto"/>
        <w:left w:val="none" w:sz="0" w:space="0" w:color="auto"/>
        <w:bottom w:val="none" w:sz="0" w:space="0" w:color="auto"/>
        <w:right w:val="none" w:sz="0" w:space="0" w:color="auto"/>
      </w:divBdr>
    </w:div>
    <w:div w:id="790518389">
      <w:bodyDiv w:val="1"/>
      <w:marLeft w:val="0"/>
      <w:marRight w:val="0"/>
      <w:marTop w:val="0"/>
      <w:marBottom w:val="0"/>
      <w:divBdr>
        <w:top w:val="none" w:sz="0" w:space="0" w:color="auto"/>
        <w:left w:val="none" w:sz="0" w:space="0" w:color="auto"/>
        <w:bottom w:val="none" w:sz="0" w:space="0" w:color="auto"/>
        <w:right w:val="none" w:sz="0" w:space="0" w:color="auto"/>
      </w:divBdr>
    </w:div>
    <w:div w:id="793140731">
      <w:bodyDiv w:val="1"/>
      <w:marLeft w:val="0"/>
      <w:marRight w:val="0"/>
      <w:marTop w:val="0"/>
      <w:marBottom w:val="0"/>
      <w:divBdr>
        <w:top w:val="none" w:sz="0" w:space="0" w:color="auto"/>
        <w:left w:val="none" w:sz="0" w:space="0" w:color="auto"/>
        <w:bottom w:val="none" w:sz="0" w:space="0" w:color="auto"/>
        <w:right w:val="none" w:sz="0" w:space="0" w:color="auto"/>
      </w:divBdr>
    </w:div>
    <w:div w:id="795760533">
      <w:bodyDiv w:val="1"/>
      <w:marLeft w:val="0"/>
      <w:marRight w:val="0"/>
      <w:marTop w:val="0"/>
      <w:marBottom w:val="0"/>
      <w:divBdr>
        <w:top w:val="none" w:sz="0" w:space="0" w:color="auto"/>
        <w:left w:val="none" w:sz="0" w:space="0" w:color="auto"/>
        <w:bottom w:val="none" w:sz="0" w:space="0" w:color="auto"/>
        <w:right w:val="none" w:sz="0" w:space="0" w:color="auto"/>
      </w:divBdr>
    </w:div>
    <w:div w:id="802313955">
      <w:bodyDiv w:val="1"/>
      <w:marLeft w:val="0"/>
      <w:marRight w:val="0"/>
      <w:marTop w:val="0"/>
      <w:marBottom w:val="0"/>
      <w:divBdr>
        <w:top w:val="none" w:sz="0" w:space="0" w:color="auto"/>
        <w:left w:val="none" w:sz="0" w:space="0" w:color="auto"/>
        <w:bottom w:val="none" w:sz="0" w:space="0" w:color="auto"/>
        <w:right w:val="none" w:sz="0" w:space="0" w:color="auto"/>
      </w:divBdr>
    </w:div>
    <w:div w:id="814880203">
      <w:bodyDiv w:val="1"/>
      <w:marLeft w:val="0"/>
      <w:marRight w:val="0"/>
      <w:marTop w:val="0"/>
      <w:marBottom w:val="0"/>
      <w:divBdr>
        <w:top w:val="none" w:sz="0" w:space="0" w:color="auto"/>
        <w:left w:val="none" w:sz="0" w:space="0" w:color="auto"/>
        <w:bottom w:val="none" w:sz="0" w:space="0" w:color="auto"/>
        <w:right w:val="none" w:sz="0" w:space="0" w:color="auto"/>
      </w:divBdr>
    </w:div>
    <w:div w:id="821430523">
      <w:bodyDiv w:val="1"/>
      <w:marLeft w:val="0"/>
      <w:marRight w:val="0"/>
      <w:marTop w:val="0"/>
      <w:marBottom w:val="0"/>
      <w:divBdr>
        <w:top w:val="none" w:sz="0" w:space="0" w:color="auto"/>
        <w:left w:val="none" w:sz="0" w:space="0" w:color="auto"/>
        <w:bottom w:val="none" w:sz="0" w:space="0" w:color="auto"/>
        <w:right w:val="none" w:sz="0" w:space="0" w:color="auto"/>
      </w:divBdr>
    </w:div>
    <w:div w:id="825127444">
      <w:bodyDiv w:val="1"/>
      <w:marLeft w:val="0"/>
      <w:marRight w:val="0"/>
      <w:marTop w:val="0"/>
      <w:marBottom w:val="0"/>
      <w:divBdr>
        <w:top w:val="none" w:sz="0" w:space="0" w:color="auto"/>
        <w:left w:val="none" w:sz="0" w:space="0" w:color="auto"/>
        <w:bottom w:val="none" w:sz="0" w:space="0" w:color="auto"/>
        <w:right w:val="none" w:sz="0" w:space="0" w:color="auto"/>
      </w:divBdr>
    </w:div>
    <w:div w:id="829446239">
      <w:bodyDiv w:val="1"/>
      <w:marLeft w:val="0"/>
      <w:marRight w:val="0"/>
      <w:marTop w:val="0"/>
      <w:marBottom w:val="0"/>
      <w:divBdr>
        <w:top w:val="none" w:sz="0" w:space="0" w:color="auto"/>
        <w:left w:val="none" w:sz="0" w:space="0" w:color="auto"/>
        <w:bottom w:val="none" w:sz="0" w:space="0" w:color="auto"/>
        <w:right w:val="none" w:sz="0" w:space="0" w:color="auto"/>
      </w:divBdr>
    </w:div>
    <w:div w:id="837623392">
      <w:bodyDiv w:val="1"/>
      <w:marLeft w:val="0"/>
      <w:marRight w:val="0"/>
      <w:marTop w:val="0"/>
      <w:marBottom w:val="0"/>
      <w:divBdr>
        <w:top w:val="none" w:sz="0" w:space="0" w:color="auto"/>
        <w:left w:val="none" w:sz="0" w:space="0" w:color="auto"/>
        <w:bottom w:val="none" w:sz="0" w:space="0" w:color="auto"/>
        <w:right w:val="none" w:sz="0" w:space="0" w:color="auto"/>
      </w:divBdr>
    </w:div>
    <w:div w:id="839930944">
      <w:bodyDiv w:val="1"/>
      <w:marLeft w:val="0"/>
      <w:marRight w:val="0"/>
      <w:marTop w:val="0"/>
      <w:marBottom w:val="0"/>
      <w:divBdr>
        <w:top w:val="none" w:sz="0" w:space="0" w:color="auto"/>
        <w:left w:val="none" w:sz="0" w:space="0" w:color="auto"/>
        <w:bottom w:val="none" w:sz="0" w:space="0" w:color="auto"/>
        <w:right w:val="none" w:sz="0" w:space="0" w:color="auto"/>
      </w:divBdr>
    </w:div>
    <w:div w:id="843012629">
      <w:bodyDiv w:val="1"/>
      <w:marLeft w:val="0"/>
      <w:marRight w:val="0"/>
      <w:marTop w:val="0"/>
      <w:marBottom w:val="0"/>
      <w:divBdr>
        <w:top w:val="none" w:sz="0" w:space="0" w:color="auto"/>
        <w:left w:val="none" w:sz="0" w:space="0" w:color="auto"/>
        <w:bottom w:val="none" w:sz="0" w:space="0" w:color="auto"/>
        <w:right w:val="none" w:sz="0" w:space="0" w:color="auto"/>
      </w:divBdr>
    </w:div>
    <w:div w:id="850491293">
      <w:bodyDiv w:val="1"/>
      <w:marLeft w:val="0"/>
      <w:marRight w:val="0"/>
      <w:marTop w:val="0"/>
      <w:marBottom w:val="0"/>
      <w:divBdr>
        <w:top w:val="none" w:sz="0" w:space="0" w:color="auto"/>
        <w:left w:val="none" w:sz="0" w:space="0" w:color="auto"/>
        <w:bottom w:val="none" w:sz="0" w:space="0" w:color="auto"/>
        <w:right w:val="none" w:sz="0" w:space="0" w:color="auto"/>
      </w:divBdr>
    </w:div>
    <w:div w:id="852064004">
      <w:bodyDiv w:val="1"/>
      <w:marLeft w:val="0"/>
      <w:marRight w:val="0"/>
      <w:marTop w:val="0"/>
      <w:marBottom w:val="0"/>
      <w:divBdr>
        <w:top w:val="none" w:sz="0" w:space="0" w:color="auto"/>
        <w:left w:val="none" w:sz="0" w:space="0" w:color="auto"/>
        <w:bottom w:val="none" w:sz="0" w:space="0" w:color="auto"/>
        <w:right w:val="none" w:sz="0" w:space="0" w:color="auto"/>
      </w:divBdr>
    </w:div>
    <w:div w:id="853303765">
      <w:bodyDiv w:val="1"/>
      <w:marLeft w:val="0"/>
      <w:marRight w:val="0"/>
      <w:marTop w:val="0"/>
      <w:marBottom w:val="0"/>
      <w:divBdr>
        <w:top w:val="none" w:sz="0" w:space="0" w:color="auto"/>
        <w:left w:val="none" w:sz="0" w:space="0" w:color="auto"/>
        <w:bottom w:val="none" w:sz="0" w:space="0" w:color="auto"/>
        <w:right w:val="none" w:sz="0" w:space="0" w:color="auto"/>
      </w:divBdr>
    </w:div>
    <w:div w:id="859440555">
      <w:bodyDiv w:val="1"/>
      <w:marLeft w:val="0"/>
      <w:marRight w:val="0"/>
      <w:marTop w:val="0"/>
      <w:marBottom w:val="0"/>
      <w:divBdr>
        <w:top w:val="none" w:sz="0" w:space="0" w:color="auto"/>
        <w:left w:val="none" w:sz="0" w:space="0" w:color="auto"/>
        <w:bottom w:val="none" w:sz="0" w:space="0" w:color="auto"/>
        <w:right w:val="none" w:sz="0" w:space="0" w:color="auto"/>
      </w:divBdr>
    </w:div>
    <w:div w:id="861623809">
      <w:bodyDiv w:val="1"/>
      <w:marLeft w:val="0"/>
      <w:marRight w:val="0"/>
      <w:marTop w:val="0"/>
      <w:marBottom w:val="0"/>
      <w:divBdr>
        <w:top w:val="none" w:sz="0" w:space="0" w:color="auto"/>
        <w:left w:val="none" w:sz="0" w:space="0" w:color="auto"/>
        <w:bottom w:val="none" w:sz="0" w:space="0" w:color="auto"/>
        <w:right w:val="none" w:sz="0" w:space="0" w:color="auto"/>
      </w:divBdr>
    </w:div>
    <w:div w:id="865948648">
      <w:bodyDiv w:val="1"/>
      <w:marLeft w:val="0"/>
      <w:marRight w:val="0"/>
      <w:marTop w:val="0"/>
      <w:marBottom w:val="0"/>
      <w:divBdr>
        <w:top w:val="none" w:sz="0" w:space="0" w:color="auto"/>
        <w:left w:val="none" w:sz="0" w:space="0" w:color="auto"/>
        <w:bottom w:val="none" w:sz="0" w:space="0" w:color="auto"/>
        <w:right w:val="none" w:sz="0" w:space="0" w:color="auto"/>
      </w:divBdr>
    </w:div>
    <w:div w:id="866064199">
      <w:bodyDiv w:val="1"/>
      <w:marLeft w:val="0"/>
      <w:marRight w:val="0"/>
      <w:marTop w:val="0"/>
      <w:marBottom w:val="0"/>
      <w:divBdr>
        <w:top w:val="none" w:sz="0" w:space="0" w:color="auto"/>
        <w:left w:val="none" w:sz="0" w:space="0" w:color="auto"/>
        <w:bottom w:val="none" w:sz="0" w:space="0" w:color="auto"/>
        <w:right w:val="none" w:sz="0" w:space="0" w:color="auto"/>
      </w:divBdr>
    </w:div>
    <w:div w:id="876428242">
      <w:bodyDiv w:val="1"/>
      <w:marLeft w:val="0"/>
      <w:marRight w:val="0"/>
      <w:marTop w:val="0"/>
      <w:marBottom w:val="0"/>
      <w:divBdr>
        <w:top w:val="none" w:sz="0" w:space="0" w:color="auto"/>
        <w:left w:val="none" w:sz="0" w:space="0" w:color="auto"/>
        <w:bottom w:val="none" w:sz="0" w:space="0" w:color="auto"/>
        <w:right w:val="none" w:sz="0" w:space="0" w:color="auto"/>
      </w:divBdr>
    </w:div>
    <w:div w:id="879170976">
      <w:bodyDiv w:val="1"/>
      <w:marLeft w:val="0"/>
      <w:marRight w:val="0"/>
      <w:marTop w:val="0"/>
      <w:marBottom w:val="0"/>
      <w:divBdr>
        <w:top w:val="none" w:sz="0" w:space="0" w:color="auto"/>
        <w:left w:val="none" w:sz="0" w:space="0" w:color="auto"/>
        <w:bottom w:val="none" w:sz="0" w:space="0" w:color="auto"/>
        <w:right w:val="none" w:sz="0" w:space="0" w:color="auto"/>
      </w:divBdr>
    </w:div>
    <w:div w:id="880552849">
      <w:bodyDiv w:val="1"/>
      <w:marLeft w:val="0"/>
      <w:marRight w:val="0"/>
      <w:marTop w:val="0"/>
      <w:marBottom w:val="0"/>
      <w:divBdr>
        <w:top w:val="none" w:sz="0" w:space="0" w:color="auto"/>
        <w:left w:val="none" w:sz="0" w:space="0" w:color="auto"/>
        <w:bottom w:val="none" w:sz="0" w:space="0" w:color="auto"/>
        <w:right w:val="none" w:sz="0" w:space="0" w:color="auto"/>
      </w:divBdr>
    </w:div>
    <w:div w:id="881329413">
      <w:bodyDiv w:val="1"/>
      <w:marLeft w:val="0"/>
      <w:marRight w:val="0"/>
      <w:marTop w:val="0"/>
      <w:marBottom w:val="0"/>
      <w:divBdr>
        <w:top w:val="none" w:sz="0" w:space="0" w:color="auto"/>
        <w:left w:val="none" w:sz="0" w:space="0" w:color="auto"/>
        <w:bottom w:val="none" w:sz="0" w:space="0" w:color="auto"/>
        <w:right w:val="none" w:sz="0" w:space="0" w:color="auto"/>
      </w:divBdr>
    </w:div>
    <w:div w:id="887958569">
      <w:bodyDiv w:val="1"/>
      <w:marLeft w:val="0"/>
      <w:marRight w:val="0"/>
      <w:marTop w:val="0"/>
      <w:marBottom w:val="0"/>
      <w:divBdr>
        <w:top w:val="none" w:sz="0" w:space="0" w:color="auto"/>
        <w:left w:val="none" w:sz="0" w:space="0" w:color="auto"/>
        <w:bottom w:val="none" w:sz="0" w:space="0" w:color="auto"/>
        <w:right w:val="none" w:sz="0" w:space="0" w:color="auto"/>
      </w:divBdr>
    </w:div>
    <w:div w:id="888303655">
      <w:bodyDiv w:val="1"/>
      <w:marLeft w:val="0"/>
      <w:marRight w:val="0"/>
      <w:marTop w:val="0"/>
      <w:marBottom w:val="0"/>
      <w:divBdr>
        <w:top w:val="none" w:sz="0" w:space="0" w:color="auto"/>
        <w:left w:val="none" w:sz="0" w:space="0" w:color="auto"/>
        <w:bottom w:val="none" w:sz="0" w:space="0" w:color="auto"/>
        <w:right w:val="none" w:sz="0" w:space="0" w:color="auto"/>
      </w:divBdr>
    </w:div>
    <w:div w:id="890573722">
      <w:bodyDiv w:val="1"/>
      <w:marLeft w:val="0"/>
      <w:marRight w:val="0"/>
      <w:marTop w:val="0"/>
      <w:marBottom w:val="0"/>
      <w:divBdr>
        <w:top w:val="none" w:sz="0" w:space="0" w:color="auto"/>
        <w:left w:val="none" w:sz="0" w:space="0" w:color="auto"/>
        <w:bottom w:val="none" w:sz="0" w:space="0" w:color="auto"/>
        <w:right w:val="none" w:sz="0" w:space="0" w:color="auto"/>
      </w:divBdr>
    </w:div>
    <w:div w:id="890966475">
      <w:bodyDiv w:val="1"/>
      <w:marLeft w:val="0"/>
      <w:marRight w:val="0"/>
      <w:marTop w:val="0"/>
      <w:marBottom w:val="0"/>
      <w:divBdr>
        <w:top w:val="none" w:sz="0" w:space="0" w:color="auto"/>
        <w:left w:val="none" w:sz="0" w:space="0" w:color="auto"/>
        <w:bottom w:val="none" w:sz="0" w:space="0" w:color="auto"/>
        <w:right w:val="none" w:sz="0" w:space="0" w:color="auto"/>
      </w:divBdr>
    </w:div>
    <w:div w:id="894854385">
      <w:bodyDiv w:val="1"/>
      <w:marLeft w:val="0"/>
      <w:marRight w:val="0"/>
      <w:marTop w:val="0"/>
      <w:marBottom w:val="0"/>
      <w:divBdr>
        <w:top w:val="none" w:sz="0" w:space="0" w:color="auto"/>
        <w:left w:val="none" w:sz="0" w:space="0" w:color="auto"/>
        <w:bottom w:val="none" w:sz="0" w:space="0" w:color="auto"/>
        <w:right w:val="none" w:sz="0" w:space="0" w:color="auto"/>
      </w:divBdr>
    </w:div>
    <w:div w:id="897016606">
      <w:bodyDiv w:val="1"/>
      <w:marLeft w:val="0"/>
      <w:marRight w:val="0"/>
      <w:marTop w:val="0"/>
      <w:marBottom w:val="0"/>
      <w:divBdr>
        <w:top w:val="none" w:sz="0" w:space="0" w:color="auto"/>
        <w:left w:val="none" w:sz="0" w:space="0" w:color="auto"/>
        <w:bottom w:val="none" w:sz="0" w:space="0" w:color="auto"/>
        <w:right w:val="none" w:sz="0" w:space="0" w:color="auto"/>
      </w:divBdr>
    </w:div>
    <w:div w:id="902910985">
      <w:bodyDiv w:val="1"/>
      <w:marLeft w:val="0"/>
      <w:marRight w:val="0"/>
      <w:marTop w:val="0"/>
      <w:marBottom w:val="0"/>
      <w:divBdr>
        <w:top w:val="none" w:sz="0" w:space="0" w:color="auto"/>
        <w:left w:val="none" w:sz="0" w:space="0" w:color="auto"/>
        <w:bottom w:val="none" w:sz="0" w:space="0" w:color="auto"/>
        <w:right w:val="none" w:sz="0" w:space="0" w:color="auto"/>
      </w:divBdr>
    </w:div>
    <w:div w:id="906378715">
      <w:bodyDiv w:val="1"/>
      <w:marLeft w:val="0"/>
      <w:marRight w:val="0"/>
      <w:marTop w:val="0"/>
      <w:marBottom w:val="0"/>
      <w:divBdr>
        <w:top w:val="none" w:sz="0" w:space="0" w:color="auto"/>
        <w:left w:val="none" w:sz="0" w:space="0" w:color="auto"/>
        <w:bottom w:val="none" w:sz="0" w:space="0" w:color="auto"/>
        <w:right w:val="none" w:sz="0" w:space="0" w:color="auto"/>
      </w:divBdr>
    </w:div>
    <w:div w:id="913127741">
      <w:bodyDiv w:val="1"/>
      <w:marLeft w:val="0"/>
      <w:marRight w:val="0"/>
      <w:marTop w:val="0"/>
      <w:marBottom w:val="0"/>
      <w:divBdr>
        <w:top w:val="none" w:sz="0" w:space="0" w:color="auto"/>
        <w:left w:val="none" w:sz="0" w:space="0" w:color="auto"/>
        <w:bottom w:val="none" w:sz="0" w:space="0" w:color="auto"/>
        <w:right w:val="none" w:sz="0" w:space="0" w:color="auto"/>
      </w:divBdr>
    </w:div>
    <w:div w:id="923026452">
      <w:bodyDiv w:val="1"/>
      <w:marLeft w:val="0"/>
      <w:marRight w:val="0"/>
      <w:marTop w:val="0"/>
      <w:marBottom w:val="0"/>
      <w:divBdr>
        <w:top w:val="none" w:sz="0" w:space="0" w:color="auto"/>
        <w:left w:val="none" w:sz="0" w:space="0" w:color="auto"/>
        <w:bottom w:val="none" w:sz="0" w:space="0" w:color="auto"/>
        <w:right w:val="none" w:sz="0" w:space="0" w:color="auto"/>
      </w:divBdr>
    </w:div>
    <w:div w:id="939604105">
      <w:bodyDiv w:val="1"/>
      <w:marLeft w:val="0"/>
      <w:marRight w:val="0"/>
      <w:marTop w:val="0"/>
      <w:marBottom w:val="0"/>
      <w:divBdr>
        <w:top w:val="none" w:sz="0" w:space="0" w:color="auto"/>
        <w:left w:val="none" w:sz="0" w:space="0" w:color="auto"/>
        <w:bottom w:val="none" w:sz="0" w:space="0" w:color="auto"/>
        <w:right w:val="none" w:sz="0" w:space="0" w:color="auto"/>
      </w:divBdr>
    </w:div>
    <w:div w:id="944193808">
      <w:bodyDiv w:val="1"/>
      <w:marLeft w:val="0"/>
      <w:marRight w:val="0"/>
      <w:marTop w:val="0"/>
      <w:marBottom w:val="0"/>
      <w:divBdr>
        <w:top w:val="none" w:sz="0" w:space="0" w:color="auto"/>
        <w:left w:val="none" w:sz="0" w:space="0" w:color="auto"/>
        <w:bottom w:val="none" w:sz="0" w:space="0" w:color="auto"/>
        <w:right w:val="none" w:sz="0" w:space="0" w:color="auto"/>
      </w:divBdr>
    </w:div>
    <w:div w:id="949238221">
      <w:bodyDiv w:val="1"/>
      <w:marLeft w:val="0"/>
      <w:marRight w:val="0"/>
      <w:marTop w:val="0"/>
      <w:marBottom w:val="0"/>
      <w:divBdr>
        <w:top w:val="none" w:sz="0" w:space="0" w:color="auto"/>
        <w:left w:val="none" w:sz="0" w:space="0" w:color="auto"/>
        <w:bottom w:val="none" w:sz="0" w:space="0" w:color="auto"/>
        <w:right w:val="none" w:sz="0" w:space="0" w:color="auto"/>
      </w:divBdr>
    </w:div>
    <w:div w:id="957685942">
      <w:bodyDiv w:val="1"/>
      <w:marLeft w:val="0"/>
      <w:marRight w:val="0"/>
      <w:marTop w:val="0"/>
      <w:marBottom w:val="0"/>
      <w:divBdr>
        <w:top w:val="none" w:sz="0" w:space="0" w:color="auto"/>
        <w:left w:val="none" w:sz="0" w:space="0" w:color="auto"/>
        <w:bottom w:val="none" w:sz="0" w:space="0" w:color="auto"/>
        <w:right w:val="none" w:sz="0" w:space="0" w:color="auto"/>
      </w:divBdr>
    </w:div>
    <w:div w:id="960768600">
      <w:bodyDiv w:val="1"/>
      <w:marLeft w:val="0"/>
      <w:marRight w:val="0"/>
      <w:marTop w:val="0"/>
      <w:marBottom w:val="0"/>
      <w:divBdr>
        <w:top w:val="none" w:sz="0" w:space="0" w:color="auto"/>
        <w:left w:val="none" w:sz="0" w:space="0" w:color="auto"/>
        <w:bottom w:val="none" w:sz="0" w:space="0" w:color="auto"/>
        <w:right w:val="none" w:sz="0" w:space="0" w:color="auto"/>
      </w:divBdr>
    </w:div>
    <w:div w:id="971179625">
      <w:bodyDiv w:val="1"/>
      <w:marLeft w:val="0"/>
      <w:marRight w:val="0"/>
      <w:marTop w:val="0"/>
      <w:marBottom w:val="0"/>
      <w:divBdr>
        <w:top w:val="none" w:sz="0" w:space="0" w:color="auto"/>
        <w:left w:val="none" w:sz="0" w:space="0" w:color="auto"/>
        <w:bottom w:val="none" w:sz="0" w:space="0" w:color="auto"/>
        <w:right w:val="none" w:sz="0" w:space="0" w:color="auto"/>
      </w:divBdr>
    </w:div>
    <w:div w:id="972827608">
      <w:bodyDiv w:val="1"/>
      <w:marLeft w:val="0"/>
      <w:marRight w:val="0"/>
      <w:marTop w:val="0"/>
      <w:marBottom w:val="0"/>
      <w:divBdr>
        <w:top w:val="none" w:sz="0" w:space="0" w:color="auto"/>
        <w:left w:val="none" w:sz="0" w:space="0" w:color="auto"/>
        <w:bottom w:val="none" w:sz="0" w:space="0" w:color="auto"/>
        <w:right w:val="none" w:sz="0" w:space="0" w:color="auto"/>
      </w:divBdr>
    </w:div>
    <w:div w:id="975332306">
      <w:bodyDiv w:val="1"/>
      <w:marLeft w:val="0"/>
      <w:marRight w:val="0"/>
      <w:marTop w:val="0"/>
      <w:marBottom w:val="0"/>
      <w:divBdr>
        <w:top w:val="none" w:sz="0" w:space="0" w:color="auto"/>
        <w:left w:val="none" w:sz="0" w:space="0" w:color="auto"/>
        <w:bottom w:val="none" w:sz="0" w:space="0" w:color="auto"/>
        <w:right w:val="none" w:sz="0" w:space="0" w:color="auto"/>
      </w:divBdr>
    </w:div>
    <w:div w:id="976253810">
      <w:bodyDiv w:val="1"/>
      <w:marLeft w:val="0"/>
      <w:marRight w:val="0"/>
      <w:marTop w:val="0"/>
      <w:marBottom w:val="0"/>
      <w:divBdr>
        <w:top w:val="none" w:sz="0" w:space="0" w:color="auto"/>
        <w:left w:val="none" w:sz="0" w:space="0" w:color="auto"/>
        <w:bottom w:val="none" w:sz="0" w:space="0" w:color="auto"/>
        <w:right w:val="none" w:sz="0" w:space="0" w:color="auto"/>
      </w:divBdr>
    </w:div>
    <w:div w:id="981497876">
      <w:bodyDiv w:val="1"/>
      <w:marLeft w:val="0"/>
      <w:marRight w:val="0"/>
      <w:marTop w:val="0"/>
      <w:marBottom w:val="0"/>
      <w:divBdr>
        <w:top w:val="none" w:sz="0" w:space="0" w:color="auto"/>
        <w:left w:val="none" w:sz="0" w:space="0" w:color="auto"/>
        <w:bottom w:val="none" w:sz="0" w:space="0" w:color="auto"/>
        <w:right w:val="none" w:sz="0" w:space="0" w:color="auto"/>
      </w:divBdr>
    </w:div>
    <w:div w:id="983126048">
      <w:bodyDiv w:val="1"/>
      <w:marLeft w:val="0"/>
      <w:marRight w:val="0"/>
      <w:marTop w:val="0"/>
      <w:marBottom w:val="0"/>
      <w:divBdr>
        <w:top w:val="none" w:sz="0" w:space="0" w:color="auto"/>
        <w:left w:val="none" w:sz="0" w:space="0" w:color="auto"/>
        <w:bottom w:val="none" w:sz="0" w:space="0" w:color="auto"/>
        <w:right w:val="none" w:sz="0" w:space="0" w:color="auto"/>
      </w:divBdr>
    </w:div>
    <w:div w:id="985940982">
      <w:bodyDiv w:val="1"/>
      <w:marLeft w:val="0"/>
      <w:marRight w:val="0"/>
      <w:marTop w:val="0"/>
      <w:marBottom w:val="0"/>
      <w:divBdr>
        <w:top w:val="none" w:sz="0" w:space="0" w:color="auto"/>
        <w:left w:val="none" w:sz="0" w:space="0" w:color="auto"/>
        <w:bottom w:val="none" w:sz="0" w:space="0" w:color="auto"/>
        <w:right w:val="none" w:sz="0" w:space="0" w:color="auto"/>
      </w:divBdr>
      <w:divsChild>
        <w:div w:id="1017930310">
          <w:marLeft w:val="0"/>
          <w:marRight w:val="0"/>
          <w:marTop w:val="130"/>
          <w:marBottom w:val="195"/>
          <w:divBdr>
            <w:top w:val="none" w:sz="0" w:space="0" w:color="auto"/>
            <w:left w:val="none" w:sz="0" w:space="0" w:color="auto"/>
            <w:bottom w:val="none" w:sz="0" w:space="0" w:color="auto"/>
            <w:right w:val="none" w:sz="0" w:space="0" w:color="auto"/>
          </w:divBdr>
        </w:div>
      </w:divsChild>
    </w:div>
    <w:div w:id="993685692">
      <w:bodyDiv w:val="1"/>
      <w:marLeft w:val="0"/>
      <w:marRight w:val="0"/>
      <w:marTop w:val="0"/>
      <w:marBottom w:val="0"/>
      <w:divBdr>
        <w:top w:val="none" w:sz="0" w:space="0" w:color="auto"/>
        <w:left w:val="none" w:sz="0" w:space="0" w:color="auto"/>
        <w:bottom w:val="none" w:sz="0" w:space="0" w:color="auto"/>
        <w:right w:val="none" w:sz="0" w:space="0" w:color="auto"/>
      </w:divBdr>
    </w:div>
    <w:div w:id="999234931">
      <w:bodyDiv w:val="1"/>
      <w:marLeft w:val="0"/>
      <w:marRight w:val="0"/>
      <w:marTop w:val="0"/>
      <w:marBottom w:val="0"/>
      <w:divBdr>
        <w:top w:val="none" w:sz="0" w:space="0" w:color="auto"/>
        <w:left w:val="none" w:sz="0" w:space="0" w:color="auto"/>
        <w:bottom w:val="none" w:sz="0" w:space="0" w:color="auto"/>
        <w:right w:val="none" w:sz="0" w:space="0" w:color="auto"/>
      </w:divBdr>
    </w:div>
    <w:div w:id="1001928781">
      <w:bodyDiv w:val="1"/>
      <w:marLeft w:val="0"/>
      <w:marRight w:val="0"/>
      <w:marTop w:val="0"/>
      <w:marBottom w:val="0"/>
      <w:divBdr>
        <w:top w:val="none" w:sz="0" w:space="0" w:color="auto"/>
        <w:left w:val="none" w:sz="0" w:space="0" w:color="auto"/>
        <w:bottom w:val="none" w:sz="0" w:space="0" w:color="auto"/>
        <w:right w:val="none" w:sz="0" w:space="0" w:color="auto"/>
      </w:divBdr>
    </w:div>
    <w:div w:id="1002853640">
      <w:bodyDiv w:val="1"/>
      <w:marLeft w:val="0"/>
      <w:marRight w:val="0"/>
      <w:marTop w:val="0"/>
      <w:marBottom w:val="0"/>
      <w:divBdr>
        <w:top w:val="none" w:sz="0" w:space="0" w:color="auto"/>
        <w:left w:val="none" w:sz="0" w:space="0" w:color="auto"/>
        <w:bottom w:val="none" w:sz="0" w:space="0" w:color="auto"/>
        <w:right w:val="none" w:sz="0" w:space="0" w:color="auto"/>
      </w:divBdr>
    </w:div>
    <w:div w:id="1004552204">
      <w:bodyDiv w:val="1"/>
      <w:marLeft w:val="0"/>
      <w:marRight w:val="0"/>
      <w:marTop w:val="0"/>
      <w:marBottom w:val="0"/>
      <w:divBdr>
        <w:top w:val="none" w:sz="0" w:space="0" w:color="auto"/>
        <w:left w:val="none" w:sz="0" w:space="0" w:color="auto"/>
        <w:bottom w:val="none" w:sz="0" w:space="0" w:color="auto"/>
        <w:right w:val="none" w:sz="0" w:space="0" w:color="auto"/>
      </w:divBdr>
    </w:div>
    <w:div w:id="1006900652">
      <w:bodyDiv w:val="1"/>
      <w:marLeft w:val="0"/>
      <w:marRight w:val="0"/>
      <w:marTop w:val="0"/>
      <w:marBottom w:val="0"/>
      <w:divBdr>
        <w:top w:val="none" w:sz="0" w:space="0" w:color="auto"/>
        <w:left w:val="none" w:sz="0" w:space="0" w:color="auto"/>
        <w:bottom w:val="none" w:sz="0" w:space="0" w:color="auto"/>
        <w:right w:val="none" w:sz="0" w:space="0" w:color="auto"/>
      </w:divBdr>
    </w:div>
    <w:div w:id="1009527661">
      <w:bodyDiv w:val="1"/>
      <w:marLeft w:val="0"/>
      <w:marRight w:val="0"/>
      <w:marTop w:val="0"/>
      <w:marBottom w:val="0"/>
      <w:divBdr>
        <w:top w:val="none" w:sz="0" w:space="0" w:color="auto"/>
        <w:left w:val="none" w:sz="0" w:space="0" w:color="auto"/>
        <w:bottom w:val="none" w:sz="0" w:space="0" w:color="auto"/>
        <w:right w:val="none" w:sz="0" w:space="0" w:color="auto"/>
      </w:divBdr>
    </w:div>
    <w:div w:id="1010177533">
      <w:bodyDiv w:val="1"/>
      <w:marLeft w:val="0"/>
      <w:marRight w:val="0"/>
      <w:marTop w:val="0"/>
      <w:marBottom w:val="0"/>
      <w:divBdr>
        <w:top w:val="none" w:sz="0" w:space="0" w:color="auto"/>
        <w:left w:val="none" w:sz="0" w:space="0" w:color="auto"/>
        <w:bottom w:val="none" w:sz="0" w:space="0" w:color="auto"/>
        <w:right w:val="none" w:sz="0" w:space="0" w:color="auto"/>
      </w:divBdr>
    </w:div>
    <w:div w:id="1014573080">
      <w:bodyDiv w:val="1"/>
      <w:marLeft w:val="0"/>
      <w:marRight w:val="0"/>
      <w:marTop w:val="0"/>
      <w:marBottom w:val="0"/>
      <w:divBdr>
        <w:top w:val="none" w:sz="0" w:space="0" w:color="auto"/>
        <w:left w:val="none" w:sz="0" w:space="0" w:color="auto"/>
        <w:bottom w:val="none" w:sz="0" w:space="0" w:color="auto"/>
        <w:right w:val="none" w:sz="0" w:space="0" w:color="auto"/>
      </w:divBdr>
    </w:div>
    <w:div w:id="1018581713">
      <w:bodyDiv w:val="1"/>
      <w:marLeft w:val="0"/>
      <w:marRight w:val="0"/>
      <w:marTop w:val="0"/>
      <w:marBottom w:val="0"/>
      <w:divBdr>
        <w:top w:val="none" w:sz="0" w:space="0" w:color="auto"/>
        <w:left w:val="none" w:sz="0" w:space="0" w:color="auto"/>
        <w:bottom w:val="none" w:sz="0" w:space="0" w:color="auto"/>
        <w:right w:val="none" w:sz="0" w:space="0" w:color="auto"/>
      </w:divBdr>
    </w:div>
    <w:div w:id="1021474907">
      <w:bodyDiv w:val="1"/>
      <w:marLeft w:val="0"/>
      <w:marRight w:val="0"/>
      <w:marTop w:val="0"/>
      <w:marBottom w:val="0"/>
      <w:divBdr>
        <w:top w:val="none" w:sz="0" w:space="0" w:color="auto"/>
        <w:left w:val="none" w:sz="0" w:space="0" w:color="auto"/>
        <w:bottom w:val="none" w:sz="0" w:space="0" w:color="auto"/>
        <w:right w:val="none" w:sz="0" w:space="0" w:color="auto"/>
      </w:divBdr>
    </w:div>
    <w:div w:id="1021928555">
      <w:bodyDiv w:val="1"/>
      <w:marLeft w:val="0"/>
      <w:marRight w:val="0"/>
      <w:marTop w:val="0"/>
      <w:marBottom w:val="0"/>
      <w:divBdr>
        <w:top w:val="none" w:sz="0" w:space="0" w:color="auto"/>
        <w:left w:val="none" w:sz="0" w:space="0" w:color="auto"/>
        <w:bottom w:val="none" w:sz="0" w:space="0" w:color="auto"/>
        <w:right w:val="none" w:sz="0" w:space="0" w:color="auto"/>
      </w:divBdr>
    </w:div>
    <w:div w:id="1022895535">
      <w:bodyDiv w:val="1"/>
      <w:marLeft w:val="0"/>
      <w:marRight w:val="0"/>
      <w:marTop w:val="0"/>
      <w:marBottom w:val="0"/>
      <w:divBdr>
        <w:top w:val="none" w:sz="0" w:space="0" w:color="auto"/>
        <w:left w:val="none" w:sz="0" w:space="0" w:color="auto"/>
        <w:bottom w:val="none" w:sz="0" w:space="0" w:color="auto"/>
        <w:right w:val="none" w:sz="0" w:space="0" w:color="auto"/>
      </w:divBdr>
    </w:div>
    <w:div w:id="1023895287">
      <w:bodyDiv w:val="1"/>
      <w:marLeft w:val="0"/>
      <w:marRight w:val="0"/>
      <w:marTop w:val="0"/>
      <w:marBottom w:val="0"/>
      <w:divBdr>
        <w:top w:val="none" w:sz="0" w:space="0" w:color="auto"/>
        <w:left w:val="none" w:sz="0" w:space="0" w:color="auto"/>
        <w:bottom w:val="none" w:sz="0" w:space="0" w:color="auto"/>
        <w:right w:val="none" w:sz="0" w:space="0" w:color="auto"/>
      </w:divBdr>
    </w:div>
    <w:div w:id="1028532763">
      <w:bodyDiv w:val="1"/>
      <w:marLeft w:val="0"/>
      <w:marRight w:val="0"/>
      <w:marTop w:val="0"/>
      <w:marBottom w:val="0"/>
      <w:divBdr>
        <w:top w:val="none" w:sz="0" w:space="0" w:color="auto"/>
        <w:left w:val="none" w:sz="0" w:space="0" w:color="auto"/>
        <w:bottom w:val="none" w:sz="0" w:space="0" w:color="auto"/>
        <w:right w:val="none" w:sz="0" w:space="0" w:color="auto"/>
      </w:divBdr>
    </w:div>
    <w:div w:id="1030180319">
      <w:bodyDiv w:val="1"/>
      <w:marLeft w:val="0"/>
      <w:marRight w:val="0"/>
      <w:marTop w:val="0"/>
      <w:marBottom w:val="0"/>
      <w:divBdr>
        <w:top w:val="none" w:sz="0" w:space="0" w:color="auto"/>
        <w:left w:val="none" w:sz="0" w:space="0" w:color="auto"/>
        <w:bottom w:val="none" w:sz="0" w:space="0" w:color="auto"/>
        <w:right w:val="none" w:sz="0" w:space="0" w:color="auto"/>
      </w:divBdr>
    </w:div>
    <w:div w:id="1042484496">
      <w:bodyDiv w:val="1"/>
      <w:marLeft w:val="0"/>
      <w:marRight w:val="0"/>
      <w:marTop w:val="0"/>
      <w:marBottom w:val="0"/>
      <w:divBdr>
        <w:top w:val="none" w:sz="0" w:space="0" w:color="auto"/>
        <w:left w:val="none" w:sz="0" w:space="0" w:color="auto"/>
        <w:bottom w:val="none" w:sz="0" w:space="0" w:color="auto"/>
        <w:right w:val="none" w:sz="0" w:space="0" w:color="auto"/>
      </w:divBdr>
    </w:div>
    <w:div w:id="1051730638">
      <w:bodyDiv w:val="1"/>
      <w:marLeft w:val="0"/>
      <w:marRight w:val="0"/>
      <w:marTop w:val="0"/>
      <w:marBottom w:val="0"/>
      <w:divBdr>
        <w:top w:val="none" w:sz="0" w:space="0" w:color="auto"/>
        <w:left w:val="none" w:sz="0" w:space="0" w:color="auto"/>
        <w:bottom w:val="none" w:sz="0" w:space="0" w:color="auto"/>
        <w:right w:val="none" w:sz="0" w:space="0" w:color="auto"/>
      </w:divBdr>
    </w:div>
    <w:div w:id="1052657169">
      <w:bodyDiv w:val="1"/>
      <w:marLeft w:val="0"/>
      <w:marRight w:val="0"/>
      <w:marTop w:val="0"/>
      <w:marBottom w:val="0"/>
      <w:divBdr>
        <w:top w:val="none" w:sz="0" w:space="0" w:color="auto"/>
        <w:left w:val="none" w:sz="0" w:space="0" w:color="auto"/>
        <w:bottom w:val="none" w:sz="0" w:space="0" w:color="auto"/>
        <w:right w:val="none" w:sz="0" w:space="0" w:color="auto"/>
      </w:divBdr>
    </w:div>
    <w:div w:id="1055011580">
      <w:bodyDiv w:val="1"/>
      <w:marLeft w:val="0"/>
      <w:marRight w:val="0"/>
      <w:marTop w:val="0"/>
      <w:marBottom w:val="0"/>
      <w:divBdr>
        <w:top w:val="none" w:sz="0" w:space="0" w:color="auto"/>
        <w:left w:val="none" w:sz="0" w:space="0" w:color="auto"/>
        <w:bottom w:val="none" w:sz="0" w:space="0" w:color="auto"/>
        <w:right w:val="none" w:sz="0" w:space="0" w:color="auto"/>
      </w:divBdr>
    </w:div>
    <w:div w:id="1057053440">
      <w:bodyDiv w:val="1"/>
      <w:marLeft w:val="0"/>
      <w:marRight w:val="0"/>
      <w:marTop w:val="0"/>
      <w:marBottom w:val="0"/>
      <w:divBdr>
        <w:top w:val="none" w:sz="0" w:space="0" w:color="auto"/>
        <w:left w:val="none" w:sz="0" w:space="0" w:color="auto"/>
        <w:bottom w:val="none" w:sz="0" w:space="0" w:color="auto"/>
        <w:right w:val="none" w:sz="0" w:space="0" w:color="auto"/>
      </w:divBdr>
    </w:div>
    <w:div w:id="1076323291">
      <w:bodyDiv w:val="1"/>
      <w:marLeft w:val="0"/>
      <w:marRight w:val="0"/>
      <w:marTop w:val="0"/>
      <w:marBottom w:val="0"/>
      <w:divBdr>
        <w:top w:val="none" w:sz="0" w:space="0" w:color="auto"/>
        <w:left w:val="none" w:sz="0" w:space="0" w:color="auto"/>
        <w:bottom w:val="none" w:sz="0" w:space="0" w:color="auto"/>
        <w:right w:val="none" w:sz="0" w:space="0" w:color="auto"/>
      </w:divBdr>
    </w:div>
    <w:div w:id="1085492938">
      <w:bodyDiv w:val="1"/>
      <w:marLeft w:val="0"/>
      <w:marRight w:val="0"/>
      <w:marTop w:val="0"/>
      <w:marBottom w:val="0"/>
      <w:divBdr>
        <w:top w:val="none" w:sz="0" w:space="0" w:color="auto"/>
        <w:left w:val="none" w:sz="0" w:space="0" w:color="auto"/>
        <w:bottom w:val="none" w:sz="0" w:space="0" w:color="auto"/>
        <w:right w:val="none" w:sz="0" w:space="0" w:color="auto"/>
      </w:divBdr>
    </w:div>
    <w:div w:id="1095521317">
      <w:bodyDiv w:val="1"/>
      <w:marLeft w:val="0"/>
      <w:marRight w:val="0"/>
      <w:marTop w:val="0"/>
      <w:marBottom w:val="0"/>
      <w:divBdr>
        <w:top w:val="none" w:sz="0" w:space="0" w:color="auto"/>
        <w:left w:val="none" w:sz="0" w:space="0" w:color="auto"/>
        <w:bottom w:val="none" w:sz="0" w:space="0" w:color="auto"/>
        <w:right w:val="none" w:sz="0" w:space="0" w:color="auto"/>
      </w:divBdr>
    </w:div>
    <w:div w:id="1098520280">
      <w:bodyDiv w:val="1"/>
      <w:marLeft w:val="0"/>
      <w:marRight w:val="0"/>
      <w:marTop w:val="0"/>
      <w:marBottom w:val="0"/>
      <w:divBdr>
        <w:top w:val="none" w:sz="0" w:space="0" w:color="auto"/>
        <w:left w:val="none" w:sz="0" w:space="0" w:color="auto"/>
        <w:bottom w:val="none" w:sz="0" w:space="0" w:color="auto"/>
        <w:right w:val="none" w:sz="0" w:space="0" w:color="auto"/>
      </w:divBdr>
    </w:div>
    <w:div w:id="1103038297">
      <w:bodyDiv w:val="1"/>
      <w:marLeft w:val="0"/>
      <w:marRight w:val="0"/>
      <w:marTop w:val="0"/>
      <w:marBottom w:val="0"/>
      <w:divBdr>
        <w:top w:val="none" w:sz="0" w:space="0" w:color="auto"/>
        <w:left w:val="none" w:sz="0" w:space="0" w:color="auto"/>
        <w:bottom w:val="none" w:sz="0" w:space="0" w:color="auto"/>
        <w:right w:val="none" w:sz="0" w:space="0" w:color="auto"/>
      </w:divBdr>
    </w:div>
    <w:div w:id="1106777447">
      <w:bodyDiv w:val="1"/>
      <w:marLeft w:val="0"/>
      <w:marRight w:val="0"/>
      <w:marTop w:val="0"/>
      <w:marBottom w:val="0"/>
      <w:divBdr>
        <w:top w:val="none" w:sz="0" w:space="0" w:color="auto"/>
        <w:left w:val="none" w:sz="0" w:space="0" w:color="auto"/>
        <w:bottom w:val="none" w:sz="0" w:space="0" w:color="auto"/>
        <w:right w:val="none" w:sz="0" w:space="0" w:color="auto"/>
      </w:divBdr>
    </w:div>
    <w:div w:id="1106925187">
      <w:bodyDiv w:val="1"/>
      <w:marLeft w:val="0"/>
      <w:marRight w:val="0"/>
      <w:marTop w:val="0"/>
      <w:marBottom w:val="0"/>
      <w:divBdr>
        <w:top w:val="none" w:sz="0" w:space="0" w:color="auto"/>
        <w:left w:val="none" w:sz="0" w:space="0" w:color="auto"/>
        <w:bottom w:val="none" w:sz="0" w:space="0" w:color="auto"/>
        <w:right w:val="none" w:sz="0" w:space="0" w:color="auto"/>
      </w:divBdr>
    </w:div>
    <w:div w:id="1109081077">
      <w:bodyDiv w:val="1"/>
      <w:marLeft w:val="0"/>
      <w:marRight w:val="0"/>
      <w:marTop w:val="0"/>
      <w:marBottom w:val="0"/>
      <w:divBdr>
        <w:top w:val="none" w:sz="0" w:space="0" w:color="auto"/>
        <w:left w:val="none" w:sz="0" w:space="0" w:color="auto"/>
        <w:bottom w:val="none" w:sz="0" w:space="0" w:color="auto"/>
        <w:right w:val="none" w:sz="0" w:space="0" w:color="auto"/>
      </w:divBdr>
      <w:divsChild>
        <w:div w:id="1229652235">
          <w:marLeft w:val="0"/>
          <w:marRight w:val="0"/>
          <w:marTop w:val="0"/>
          <w:marBottom w:val="0"/>
          <w:divBdr>
            <w:top w:val="none" w:sz="0" w:space="0" w:color="auto"/>
            <w:left w:val="none" w:sz="0" w:space="0" w:color="auto"/>
            <w:bottom w:val="none" w:sz="0" w:space="0" w:color="auto"/>
            <w:right w:val="none" w:sz="0" w:space="0" w:color="auto"/>
          </w:divBdr>
        </w:div>
      </w:divsChild>
    </w:div>
    <w:div w:id="1110932529">
      <w:bodyDiv w:val="1"/>
      <w:marLeft w:val="0"/>
      <w:marRight w:val="0"/>
      <w:marTop w:val="0"/>
      <w:marBottom w:val="0"/>
      <w:divBdr>
        <w:top w:val="none" w:sz="0" w:space="0" w:color="auto"/>
        <w:left w:val="none" w:sz="0" w:space="0" w:color="auto"/>
        <w:bottom w:val="none" w:sz="0" w:space="0" w:color="auto"/>
        <w:right w:val="none" w:sz="0" w:space="0" w:color="auto"/>
      </w:divBdr>
    </w:div>
    <w:div w:id="1111166954">
      <w:bodyDiv w:val="1"/>
      <w:marLeft w:val="0"/>
      <w:marRight w:val="0"/>
      <w:marTop w:val="0"/>
      <w:marBottom w:val="0"/>
      <w:divBdr>
        <w:top w:val="none" w:sz="0" w:space="0" w:color="auto"/>
        <w:left w:val="none" w:sz="0" w:space="0" w:color="auto"/>
        <w:bottom w:val="none" w:sz="0" w:space="0" w:color="auto"/>
        <w:right w:val="none" w:sz="0" w:space="0" w:color="auto"/>
      </w:divBdr>
    </w:div>
    <w:div w:id="1112095746">
      <w:bodyDiv w:val="1"/>
      <w:marLeft w:val="0"/>
      <w:marRight w:val="0"/>
      <w:marTop w:val="0"/>
      <w:marBottom w:val="0"/>
      <w:divBdr>
        <w:top w:val="none" w:sz="0" w:space="0" w:color="auto"/>
        <w:left w:val="none" w:sz="0" w:space="0" w:color="auto"/>
        <w:bottom w:val="none" w:sz="0" w:space="0" w:color="auto"/>
        <w:right w:val="none" w:sz="0" w:space="0" w:color="auto"/>
      </w:divBdr>
    </w:div>
    <w:div w:id="1115566034">
      <w:bodyDiv w:val="1"/>
      <w:marLeft w:val="0"/>
      <w:marRight w:val="0"/>
      <w:marTop w:val="0"/>
      <w:marBottom w:val="0"/>
      <w:divBdr>
        <w:top w:val="none" w:sz="0" w:space="0" w:color="auto"/>
        <w:left w:val="none" w:sz="0" w:space="0" w:color="auto"/>
        <w:bottom w:val="none" w:sz="0" w:space="0" w:color="auto"/>
        <w:right w:val="none" w:sz="0" w:space="0" w:color="auto"/>
      </w:divBdr>
    </w:div>
    <w:div w:id="1128545473">
      <w:bodyDiv w:val="1"/>
      <w:marLeft w:val="0"/>
      <w:marRight w:val="0"/>
      <w:marTop w:val="0"/>
      <w:marBottom w:val="0"/>
      <w:divBdr>
        <w:top w:val="none" w:sz="0" w:space="0" w:color="auto"/>
        <w:left w:val="none" w:sz="0" w:space="0" w:color="auto"/>
        <w:bottom w:val="none" w:sz="0" w:space="0" w:color="auto"/>
        <w:right w:val="none" w:sz="0" w:space="0" w:color="auto"/>
      </w:divBdr>
    </w:div>
    <w:div w:id="1137722160">
      <w:bodyDiv w:val="1"/>
      <w:marLeft w:val="0"/>
      <w:marRight w:val="0"/>
      <w:marTop w:val="0"/>
      <w:marBottom w:val="0"/>
      <w:divBdr>
        <w:top w:val="none" w:sz="0" w:space="0" w:color="auto"/>
        <w:left w:val="none" w:sz="0" w:space="0" w:color="auto"/>
        <w:bottom w:val="none" w:sz="0" w:space="0" w:color="auto"/>
        <w:right w:val="none" w:sz="0" w:space="0" w:color="auto"/>
      </w:divBdr>
    </w:div>
    <w:div w:id="1155681157">
      <w:bodyDiv w:val="1"/>
      <w:marLeft w:val="0"/>
      <w:marRight w:val="0"/>
      <w:marTop w:val="0"/>
      <w:marBottom w:val="0"/>
      <w:divBdr>
        <w:top w:val="none" w:sz="0" w:space="0" w:color="auto"/>
        <w:left w:val="none" w:sz="0" w:space="0" w:color="auto"/>
        <w:bottom w:val="none" w:sz="0" w:space="0" w:color="auto"/>
        <w:right w:val="none" w:sz="0" w:space="0" w:color="auto"/>
      </w:divBdr>
    </w:div>
    <w:div w:id="1155998985">
      <w:bodyDiv w:val="1"/>
      <w:marLeft w:val="0"/>
      <w:marRight w:val="0"/>
      <w:marTop w:val="0"/>
      <w:marBottom w:val="0"/>
      <w:divBdr>
        <w:top w:val="none" w:sz="0" w:space="0" w:color="auto"/>
        <w:left w:val="none" w:sz="0" w:space="0" w:color="auto"/>
        <w:bottom w:val="none" w:sz="0" w:space="0" w:color="auto"/>
        <w:right w:val="none" w:sz="0" w:space="0" w:color="auto"/>
      </w:divBdr>
    </w:div>
    <w:div w:id="1164666353">
      <w:bodyDiv w:val="1"/>
      <w:marLeft w:val="0"/>
      <w:marRight w:val="0"/>
      <w:marTop w:val="0"/>
      <w:marBottom w:val="0"/>
      <w:divBdr>
        <w:top w:val="none" w:sz="0" w:space="0" w:color="auto"/>
        <w:left w:val="none" w:sz="0" w:space="0" w:color="auto"/>
        <w:bottom w:val="none" w:sz="0" w:space="0" w:color="auto"/>
        <w:right w:val="none" w:sz="0" w:space="0" w:color="auto"/>
      </w:divBdr>
    </w:div>
    <w:div w:id="1170486521">
      <w:bodyDiv w:val="1"/>
      <w:marLeft w:val="0"/>
      <w:marRight w:val="0"/>
      <w:marTop w:val="0"/>
      <w:marBottom w:val="0"/>
      <w:divBdr>
        <w:top w:val="none" w:sz="0" w:space="0" w:color="auto"/>
        <w:left w:val="none" w:sz="0" w:space="0" w:color="auto"/>
        <w:bottom w:val="none" w:sz="0" w:space="0" w:color="auto"/>
        <w:right w:val="none" w:sz="0" w:space="0" w:color="auto"/>
      </w:divBdr>
    </w:div>
    <w:div w:id="1173841893">
      <w:bodyDiv w:val="1"/>
      <w:marLeft w:val="0"/>
      <w:marRight w:val="0"/>
      <w:marTop w:val="0"/>
      <w:marBottom w:val="0"/>
      <w:divBdr>
        <w:top w:val="none" w:sz="0" w:space="0" w:color="auto"/>
        <w:left w:val="none" w:sz="0" w:space="0" w:color="auto"/>
        <w:bottom w:val="none" w:sz="0" w:space="0" w:color="auto"/>
        <w:right w:val="none" w:sz="0" w:space="0" w:color="auto"/>
      </w:divBdr>
    </w:div>
    <w:div w:id="1177960377">
      <w:bodyDiv w:val="1"/>
      <w:marLeft w:val="0"/>
      <w:marRight w:val="0"/>
      <w:marTop w:val="0"/>
      <w:marBottom w:val="0"/>
      <w:divBdr>
        <w:top w:val="none" w:sz="0" w:space="0" w:color="auto"/>
        <w:left w:val="none" w:sz="0" w:space="0" w:color="auto"/>
        <w:bottom w:val="none" w:sz="0" w:space="0" w:color="auto"/>
        <w:right w:val="none" w:sz="0" w:space="0" w:color="auto"/>
      </w:divBdr>
    </w:div>
    <w:div w:id="1180195469">
      <w:bodyDiv w:val="1"/>
      <w:marLeft w:val="0"/>
      <w:marRight w:val="0"/>
      <w:marTop w:val="0"/>
      <w:marBottom w:val="0"/>
      <w:divBdr>
        <w:top w:val="none" w:sz="0" w:space="0" w:color="auto"/>
        <w:left w:val="none" w:sz="0" w:space="0" w:color="auto"/>
        <w:bottom w:val="none" w:sz="0" w:space="0" w:color="auto"/>
        <w:right w:val="none" w:sz="0" w:space="0" w:color="auto"/>
      </w:divBdr>
    </w:div>
    <w:div w:id="1182553652">
      <w:bodyDiv w:val="1"/>
      <w:marLeft w:val="0"/>
      <w:marRight w:val="0"/>
      <w:marTop w:val="0"/>
      <w:marBottom w:val="0"/>
      <w:divBdr>
        <w:top w:val="none" w:sz="0" w:space="0" w:color="auto"/>
        <w:left w:val="none" w:sz="0" w:space="0" w:color="auto"/>
        <w:bottom w:val="none" w:sz="0" w:space="0" w:color="auto"/>
        <w:right w:val="none" w:sz="0" w:space="0" w:color="auto"/>
      </w:divBdr>
    </w:div>
    <w:div w:id="1184319895">
      <w:bodyDiv w:val="1"/>
      <w:marLeft w:val="0"/>
      <w:marRight w:val="0"/>
      <w:marTop w:val="0"/>
      <w:marBottom w:val="0"/>
      <w:divBdr>
        <w:top w:val="none" w:sz="0" w:space="0" w:color="auto"/>
        <w:left w:val="none" w:sz="0" w:space="0" w:color="auto"/>
        <w:bottom w:val="none" w:sz="0" w:space="0" w:color="auto"/>
        <w:right w:val="none" w:sz="0" w:space="0" w:color="auto"/>
      </w:divBdr>
    </w:div>
    <w:div w:id="1186015650">
      <w:bodyDiv w:val="1"/>
      <w:marLeft w:val="0"/>
      <w:marRight w:val="0"/>
      <w:marTop w:val="0"/>
      <w:marBottom w:val="0"/>
      <w:divBdr>
        <w:top w:val="none" w:sz="0" w:space="0" w:color="auto"/>
        <w:left w:val="none" w:sz="0" w:space="0" w:color="auto"/>
        <w:bottom w:val="none" w:sz="0" w:space="0" w:color="auto"/>
        <w:right w:val="none" w:sz="0" w:space="0" w:color="auto"/>
      </w:divBdr>
    </w:div>
    <w:div w:id="1196963654">
      <w:bodyDiv w:val="1"/>
      <w:marLeft w:val="0"/>
      <w:marRight w:val="0"/>
      <w:marTop w:val="0"/>
      <w:marBottom w:val="0"/>
      <w:divBdr>
        <w:top w:val="none" w:sz="0" w:space="0" w:color="auto"/>
        <w:left w:val="none" w:sz="0" w:space="0" w:color="auto"/>
        <w:bottom w:val="none" w:sz="0" w:space="0" w:color="auto"/>
        <w:right w:val="none" w:sz="0" w:space="0" w:color="auto"/>
      </w:divBdr>
    </w:div>
    <w:div w:id="1204515462">
      <w:bodyDiv w:val="1"/>
      <w:marLeft w:val="0"/>
      <w:marRight w:val="0"/>
      <w:marTop w:val="0"/>
      <w:marBottom w:val="0"/>
      <w:divBdr>
        <w:top w:val="none" w:sz="0" w:space="0" w:color="auto"/>
        <w:left w:val="none" w:sz="0" w:space="0" w:color="auto"/>
        <w:bottom w:val="none" w:sz="0" w:space="0" w:color="auto"/>
        <w:right w:val="none" w:sz="0" w:space="0" w:color="auto"/>
      </w:divBdr>
    </w:div>
    <w:div w:id="1207335149">
      <w:bodyDiv w:val="1"/>
      <w:marLeft w:val="0"/>
      <w:marRight w:val="0"/>
      <w:marTop w:val="0"/>
      <w:marBottom w:val="0"/>
      <w:divBdr>
        <w:top w:val="none" w:sz="0" w:space="0" w:color="auto"/>
        <w:left w:val="none" w:sz="0" w:space="0" w:color="auto"/>
        <w:bottom w:val="none" w:sz="0" w:space="0" w:color="auto"/>
        <w:right w:val="none" w:sz="0" w:space="0" w:color="auto"/>
      </w:divBdr>
    </w:div>
    <w:div w:id="1213074087">
      <w:bodyDiv w:val="1"/>
      <w:marLeft w:val="0"/>
      <w:marRight w:val="0"/>
      <w:marTop w:val="0"/>
      <w:marBottom w:val="0"/>
      <w:divBdr>
        <w:top w:val="none" w:sz="0" w:space="0" w:color="auto"/>
        <w:left w:val="none" w:sz="0" w:space="0" w:color="auto"/>
        <w:bottom w:val="none" w:sz="0" w:space="0" w:color="auto"/>
        <w:right w:val="none" w:sz="0" w:space="0" w:color="auto"/>
      </w:divBdr>
    </w:div>
    <w:div w:id="1253856963">
      <w:bodyDiv w:val="1"/>
      <w:marLeft w:val="0"/>
      <w:marRight w:val="0"/>
      <w:marTop w:val="0"/>
      <w:marBottom w:val="0"/>
      <w:divBdr>
        <w:top w:val="none" w:sz="0" w:space="0" w:color="auto"/>
        <w:left w:val="none" w:sz="0" w:space="0" w:color="auto"/>
        <w:bottom w:val="none" w:sz="0" w:space="0" w:color="auto"/>
        <w:right w:val="none" w:sz="0" w:space="0" w:color="auto"/>
      </w:divBdr>
    </w:div>
    <w:div w:id="1261061069">
      <w:bodyDiv w:val="1"/>
      <w:marLeft w:val="0"/>
      <w:marRight w:val="0"/>
      <w:marTop w:val="0"/>
      <w:marBottom w:val="0"/>
      <w:divBdr>
        <w:top w:val="none" w:sz="0" w:space="0" w:color="auto"/>
        <w:left w:val="none" w:sz="0" w:space="0" w:color="auto"/>
        <w:bottom w:val="none" w:sz="0" w:space="0" w:color="auto"/>
        <w:right w:val="none" w:sz="0" w:space="0" w:color="auto"/>
      </w:divBdr>
    </w:div>
    <w:div w:id="1262686398">
      <w:bodyDiv w:val="1"/>
      <w:marLeft w:val="0"/>
      <w:marRight w:val="0"/>
      <w:marTop w:val="0"/>
      <w:marBottom w:val="0"/>
      <w:divBdr>
        <w:top w:val="none" w:sz="0" w:space="0" w:color="auto"/>
        <w:left w:val="none" w:sz="0" w:space="0" w:color="auto"/>
        <w:bottom w:val="none" w:sz="0" w:space="0" w:color="auto"/>
        <w:right w:val="none" w:sz="0" w:space="0" w:color="auto"/>
      </w:divBdr>
    </w:div>
    <w:div w:id="1271888953">
      <w:bodyDiv w:val="1"/>
      <w:marLeft w:val="0"/>
      <w:marRight w:val="0"/>
      <w:marTop w:val="0"/>
      <w:marBottom w:val="0"/>
      <w:divBdr>
        <w:top w:val="none" w:sz="0" w:space="0" w:color="auto"/>
        <w:left w:val="none" w:sz="0" w:space="0" w:color="auto"/>
        <w:bottom w:val="none" w:sz="0" w:space="0" w:color="auto"/>
        <w:right w:val="none" w:sz="0" w:space="0" w:color="auto"/>
      </w:divBdr>
    </w:div>
    <w:div w:id="1280529608">
      <w:bodyDiv w:val="1"/>
      <w:marLeft w:val="0"/>
      <w:marRight w:val="0"/>
      <w:marTop w:val="0"/>
      <w:marBottom w:val="0"/>
      <w:divBdr>
        <w:top w:val="none" w:sz="0" w:space="0" w:color="auto"/>
        <w:left w:val="none" w:sz="0" w:space="0" w:color="auto"/>
        <w:bottom w:val="none" w:sz="0" w:space="0" w:color="auto"/>
        <w:right w:val="none" w:sz="0" w:space="0" w:color="auto"/>
      </w:divBdr>
    </w:div>
    <w:div w:id="1285842037">
      <w:bodyDiv w:val="1"/>
      <w:marLeft w:val="0"/>
      <w:marRight w:val="0"/>
      <w:marTop w:val="0"/>
      <w:marBottom w:val="0"/>
      <w:divBdr>
        <w:top w:val="none" w:sz="0" w:space="0" w:color="auto"/>
        <w:left w:val="none" w:sz="0" w:space="0" w:color="auto"/>
        <w:bottom w:val="none" w:sz="0" w:space="0" w:color="auto"/>
        <w:right w:val="none" w:sz="0" w:space="0" w:color="auto"/>
      </w:divBdr>
    </w:div>
    <w:div w:id="1290549071">
      <w:bodyDiv w:val="1"/>
      <w:marLeft w:val="0"/>
      <w:marRight w:val="0"/>
      <w:marTop w:val="0"/>
      <w:marBottom w:val="0"/>
      <w:divBdr>
        <w:top w:val="none" w:sz="0" w:space="0" w:color="auto"/>
        <w:left w:val="none" w:sz="0" w:space="0" w:color="auto"/>
        <w:bottom w:val="none" w:sz="0" w:space="0" w:color="auto"/>
        <w:right w:val="none" w:sz="0" w:space="0" w:color="auto"/>
      </w:divBdr>
    </w:div>
    <w:div w:id="1290741186">
      <w:bodyDiv w:val="1"/>
      <w:marLeft w:val="0"/>
      <w:marRight w:val="0"/>
      <w:marTop w:val="0"/>
      <w:marBottom w:val="0"/>
      <w:divBdr>
        <w:top w:val="none" w:sz="0" w:space="0" w:color="auto"/>
        <w:left w:val="none" w:sz="0" w:space="0" w:color="auto"/>
        <w:bottom w:val="none" w:sz="0" w:space="0" w:color="auto"/>
        <w:right w:val="none" w:sz="0" w:space="0" w:color="auto"/>
      </w:divBdr>
    </w:div>
    <w:div w:id="1301306744">
      <w:bodyDiv w:val="1"/>
      <w:marLeft w:val="0"/>
      <w:marRight w:val="0"/>
      <w:marTop w:val="0"/>
      <w:marBottom w:val="0"/>
      <w:divBdr>
        <w:top w:val="none" w:sz="0" w:space="0" w:color="auto"/>
        <w:left w:val="none" w:sz="0" w:space="0" w:color="auto"/>
        <w:bottom w:val="none" w:sz="0" w:space="0" w:color="auto"/>
        <w:right w:val="none" w:sz="0" w:space="0" w:color="auto"/>
      </w:divBdr>
    </w:div>
    <w:div w:id="1308167326">
      <w:bodyDiv w:val="1"/>
      <w:marLeft w:val="0"/>
      <w:marRight w:val="0"/>
      <w:marTop w:val="0"/>
      <w:marBottom w:val="0"/>
      <w:divBdr>
        <w:top w:val="none" w:sz="0" w:space="0" w:color="auto"/>
        <w:left w:val="none" w:sz="0" w:space="0" w:color="auto"/>
        <w:bottom w:val="none" w:sz="0" w:space="0" w:color="auto"/>
        <w:right w:val="none" w:sz="0" w:space="0" w:color="auto"/>
      </w:divBdr>
    </w:div>
    <w:div w:id="1308896349">
      <w:bodyDiv w:val="1"/>
      <w:marLeft w:val="0"/>
      <w:marRight w:val="0"/>
      <w:marTop w:val="0"/>
      <w:marBottom w:val="0"/>
      <w:divBdr>
        <w:top w:val="none" w:sz="0" w:space="0" w:color="auto"/>
        <w:left w:val="none" w:sz="0" w:space="0" w:color="auto"/>
        <w:bottom w:val="none" w:sz="0" w:space="0" w:color="auto"/>
        <w:right w:val="none" w:sz="0" w:space="0" w:color="auto"/>
      </w:divBdr>
    </w:div>
    <w:div w:id="1309821101">
      <w:bodyDiv w:val="1"/>
      <w:marLeft w:val="0"/>
      <w:marRight w:val="0"/>
      <w:marTop w:val="0"/>
      <w:marBottom w:val="0"/>
      <w:divBdr>
        <w:top w:val="none" w:sz="0" w:space="0" w:color="auto"/>
        <w:left w:val="none" w:sz="0" w:space="0" w:color="auto"/>
        <w:bottom w:val="none" w:sz="0" w:space="0" w:color="auto"/>
        <w:right w:val="none" w:sz="0" w:space="0" w:color="auto"/>
      </w:divBdr>
    </w:div>
    <w:div w:id="1310594651">
      <w:bodyDiv w:val="1"/>
      <w:marLeft w:val="0"/>
      <w:marRight w:val="0"/>
      <w:marTop w:val="0"/>
      <w:marBottom w:val="0"/>
      <w:divBdr>
        <w:top w:val="none" w:sz="0" w:space="0" w:color="auto"/>
        <w:left w:val="none" w:sz="0" w:space="0" w:color="auto"/>
        <w:bottom w:val="none" w:sz="0" w:space="0" w:color="auto"/>
        <w:right w:val="none" w:sz="0" w:space="0" w:color="auto"/>
      </w:divBdr>
    </w:div>
    <w:div w:id="1316688547">
      <w:bodyDiv w:val="1"/>
      <w:marLeft w:val="0"/>
      <w:marRight w:val="0"/>
      <w:marTop w:val="0"/>
      <w:marBottom w:val="0"/>
      <w:divBdr>
        <w:top w:val="none" w:sz="0" w:space="0" w:color="auto"/>
        <w:left w:val="none" w:sz="0" w:space="0" w:color="auto"/>
        <w:bottom w:val="none" w:sz="0" w:space="0" w:color="auto"/>
        <w:right w:val="none" w:sz="0" w:space="0" w:color="auto"/>
      </w:divBdr>
    </w:div>
    <w:div w:id="1323388545">
      <w:bodyDiv w:val="1"/>
      <w:marLeft w:val="0"/>
      <w:marRight w:val="0"/>
      <w:marTop w:val="0"/>
      <w:marBottom w:val="0"/>
      <w:divBdr>
        <w:top w:val="none" w:sz="0" w:space="0" w:color="auto"/>
        <w:left w:val="none" w:sz="0" w:space="0" w:color="auto"/>
        <w:bottom w:val="none" w:sz="0" w:space="0" w:color="auto"/>
        <w:right w:val="none" w:sz="0" w:space="0" w:color="auto"/>
      </w:divBdr>
    </w:div>
    <w:div w:id="1331103110">
      <w:bodyDiv w:val="1"/>
      <w:marLeft w:val="0"/>
      <w:marRight w:val="0"/>
      <w:marTop w:val="0"/>
      <w:marBottom w:val="0"/>
      <w:divBdr>
        <w:top w:val="none" w:sz="0" w:space="0" w:color="auto"/>
        <w:left w:val="none" w:sz="0" w:space="0" w:color="auto"/>
        <w:bottom w:val="none" w:sz="0" w:space="0" w:color="auto"/>
        <w:right w:val="none" w:sz="0" w:space="0" w:color="auto"/>
      </w:divBdr>
    </w:div>
    <w:div w:id="1334914209">
      <w:bodyDiv w:val="1"/>
      <w:marLeft w:val="0"/>
      <w:marRight w:val="0"/>
      <w:marTop w:val="0"/>
      <w:marBottom w:val="0"/>
      <w:divBdr>
        <w:top w:val="none" w:sz="0" w:space="0" w:color="auto"/>
        <w:left w:val="none" w:sz="0" w:space="0" w:color="auto"/>
        <w:bottom w:val="none" w:sz="0" w:space="0" w:color="auto"/>
        <w:right w:val="none" w:sz="0" w:space="0" w:color="auto"/>
      </w:divBdr>
    </w:div>
    <w:div w:id="1337490322">
      <w:bodyDiv w:val="1"/>
      <w:marLeft w:val="0"/>
      <w:marRight w:val="0"/>
      <w:marTop w:val="0"/>
      <w:marBottom w:val="0"/>
      <w:divBdr>
        <w:top w:val="none" w:sz="0" w:space="0" w:color="auto"/>
        <w:left w:val="none" w:sz="0" w:space="0" w:color="auto"/>
        <w:bottom w:val="none" w:sz="0" w:space="0" w:color="auto"/>
        <w:right w:val="none" w:sz="0" w:space="0" w:color="auto"/>
      </w:divBdr>
    </w:div>
    <w:div w:id="1339573569">
      <w:bodyDiv w:val="1"/>
      <w:marLeft w:val="0"/>
      <w:marRight w:val="0"/>
      <w:marTop w:val="0"/>
      <w:marBottom w:val="0"/>
      <w:divBdr>
        <w:top w:val="none" w:sz="0" w:space="0" w:color="auto"/>
        <w:left w:val="none" w:sz="0" w:space="0" w:color="auto"/>
        <w:bottom w:val="none" w:sz="0" w:space="0" w:color="auto"/>
        <w:right w:val="none" w:sz="0" w:space="0" w:color="auto"/>
      </w:divBdr>
    </w:div>
    <w:div w:id="1339819034">
      <w:bodyDiv w:val="1"/>
      <w:marLeft w:val="0"/>
      <w:marRight w:val="0"/>
      <w:marTop w:val="0"/>
      <w:marBottom w:val="0"/>
      <w:divBdr>
        <w:top w:val="none" w:sz="0" w:space="0" w:color="auto"/>
        <w:left w:val="none" w:sz="0" w:space="0" w:color="auto"/>
        <w:bottom w:val="none" w:sz="0" w:space="0" w:color="auto"/>
        <w:right w:val="none" w:sz="0" w:space="0" w:color="auto"/>
      </w:divBdr>
    </w:div>
    <w:div w:id="1343360475">
      <w:bodyDiv w:val="1"/>
      <w:marLeft w:val="0"/>
      <w:marRight w:val="0"/>
      <w:marTop w:val="0"/>
      <w:marBottom w:val="0"/>
      <w:divBdr>
        <w:top w:val="none" w:sz="0" w:space="0" w:color="auto"/>
        <w:left w:val="none" w:sz="0" w:space="0" w:color="auto"/>
        <w:bottom w:val="none" w:sz="0" w:space="0" w:color="auto"/>
        <w:right w:val="none" w:sz="0" w:space="0" w:color="auto"/>
      </w:divBdr>
    </w:div>
    <w:div w:id="1349597755">
      <w:bodyDiv w:val="1"/>
      <w:marLeft w:val="0"/>
      <w:marRight w:val="0"/>
      <w:marTop w:val="0"/>
      <w:marBottom w:val="0"/>
      <w:divBdr>
        <w:top w:val="none" w:sz="0" w:space="0" w:color="auto"/>
        <w:left w:val="none" w:sz="0" w:space="0" w:color="auto"/>
        <w:bottom w:val="none" w:sz="0" w:space="0" w:color="auto"/>
        <w:right w:val="none" w:sz="0" w:space="0" w:color="auto"/>
      </w:divBdr>
    </w:div>
    <w:div w:id="1349914609">
      <w:bodyDiv w:val="1"/>
      <w:marLeft w:val="0"/>
      <w:marRight w:val="0"/>
      <w:marTop w:val="0"/>
      <w:marBottom w:val="0"/>
      <w:divBdr>
        <w:top w:val="none" w:sz="0" w:space="0" w:color="auto"/>
        <w:left w:val="none" w:sz="0" w:space="0" w:color="auto"/>
        <w:bottom w:val="none" w:sz="0" w:space="0" w:color="auto"/>
        <w:right w:val="none" w:sz="0" w:space="0" w:color="auto"/>
      </w:divBdr>
    </w:div>
    <w:div w:id="1353264768">
      <w:bodyDiv w:val="1"/>
      <w:marLeft w:val="0"/>
      <w:marRight w:val="0"/>
      <w:marTop w:val="0"/>
      <w:marBottom w:val="0"/>
      <w:divBdr>
        <w:top w:val="none" w:sz="0" w:space="0" w:color="auto"/>
        <w:left w:val="none" w:sz="0" w:space="0" w:color="auto"/>
        <w:bottom w:val="none" w:sz="0" w:space="0" w:color="auto"/>
        <w:right w:val="none" w:sz="0" w:space="0" w:color="auto"/>
      </w:divBdr>
    </w:div>
    <w:div w:id="1356737158">
      <w:bodyDiv w:val="1"/>
      <w:marLeft w:val="0"/>
      <w:marRight w:val="0"/>
      <w:marTop w:val="0"/>
      <w:marBottom w:val="0"/>
      <w:divBdr>
        <w:top w:val="none" w:sz="0" w:space="0" w:color="auto"/>
        <w:left w:val="none" w:sz="0" w:space="0" w:color="auto"/>
        <w:bottom w:val="none" w:sz="0" w:space="0" w:color="auto"/>
        <w:right w:val="none" w:sz="0" w:space="0" w:color="auto"/>
      </w:divBdr>
    </w:div>
    <w:div w:id="1372421724">
      <w:bodyDiv w:val="1"/>
      <w:marLeft w:val="0"/>
      <w:marRight w:val="0"/>
      <w:marTop w:val="0"/>
      <w:marBottom w:val="0"/>
      <w:divBdr>
        <w:top w:val="none" w:sz="0" w:space="0" w:color="auto"/>
        <w:left w:val="none" w:sz="0" w:space="0" w:color="auto"/>
        <w:bottom w:val="none" w:sz="0" w:space="0" w:color="auto"/>
        <w:right w:val="none" w:sz="0" w:space="0" w:color="auto"/>
      </w:divBdr>
    </w:div>
    <w:div w:id="1374378530">
      <w:bodyDiv w:val="1"/>
      <w:marLeft w:val="0"/>
      <w:marRight w:val="0"/>
      <w:marTop w:val="0"/>
      <w:marBottom w:val="0"/>
      <w:divBdr>
        <w:top w:val="none" w:sz="0" w:space="0" w:color="auto"/>
        <w:left w:val="none" w:sz="0" w:space="0" w:color="auto"/>
        <w:bottom w:val="none" w:sz="0" w:space="0" w:color="auto"/>
        <w:right w:val="none" w:sz="0" w:space="0" w:color="auto"/>
      </w:divBdr>
    </w:div>
    <w:div w:id="1381050064">
      <w:bodyDiv w:val="1"/>
      <w:marLeft w:val="0"/>
      <w:marRight w:val="0"/>
      <w:marTop w:val="0"/>
      <w:marBottom w:val="0"/>
      <w:divBdr>
        <w:top w:val="none" w:sz="0" w:space="0" w:color="auto"/>
        <w:left w:val="none" w:sz="0" w:space="0" w:color="auto"/>
        <w:bottom w:val="none" w:sz="0" w:space="0" w:color="auto"/>
        <w:right w:val="none" w:sz="0" w:space="0" w:color="auto"/>
      </w:divBdr>
    </w:div>
    <w:div w:id="1384669863">
      <w:bodyDiv w:val="1"/>
      <w:marLeft w:val="0"/>
      <w:marRight w:val="0"/>
      <w:marTop w:val="0"/>
      <w:marBottom w:val="0"/>
      <w:divBdr>
        <w:top w:val="none" w:sz="0" w:space="0" w:color="auto"/>
        <w:left w:val="none" w:sz="0" w:space="0" w:color="auto"/>
        <w:bottom w:val="none" w:sz="0" w:space="0" w:color="auto"/>
        <w:right w:val="none" w:sz="0" w:space="0" w:color="auto"/>
      </w:divBdr>
    </w:div>
    <w:div w:id="1385790727">
      <w:bodyDiv w:val="1"/>
      <w:marLeft w:val="0"/>
      <w:marRight w:val="0"/>
      <w:marTop w:val="0"/>
      <w:marBottom w:val="0"/>
      <w:divBdr>
        <w:top w:val="none" w:sz="0" w:space="0" w:color="auto"/>
        <w:left w:val="none" w:sz="0" w:space="0" w:color="auto"/>
        <w:bottom w:val="none" w:sz="0" w:space="0" w:color="auto"/>
        <w:right w:val="none" w:sz="0" w:space="0" w:color="auto"/>
      </w:divBdr>
    </w:div>
    <w:div w:id="1387879023">
      <w:bodyDiv w:val="1"/>
      <w:marLeft w:val="0"/>
      <w:marRight w:val="0"/>
      <w:marTop w:val="0"/>
      <w:marBottom w:val="0"/>
      <w:divBdr>
        <w:top w:val="none" w:sz="0" w:space="0" w:color="auto"/>
        <w:left w:val="none" w:sz="0" w:space="0" w:color="auto"/>
        <w:bottom w:val="none" w:sz="0" w:space="0" w:color="auto"/>
        <w:right w:val="none" w:sz="0" w:space="0" w:color="auto"/>
      </w:divBdr>
    </w:div>
    <w:div w:id="1391149383">
      <w:bodyDiv w:val="1"/>
      <w:marLeft w:val="0"/>
      <w:marRight w:val="0"/>
      <w:marTop w:val="0"/>
      <w:marBottom w:val="0"/>
      <w:divBdr>
        <w:top w:val="none" w:sz="0" w:space="0" w:color="auto"/>
        <w:left w:val="none" w:sz="0" w:space="0" w:color="auto"/>
        <w:bottom w:val="none" w:sz="0" w:space="0" w:color="auto"/>
        <w:right w:val="none" w:sz="0" w:space="0" w:color="auto"/>
      </w:divBdr>
    </w:div>
    <w:div w:id="1397895981">
      <w:bodyDiv w:val="1"/>
      <w:marLeft w:val="0"/>
      <w:marRight w:val="0"/>
      <w:marTop w:val="0"/>
      <w:marBottom w:val="0"/>
      <w:divBdr>
        <w:top w:val="none" w:sz="0" w:space="0" w:color="auto"/>
        <w:left w:val="none" w:sz="0" w:space="0" w:color="auto"/>
        <w:bottom w:val="none" w:sz="0" w:space="0" w:color="auto"/>
        <w:right w:val="none" w:sz="0" w:space="0" w:color="auto"/>
      </w:divBdr>
    </w:div>
    <w:div w:id="1407073758">
      <w:bodyDiv w:val="1"/>
      <w:marLeft w:val="0"/>
      <w:marRight w:val="0"/>
      <w:marTop w:val="0"/>
      <w:marBottom w:val="0"/>
      <w:divBdr>
        <w:top w:val="none" w:sz="0" w:space="0" w:color="auto"/>
        <w:left w:val="none" w:sz="0" w:space="0" w:color="auto"/>
        <w:bottom w:val="none" w:sz="0" w:space="0" w:color="auto"/>
        <w:right w:val="none" w:sz="0" w:space="0" w:color="auto"/>
      </w:divBdr>
    </w:div>
    <w:div w:id="1408965069">
      <w:bodyDiv w:val="1"/>
      <w:marLeft w:val="0"/>
      <w:marRight w:val="0"/>
      <w:marTop w:val="0"/>
      <w:marBottom w:val="0"/>
      <w:divBdr>
        <w:top w:val="none" w:sz="0" w:space="0" w:color="auto"/>
        <w:left w:val="none" w:sz="0" w:space="0" w:color="auto"/>
        <w:bottom w:val="none" w:sz="0" w:space="0" w:color="auto"/>
        <w:right w:val="none" w:sz="0" w:space="0" w:color="auto"/>
      </w:divBdr>
    </w:div>
    <w:div w:id="1409424829">
      <w:bodyDiv w:val="1"/>
      <w:marLeft w:val="0"/>
      <w:marRight w:val="0"/>
      <w:marTop w:val="0"/>
      <w:marBottom w:val="0"/>
      <w:divBdr>
        <w:top w:val="none" w:sz="0" w:space="0" w:color="auto"/>
        <w:left w:val="none" w:sz="0" w:space="0" w:color="auto"/>
        <w:bottom w:val="none" w:sz="0" w:space="0" w:color="auto"/>
        <w:right w:val="none" w:sz="0" w:space="0" w:color="auto"/>
      </w:divBdr>
    </w:div>
    <w:div w:id="1411272805">
      <w:bodyDiv w:val="1"/>
      <w:marLeft w:val="0"/>
      <w:marRight w:val="0"/>
      <w:marTop w:val="0"/>
      <w:marBottom w:val="0"/>
      <w:divBdr>
        <w:top w:val="none" w:sz="0" w:space="0" w:color="auto"/>
        <w:left w:val="none" w:sz="0" w:space="0" w:color="auto"/>
        <w:bottom w:val="none" w:sz="0" w:space="0" w:color="auto"/>
        <w:right w:val="none" w:sz="0" w:space="0" w:color="auto"/>
      </w:divBdr>
    </w:div>
    <w:div w:id="1422524468">
      <w:bodyDiv w:val="1"/>
      <w:marLeft w:val="0"/>
      <w:marRight w:val="0"/>
      <w:marTop w:val="0"/>
      <w:marBottom w:val="0"/>
      <w:divBdr>
        <w:top w:val="none" w:sz="0" w:space="0" w:color="auto"/>
        <w:left w:val="none" w:sz="0" w:space="0" w:color="auto"/>
        <w:bottom w:val="none" w:sz="0" w:space="0" w:color="auto"/>
        <w:right w:val="none" w:sz="0" w:space="0" w:color="auto"/>
      </w:divBdr>
    </w:div>
    <w:div w:id="1424494595">
      <w:bodyDiv w:val="1"/>
      <w:marLeft w:val="0"/>
      <w:marRight w:val="0"/>
      <w:marTop w:val="0"/>
      <w:marBottom w:val="0"/>
      <w:divBdr>
        <w:top w:val="none" w:sz="0" w:space="0" w:color="auto"/>
        <w:left w:val="none" w:sz="0" w:space="0" w:color="auto"/>
        <w:bottom w:val="none" w:sz="0" w:space="0" w:color="auto"/>
        <w:right w:val="none" w:sz="0" w:space="0" w:color="auto"/>
      </w:divBdr>
    </w:div>
    <w:div w:id="1427732001">
      <w:bodyDiv w:val="1"/>
      <w:marLeft w:val="0"/>
      <w:marRight w:val="0"/>
      <w:marTop w:val="0"/>
      <w:marBottom w:val="0"/>
      <w:divBdr>
        <w:top w:val="none" w:sz="0" w:space="0" w:color="auto"/>
        <w:left w:val="none" w:sz="0" w:space="0" w:color="auto"/>
        <w:bottom w:val="none" w:sz="0" w:space="0" w:color="auto"/>
        <w:right w:val="none" w:sz="0" w:space="0" w:color="auto"/>
      </w:divBdr>
    </w:div>
    <w:div w:id="1428234253">
      <w:bodyDiv w:val="1"/>
      <w:marLeft w:val="0"/>
      <w:marRight w:val="0"/>
      <w:marTop w:val="0"/>
      <w:marBottom w:val="0"/>
      <w:divBdr>
        <w:top w:val="none" w:sz="0" w:space="0" w:color="auto"/>
        <w:left w:val="none" w:sz="0" w:space="0" w:color="auto"/>
        <w:bottom w:val="none" w:sz="0" w:space="0" w:color="auto"/>
        <w:right w:val="none" w:sz="0" w:space="0" w:color="auto"/>
      </w:divBdr>
    </w:div>
    <w:div w:id="1429500329">
      <w:bodyDiv w:val="1"/>
      <w:marLeft w:val="0"/>
      <w:marRight w:val="0"/>
      <w:marTop w:val="0"/>
      <w:marBottom w:val="0"/>
      <w:divBdr>
        <w:top w:val="none" w:sz="0" w:space="0" w:color="auto"/>
        <w:left w:val="none" w:sz="0" w:space="0" w:color="auto"/>
        <w:bottom w:val="none" w:sz="0" w:space="0" w:color="auto"/>
        <w:right w:val="none" w:sz="0" w:space="0" w:color="auto"/>
      </w:divBdr>
    </w:div>
    <w:div w:id="1432504488">
      <w:bodyDiv w:val="1"/>
      <w:marLeft w:val="0"/>
      <w:marRight w:val="0"/>
      <w:marTop w:val="0"/>
      <w:marBottom w:val="0"/>
      <w:divBdr>
        <w:top w:val="none" w:sz="0" w:space="0" w:color="auto"/>
        <w:left w:val="none" w:sz="0" w:space="0" w:color="auto"/>
        <w:bottom w:val="none" w:sz="0" w:space="0" w:color="auto"/>
        <w:right w:val="none" w:sz="0" w:space="0" w:color="auto"/>
      </w:divBdr>
    </w:div>
    <w:div w:id="1434981522">
      <w:bodyDiv w:val="1"/>
      <w:marLeft w:val="0"/>
      <w:marRight w:val="0"/>
      <w:marTop w:val="0"/>
      <w:marBottom w:val="0"/>
      <w:divBdr>
        <w:top w:val="none" w:sz="0" w:space="0" w:color="auto"/>
        <w:left w:val="none" w:sz="0" w:space="0" w:color="auto"/>
        <w:bottom w:val="none" w:sz="0" w:space="0" w:color="auto"/>
        <w:right w:val="none" w:sz="0" w:space="0" w:color="auto"/>
      </w:divBdr>
    </w:div>
    <w:div w:id="1443914923">
      <w:bodyDiv w:val="1"/>
      <w:marLeft w:val="0"/>
      <w:marRight w:val="0"/>
      <w:marTop w:val="0"/>
      <w:marBottom w:val="0"/>
      <w:divBdr>
        <w:top w:val="none" w:sz="0" w:space="0" w:color="auto"/>
        <w:left w:val="none" w:sz="0" w:space="0" w:color="auto"/>
        <w:bottom w:val="none" w:sz="0" w:space="0" w:color="auto"/>
        <w:right w:val="none" w:sz="0" w:space="0" w:color="auto"/>
      </w:divBdr>
    </w:div>
    <w:div w:id="1444493870">
      <w:bodyDiv w:val="1"/>
      <w:marLeft w:val="0"/>
      <w:marRight w:val="0"/>
      <w:marTop w:val="0"/>
      <w:marBottom w:val="0"/>
      <w:divBdr>
        <w:top w:val="none" w:sz="0" w:space="0" w:color="auto"/>
        <w:left w:val="none" w:sz="0" w:space="0" w:color="auto"/>
        <w:bottom w:val="none" w:sz="0" w:space="0" w:color="auto"/>
        <w:right w:val="none" w:sz="0" w:space="0" w:color="auto"/>
      </w:divBdr>
    </w:div>
    <w:div w:id="1445272168">
      <w:bodyDiv w:val="1"/>
      <w:marLeft w:val="0"/>
      <w:marRight w:val="0"/>
      <w:marTop w:val="0"/>
      <w:marBottom w:val="0"/>
      <w:divBdr>
        <w:top w:val="none" w:sz="0" w:space="0" w:color="auto"/>
        <w:left w:val="none" w:sz="0" w:space="0" w:color="auto"/>
        <w:bottom w:val="none" w:sz="0" w:space="0" w:color="auto"/>
        <w:right w:val="none" w:sz="0" w:space="0" w:color="auto"/>
      </w:divBdr>
    </w:div>
    <w:div w:id="1449735137">
      <w:bodyDiv w:val="1"/>
      <w:marLeft w:val="0"/>
      <w:marRight w:val="0"/>
      <w:marTop w:val="0"/>
      <w:marBottom w:val="0"/>
      <w:divBdr>
        <w:top w:val="none" w:sz="0" w:space="0" w:color="auto"/>
        <w:left w:val="none" w:sz="0" w:space="0" w:color="auto"/>
        <w:bottom w:val="none" w:sz="0" w:space="0" w:color="auto"/>
        <w:right w:val="none" w:sz="0" w:space="0" w:color="auto"/>
      </w:divBdr>
    </w:div>
    <w:div w:id="1455057084">
      <w:bodyDiv w:val="1"/>
      <w:marLeft w:val="0"/>
      <w:marRight w:val="0"/>
      <w:marTop w:val="0"/>
      <w:marBottom w:val="0"/>
      <w:divBdr>
        <w:top w:val="none" w:sz="0" w:space="0" w:color="auto"/>
        <w:left w:val="none" w:sz="0" w:space="0" w:color="auto"/>
        <w:bottom w:val="none" w:sz="0" w:space="0" w:color="auto"/>
        <w:right w:val="none" w:sz="0" w:space="0" w:color="auto"/>
      </w:divBdr>
    </w:div>
    <w:div w:id="1465930422">
      <w:bodyDiv w:val="1"/>
      <w:marLeft w:val="0"/>
      <w:marRight w:val="0"/>
      <w:marTop w:val="0"/>
      <w:marBottom w:val="0"/>
      <w:divBdr>
        <w:top w:val="none" w:sz="0" w:space="0" w:color="auto"/>
        <w:left w:val="none" w:sz="0" w:space="0" w:color="auto"/>
        <w:bottom w:val="none" w:sz="0" w:space="0" w:color="auto"/>
        <w:right w:val="none" w:sz="0" w:space="0" w:color="auto"/>
      </w:divBdr>
    </w:div>
    <w:div w:id="1471824432">
      <w:bodyDiv w:val="1"/>
      <w:marLeft w:val="0"/>
      <w:marRight w:val="0"/>
      <w:marTop w:val="0"/>
      <w:marBottom w:val="0"/>
      <w:divBdr>
        <w:top w:val="none" w:sz="0" w:space="0" w:color="auto"/>
        <w:left w:val="none" w:sz="0" w:space="0" w:color="auto"/>
        <w:bottom w:val="none" w:sz="0" w:space="0" w:color="auto"/>
        <w:right w:val="none" w:sz="0" w:space="0" w:color="auto"/>
      </w:divBdr>
    </w:div>
    <w:div w:id="1475297108">
      <w:bodyDiv w:val="1"/>
      <w:marLeft w:val="0"/>
      <w:marRight w:val="0"/>
      <w:marTop w:val="0"/>
      <w:marBottom w:val="0"/>
      <w:divBdr>
        <w:top w:val="none" w:sz="0" w:space="0" w:color="auto"/>
        <w:left w:val="none" w:sz="0" w:space="0" w:color="auto"/>
        <w:bottom w:val="none" w:sz="0" w:space="0" w:color="auto"/>
        <w:right w:val="none" w:sz="0" w:space="0" w:color="auto"/>
      </w:divBdr>
    </w:div>
    <w:div w:id="1479954821">
      <w:bodyDiv w:val="1"/>
      <w:marLeft w:val="0"/>
      <w:marRight w:val="0"/>
      <w:marTop w:val="0"/>
      <w:marBottom w:val="0"/>
      <w:divBdr>
        <w:top w:val="none" w:sz="0" w:space="0" w:color="auto"/>
        <w:left w:val="none" w:sz="0" w:space="0" w:color="auto"/>
        <w:bottom w:val="none" w:sz="0" w:space="0" w:color="auto"/>
        <w:right w:val="none" w:sz="0" w:space="0" w:color="auto"/>
      </w:divBdr>
    </w:div>
    <w:div w:id="1481919753">
      <w:bodyDiv w:val="1"/>
      <w:marLeft w:val="0"/>
      <w:marRight w:val="0"/>
      <w:marTop w:val="0"/>
      <w:marBottom w:val="0"/>
      <w:divBdr>
        <w:top w:val="none" w:sz="0" w:space="0" w:color="auto"/>
        <w:left w:val="none" w:sz="0" w:space="0" w:color="auto"/>
        <w:bottom w:val="none" w:sz="0" w:space="0" w:color="auto"/>
        <w:right w:val="none" w:sz="0" w:space="0" w:color="auto"/>
      </w:divBdr>
    </w:div>
    <w:div w:id="1483305868">
      <w:bodyDiv w:val="1"/>
      <w:marLeft w:val="0"/>
      <w:marRight w:val="0"/>
      <w:marTop w:val="0"/>
      <w:marBottom w:val="0"/>
      <w:divBdr>
        <w:top w:val="none" w:sz="0" w:space="0" w:color="auto"/>
        <w:left w:val="none" w:sz="0" w:space="0" w:color="auto"/>
        <w:bottom w:val="none" w:sz="0" w:space="0" w:color="auto"/>
        <w:right w:val="none" w:sz="0" w:space="0" w:color="auto"/>
      </w:divBdr>
    </w:div>
    <w:div w:id="1483697688">
      <w:bodyDiv w:val="1"/>
      <w:marLeft w:val="0"/>
      <w:marRight w:val="0"/>
      <w:marTop w:val="0"/>
      <w:marBottom w:val="0"/>
      <w:divBdr>
        <w:top w:val="none" w:sz="0" w:space="0" w:color="auto"/>
        <w:left w:val="none" w:sz="0" w:space="0" w:color="auto"/>
        <w:bottom w:val="none" w:sz="0" w:space="0" w:color="auto"/>
        <w:right w:val="none" w:sz="0" w:space="0" w:color="auto"/>
      </w:divBdr>
    </w:div>
    <w:div w:id="1492215934">
      <w:bodyDiv w:val="1"/>
      <w:marLeft w:val="0"/>
      <w:marRight w:val="0"/>
      <w:marTop w:val="0"/>
      <w:marBottom w:val="0"/>
      <w:divBdr>
        <w:top w:val="none" w:sz="0" w:space="0" w:color="auto"/>
        <w:left w:val="none" w:sz="0" w:space="0" w:color="auto"/>
        <w:bottom w:val="none" w:sz="0" w:space="0" w:color="auto"/>
        <w:right w:val="none" w:sz="0" w:space="0" w:color="auto"/>
      </w:divBdr>
    </w:div>
    <w:div w:id="1493135750">
      <w:bodyDiv w:val="1"/>
      <w:marLeft w:val="0"/>
      <w:marRight w:val="0"/>
      <w:marTop w:val="0"/>
      <w:marBottom w:val="0"/>
      <w:divBdr>
        <w:top w:val="none" w:sz="0" w:space="0" w:color="auto"/>
        <w:left w:val="none" w:sz="0" w:space="0" w:color="auto"/>
        <w:bottom w:val="none" w:sz="0" w:space="0" w:color="auto"/>
        <w:right w:val="none" w:sz="0" w:space="0" w:color="auto"/>
      </w:divBdr>
    </w:div>
    <w:div w:id="1500849950">
      <w:bodyDiv w:val="1"/>
      <w:marLeft w:val="0"/>
      <w:marRight w:val="0"/>
      <w:marTop w:val="0"/>
      <w:marBottom w:val="0"/>
      <w:divBdr>
        <w:top w:val="none" w:sz="0" w:space="0" w:color="auto"/>
        <w:left w:val="none" w:sz="0" w:space="0" w:color="auto"/>
        <w:bottom w:val="none" w:sz="0" w:space="0" w:color="auto"/>
        <w:right w:val="none" w:sz="0" w:space="0" w:color="auto"/>
      </w:divBdr>
    </w:div>
    <w:div w:id="1506747402">
      <w:bodyDiv w:val="1"/>
      <w:marLeft w:val="0"/>
      <w:marRight w:val="0"/>
      <w:marTop w:val="0"/>
      <w:marBottom w:val="0"/>
      <w:divBdr>
        <w:top w:val="none" w:sz="0" w:space="0" w:color="auto"/>
        <w:left w:val="none" w:sz="0" w:space="0" w:color="auto"/>
        <w:bottom w:val="none" w:sz="0" w:space="0" w:color="auto"/>
        <w:right w:val="none" w:sz="0" w:space="0" w:color="auto"/>
      </w:divBdr>
    </w:div>
    <w:div w:id="1510946052">
      <w:bodyDiv w:val="1"/>
      <w:marLeft w:val="0"/>
      <w:marRight w:val="0"/>
      <w:marTop w:val="0"/>
      <w:marBottom w:val="0"/>
      <w:divBdr>
        <w:top w:val="none" w:sz="0" w:space="0" w:color="auto"/>
        <w:left w:val="none" w:sz="0" w:space="0" w:color="auto"/>
        <w:bottom w:val="none" w:sz="0" w:space="0" w:color="auto"/>
        <w:right w:val="none" w:sz="0" w:space="0" w:color="auto"/>
      </w:divBdr>
    </w:div>
    <w:div w:id="1517112049">
      <w:bodyDiv w:val="1"/>
      <w:marLeft w:val="0"/>
      <w:marRight w:val="0"/>
      <w:marTop w:val="0"/>
      <w:marBottom w:val="0"/>
      <w:divBdr>
        <w:top w:val="none" w:sz="0" w:space="0" w:color="auto"/>
        <w:left w:val="none" w:sz="0" w:space="0" w:color="auto"/>
        <w:bottom w:val="none" w:sz="0" w:space="0" w:color="auto"/>
        <w:right w:val="none" w:sz="0" w:space="0" w:color="auto"/>
      </w:divBdr>
    </w:div>
    <w:div w:id="1521623053">
      <w:bodyDiv w:val="1"/>
      <w:marLeft w:val="0"/>
      <w:marRight w:val="0"/>
      <w:marTop w:val="0"/>
      <w:marBottom w:val="0"/>
      <w:divBdr>
        <w:top w:val="none" w:sz="0" w:space="0" w:color="auto"/>
        <w:left w:val="none" w:sz="0" w:space="0" w:color="auto"/>
        <w:bottom w:val="none" w:sz="0" w:space="0" w:color="auto"/>
        <w:right w:val="none" w:sz="0" w:space="0" w:color="auto"/>
      </w:divBdr>
    </w:div>
    <w:div w:id="1545559806">
      <w:bodyDiv w:val="1"/>
      <w:marLeft w:val="0"/>
      <w:marRight w:val="0"/>
      <w:marTop w:val="0"/>
      <w:marBottom w:val="0"/>
      <w:divBdr>
        <w:top w:val="none" w:sz="0" w:space="0" w:color="auto"/>
        <w:left w:val="none" w:sz="0" w:space="0" w:color="auto"/>
        <w:bottom w:val="none" w:sz="0" w:space="0" w:color="auto"/>
        <w:right w:val="none" w:sz="0" w:space="0" w:color="auto"/>
      </w:divBdr>
    </w:div>
    <w:div w:id="1557162461">
      <w:bodyDiv w:val="1"/>
      <w:marLeft w:val="0"/>
      <w:marRight w:val="0"/>
      <w:marTop w:val="0"/>
      <w:marBottom w:val="0"/>
      <w:divBdr>
        <w:top w:val="none" w:sz="0" w:space="0" w:color="auto"/>
        <w:left w:val="none" w:sz="0" w:space="0" w:color="auto"/>
        <w:bottom w:val="none" w:sz="0" w:space="0" w:color="auto"/>
        <w:right w:val="none" w:sz="0" w:space="0" w:color="auto"/>
      </w:divBdr>
    </w:div>
    <w:div w:id="1557739020">
      <w:bodyDiv w:val="1"/>
      <w:marLeft w:val="0"/>
      <w:marRight w:val="0"/>
      <w:marTop w:val="0"/>
      <w:marBottom w:val="0"/>
      <w:divBdr>
        <w:top w:val="none" w:sz="0" w:space="0" w:color="auto"/>
        <w:left w:val="none" w:sz="0" w:space="0" w:color="auto"/>
        <w:bottom w:val="none" w:sz="0" w:space="0" w:color="auto"/>
        <w:right w:val="none" w:sz="0" w:space="0" w:color="auto"/>
      </w:divBdr>
    </w:div>
    <w:div w:id="1566791495">
      <w:bodyDiv w:val="1"/>
      <w:marLeft w:val="0"/>
      <w:marRight w:val="0"/>
      <w:marTop w:val="0"/>
      <w:marBottom w:val="0"/>
      <w:divBdr>
        <w:top w:val="none" w:sz="0" w:space="0" w:color="auto"/>
        <w:left w:val="none" w:sz="0" w:space="0" w:color="auto"/>
        <w:bottom w:val="none" w:sz="0" w:space="0" w:color="auto"/>
        <w:right w:val="none" w:sz="0" w:space="0" w:color="auto"/>
      </w:divBdr>
    </w:div>
    <w:div w:id="1569998548">
      <w:bodyDiv w:val="1"/>
      <w:marLeft w:val="0"/>
      <w:marRight w:val="0"/>
      <w:marTop w:val="0"/>
      <w:marBottom w:val="0"/>
      <w:divBdr>
        <w:top w:val="none" w:sz="0" w:space="0" w:color="auto"/>
        <w:left w:val="none" w:sz="0" w:space="0" w:color="auto"/>
        <w:bottom w:val="none" w:sz="0" w:space="0" w:color="auto"/>
        <w:right w:val="none" w:sz="0" w:space="0" w:color="auto"/>
      </w:divBdr>
    </w:div>
    <w:div w:id="1573008031">
      <w:bodyDiv w:val="1"/>
      <w:marLeft w:val="0"/>
      <w:marRight w:val="0"/>
      <w:marTop w:val="0"/>
      <w:marBottom w:val="0"/>
      <w:divBdr>
        <w:top w:val="none" w:sz="0" w:space="0" w:color="auto"/>
        <w:left w:val="none" w:sz="0" w:space="0" w:color="auto"/>
        <w:bottom w:val="none" w:sz="0" w:space="0" w:color="auto"/>
        <w:right w:val="none" w:sz="0" w:space="0" w:color="auto"/>
      </w:divBdr>
    </w:div>
    <w:div w:id="1575236113">
      <w:bodyDiv w:val="1"/>
      <w:marLeft w:val="0"/>
      <w:marRight w:val="0"/>
      <w:marTop w:val="0"/>
      <w:marBottom w:val="0"/>
      <w:divBdr>
        <w:top w:val="none" w:sz="0" w:space="0" w:color="auto"/>
        <w:left w:val="none" w:sz="0" w:space="0" w:color="auto"/>
        <w:bottom w:val="none" w:sz="0" w:space="0" w:color="auto"/>
        <w:right w:val="none" w:sz="0" w:space="0" w:color="auto"/>
      </w:divBdr>
    </w:div>
    <w:div w:id="1580677271">
      <w:bodyDiv w:val="1"/>
      <w:marLeft w:val="0"/>
      <w:marRight w:val="0"/>
      <w:marTop w:val="0"/>
      <w:marBottom w:val="0"/>
      <w:divBdr>
        <w:top w:val="none" w:sz="0" w:space="0" w:color="auto"/>
        <w:left w:val="none" w:sz="0" w:space="0" w:color="auto"/>
        <w:bottom w:val="none" w:sz="0" w:space="0" w:color="auto"/>
        <w:right w:val="none" w:sz="0" w:space="0" w:color="auto"/>
      </w:divBdr>
    </w:div>
    <w:div w:id="1581597038">
      <w:bodyDiv w:val="1"/>
      <w:marLeft w:val="0"/>
      <w:marRight w:val="0"/>
      <w:marTop w:val="0"/>
      <w:marBottom w:val="0"/>
      <w:divBdr>
        <w:top w:val="none" w:sz="0" w:space="0" w:color="auto"/>
        <w:left w:val="none" w:sz="0" w:space="0" w:color="auto"/>
        <w:bottom w:val="none" w:sz="0" w:space="0" w:color="auto"/>
        <w:right w:val="none" w:sz="0" w:space="0" w:color="auto"/>
      </w:divBdr>
    </w:div>
    <w:div w:id="1583174751">
      <w:bodyDiv w:val="1"/>
      <w:marLeft w:val="0"/>
      <w:marRight w:val="0"/>
      <w:marTop w:val="0"/>
      <w:marBottom w:val="0"/>
      <w:divBdr>
        <w:top w:val="none" w:sz="0" w:space="0" w:color="auto"/>
        <w:left w:val="none" w:sz="0" w:space="0" w:color="auto"/>
        <w:bottom w:val="none" w:sz="0" w:space="0" w:color="auto"/>
        <w:right w:val="none" w:sz="0" w:space="0" w:color="auto"/>
      </w:divBdr>
    </w:div>
    <w:div w:id="1588152853">
      <w:bodyDiv w:val="1"/>
      <w:marLeft w:val="0"/>
      <w:marRight w:val="0"/>
      <w:marTop w:val="0"/>
      <w:marBottom w:val="0"/>
      <w:divBdr>
        <w:top w:val="none" w:sz="0" w:space="0" w:color="auto"/>
        <w:left w:val="none" w:sz="0" w:space="0" w:color="auto"/>
        <w:bottom w:val="none" w:sz="0" w:space="0" w:color="auto"/>
        <w:right w:val="none" w:sz="0" w:space="0" w:color="auto"/>
      </w:divBdr>
    </w:div>
    <w:div w:id="1590656886">
      <w:bodyDiv w:val="1"/>
      <w:marLeft w:val="0"/>
      <w:marRight w:val="0"/>
      <w:marTop w:val="0"/>
      <w:marBottom w:val="0"/>
      <w:divBdr>
        <w:top w:val="none" w:sz="0" w:space="0" w:color="auto"/>
        <w:left w:val="none" w:sz="0" w:space="0" w:color="auto"/>
        <w:bottom w:val="none" w:sz="0" w:space="0" w:color="auto"/>
        <w:right w:val="none" w:sz="0" w:space="0" w:color="auto"/>
      </w:divBdr>
    </w:div>
    <w:div w:id="1594195062">
      <w:bodyDiv w:val="1"/>
      <w:marLeft w:val="0"/>
      <w:marRight w:val="0"/>
      <w:marTop w:val="0"/>
      <w:marBottom w:val="0"/>
      <w:divBdr>
        <w:top w:val="none" w:sz="0" w:space="0" w:color="auto"/>
        <w:left w:val="none" w:sz="0" w:space="0" w:color="auto"/>
        <w:bottom w:val="none" w:sz="0" w:space="0" w:color="auto"/>
        <w:right w:val="none" w:sz="0" w:space="0" w:color="auto"/>
      </w:divBdr>
    </w:div>
    <w:div w:id="1594779159">
      <w:bodyDiv w:val="1"/>
      <w:marLeft w:val="0"/>
      <w:marRight w:val="0"/>
      <w:marTop w:val="0"/>
      <w:marBottom w:val="0"/>
      <w:divBdr>
        <w:top w:val="none" w:sz="0" w:space="0" w:color="auto"/>
        <w:left w:val="none" w:sz="0" w:space="0" w:color="auto"/>
        <w:bottom w:val="none" w:sz="0" w:space="0" w:color="auto"/>
        <w:right w:val="none" w:sz="0" w:space="0" w:color="auto"/>
      </w:divBdr>
    </w:div>
    <w:div w:id="1595438512">
      <w:bodyDiv w:val="1"/>
      <w:marLeft w:val="0"/>
      <w:marRight w:val="0"/>
      <w:marTop w:val="0"/>
      <w:marBottom w:val="0"/>
      <w:divBdr>
        <w:top w:val="none" w:sz="0" w:space="0" w:color="auto"/>
        <w:left w:val="none" w:sz="0" w:space="0" w:color="auto"/>
        <w:bottom w:val="none" w:sz="0" w:space="0" w:color="auto"/>
        <w:right w:val="none" w:sz="0" w:space="0" w:color="auto"/>
      </w:divBdr>
    </w:div>
    <w:div w:id="1600599033">
      <w:bodyDiv w:val="1"/>
      <w:marLeft w:val="0"/>
      <w:marRight w:val="0"/>
      <w:marTop w:val="0"/>
      <w:marBottom w:val="0"/>
      <w:divBdr>
        <w:top w:val="none" w:sz="0" w:space="0" w:color="auto"/>
        <w:left w:val="none" w:sz="0" w:space="0" w:color="auto"/>
        <w:bottom w:val="none" w:sz="0" w:space="0" w:color="auto"/>
        <w:right w:val="none" w:sz="0" w:space="0" w:color="auto"/>
      </w:divBdr>
    </w:div>
    <w:div w:id="1604261970">
      <w:bodyDiv w:val="1"/>
      <w:marLeft w:val="0"/>
      <w:marRight w:val="0"/>
      <w:marTop w:val="0"/>
      <w:marBottom w:val="0"/>
      <w:divBdr>
        <w:top w:val="none" w:sz="0" w:space="0" w:color="auto"/>
        <w:left w:val="none" w:sz="0" w:space="0" w:color="auto"/>
        <w:bottom w:val="none" w:sz="0" w:space="0" w:color="auto"/>
        <w:right w:val="none" w:sz="0" w:space="0" w:color="auto"/>
      </w:divBdr>
    </w:div>
    <w:div w:id="1612129169">
      <w:bodyDiv w:val="1"/>
      <w:marLeft w:val="0"/>
      <w:marRight w:val="0"/>
      <w:marTop w:val="0"/>
      <w:marBottom w:val="0"/>
      <w:divBdr>
        <w:top w:val="none" w:sz="0" w:space="0" w:color="auto"/>
        <w:left w:val="none" w:sz="0" w:space="0" w:color="auto"/>
        <w:bottom w:val="none" w:sz="0" w:space="0" w:color="auto"/>
        <w:right w:val="none" w:sz="0" w:space="0" w:color="auto"/>
      </w:divBdr>
    </w:div>
    <w:div w:id="1619526597">
      <w:bodyDiv w:val="1"/>
      <w:marLeft w:val="0"/>
      <w:marRight w:val="0"/>
      <w:marTop w:val="0"/>
      <w:marBottom w:val="0"/>
      <w:divBdr>
        <w:top w:val="none" w:sz="0" w:space="0" w:color="auto"/>
        <w:left w:val="none" w:sz="0" w:space="0" w:color="auto"/>
        <w:bottom w:val="none" w:sz="0" w:space="0" w:color="auto"/>
        <w:right w:val="none" w:sz="0" w:space="0" w:color="auto"/>
      </w:divBdr>
    </w:div>
    <w:div w:id="1621767350">
      <w:bodyDiv w:val="1"/>
      <w:marLeft w:val="0"/>
      <w:marRight w:val="0"/>
      <w:marTop w:val="0"/>
      <w:marBottom w:val="0"/>
      <w:divBdr>
        <w:top w:val="none" w:sz="0" w:space="0" w:color="auto"/>
        <w:left w:val="none" w:sz="0" w:space="0" w:color="auto"/>
        <w:bottom w:val="none" w:sz="0" w:space="0" w:color="auto"/>
        <w:right w:val="none" w:sz="0" w:space="0" w:color="auto"/>
      </w:divBdr>
    </w:div>
    <w:div w:id="1621834001">
      <w:bodyDiv w:val="1"/>
      <w:marLeft w:val="0"/>
      <w:marRight w:val="0"/>
      <w:marTop w:val="0"/>
      <w:marBottom w:val="0"/>
      <w:divBdr>
        <w:top w:val="none" w:sz="0" w:space="0" w:color="auto"/>
        <w:left w:val="none" w:sz="0" w:space="0" w:color="auto"/>
        <w:bottom w:val="none" w:sz="0" w:space="0" w:color="auto"/>
        <w:right w:val="none" w:sz="0" w:space="0" w:color="auto"/>
      </w:divBdr>
    </w:div>
    <w:div w:id="1623272018">
      <w:bodyDiv w:val="1"/>
      <w:marLeft w:val="0"/>
      <w:marRight w:val="0"/>
      <w:marTop w:val="0"/>
      <w:marBottom w:val="0"/>
      <w:divBdr>
        <w:top w:val="none" w:sz="0" w:space="0" w:color="auto"/>
        <w:left w:val="none" w:sz="0" w:space="0" w:color="auto"/>
        <w:bottom w:val="none" w:sz="0" w:space="0" w:color="auto"/>
        <w:right w:val="none" w:sz="0" w:space="0" w:color="auto"/>
      </w:divBdr>
    </w:div>
    <w:div w:id="1641232859">
      <w:bodyDiv w:val="1"/>
      <w:marLeft w:val="0"/>
      <w:marRight w:val="0"/>
      <w:marTop w:val="0"/>
      <w:marBottom w:val="0"/>
      <w:divBdr>
        <w:top w:val="none" w:sz="0" w:space="0" w:color="auto"/>
        <w:left w:val="none" w:sz="0" w:space="0" w:color="auto"/>
        <w:bottom w:val="none" w:sz="0" w:space="0" w:color="auto"/>
        <w:right w:val="none" w:sz="0" w:space="0" w:color="auto"/>
      </w:divBdr>
    </w:div>
    <w:div w:id="1645164573">
      <w:bodyDiv w:val="1"/>
      <w:marLeft w:val="0"/>
      <w:marRight w:val="0"/>
      <w:marTop w:val="0"/>
      <w:marBottom w:val="0"/>
      <w:divBdr>
        <w:top w:val="none" w:sz="0" w:space="0" w:color="auto"/>
        <w:left w:val="none" w:sz="0" w:space="0" w:color="auto"/>
        <w:bottom w:val="none" w:sz="0" w:space="0" w:color="auto"/>
        <w:right w:val="none" w:sz="0" w:space="0" w:color="auto"/>
      </w:divBdr>
    </w:div>
    <w:div w:id="1654212150">
      <w:bodyDiv w:val="1"/>
      <w:marLeft w:val="0"/>
      <w:marRight w:val="0"/>
      <w:marTop w:val="0"/>
      <w:marBottom w:val="0"/>
      <w:divBdr>
        <w:top w:val="none" w:sz="0" w:space="0" w:color="auto"/>
        <w:left w:val="none" w:sz="0" w:space="0" w:color="auto"/>
        <w:bottom w:val="none" w:sz="0" w:space="0" w:color="auto"/>
        <w:right w:val="none" w:sz="0" w:space="0" w:color="auto"/>
      </w:divBdr>
    </w:div>
    <w:div w:id="1666199852">
      <w:bodyDiv w:val="1"/>
      <w:marLeft w:val="0"/>
      <w:marRight w:val="0"/>
      <w:marTop w:val="0"/>
      <w:marBottom w:val="0"/>
      <w:divBdr>
        <w:top w:val="none" w:sz="0" w:space="0" w:color="auto"/>
        <w:left w:val="none" w:sz="0" w:space="0" w:color="auto"/>
        <w:bottom w:val="none" w:sz="0" w:space="0" w:color="auto"/>
        <w:right w:val="none" w:sz="0" w:space="0" w:color="auto"/>
      </w:divBdr>
    </w:div>
    <w:div w:id="1666280705">
      <w:bodyDiv w:val="1"/>
      <w:marLeft w:val="0"/>
      <w:marRight w:val="0"/>
      <w:marTop w:val="0"/>
      <w:marBottom w:val="0"/>
      <w:divBdr>
        <w:top w:val="none" w:sz="0" w:space="0" w:color="auto"/>
        <w:left w:val="none" w:sz="0" w:space="0" w:color="auto"/>
        <w:bottom w:val="none" w:sz="0" w:space="0" w:color="auto"/>
        <w:right w:val="none" w:sz="0" w:space="0" w:color="auto"/>
      </w:divBdr>
    </w:div>
    <w:div w:id="1667394894">
      <w:bodyDiv w:val="1"/>
      <w:marLeft w:val="0"/>
      <w:marRight w:val="0"/>
      <w:marTop w:val="0"/>
      <w:marBottom w:val="0"/>
      <w:divBdr>
        <w:top w:val="none" w:sz="0" w:space="0" w:color="auto"/>
        <w:left w:val="none" w:sz="0" w:space="0" w:color="auto"/>
        <w:bottom w:val="none" w:sz="0" w:space="0" w:color="auto"/>
        <w:right w:val="none" w:sz="0" w:space="0" w:color="auto"/>
      </w:divBdr>
    </w:div>
    <w:div w:id="1668093301">
      <w:bodyDiv w:val="1"/>
      <w:marLeft w:val="0"/>
      <w:marRight w:val="0"/>
      <w:marTop w:val="0"/>
      <w:marBottom w:val="0"/>
      <w:divBdr>
        <w:top w:val="none" w:sz="0" w:space="0" w:color="auto"/>
        <w:left w:val="none" w:sz="0" w:space="0" w:color="auto"/>
        <w:bottom w:val="none" w:sz="0" w:space="0" w:color="auto"/>
        <w:right w:val="none" w:sz="0" w:space="0" w:color="auto"/>
      </w:divBdr>
    </w:div>
    <w:div w:id="1669557658">
      <w:bodyDiv w:val="1"/>
      <w:marLeft w:val="0"/>
      <w:marRight w:val="0"/>
      <w:marTop w:val="0"/>
      <w:marBottom w:val="0"/>
      <w:divBdr>
        <w:top w:val="none" w:sz="0" w:space="0" w:color="auto"/>
        <w:left w:val="none" w:sz="0" w:space="0" w:color="auto"/>
        <w:bottom w:val="none" w:sz="0" w:space="0" w:color="auto"/>
        <w:right w:val="none" w:sz="0" w:space="0" w:color="auto"/>
      </w:divBdr>
    </w:div>
    <w:div w:id="1677800612">
      <w:bodyDiv w:val="1"/>
      <w:marLeft w:val="0"/>
      <w:marRight w:val="0"/>
      <w:marTop w:val="0"/>
      <w:marBottom w:val="0"/>
      <w:divBdr>
        <w:top w:val="none" w:sz="0" w:space="0" w:color="auto"/>
        <w:left w:val="none" w:sz="0" w:space="0" w:color="auto"/>
        <w:bottom w:val="none" w:sz="0" w:space="0" w:color="auto"/>
        <w:right w:val="none" w:sz="0" w:space="0" w:color="auto"/>
      </w:divBdr>
    </w:div>
    <w:div w:id="1678384896">
      <w:bodyDiv w:val="1"/>
      <w:marLeft w:val="0"/>
      <w:marRight w:val="0"/>
      <w:marTop w:val="0"/>
      <w:marBottom w:val="0"/>
      <w:divBdr>
        <w:top w:val="none" w:sz="0" w:space="0" w:color="auto"/>
        <w:left w:val="none" w:sz="0" w:space="0" w:color="auto"/>
        <w:bottom w:val="none" w:sz="0" w:space="0" w:color="auto"/>
        <w:right w:val="none" w:sz="0" w:space="0" w:color="auto"/>
      </w:divBdr>
    </w:div>
    <w:div w:id="1684431616">
      <w:bodyDiv w:val="1"/>
      <w:marLeft w:val="0"/>
      <w:marRight w:val="0"/>
      <w:marTop w:val="0"/>
      <w:marBottom w:val="0"/>
      <w:divBdr>
        <w:top w:val="none" w:sz="0" w:space="0" w:color="auto"/>
        <w:left w:val="none" w:sz="0" w:space="0" w:color="auto"/>
        <w:bottom w:val="none" w:sz="0" w:space="0" w:color="auto"/>
        <w:right w:val="none" w:sz="0" w:space="0" w:color="auto"/>
      </w:divBdr>
    </w:div>
    <w:div w:id="1685937406">
      <w:bodyDiv w:val="1"/>
      <w:marLeft w:val="0"/>
      <w:marRight w:val="0"/>
      <w:marTop w:val="0"/>
      <w:marBottom w:val="0"/>
      <w:divBdr>
        <w:top w:val="none" w:sz="0" w:space="0" w:color="auto"/>
        <w:left w:val="none" w:sz="0" w:space="0" w:color="auto"/>
        <w:bottom w:val="none" w:sz="0" w:space="0" w:color="auto"/>
        <w:right w:val="none" w:sz="0" w:space="0" w:color="auto"/>
      </w:divBdr>
    </w:div>
    <w:div w:id="1687361987">
      <w:bodyDiv w:val="1"/>
      <w:marLeft w:val="0"/>
      <w:marRight w:val="0"/>
      <w:marTop w:val="0"/>
      <w:marBottom w:val="0"/>
      <w:divBdr>
        <w:top w:val="none" w:sz="0" w:space="0" w:color="auto"/>
        <w:left w:val="none" w:sz="0" w:space="0" w:color="auto"/>
        <w:bottom w:val="none" w:sz="0" w:space="0" w:color="auto"/>
        <w:right w:val="none" w:sz="0" w:space="0" w:color="auto"/>
      </w:divBdr>
    </w:div>
    <w:div w:id="1703628928">
      <w:bodyDiv w:val="1"/>
      <w:marLeft w:val="0"/>
      <w:marRight w:val="0"/>
      <w:marTop w:val="0"/>
      <w:marBottom w:val="0"/>
      <w:divBdr>
        <w:top w:val="none" w:sz="0" w:space="0" w:color="auto"/>
        <w:left w:val="none" w:sz="0" w:space="0" w:color="auto"/>
        <w:bottom w:val="none" w:sz="0" w:space="0" w:color="auto"/>
        <w:right w:val="none" w:sz="0" w:space="0" w:color="auto"/>
      </w:divBdr>
    </w:div>
    <w:div w:id="1704940533">
      <w:bodyDiv w:val="1"/>
      <w:marLeft w:val="0"/>
      <w:marRight w:val="0"/>
      <w:marTop w:val="0"/>
      <w:marBottom w:val="0"/>
      <w:divBdr>
        <w:top w:val="none" w:sz="0" w:space="0" w:color="auto"/>
        <w:left w:val="none" w:sz="0" w:space="0" w:color="auto"/>
        <w:bottom w:val="none" w:sz="0" w:space="0" w:color="auto"/>
        <w:right w:val="none" w:sz="0" w:space="0" w:color="auto"/>
      </w:divBdr>
    </w:div>
    <w:div w:id="1707831605">
      <w:bodyDiv w:val="1"/>
      <w:marLeft w:val="0"/>
      <w:marRight w:val="0"/>
      <w:marTop w:val="0"/>
      <w:marBottom w:val="0"/>
      <w:divBdr>
        <w:top w:val="none" w:sz="0" w:space="0" w:color="auto"/>
        <w:left w:val="none" w:sz="0" w:space="0" w:color="auto"/>
        <w:bottom w:val="none" w:sz="0" w:space="0" w:color="auto"/>
        <w:right w:val="none" w:sz="0" w:space="0" w:color="auto"/>
      </w:divBdr>
    </w:div>
    <w:div w:id="1708986255">
      <w:bodyDiv w:val="1"/>
      <w:marLeft w:val="0"/>
      <w:marRight w:val="0"/>
      <w:marTop w:val="0"/>
      <w:marBottom w:val="0"/>
      <w:divBdr>
        <w:top w:val="none" w:sz="0" w:space="0" w:color="auto"/>
        <w:left w:val="none" w:sz="0" w:space="0" w:color="auto"/>
        <w:bottom w:val="none" w:sz="0" w:space="0" w:color="auto"/>
        <w:right w:val="none" w:sz="0" w:space="0" w:color="auto"/>
      </w:divBdr>
    </w:div>
    <w:div w:id="1712999734">
      <w:bodyDiv w:val="1"/>
      <w:marLeft w:val="0"/>
      <w:marRight w:val="0"/>
      <w:marTop w:val="0"/>
      <w:marBottom w:val="0"/>
      <w:divBdr>
        <w:top w:val="none" w:sz="0" w:space="0" w:color="auto"/>
        <w:left w:val="none" w:sz="0" w:space="0" w:color="auto"/>
        <w:bottom w:val="none" w:sz="0" w:space="0" w:color="auto"/>
        <w:right w:val="none" w:sz="0" w:space="0" w:color="auto"/>
      </w:divBdr>
    </w:div>
    <w:div w:id="1719740543">
      <w:bodyDiv w:val="1"/>
      <w:marLeft w:val="0"/>
      <w:marRight w:val="0"/>
      <w:marTop w:val="0"/>
      <w:marBottom w:val="0"/>
      <w:divBdr>
        <w:top w:val="none" w:sz="0" w:space="0" w:color="auto"/>
        <w:left w:val="none" w:sz="0" w:space="0" w:color="auto"/>
        <w:bottom w:val="none" w:sz="0" w:space="0" w:color="auto"/>
        <w:right w:val="none" w:sz="0" w:space="0" w:color="auto"/>
      </w:divBdr>
    </w:div>
    <w:div w:id="1727801839">
      <w:bodyDiv w:val="1"/>
      <w:marLeft w:val="0"/>
      <w:marRight w:val="0"/>
      <w:marTop w:val="0"/>
      <w:marBottom w:val="0"/>
      <w:divBdr>
        <w:top w:val="none" w:sz="0" w:space="0" w:color="auto"/>
        <w:left w:val="none" w:sz="0" w:space="0" w:color="auto"/>
        <w:bottom w:val="none" w:sz="0" w:space="0" w:color="auto"/>
        <w:right w:val="none" w:sz="0" w:space="0" w:color="auto"/>
      </w:divBdr>
    </w:div>
    <w:div w:id="1730181845">
      <w:bodyDiv w:val="1"/>
      <w:marLeft w:val="0"/>
      <w:marRight w:val="0"/>
      <w:marTop w:val="0"/>
      <w:marBottom w:val="0"/>
      <w:divBdr>
        <w:top w:val="none" w:sz="0" w:space="0" w:color="auto"/>
        <w:left w:val="none" w:sz="0" w:space="0" w:color="auto"/>
        <w:bottom w:val="none" w:sz="0" w:space="0" w:color="auto"/>
        <w:right w:val="none" w:sz="0" w:space="0" w:color="auto"/>
      </w:divBdr>
    </w:div>
    <w:div w:id="1743138776">
      <w:bodyDiv w:val="1"/>
      <w:marLeft w:val="0"/>
      <w:marRight w:val="0"/>
      <w:marTop w:val="0"/>
      <w:marBottom w:val="0"/>
      <w:divBdr>
        <w:top w:val="none" w:sz="0" w:space="0" w:color="auto"/>
        <w:left w:val="none" w:sz="0" w:space="0" w:color="auto"/>
        <w:bottom w:val="none" w:sz="0" w:space="0" w:color="auto"/>
        <w:right w:val="none" w:sz="0" w:space="0" w:color="auto"/>
      </w:divBdr>
    </w:div>
    <w:div w:id="1746101190">
      <w:bodyDiv w:val="1"/>
      <w:marLeft w:val="0"/>
      <w:marRight w:val="0"/>
      <w:marTop w:val="0"/>
      <w:marBottom w:val="0"/>
      <w:divBdr>
        <w:top w:val="none" w:sz="0" w:space="0" w:color="auto"/>
        <w:left w:val="none" w:sz="0" w:space="0" w:color="auto"/>
        <w:bottom w:val="none" w:sz="0" w:space="0" w:color="auto"/>
        <w:right w:val="none" w:sz="0" w:space="0" w:color="auto"/>
      </w:divBdr>
    </w:div>
    <w:div w:id="1753239035">
      <w:bodyDiv w:val="1"/>
      <w:marLeft w:val="0"/>
      <w:marRight w:val="0"/>
      <w:marTop w:val="0"/>
      <w:marBottom w:val="0"/>
      <w:divBdr>
        <w:top w:val="none" w:sz="0" w:space="0" w:color="auto"/>
        <w:left w:val="none" w:sz="0" w:space="0" w:color="auto"/>
        <w:bottom w:val="none" w:sz="0" w:space="0" w:color="auto"/>
        <w:right w:val="none" w:sz="0" w:space="0" w:color="auto"/>
      </w:divBdr>
    </w:div>
    <w:div w:id="1756629085">
      <w:bodyDiv w:val="1"/>
      <w:marLeft w:val="0"/>
      <w:marRight w:val="0"/>
      <w:marTop w:val="0"/>
      <w:marBottom w:val="0"/>
      <w:divBdr>
        <w:top w:val="none" w:sz="0" w:space="0" w:color="auto"/>
        <w:left w:val="none" w:sz="0" w:space="0" w:color="auto"/>
        <w:bottom w:val="none" w:sz="0" w:space="0" w:color="auto"/>
        <w:right w:val="none" w:sz="0" w:space="0" w:color="auto"/>
      </w:divBdr>
    </w:div>
    <w:div w:id="1760446511">
      <w:bodyDiv w:val="1"/>
      <w:marLeft w:val="0"/>
      <w:marRight w:val="0"/>
      <w:marTop w:val="0"/>
      <w:marBottom w:val="0"/>
      <w:divBdr>
        <w:top w:val="none" w:sz="0" w:space="0" w:color="auto"/>
        <w:left w:val="none" w:sz="0" w:space="0" w:color="auto"/>
        <w:bottom w:val="none" w:sz="0" w:space="0" w:color="auto"/>
        <w:right w:val="none" w:sz="0" w:space="0" w:color="auto"/>
      </w:divBdr>
    </w:div>
    <w:div w:id="1763456768">
      <w:bodyDiv w:val="1"/>
      <w:marLeft w:val="0"/>
      <w:marRight w:val="0"/>
      <w:marTop w:val="0"/>
      <w:marBottom w:val="0"/>
      <w:divBdr>
        <w:top w:val="none" w:sz="0" w:space="0" w:color="auto"/>
        <w:left w:val="none" w:sz="0" w:space="0" w:color="auto"/>
        <w:bottom w:val="none" w:sz="0" w:space="0" w:color="auto"/>
        <w:right w:val="none" w:sz="0" w:space="0" w:color="auto"/>
      </w:divBdr>
    </w:div>
    <w:div w:id="1764758774">
      <w:bodyDiv w:val="1"/>
      <w:marLeft w:val="0"/>
      <w:marRight w:val="0"/>
      <w:marTop w:val="0"/>
      <w:marBottom w:val="0"/>
      <w:divBdr>
        <w:top w:val="none" w:sz="0" w:space="0" w:color="auto"/>
        <w:left w:val="none" w:sz="0" w:space="0" w:color="auto"/>
        <w:bottom w:val="none" w:sz="0" w:space="0" w:color="auto"/>
        <w:right w:val="none" w:sz="0" w:space="0" w:color="auto"/>
      </w:divBdr>
    </w:div>
    <w:div w:id="1770736977">
      <w:bodyDiv w:val="1"/>
      <w:marLeft w:val="0"/>
      <w:marRight w:val="0"/>
      <w:marTop w:val="0"/>
      <w:marBottom w:val="0"/>
      <w:divBdr>
        <w:top w:val="none" w:sz="0" w:space="0" w:color="auto"/>
        <w:left w:val="none" w:sz="0" w:space="0" w:color="auto"/>
        <w:bottom w:val="none" w:sz="0" w:space="0" w:color="auto"/>
        <w:right w:val="none" w:sz="0" w:space="0" w:color="auto"/>
      </w:divBdr>
    </w:div>
    <w:div w:id="1771314285">
      <w:bodyDiv w:val="1"/>
      <w:marLeft w:val="0"/>
      <w:marRight w:val="0"/>
      <w:marTop w:val="0"/>
      <w:marBottom w:val="0"/>
      <w:divBdr>
        <w:top w:val="none" w:sz="0" w:space="0" w:color="auto"/>
        <w:left w:val="none" w:sz="0" w:space="0" w:color="auto"/>
        <w:bottom w:val="none" w:sz="0" w:space="0" w:color="auto"/>
        <w:right w:val="none" w:sz="0" w:space="0" w:color="auto"/>
      </w:divBdr>
    </w:div>
    <w:div w:id="1777945642">
      <w:bodyDiv w:val="1"/>
      <w:marLeft w:val="0"/>
      <w:marRight w:val="0"/>
      <w:marTop w:val="0"/>
      <w:marBottom w:val="0"/>
      <w:divBdr>
        <w:top w:val="none" w:sz="0" w:space="0" w:color="auto"/>
        <w:left w:val="none" w:sz="0" w:space="0" w:color="auto"/>
        <w:bottom w:val="none" w:sz="0" w:space="0" w:color="auto"/>
        <w:right w:val="none" w:sz="0" w:space="0" w:color="auto"/>
      </w:divBdr>
    </w:div>
    <w:div w:id="1780487862">
      <w:bodyDiv w:val="1"/>
      <w:marLeft w:val="0"/>
      <w:marRight w:val="0"/>
      <w:marTop w:val="0"/>
      <w:marBottom w:val="0"/>
      <w:divBdr>
        <w:top w:val="none" w:sz="0" w:space="0" w:color="auto"/>
        <w:left w:val="none" w:sz="0" w:space="0" w:color="auto"/>
        <w:bottom w:val="none" w:sz="0" w:space="0" w:color="auto"/>
        <w:right w:val="none" w:sz="0" w:space="0" w:color="auto"/>
      </w:divBdr>
    </w:div>
    <w:div w:id="1781409020">
      <w:bodyDiv w:val="1"/>
      <w:marLeft w:val="0"/>
      <w:marRight w:val="0"/>
      <w:marTop w:val="0"/>
      <w:marBottom w:val="0"/>
      <w:divBdr>
        <w:top w:val="none" w:sz="0" w:space="0" w:color="auto"/>
        <w:left w:val="none" w:sz="0" w:space="0" w:color="auto"/>
        <w:bottom w:val="none" w:sz="0" w:space="0" w:color="auto"/>
        <w:right w:val="none" w:sz="0" w:space="0" w:color="auto"/>
      </w:divBdr>
    </w:div>
    <w:div w:id="1803617822">
      <w:bodyDiv w:val="1"/>
      <w:marLeft w:val="0"/>
      <w:marRight w:val="0"/>
      <w:marTop w:val="0"/>
      <w:marBottom w:val="0"/>
      <w:divBdr>
        <w:top w:val="none" w:sz="0" w:space="0" w:color="auto"/>
        <w:left w:val="none" w:sz="0" w:space="0" w:color="auto"/>
        <w:bottom w:val="none" w:sz="0" w:space="0" w:color="auto"/>
        <w:right w:val="none" w:sz="0" w:space="0" w:color="auto"/>
      </w:divBdr>
    </w:div>
    <w:div w:id="1807576605">
      <w:bodyDiv w:val="1"/>
      <w:marLeft w:val="0"/>
      <w:marRight w:val="0"/>
      <w:marTop w:val="0"/>
      <w:marBottom w:val="0"/>
      <w:divBdr>
        <w:top w:val="none" w:sz="0" w:space="0" w:color="auto"/>
        <w:left w:val="none" w:sz="0" w:space="0" w:color="auto"/>
        <w:bottom w:val="none" w:sz="0" w:space="0" w:color="auto"/>
        <w:right w:val="none" w:sz="0" w:space="0" w:color="auto"/>
      </w:divBdr>
      <w:divsChild>
        <w:div w:id="297734621">
          <w:marLeft w:val="0"/>
          <w:marRight w:val="0"/>
          <w:marTop w:val="0"/>
          <w:marBottom w:val="0"/>
          <w:divBdr>
            <w:top w:val="none" w:sz="0" w:space="0" w:color="auto"/>
            <w:left w:val="none" w:sz="0" w:space="0" w:color="auto"/>
            <w:bottom w:val="none" w:sz="0" w:space="0" w:color="auto"/>
            <w:right w:val="none" w:sz="0" w:space="0" w:color="auto"/>
          </w:divBdr>
        </w:div>
      </w:divsChild>
    </w:div>
    <w:div w:id="1819489401">
      <w:bodyDiv w:val="1"/>
      <w:marLeft w:val="0"/>
      <w:marRight w:val="0"/>
      <w:marTop w:val="0"/>
      <w:marBottom w:val="0"/>
      <w:divBdr>
        <w:top w:val="none" w:sz="0" w:space="0" w:color="auto"/>
        <w:left w:val="none" w:sz="0" w:space="0" w:color="auto"/>
        <w:bottom w:val="none" w:sz="0" w:space="0" w:color="auto"/>
        <w:right w:val="none" w:sz="0" w:space="0" w:color="auto"/>
      </w:divBdr>
    </w:div>
    <w:div w:id="1823808967">
      <w:bodyDiv w:val="1"/>
      <w:marLeft w:val="0"/>
      <w:marRight w:val="0"/>
      <w:marTop w:val="0"/>
      <w:marBottom w:val="0"/>
      <w:divBdr>
        <w:top w:val="none" w:sz="0" w:space="0" w:color="auto"/>
        <w:left w:val="none" w:sz="0" w:space="0" w:color="auto"/>
        <w:bottom w:val="none" w:sz="0" w:space="0" w:color="auto"/>
        <w:right w:val="none" w:sz="0" w:space="0" w:color="auto"/>
      </w:divBdr>
    </w:div>
    <w:div w:id="1828010380">
      <w:bodyDiv w:val="1"/>
      <w:marLeft w:val="0"/>
      <w:marRight w:val="0"/>
      <w:marTop w:val="0"/>
      <w:marBottom w:val="0"/>
      <w:divBdr>
        <w:top w:val="none" w:sz="0" w:space="0" w:color="auto"/>
        <w:left w:val="none" w:sz="0" w:space="0" w:color="auto"/>
        <w:bottom w:val="none" w:sz="0" w:space="0" w:color="auto"/>
        <w:right w:val="none" w:sz="0" w:space="0" w:color="auto"/>
      </w:divBdr>
    </w:div>
    <w:div w:id="1830166939">
      <w:bodyDiv w:val="1"/>
      <w:marLeft w:val="0"/>
      <w:marRight w:val="0"/>
      <w:marTop w:val="0"/>
      <w:marBottom w:val="0"/>
      <w:divBdr>
        <w:top w:val="none" w:sz="0" w:space="0" w:color="auto"/>
        <w:left w:val="none" w:sz="0" w:space="0" w:color="auto"/>
        <w:bottom w:val="none" w:sz="0" w:space="0" w:color="auto"/>
        <w:right w:val="none" w:sz="0" w:space="0" w:color="auto"/>
      </w:divBdr>
    </w:div>
    <w:div w:id="1835340589">
      <w:bodyDiv w:val="1"/>
      <w:marLeft w:val="0"/>
      <w:marRight w:val="0"/>
      <w:marTop w:val="0"/>
      <w:marBottom w:val="0"/>
      <w:divBdr>
        <w:top w:val="none" w:sz="0" w:space="0" w:color="auto"/>
        <w:left w:val="none" w:sz="0" w:space="0" w:color="auto"/>
        <w:bottom w:val="none" w:sz="0" w:space="0" w:color="auto"/>
        <w:right w:val="none" w:sz="0" w:space="0" w:color="auto"/>
      </w:divBdr>
    </w:div>
    <w:div w:id="1841576016">
      <w:bodyDiv w:val="1"/>
      <w:marLeft w:val="0"/>
      <w:marRight w:val="0"/>
      <w:marTop w:val="0"/>
      <w:marBottom w:val="0"/>
      <w:divBdr>
        <w:top w:val="none" w:sz="0" w:space="0" w:color="auto"/>
        <w:left w:val="none" w:sz="0" w:space="0" w:color="auto"/>
        <w:bottom w:val="none" w:sz="0" w:space="0" w:color="auto"/>
        <w:right w:val="none" w:sz="0" w:space="0" w:color="auto"/>
      </w:divBdr>
    </w:div>
    <w:div w:id="1849637770">
      <w:bodyDiv w:val="1"/>
      <w:marLeft w:val="0"/>
      <w:marRight w:val="0"/>
      <w:marTop w:val="0"/>
      <w:marBottom w:val="0"/>
      <w:divBdr>
        <w:top w:val="none" w:sz="0" w:space="0" w:color="auto"/>
        <w:left w:val="none" w:sz="0" w:space="0" w:color="auto"/>
        <w:bottom w:val="none" w:sz="0" w:space="0" w:color="auto"/>
        <w:right w:val="none" w:sz="0" w:space="0" w:color="auto"/>
      </w:divBdr>
    </w:div>
    <w:div w:id="1858885347">
      <w:bodyDiv w:val="1"/>
      <w:marLeft w:val="0"/>
      <w:marRight w:val="0"/>
      <w:marTop w:val="0"/>
      <w:marBottom w:val="0"/>
      <w:divBdr>
        <w:top w:val="none" w:sz="0" w:space="0" w:color="auto"/>
        <w:left w:val="none" w:sz="0" w:space="0" w:color="auto"/>
        <w:bottom w:val="none" w:sz="0" w:space="0" w:color="auto"/>
        <w:right w:val="none" w:sz="0" w:space="0" w:color="auto"/>
      </w:divBdr>
    </w:div>
    <w:div w:id="1860195776">
      <w:bodyDiv w:val="1"/>
      <w:marLeft w:val="0"/>
      <w:marRight w:val="0"/>
      <w:marTop w:val="0"/>
      <w:marBottom w:val="0"/>
      <w:divBdr>
        <w:top w:val="none" w:sz="0" w:space="0" w:color="auto"/>
        <w:left w:val="none" w:sz="0" w:space="0" w:color="auto"/>
        <w:bottom w:val="none" w:sz="0" w:space="0" w:color="auto"/>
        <w:right w:val="none" w:sz="0" w:space="0" w:color="auto"/>
      </w:divBdr>
    </w:div>
    <w:div w:id="1886868289">
      <w:bodyDiv w:val="1"/>
      <w:marLeft w:val="0"/>
      <w:marRight w:val="0"/>
      <w:marTop w:val="0"/>
      <w:marBottom w:val="0"/>
      <w:divBdr>
        <w:top w:val="none" w:sz="0" w:space="0" w:color="auto"/>
        <w:left w:val="none" w:sz="0" w:space="0" w:color="auto"/>
        <w:bottom w:val="none" w:sz="0" w:space="0" w:color="auto"/>
        <w:right w:val="none" w:sz="0" w:space="0" w:color="auto"/>
      </w:divBdr>
    </w:div>
    <w:div w:id="1893344688">
      <w:bodyDiv w:val="1"/>
      <w:marLeft w:val="0"/>
      <w:marRight w:val="0"/>
      <w:marTop w:val="0"/>
      <w:marBottom w:val="0"/>
      <w:divBdr>
        <w:top w:val="none" w:sz="0" w:space="0" w:color="auto"/>
        <w:left w:val="none" w:sz="0" w:space="0" w:color="auto"/>
        <w:bottom w:val="none" w:sz="0" w:space="0" w:color="auto"/>
        <w:right w:val="none" w:sz="0" w:space="0" w:color="auto"/>
      </w:divBdr>
    </w:div>
    <w:div w:id="1894265752">
      <w:bodyDiv w:val="1"/>
      <w:marLeft w:val="0"/>
      <w:marRight w:val="0"/>
      <w:marTop w:val="0"/>
      <w:marBottom w:val="0"/>
      <w:divBdr>
        <w:top w:val="none" w:sz="0" w:space="0" w:color="auto"/>
        <w:left w:val="none" w:sz="0" w:space="0" w:color="auto"/>
        <w:bottom w:val="none" w:sz="0" w:space="0" w:color="auto"/>
        <w:right w:val="none" w:sz="0" w:space="0" w:color="auto"/>
      </w:divBdr>
    </w:div>
    <w:div w:id="1906649257">
      <w:bodyDiv w:val="1"/>
      <w:marLeft w:val="0"/>
      <w:marRight w:val="0"/>
      <w:marTop w:val="0"/>
      <w:marBottom w:val="0"/>
      <w:divBdr>
        <w:top w:val="none" w:sz="0" w:space="0" w:color="auto"/>
        <w:left w:val="none" w:sz="0" w:space="0" w:color="auto"/>
        <w:bottom w:val="none" w:sz="0" w:space="0" w:color="auto"/>
        <w:right w:val="none" w:sz="0" w:space="0" w:color="auto"/>
      </w:divBdr>
    </w:div>
    <w:div w:id="1908492706">
      <w:bodyDiv w:val="1"/>
      <w:marLeft w:val="0"/>
      <w:marRight w:val="0"/>
      <w:marTop w:val="0"/>
      <w:marBottom w:val="0"/>
      <w:divBdr>
        <w:top w:val="none" w:sz="0" w:space="0" w:color="auto"/>
        <w:left w:val="none" w:sz="0" w:space="0" w:color="auto"/>
        <w:bottom w:val="none" w:sz="0" w:space="0" w:color="auto"/>
        <w:right w:val="none" w:sz="0" w:space="0" w:color="auto"/>
      </w:divBdr>
    </w:div>
    <w:div w:id="1909731828">
      <w:bodyDiv w:val="1"/>
      <w:marLeft w:val="0"/>
      <w:marRight w:val="0"/>
      <w:marTop w:val="0"/>
      <w:marBottom w:val="0"/>
      <w:divBdr>
        <w:top w:val="none" w:sz="0" w:space="0" w:color="auto"/>
        <w:left w:val="none" w:sz="0" w:space="0" w:color="auto"/>
        <w:bottom w:val="none" w:sz="0" w:space="0" w:color="auto"/>
        <w:right w:val="none" w:sz="0" w:space="0" w:color="auto"/>
      </w:divBdr>
    </w:div>
    <w:div w:id="1935356935">
      <w:bodyDiv w:val="1"/>
      <w:marLeft w:val="0"/>
      <w:marRight w:val="0"/>
      <w:marTop w:val="0"/>
      <w:marBottom w:val="0"/>
      <w:divBdr>
        <w:top w:val="none" w:sz="0" w:space="0" w:color="auto"/>
        <w:left w:val="none" w:sz="0" w:space="0" w:color="auto"/>
        <w:bottom w:val="none" w:sz="0" w:space="0" w:color="auto"/>
        <w:right w:val="none" w:sz="0" w:space="0" w:color="auto"/>
      </w:divBdr>
    </w:div>
    <w:div w:id="1939874167">
      <w:bodyDiv w:val="1"/>
      <w:marLeft w:val="0"/>
      <w:marRight w:val="0"/>
      <w:marTop w:val="0"/>
      <w:marBottom w:val="0"/>
      <w:divBdr>
        <w:top w:val="none" w:sz="0" w:space="0" w:color="auto"/>
        <w:left w:val="none" w:sz="0" w:space="0" w:color="auto"/>
        <w:bottom w:val="none" w:sz="0" w:space="0" w:color="auto"/>
        <w:right w:val="none" w:sz="0" w:space="0" w:color="auto"/>
      </w:divBdr>
    </w:div>
    <w:div w:id="1940795295">
      <w:bodyDiv w:val="1"/>
      <w:marLeft w:val="0"/>
      <w:marRight w:val="0"/>
      <w:marTop w:val="0"/>
      <w:marBottom w:val="0"/>
      <w:divBdr>
        <w:top w:val="none" w:sz="0" w:space="0" w:color="auto"/>
        <w:left w:val="none" w:sz="0" w:space="0" w:color="auto"/>
        <w:bottom w:val="none" w:sz="0" w:space="0" w:color="auto"/>
        <w:right w:val="none" w:sz="0" w:space="0" w:color="auto"/>
      </w:divBdr>
      <w:divsChild>
        <w:div w:id="284164239">
          <w:marLeft w:val="0"/>
          <w:marRight w:val="0"/>
          <w:marTop w:val="130"/>
          <w:marBottom w:val="195"/>
          <w:divBdr>
            <w:top w:val="none" w:sz="0" w:space="0" w:color="auto"/>
            <w:left w:val="none" w:sz="0" w:space="0" w:color="auto"/>
            <w:bottom w:val="none" w:sz="0" w:space="0" w:color="auto"/>
            <w:right w:val="none" w:sz="0" w:space="0" w:color="auto"/>
          </w:divBdr>
        </w:div>
      </w:divsChild>
    </w:div>
    <w:div w:id="1955207664">
      <w:bodyDiv w:val="1"/>
      <w:marLeft w:val="0"/>
      <w:marRight w:val="0"/>
      <w:marTop w:val="0"/>
      <w:marBottom w:val="0"/>
      <w:divBdr>
        <w:top w:val="none" w:sz="0" w:space="0" w:color="auto"/>
        <w:left w:val="none" w:sz="0" w:space="0" w:color="auto"/>
        <w:bottom w:val="none" w:sz="0" w:space="0" w:color="auto"/>
        <w:right w:val="none" w:sz="0" w:space="0" w:color="auto"/>
      </w:divBdr>
    </w:div>
    <w:div w:id="1961373946">
      <w:bodyDiv w:val="1"/>
      <w:marLeft w:val="0"/>
      <w:marRight w:val="0"/>
      <w:marTop w:val="0"/>
      <w:marBottom w:val="0"/>
      <w:divBdr>
        <w:top w:val="none" w:sz="0" w:space="0" w:color="auto"/>
        <w:left w:val="none" w:sz="0" w:space="0" w:color="auto"/>
        <w:bottom w:val="none" w:sz="0" w:space="0" w:color="auto"/>
        <w:right w:val="none" w:sz="0" w:space="0" w:color="auto"/>
      </w:divBdr>
    </w:div>
    <w:div w:id="1968193119">
      <w:bodyDiv w:val="1"/>
      <w:marLeft w:val="0"/>
      <w:marRight w:val="0"/>
      <w:marTop w:val="0"/>
      <w:marBottom w:val="0"/>
      <w:divBdr>
        <w:top w:val="none" w:sz="0" w:space="0" w:color="auto"/>
        <w:left w:val="none" w:sz="0" w:space="0" w:color="auto"/>
        <w:bottom w:val="none" w:sz="0" w:space="0" w:color="auto"/>
        <w:right w:val="none" w:sz="0" w:space="0" w:color="auto"/>
      </w:divBdr>
    </w:div>
    <w:div w:id="1968851025">
      <w:bodyDiv w:val="1"/>
      <w:marLeft w:val="0"/>
      <w:marRight w:val="0"/>
      <w:marTop w:val="0"/>
      <w:marBottom w:val="0"/>
      <w:divBdr>
        <w:top w:val="none" w:sz="0" w:space="0" w:color="auto"/>
        <w:left w:val="none" w:sz="0" w:space="0" w:color="auto"/>
        <w:bottom w:val="none" w:sz="0" w:space="0" w:color="auto"/>
        <w:right w:val="none" w:sz="0" w:space="0" w:color="auto"/>
      </w:divBdr>
    </w:div>
    <w:div w:id="1975718195">
      <w:bodyDiv w:val="1"/>
      <w:marLeft w:val="0"/>
      <w:marRight w:val="0"/>
      <w:marTop w:val="0"/>
      <w:marBottom w:val="0"/>
      <w:divBdr>
        <w:top w:val="none" w:sz="0" w:space="0" w:color="auto"/>
        <w:left w:val="none" w:sz="0" w:space="0" w:color="auto"/>
        <w:bottom w:val="none" w:sz="0" w:space="0" w:color="auto"/>
        <w:right w:val="none" w:sz="0" w:space="0" w:color="auto"/>
      </w:divBdr>
    </w:div>
    <w:div w:id="1977375556">
      <w:bodyDiv w:val="1"/>
      <w:marLeft w:val="0"/>
      <w:marRight w:val="0"/>
      <w:marTop w:val="0"/>
      <w:marBottom w:val="0"/>
      <w:divBdr>
        <w:top w:val="none" w:sz="0" w:space="0" w:color="auto"/>
        <w:left w:val="none" w:sz="0" w:space="0" w:color="auto"/>
        <w:bottom w:val="none" w:sz="0" w:space="0" w:color="auto"/>
        <w:right w:val="none" w:sz="0" w:space="0" w:color="auto"/>
      </w:divBdr>
    </w:div>
    <w:div w:id="1981574323">
      <w:bodyDiv w:val="1"/>
      <w:marLeft w:val="0"/>
      <w:marRight w:val="0"/>
      <w:marTop w:val="0"/>
      <w:marBottom w:val="0"/>
      <w:divBdr>
        <w:top w:val="none" w:sz="0" w:space="0" w:color="auto"/>
        <w:left w:val="none" w:sz="0" w:space="0" w:color="auto"/>
        <w:bottom w:val="none" w:sz="0" w:space="0" w:color="auto"/>
        <w:right w:val="none" w:sz="0" w:space="0" w:color="auto"/>
      </w:divBdr>
    </w:div>
    <w:div w:id="1985693625">
      <w:bodyDiv w:val="1"/>
      <w:marLeft w:val="0"/>
      <w:marRight w:val="0"/>
      <w:marTop w:val="0"/>
      <w:marBottom w:val="0"/>
      <w:divBdr>
        <w:top w:val="none" w:sz="0" w:space="0" w:color="auto"/>
        <w:left w:val="none" w:sz="0" w:space="0" w:color="auto"/>
        <w:bottom w:val="none" w:sz="0" w:space="0" w:color="auto"/>
        <w:right w:val="none" w:sz="0" w:space="0" w:color="auto"/>
      </w:divBdr>
    </w:div>
    <w:div w:id="1988239344">
      <w:bodyDiv w:val="1"/>
      <w:marLeft w:val="0"/>
      <w:marRight w:val="0"/>
      <w:marTop w:val="0"/>
      <w:marBottom w:val="0"/>
      <w:divBdr>
        <w:top w:val="none" w:sz="0" w:space="0" w:color="auto"/>
        <w:left w:val="none" w:sz="0" w:space="0" w:color="auto"/>
        <w:bottom w:val="none" w:sz="0" w:space="0" w:color="auto"/>
        <w:right w:val="none" w:sz="0" w:space="0" w:color="auto"/>
      </w:divBdr>
    </w:div>
    <w:div w:id="1991395897">
      <w:bodyDiv w:val="1"/>
      <w:marLeft w:val="0"/>
      <w:marRight w:val="0"/>
      <w:marTop w:val="0"/>
      <w:marBottom w:val="0"/>
      <w:divBdr>
        <w:top w:val="none" w:sz="0" w:space="0" w:color="auto"/>
        <w:left w:val="none" w:sz="0" w:space="0" w:color="auto"/>
        <w:bottom w:val="none" w:sz="0" w:space="0" w:color="auto"/>
        <w:right w:val="none" w:sz="0" w:space="0" w:color="auto"/>
      </w:divBdr>
    </w:div>
    <w:div w:id="1994331296">
      <w:bodyDiv w:val="1"/>
      <w:marLeft w:val="0"/>
      <w:marRight w:val="0"/>
      <w:marTop w:val="0"/>
      <w:marBottom w:val="0"/>
      <w:divBdr>
        <w:top w:val="none" w:sz="0" w:space="0" w:color="auto"/>
        <w:left w:val="none" w:sz="0" w:space="0" w:color="auto"/>
        <w:bottom w:val="none" w:sz="0" w:space="0" w:color="auto"/>
        <w:right w:val="none" w:sz="0" w:space="0" w:color="auto"/>
      </w:divBdr>
    </w:div>
    <w:div w:id="1999378963">
      <w:bodyDiv w:val="1"/>
      <w:marLeft w:val="0"/>
      <w:marRight w:val="0"/>
      <w:marTop w:val="0"/>
      <w:marBottom w:val="0"/>
      <w:divBdr>
        <w:top w:val="none" w:sz="0" w:space="0" w:color="auto"/>
        <w:left w:val="none" w:sz="0" w:space="0" w:color="auto"/>
        <w:bottom w:val="none" w:sz="0" w:space="0" w:color="auto"/>
        <w:right w:val="none" w:sz="0" w:space="0" w:color="auto"/>
      </w:divBdr>
    </w:div>
    <w:div w:id="2000695447">
      <w:bodyDiv w:val="1"/>
      <w:marLeft w:val="0"/>
      <w:marRight w:val="0"/>
      <w:marTop w:val="0"/>
      <w:marBottom w:val="0"/>
      <w:divBdr>
        <w:top w:val="none" w:sz="0" w:space="0" w:color="auto"/>
        <w:left w:val="none" w:sz="0" w:space="0" w:color="auto"/>
        <w:bottom w:val="none" w:sz="0" w:space="0" w:color="auto"/>
        <w:right w:val="none" w:sz="0" w:space="0" w:color="auto"/>
      </w:divBdr>
    </w:div>
    <w:div w:id="2001078682">
      <w:bodyDiv w:val="1"/>
      <w:marLeft w:val="0"/>
      <w:marRight w:val="0"/>
      <w:marTop w:val="0"/>
      <w:marBottom w:val="0"/>
      <w:divBdr>
        <w:top w:val="none" w:sz="0" w:space="0" w:color="auto"/>
        <w:left w:val="none" w:sz="0" w:space="0" w:color="auto"/>
        <w:bottom w:val="none" w:sz="0" w:space="0" w:color="auto"/>
        <w:right w:val="none" w:sz="0" w:space="0" w:color="auto"/>
      </w:divBdr>
    </w:div>
    <w:div w:id="2003779049">
      <w:bodyDiv w:val="1"/>
      <w:marLeft w:val="0"/>
      <w:marRight w:val="0"/>
      <w:marTop w:val="0"/>
      <w:marBottom w:val="0"/>
      <w:divBdr>
        <w:top w:val="none" w:sz="0" w:space="0" w:color="auto"/>
        <w:left w:val="none" w:sz="0" w:space="0" w:color="auto"/>
        <w:bottom w:val="none" w:sz="0" w:space="0" w:color="auto"/>
        <w:right w:val="none" w:sz="0" w:space="0" w:color="auto"/>
      </w:divBdr>
    </w:div>
    <w:div w:id="2004505318">
      <w:bodyDiv w:val="1"/>
      <w:marLeft w:val="0"/>
      <w:marRight w:val="0"/>
      <w:marTop w:val="0"/>
      <w:marBottom w:val="0"/>
      <w:divBdr>
        <w:top w:val="none" w:sz="0" w:space="0" w:color="auto"/>
        <w:left w:val="none" w:sz="0" w:space="0" w:color="auto"/>
        <w:bottom w:val="none" w:sz="0" w:space="0" w:color="auto"/>
        <w:right w:val="none" w:sz="0" w:space="0" w:color="auto"/>
      </w:divBdr>
    </w:div>
    <w:div w:id="2010208873">
      <w:bodyDiv w:val="1"/>
      <w:marLeft w:val="0"/>
      <w:marRight w:val="0"/>
      <w:marTop w:val="0"/>
      <w:marBottom w:val="0"/>
      <w:divBdr>
        <w:top w:val="none" w:sz="0" w:space="0" w:color="auto"/>
        <w:left w:val="none" w:sz="0" w:space="0" w:color="auto"/>
        <w:bottom w:val="none" w:sz="0" w:space="0" w:color="auto"/>
        <w:right w:val="none" w:sz="0" w:space="0" w:color="auto"/>
      </w:divBdr>
    </w:div>
    <w:div w:id="2017002644">
      <w:bodyDiv w:val="1"/>
      <w:marLeft w:val="0"/>
      <w:marRight w:val="0"/>
      <w:marTop w:val="0"/>
      <w:marBottom w:val="0"/>
      <w:divBdr>
        <w:top w:val="none" w:sz="0" w:space="0" w:color="auto"/>
        <w:left w:val="none" w:sz="0" w:space="0" w:color="auto"/>
        <w:bottom w:val="none" w:sz="0" w:space="0" w:color="auto"/>
        <w:right w:val="none" w:sz="0" w:space="0" w:color="auto"/>
      </w:divBdr>
    </w:div>
    <w:div w:id="2017271045">
      <w:bodyDiv w:val="1"/>
      <w:marLeft w:val="0"/>
      <w:marRight w:val="0"/>
      <w:marTop w:val="0"/>
      <w:marBottom w:val="0"/>
      <w:divBdr>
        <w:top w:val="none" w:sz="0" w:space="0" w:color="auto"/>
        <w:left w:val="none" w:sz="0" w:space="0" w:color="auto"/>
        <w:bottom w:val="none" w:sz="0" w:space="0" w:color="auto"/>
        <w:right w:val="none" w:sz="0" w:space="0" w:color="auto"/>
      </w:divBdr>
    </w:div>
    <w:div w:id="2018116505">
      <w:bodyDiv w:val="1"/>
      <w:marLeft w:val="0"/>
      <w:marRight w:val="0"/>
      <w:marTop w:val="0"/>
      <w:marBottom w:val="0"/>
      <w:divBdr>
        <w:top w:val="none" w:sz="0" w:space="0" w:color="auto"/>
        <w:left w:val="none" w:sz="0" w:space="0" w:color="auto"/>
        <w:bottom w:val="none" w:sz="0" w:space="0" w:color="auto"/>
        <w:right w:val="none" w:sz="0" w:space="0" w:color="auto"/>
      </w:divBdr>
    </w:div>
    <w:div w:id="2021589938">
      <w:bodyDiv w:val="1"/>
      <w:marLeft w:val="0"/>
      <w:marRight w:val="0"/>
      <w:marTop w:val="0"/>
      <w:marBottom w:val="0"/>
      <w:divBdr>
        <w:top w:val="none" w:sz="0" w:space="0" w:color="auto"/>
        <w:left w:val="none" w:sz="0" w:space="0" w:color="auto"/>
        <w:bottom w:val="none" w:sz="0" w:space="0" w:color="auto"/>
        <w:right w:val="none" w:sz="0" w:space="0" w:color="auto"/>
      </w:divBdr>
    </w:div>
    <w:div w:id="2027052295">
      <w:bodyDiv w:val="1"/>
      <w:marLeft w:val="0"/>
      <w:marRight w:val="0"/>
      <w:marTop w:val="0"/>
      <w:marBottom w:val="0"/>
      <w:divBdr>
        <w:top w:val="none" w:sz="0" w:space="0" w:color="auto"/>
        <w:left w:val="none" w:sz="0" w:space="0" w:color="auto"/>
        <w:bottom w:val="none" w:sz="0" w:space="0" w:color="auto"/>
        <w:right w:val="none" w:sz="0" w:space="0" w:color="auto"/>
      </w:divBdr>
    </w:div>
    <w:div w:id="2040814040">
      <w:bodyDiv w:val="1"/>
      <w:marLeft w:val="0"/>
      <w:marRight w:val="0"/>
      <w:marTop w:val="0"/>
      <w:marBottom w:val="0"/>
      <w:divBdr>
        <w:top w:val="none" w:sz="0" w:space="0" w:color="auto"/>
        <w:left w:val="none" w:sz="0" w:space="0" w:color="auto"/>
        <w:bottom w:val="none" w:sz="0" w:space="0" w:color="auto"/>
        <w:right w:val="none" w:sz="0" w:space="0" w:color="auto"/>
      </w:divBdr>
    </w:div>
    <w:div w:id="2047171007">
      <w:bodyDiv w:val="1"/>
      <w:marLeft w:val="0"/>
      <w:marRight w:val="0"/>
      <w:marTop w:val="0"/>
      <w:marBottom w:val="0"/>
      <w:divBdr>
        <w:top w:val="none" w:sz="0" w:space="0" w:color="auto"/>
        <w:left w:val="none" w:sz="0" w:space="0" w:color="auto"/>
        <w:bottom w:val="none" w:sz="0" w:space="0" w:color="auto"/>
        <w:right w:val="none" w:sz="0" w:space="0" w:color="auto"/>
      </w:divBdr>
    </w:div>
    <w:div w:id="2047370793">
      <w:bodyDiv w:val="1"/>
      <w:marLeft w:val="0"/>
      <w:marRight w:val="0"/>
      <w:marTop w:val="0"/>
      <w:marBottom w:val="0"/>
      <w:divBdr>
        <w:top w:val="none" w:sz="0" w:space="0" w:color="auto"/>
        <w:left w:val="none" w:sz="0" w:space="0" w:color="auto"/>
        <w:bottom w:val="none" w:sz="0" w:space="0" w:color="auto"/>
        <w:right w:val="none" w:sz="0" w:space="0" w:color="auto"/>
      </w:divBdr>
    </w:div>
    <w:div w:id="2052413354">
      <w:bodyDiv w:val="1"/>
      <w:marLeft w:val="0"/>
      <w:marRight w:val="0"/>
      <w:marTop w:val="0"/>
      <w:marBottom w:val="0"/>
      <w:divBdr>
        <w:top w:val="none" w:sz="0" w:space="0" w:color="auto"/>
        <w:left w:val="none" w:sz="0" w:space="0" w:color="auto"/>
        <w:bottom w:val="none" w:sz="0" w:space="0" w:color="auto"/>
        <w:right w:val="none" w:sz="0" w:space="0" w:color="auto"/>
      </w:divBdr>
    </w:div>
    <w:div w:id="2057388503">
      <w:bodyDiv w:val="1"/>
      <w:marLeft w:val="0"/>
      <w:marRight w:val="0"/>
      <w:marTop w:val="0"/>
      <w:marBottom w:val="0"/>
      <w:divBdr>
        <w:top w:val="none" w:sz="0" w:space="0" w:color="auto"/>
        <w:left w:val="none" w:sz="0" w:space="0" w:color="auto"/>
        <w:bottom w:val="none" w:sz="0" w:space="0" w:color="auto"/>
        <w:right w:val="none" w:sz="0" w:space="0" w:color="auto"/>
      </w:divBdr>
    </w:div>
    <w:div w:id="2058048432">
      <w:bodyDiv w:val="1"/>
      <w:marLeft w:val="0"/>
      <w:marRight w:val="0"/>
      <w:marTop w:val="0"/>
      <w:marBottom w:val="0"/>
      <w:divBdr>
        <w:top w:val="none" w:sz="0" w:space="0" w:color="auto"/>
        <w:left w:val="none" w:sz="0" w:space="0" w:color="auto"/>
        <w:bottom w:val="none" w:sz="0" w:space="0" w:color="auto"/>
        <w:right w:val="none" w:sz="0" w:space="0" w:color="auto"/>
      </w:divBdr>
    </w:div>
    <w:div w:id="2058116591">
      <w:bodyDiv w:val="1"/>
      <w:marLeft w:val="0"/>
      <w:marRight w:val="0"/>
      <w:marTop w:val="0"/>
      <w:marBottom w:val="0"/>
      <w:divBdr>
        <w:top w:val="none" w:sz="0" w:space="0" w:color="auto"/>
        <w:left w:val="none" w:sz="0" w:space="0" w:color="auto"/>
        <w:bottom w:val="none" w:sz="0" w:space="0" w:color="auto"/>
        <w:right w:val="none" w:sz="0" w:space="0" w:color="auto"/>
      </w:divBdr>
    </w:div>
    <w:div w:id="2065251523">
      <w:bodyDiv w:val="1"/>
      <w:marLeft w:val="0"/>
      <w:marRight w:val="0"/>
      <w:marTop w:val="0"/>
      <w:marBottom w:val="0"/>
      <w:divBdr>
        <w:top w:val="none" w:sz="0" w:space="0" w:color="auto"/>
        <w:left w:val="none" w:sz="0" w:space="0" w:color="auto"/>
        <w:bottom w:val="none" w:sz="0" w:space="0" w:color="auto"/>
        <w:right w:val="none" w:sz="0" w:space="0" w:color="auto"/>
      </w:divBdr>
    </w:div>
    <w:div w:id="2083991547">
      <w:bodyDiv w:val="1"/>
      <w:marLeft w:val="0"/>
      <w:marRight w:val="0"/>
      <w:marTop w:val="0"/>
      <w:marBottom w:val="0"/>
      <w:divBdr>
        <w:top w:val="none" w:sz="0" w:space="0" w:color="auto"/>
        <w:left w:val="none" w:sz="0" w:space="0" w:color="auto"/>
        <w:bottom w:val="none" w:sz="0" w:space="0" w:color="auto"/>
        <w:right w:val="none" w:sz="0" w:space="0" w:color="auto"/>
      </w:divBdr>
    </w:div>
    <w:div w:id="2090734559">
      <w:bodyDiv w:val="1"/>
      <w:marLeft w:val="0"/>
      <w:marRight w:val="0"/>
      <w:marTop w:val="0"/>
      <w:marBottom w:val="0"/>
      <w:divBdr>
        <w:top w:val="none" w:sz="0" w:space="0" w:color="auto"/>
        <w:left w:val="none" w:sz="0" w:space="0" w:color="auto"/>
        <w:bottom w:val="none" w:sz="0" w:space="0" w:color="auto"/>
        <w:right w:val="none" w:sz="0" w:space="0" w:color="auto"/>
      </w:divBdr>
    </w:div>
    <w:div w:id="2091803611">
      <w:bodyDiv w:val="1"/>
      <w:marLeft w:val="0"/>
      <w:marRight w:val="0"/>
      <w:marTop w:val="0"/>
      <w:marBottom w:val="0"/>
      <w:divBdr>
        <w:top w:val="none" w:sz="0" w:space="0" w:color="auto"/>
        <w:left w:val="none" w:sz="0" w:space="0" w:color="auto"/>
        <w:bottom w:val="none" w:sz="0" w:space="0" w:color="auto"/>
        <w:right w:val="none" w:sz="0" w:space="0" w:color="auto"/>
      </w:divBdr>
    </w:div>
    <w:div w:id="2094818738">
      <w:bodyDiv w:val="1"/>
      <w:marLeft w:val="0"/>
      <w:marRight w:val="0"/>
      <w:marTop w:val="0"/>
      <w:marBottom w:val="0"/>
      <w:divBdr>
        <w:top w:val="none" w:sz="0" w:space="0" w:color="auto"/>
        <w:left w:val="none" w:sz="0" w:space="0" w:color="auto"/>
        <w:bottom w:val="none" w:sz="0" w:space="0" w:color="auto"/>
        <w:right w:val="none" w:sz="0" w:space="0" w:color="auto"/>
      </w:divBdr>
    </w:div>
    <w:div w:id="2095127956">
      <w:bodyDiv w:val="1"/>
      <w:marLeft w:val="0"/>
      <w:marRight w:val="0"/>
      <w:marTop w:val="0"/>
      <w:marBottom w:val="0"/>
      <w:divBdr>
        <w:top w:val="none" w:sz="0" w:space="0" w:color="auto"/>
        <w:left w:val="none" w:sz="0" w:space="0" w:color="auto"/>
        <w:bottom w:val="none" w:sz="0" w:space="0" w:color="auto"/>
        <w:right w:val="none" w:sz="0" w:space="0" w:color="auto"/>
      </w:divBdr>
    </w:div>
    <w:div w:id="2099017589">
      <w:bodyDiv w:val="1"/>
      <w:marLeft w:val="0"/>
      <w:marRight w:val="0"/>
      <w:marTop w:val="0"/>
      <w:marBottom w:val="0"/>
      <w:divBdr>
        <w:top w:val="none" w:sz="0" w:space="0" w:color="auto"/>
        <w:left w:val="none" w:sz="0" w:space="0" w:color="auto"/>
        <w:bottom w:val="none" w:sz="0" w:space="0" w:color="auto"/>
        <w:right w:val="none" w:sz="0" w:space="0" w:color="auto"/>
      </w:divBdr>
    </w:div>
    <w:div w:id="2107455824">
      <w:bodyDiv w:val="1"/>
      <w:marLeft w:val="0"/>
      <w:marRight w:val="0"/>
      <w:marTop w:val="0"/>
      <w:marBottom w:val="0"/>
      <w:divBdr>
        <w:top w:val="none" w:sz="0" w:space="0" w:color="auto"/>
        <w:left w:val="none" w:sz="0" w:space="0" w:color="auto"/>
        <w:bottom w:val="none" w:sz="0" w:space="0" w:color="auto"/>
        <w:right w:val="none" w:sz="0" w:space="0" w:color="auto"/>
      </w:divBdr>
    </w:div>
    <w:div w:id="2118525271">
      <w:bodyDiv w:val="1"/>
      <w:marLeft w:val="0"/>
      <w:marRight w:val="0"/>
      <w:marTop w:val="0"/>
      <w:marBottom w:val="0"/>
      <w:divBdr>
        <w:top w:val="none" w:sz="0" w:space="0" w:color="auto"/>
        <w:left w:val="none" w:sz="0" w:space="0" w:color="auto"/>
        <w:bottom w:val="none" w:sz="0" w:space="0" w:color="auto"/>
        <w:right w:val="none" w:sz="0" w:space="0" w:color="auto"/>
      </w:divBdr>
    </w:div>
    <w:div w:id="2124687298">
      <w:bodyDiv w:val="1"/>
      <w:marLeft w:val="0"/>
      <w:marRight w:val="0"/>
      <w:marTop w:val="0"/>
      <w:marBottom w:val="0"/>
      <w:divBdr>
        <w:top w:val="none" w:sz="0" w:space="0" w:color="auto"/>
        <w:left w:val="none" w:sz="0" w:space="0" w:color="auto"/>
        <w:bottom w:val="none" w:sz="0" w:space="0" w:color="auto"/>
        <w:right w:val="none" w:sz="0" w:space="0" w:color="auto"/>
      </w:divBdr>
    </w:div>
    <w:div w:id="2125541433">
      <w:bodyDiv w:val="1"/>
      <w:marLeft w:val="0"/>
      <w:marRight w:val="0"/>
      <w:marTop w:val="0"/>
      <w:marBottom w:val="0"/>
      <w:divBdr>
        <w:top w:val="none" w:sz="0" w:space="0" w:color="auto"/>
        <w:left w:val="none" w:sz="0" w:space="0" w:color="auto"/>
        <w:bottom w:val="none" w:sz="0" w:space="0" w:color="auto"/>
        <w:right w:val="none" w:sz="0" w:space="0" w:color="auto"/>
      </w:divBdr>
    </w:div>
    <w:div w:id="2133788154">
      <w:bodyDiv w:val="1"/>
      <w:marLeft w:val="0"/>
      <w:marRight w:val="0"/>
      <w:marTop w:val="0"/>
      <w:marBottom w:val="0"/>
      <w:divBdr>
        <w:top w:val="none" w:sz="0" w:space="0" w:color="auto"/>
        <w:left w:val="none" w:sz="0" w:space="0" w:color="auto"/>
        <w:bottom w:val="none" w:sz="0" w:space="0" w:color="auto"/>
        <w:right w:val="none" w:sz="0" w:space="0" w:color="auto"/>
      </w:divBdr>
    </w:div>
    <w:div w:id="2136944147">
      <w:bodyDiv w:val="1"/>
      <w:marLeft w:val="0"/>
      <w:marRight w:val="0"/>
      <w:marTop w:val="0"/>
      <w:marBottom w:val="0"/>
      <w:divBdr>
        <w:top w:val="none" w:sz="0" w:space="0" w:color="auto"/>
        <w:left w:val="none" w:sz="0" w:space="0" w:color="auto"/>
        <w:bottom w:val="none" w:sz="0" w:space="0" w:color="auto"/>
        <w:right w:val="none" w:sz="0" w:space="0" w:color="auto"/>
      </w:divBdr>
    </w:div>
    <w:div w:id="2146465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diagramData" Target="diagrams/data1.xml"/><Relationship Id="rId39" Type="http://schemas.openxmlformats.org/officeDocument/2006/relationships/image" Target="media/image26.emf"/><Relationship Id="rId21" Type="http://schemas.openxmlformats.org/officeDocument/2006/relationships/image" Target="media/image13.emf"/><Relationship Id="rId34" Type="http://schemas.openxmlformats.org/officeDocument/2006/relationships/image" Target="media/image21.emf"/><Relationship Id="rId42" Type="http://schemas.openxmlformats.org/officeDocument/2006/relationships/image" Target="media/image29.emf"/><Relationship Id="rId47" Type="http://schemas.openxmlformats.org/officeDocument/2006/relationships/image" Target="media/image34.emf"/><Relationship Id="rId50" Type="http://schemas.openxmlformats.org/officeDocument/2006/relationships/image" Target="media/image37.emf"/><Relationship Id="rId55" Type="http://schemas.openxmlformats.org/officeDocument/2006/relationships/image" Target="media/image42.emf"/><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diagramColors" Target="diagrams/colors1.xml"/><Relationship Id="rId41" Type="http://schemas.openxmlformats.org/officeDocument/2006/relationships/image" Target="media/image28.emf"/><Relationship Id="rId54" Type="http://schemas.openxmlformats.org/officeDocument/2006/relationships/image" Target="media/image41.emf"/><Relationship Id="rId62" Type="http://schemas.openxmlformats.org/officeDocument/2006/relationships/image" Target="media/image4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6.e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media/image32.emf"/><Relationship Id="rId53" Type="http://schemas.openxmlformats.org/officeDocument/2006/relationships/image" Target="media/image40.emf"/><Relationship Id="rId58" Type="http://schemas.openxmlformats.org/officeDocument/2006/relationships/image" Target="media/image45.emf"/><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diagramQuickStyle" Target="diagrams/quickStyle1.xml"/><Relationship Id="rId36" Type="http://schemas.openxmlformats.org/officeDocument/2006/relationships/image" Target="media/image23.png"/><Relationship Id="rId49" Type="http://schemas.openxmlformats.org/officeDocument/2006/relationships/image" Target="media/image36.emf"/><Relationship Id="rId57" Type="http://schemas.openxmlformats.org/officeDocument/2006/relationships/image" Target="media/image44.emf"/><Relationship Id="rId61" Type="http://schemas.openxmlformats.org/officeDocument/2006/relationships/image" Target="media/image48.emf"/><Relationship Id="rId10" Type="http://schemas.openxmlformats.org/officeDocument/2006/relationships/image" Target="media/image3.emf"/><Relationship Id="rId19" Type="http://schemas.openxmlformats.org/officeDocument/2006/relationships/image" Target="media/image11.emf"/><Relationship Id="rId31" Type="http://schemas.openxmlformats.org/officeDocument/2006/relationships/image" Target="media/image18.emf"/><Relationship Id="rId44" Type="http://schemas.openxmlformats.org/officeDocument/2006/relationships/image" Target="media/image31.emf"/><Relationship Id="rId52" Type="http://schemas.openxmlformats.org/officeDocument/2006/relationships/image" Target="media/image39.emf"/><Relationship Id="rId60" Type="http://schemas.openxmlformats.org/officeDocument/2006/relationships/image" Target="media/image47.emf"/><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image" Target="media/image22.png"/><Relationship Id="rId43" Type="http://schemas.openxmlformats.org/officeDocument/2006/relationships/image" Target="media/image30.wmf"/><Relationship Id="rId48" Type="http://schemas.openxmlformats.org/officeDocument/2006/relationships/image" Target="media/image35.emf"/><Relationship Id="rId56" Type="http://schemas.openxmlformats.org/officeDocument/2006/relationships/image" Target="media/image43.emf"/><Relationship Id="rId64" Type="http://schemas.openxmlformats.org/officeDocument/2006/relationships/footer" Target="footer1.xml"/><Relationship Id="rId8" Type="http://schemas.openxmlformats.org/officeDocument/2006/relationships/image" Target="media/image1.emf"/><Relationship Id="rId51" Type="http://schemas.openxmlformats.org/officeDocument/2006/relationships/image" Target="media/image38.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emf"/><Relationship Id="rId59" Type="http://schemas.openxmlformats.org/officeDocument/2006/relationships/image" Target="media/image46.emf"/></Relationships>
</file>

<file path=word/_rels/header1.xml.rels><?xml version="1.0" encoding="UTF-8" standalone="yes"?>
<Relationships xmlns="http://schemas.openxmlformats.org/package/2006/relationships"><Relationship Id="rId1" Type="http://schemas.openxmlformats.org/officeDocument/2006/relationships/image" Target="media/image50.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Usuario\Desktop\31%20octubre%2021,45\Cuadros%20DECRETO%20VOL%20I%20Y%20II%20%2031.10.2016%209.40PM%20rjj.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view3D>
      <c:rotX val="30"/>
      <c:rotY val="100"/>
      <c:rAngAx val="0"/>
      <c:perspective val="10"/>
    </c:view3D>
    <c:floor>
      <c:thickness val="0"/>
      <c:spPr>
        <a:noFill/>
        <a:ln w="6350" cap="flat" cmpd="sng" algn="ctr">
          <a:solidFill>
            <a:schemeClr val="tx1">
              <a:tint val="75000"/>
            </a:schemeClr>
          </a:solidFill>
          <a:prstDash val="solid"/>
          <a:round/>
        </a:ln>
        <a:effectLst/>
        <a:sp3d contourW="6350">
          <a:contourClr>
            <a:schemeClr val="tx1">
              <a:tint val="7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0277695663468685E-2"/>
          <c:y val="0.19050147054397021"/>
          <c:w val="0.81388888888888911"/>
          <c:h val="0.77314814814814836"/>
        </c:manualLayout>
      </c:layout>
      <c:pie3DChart>
        <c:varyColors val="1"/>
        <c:ser>
          <c:idx val="0"/>
          <c:order val="0"/>
          <c:spPr>
            <a:scene3d>
              <a:camera prst="orthographicFront"/>
              <a:lightRig rig="threePt" dir="t"/>
            </a:scene3d>
            <a:sp3d>
              <a:bevelT/>
              <a:bevelB/>
            </a:sp3d>
          </c:spPr>
          <c:dPt>
            <c:idx val="0"/>
            <c:bubble3D val="0"/>
            <c:spPr>
              <a:solidFill>
                <a:schemeClr val="dk1">
                  <a:tint val="88500"/>
                </a:schemeClr>
              </a:solidFill>
              <a:ln>
                <a:noFill/>
              </a:ln>
              <a:effectLst/>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1-BF5A-467A-9CAC-66A1A6F0AB51}"/>
              </c:ext>
            </c:extLst>
          </c:dPt>
          <c:dPt>
            <c:idx val="1"/>
            <c:bubble3D val="0"/>
            <c:spPr>
              <a:solidFill>
                <a:schemeClr val="dk1">
                  <a:tint val="55000"/>
                </a:schemeClr>
              </a:solidFill>
              <a:ln>
                <a:noFill/>
              </a:ln>
              <a:effectLst/>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3-BF5A-467A-9CAC-66A1A6F0AB51}"/>
              </c:ext>
            </c:extLst>
          </c:dPt>
          <c:dPt>
            <c:idx val="2"/>
            <c:bubble3D val="0"/>
            <c:spPr>
              <a:solidFill>
                <a:schemeClr val="dk1">
                  <a:tint val="75000"/>
                </a:schemeClr>
              </a:solidFill>
              <a:ln>
                <a:noFill/>
              </a:ln>
              <a:effectLst/>
              <a:scene3d>
                <a:camera prst="orthographicFront"/>
                <a:lightRig rig="threePt" dir="t"/>
              </a:scene3d>
              <a:sp3d>
                <a:bevelT/>
                <a:bevelB/>
              </a:sp3d>
            </c:spPr>
          </c:dPt>
          <c:dPt>
            <c:idx val="3"/>
            <c:bubble3D val="0"/>
            <c:spPr>
              <a:solidFill>
                <a:schemeClr val="dk1">
                  <a:tint val="98500"/>
                </a:schemeClr>
              </a:solidFill>
              <a:ln>
                <a:noFill/>
              </a:ln>
              <a:effectLst/>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5-BF5A-467A-9CAC-66A1A6F0AB51}"/>
              </c:ext>
            </c:extLst>
          </c:dPt>
          <c:dPt>
            <c:idx val="4"/>
            <c:bubble3D val="0"/>
            <c:spPr>
              <a:solidFill>
                <a:schemeClr val="dk1">
                  <a:tint val="30000"/>
                </a:schemeClr>
              </a:solidFill>
              <a:ln>
                <a:noFill/>
              </a:ln>
              <a:effectLst/>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7-BF5A-467A-9CAC-66A1A6F0AB51}"/>
              </c:ext>
            </c:extLst>
          </c:dPt>
          <c:dPt>
            <c:idx val="5"/>
            <c:bubble3D val="0"/>
            <c:spPr>
              <a:solidFill>
                <a:schemeClr val="dk1">
                  <a:tint val="60000"/>
                </a:schemeClr>
              </a:solidFill>
              <a:ln>
                <a:noFill/>
              </a:ln>
              <a:effectLst/>
              <a:scene3d>
                <a:camera prst="orthographicFront"/>
                <a:lightRig rig="threePt" dir="t"/>
              </a:scene3d>
              <a:sp3d>
                <a:bevelT/>
                <a:bevelB/>
              </a:sp3d>
            </c:spPr>
          </c:dPt>
          <c:dLbls>
            <c:dLbl>
              <c:idx val="0"/>
              <c:layout>
                <c:manualLayout>
                  <c:x val="-1.1224051539012169E-2"/>
                  <c:y val="6.7340882592515694E-2"/>
                </c:manualLayout>
              </c:layout>
              <c:tx>
                <c:rich>
                  <a:bodyPr/>
                  <a:lstStyle/>
                  <a:p>
                    <a:r>
                      <a:rPr lang="en-US" sz="1050" b="1"/>
                      <a:t>Ingresos Locales                                           9.7%</a:t>
                    </a:r>
                    <a:endParaRPr lang="en-US"/>
                  </a:p>
                </c:rich>
              </c:tx>
              <c:showLegendKey val="0"/>
              <c:showVal val="1"/>
              <c:showCatName val="1"/>
              <c:showSerName val="0"/>
              <c:showPercent val="0"/>
              <c:showBubbleSize val="0"/>
              <c:extLst>
                <c:ext xmlns:c15="http://schemas.microsoft.com/office/drawing/2012/chart" uri="{CE6537A1-D6FC-4f65-9D91-7224C49458BB}"/>
              </c:extLst>
            </c:dLbl>
            <c:dLbl>
              <c:idx val="1"/>
              <c:layout>
                <c:manualLayout>
                  <c:x val="-0.18293128131710809"/>
                  <c:y val="-1.4874743649126807E-16"/>
                </c:manualLayout>
              </c:layout>
              <c:tx>
                <c:rich>
                  <a:bodyPr/>
                  <a:lstStyle/>
                  <a:p>
                    <a:r>
                      <a:rPr lang="en-US" sz="1050" b="1"/>
                      <a:t>Participaciones  28.2%</a:t>
                    </a:r>
                    <a:endParaRPr lang="en-US"/>
                  </a:p>
                </c:rich>
              </c:tx>
              <c:showLegendKey val="0"/>
              <c:showVal val="1"/>
              <c:showCatName val="1"/>
              <c:showSerName val="0"/>
              <c:showPercent val="0"/>
              <c:showBubbleSize val="0"/>
              <c:extLst>
                <c:ext xmlns:c15="http://schemas.microsoft.com/office/drawing/2012/chart" uri="{CE6537A1-D6FC-4f65-9D91-7224C49458BB}"/>
              </c:extLst>
            </c:dLbl>
            <c:dLbl>
              <c:idx val="2"/>
              <c:layout>
                <c:manualLayout>
                  <c:x val="2.7278492918760597E-2"/>
                  <c:y val="-1.7565451101135953E-2"/>
                </c:manualLayout>
              </c:layout>
              <c:tx>
                <c:rich>
                  <a:bodyPr/>
                  <a:lstStyle/>
                  <a:p>
                    <a:r>
                      <a:rPr lang="en-US" sz="1050" b="1"/>
                      <a:t>Aportaciones   35.5%</a:t>
                    </a:r>
                    <a:endParaRPr lang="en-US"/>
                  </a:p>
                </c:rich>
              </c:tx>
              <c:showLegendKey val="0"/>
              <c:showVal val="1"/>
              <c:showCatName val="1"/>
              <c:showSerName val="0"/>
              <c:showPercent val="0"/>
              <c:showBubbleSize val="0"/>
              <c:extLst>
                <c:ext xmlns:c15="http://schemas.microsoft.com/office/drawing/2012/chart" uri="{CE6537A1-D6FC-4f65-9D91-7224C49458BB}"/>
              </c:extLst>
            </c:dLbl>
            <c:dLbl>
              <c:idx val="3"/>
              <c:layout>
                <c:manualLayout>
                  <c:x val="-6.1461933299293239E-2"/>
                  <c:y val="-5.2335326650602828E-3"/>
                </c:manualLayout>
              </c:layout>
              <c:tx>
                <c:rich>
                  <a:bodyPr/>
                  <a:lstStyle/>
                  <a:p>
                    <a:r>
                      <a:rPr lang="en-US" sz="1050" b="1"/>
                      <a:t>Convenios</a:t>
                    </a:r>
                  </a:p>
                  <a:p>
                    <a:r>
                      <a:rPr lang="en-US" sz="1050" b="1"/>
                      <a:t>16.4%</a:t>
                    </a:r>
                    <a:endParaRPr lang="en-US"/>
                  </a:p>
                </c:rich>
              </c:tx>
              <c:showLegendKey val="0"/>
              <c:showVal val="1"/>
              <c:showCatName val="1"/>
              <c:showSerName val="0"/>
              <c:showPercent val="0"/>
              <c:showBubbleSize val="0"/>
              <c:extLst>
                <c:ext xmlns:c15="http://schemas.microsoft.com/office/drawing/2012/chart" uri="{CE6537A1-D6FC-4f65-9D91-7224C49458BB}"/>
              </c:extLst>
            </c:dLbl>
            <c:dLbl>
              <c:idx val="4"/>
              <c:layout>
                <c:manualLayout>
                  <c:x val="-1.1371192237333969E-2"/>
                  <c:y val="-7.3548418009614966E-2"/>
                </c:manualLayout>
              </c:layout>
              <c:tx>
                <c:rich>
                  <a:bodyPr/>
                  <a:lstStyle/>
                  <a:p>
                    <a:r>
                      <a:rPr lang="en-US" sz="1050"/>
                      <a:t>Transferencias</a:t>
                    </a:r>
                  </a:p>
                  <a:p>
                    <a:r>
                      <a:rPr lang="en-US" sz="1050"/>
                      <a:t>10.2%</a:t>
                    </a:r>
                    <a:endParaRPr lang="en-US"/>
                  </a:p>
                </c:rich>
              </c:tx>
              <c:showLegendKey val="0"/>
              <c:showVal val="1"/>
              <c:showCatName val="1"/>
              <c:showSerName val="0"/>
              <c:showPercent val="0"/>
              <c:showBubbleSize val="0"/>
              <c:extLst>
                <c:ext xmlns:c15="http://schemas.microsoft.com/office/drawing/2012/chart" uri="{CE6537A1-D6FC-4f65-9D91-7224C49458BB}"/>
              </c:extLst>
            </c:dLbl>
            <c:dLbl>
              <c:idx val="5"/>
              <c:delete val="1"/>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mn-lt"/>
                    <a:ea typeface="+mn-ea"/>
                    <a:cs typeface="+mn-cs"/>
                  </a:defRPr>
                </a:pPr>
                <a:endParaRPr lang="es-MX"/>
              </a:p>
            </c:txPr>
            <c:showLegendKey val="0"/>
            <c:showVal val="1"/>
            <c:showCatName val="1"/>
            <c:showSerName val="0"/>
            <c:showPercent val="0"/>
            <c:showBubbleSize val="0"/>
            <c:showLeaderLines val="1"/>
            <c:leaderLines>
              <c:spPr>
                <a:ln w="6350" cap="flat" cmpd="sng" algn="ctr">
                  <a:solidFill>
                    <a:schemeClr val="tx1"/>
                  </a:solidFill>
                  <a:prstDash val="solid"/>
                  <a:round/>
                </a:ln>
                <a:effectLst/>
              </c:spPr>
            </c:leaderLines>
            <c:extLst xmlns:c16r2="http://schemas.microsoft.com/office/drawing/2015/06/chart">
              <c:ext xmlns:c15="http://schemas.microsoft.com/office/drawing/2012/chart" uri="{CE6537A1-D6FC-4f65-9D91-7224C49458BB}"/>
            </c:extLst>
          </c:dLbls>
          <c:cat>
            <c:strRef>
              <c:f>'GRAF 2 composicion ingresos'!$B$5:$B$10</c:f>
              <c:strCache>
                <c:ptCount val="6"/>
                <c:pt idx="0">
                  <c:v>Ingresos Locales                                          </c:v>
                </c:pt>
                <c:pt idx="1">
                  <c:v>Participaciones       </c:v>
                </c:pt>
                <c:pt idx="2">
                  <c:v>Aportaciones        </c:v>
                </c:pt>
                <c:pt idx="3">
                  <c:v>Convenios</c:v>
                </c:pt>
                <c:pt idx="4">
                  <c:v>Transferencias </c:v>
                </c:pt>
                <c:pt idx="5">
                  <c:v>Edeudamiento Interno </c:v>
                </c:pt>
              </c:strCache>
            </c:strRef>
          </c:cat>
          <c:val>
            <c:numRef>
              <c:f>'GRAF 2 composicion ingresos'!$C$5:$C$10</c:f>
              <c:numCache>
                <c:formatCode>0.0%</c:formatCode>
                <c:ptCount val="6"/>
                <c:pt idx="0">
                  <c:v>9.7000000000000003E-2</c:v>
                </c:pt>
                <c:pt idx="1">
                  <c:v>0.28199999999999997</c:v>
                </c:pt>
                <c:pt idx="2">
                  <c:v>0.35499999999999998</c:v>
                </c:pt>
                <c:pt idx="3">
                  <c:v>0.16400000000000001</c:v>
                </c:pt>
                <c:pt idx="4">
                  <c:v>0.10199999999999999</c:v>
                </c:pt>
                <c:pt idx="5">
                  <c:v>0</c:v>
                </c:pt>
              </c:numCache>
            </c:numRef>
          </c:val>
          <c:extLst xmlns:c16r2="http://schemas.microsoft.com/office/drawing/2015/06/chart">
            <c:ext xmlns:c16="http://schemas.microsoft.com/office/drawing/2014/chart" uri="{C3380CC4-5D6E-409C-BE32-E72D297353CC}">
              <c16:uniqueId val="{0000000A-BF5A-467A-9CAC-66A1A6F0AB51}"/>
            </c:ext>
          </c:extLst>
        </c:ser>
        <c:dLbls>
          <c:showLegendKey val="0"/>
          <c:showVal val="1"/>
          <c:showCatName val="1"/>
          <c:showSerName val="0"/>
          <c:showPercent val="0"/>
          <c:showBubbleSize val="0"/>
          <c:showLeaderLines val="1"/>
        </c:dLbls>
      </c:pie3DChart>
      <c:spPr>
        <a:noFill/>
        <a:ln>
          <a:noFill/>
        </a:ln>
        <a:effectLst/>
      </c:spPr>
    </c:plotArea>
    <c:plotVisOnly val="1"/>
    <c:dispBlanksAs val="zero"/>
    <c:showDLblsOverMax val="0"/>
  </c:chart>
  <c:spPr>
    <a:solidFill>
      <a:schemeClr val="bg1"/>
    </a:solidFill>
    <a:ln w="6350" cap="flat" cmpd="sng" algn="ctr">
      <a:noFill/>
      <a:prstDash val="solid"/>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03DFFA5-D590-41AB-B94C-34CBDAB82396}" type="doc">
      <dgm:prSet loTypeId="urn:microsoft.com/office/officeart/2005/8/layout/radial5" loCatId="cycle" qsTypeId="urn:microsoft.com/office/officeart/2005/8/quickstyle/3d3" qsCatId="3D" csTypeId="urn:microsoft.com/office/officeart/2005/8/colors/accent1_2" csCatId="accent1" phldr="1"/>
      <dgm:spPr/>
      <dgm:t>
        <a:bodyPr/>
        <a:lstStyle/>
        <a:p>
          <a:endParaRPr lang="es-MX"/>
        </a:p>
      </dgm:t>
    </dgm:pt>
    <dgm:pt modelId="{E830A8E3-68CC-4116-8E7E-E03D5AE49A20}">
      <dgm:prSet phldrT="[Texto]" custT="1">
        <dgm:style>
          <a:lnRef idx="1">
            <a:schemeClr val="accent2"/>
          </a:lnRef>
          <a:fillRef idx="3">
            <a:schemeClr val="accent2"/>
          </a:fillRef>
          <a:effectRef idx="2">
            <a:schemeClr val="accent2"/>
          </a:effectRef>
          <a:fontRef idx="minor">
            <a:schemeClr val="lt1"/>
          </a:fontRef>
        </dgm:style>
      </dgm:prSet>
      <dgm:spPr>
        <a:xfrm>
          <a:off x="2315579" y="1616913"/>
          <a:ext cx="978333" cy="978333"/>
        </a:xfr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dgm:spPr>
      <dgm:t>
        <a:bodyPr/>
        <a:lstStyle/>
        <a:p>
          <a:pPr algn="ctr"/>
          <a:r>
            <a:rPr lang="es-MX" sz="1050" b="1" dirty="0">
              <a:solidFill>
                <a:sysClr val="windowText" lastClr="000000"/>
              </a:solidFill>
              <a:latin typeface="Calibri"/>
              <a:ea typeface="+mn-ea"/>
              <a:cs typeface="+mn-cs"/>
            </a:rPr>
            <a:t>Presupuesto 2017</a:t>
          </a:r>
        </a:p>
      </dgm:t>
    </dgm:pt>
    <dgm:pt modelId="{1D6C6FC6-7B5A-4224-809F-0CBF142255AE}" type="parTrans" cxnId="{02C66358-710F-452C-A879-DC7E4EEB40E9}">
      <dgm:prSet/>
      <dgm:spPr/>
      <dgm:t>
        <a:bodyPr/>
        <a:lstStyle/>
        <a:p>
          <a:pPr algn="ctr"/>
          <a:endParaRPr lang="es-MX"/>
        </a:p>
      </dgm:t>
    </dgm:pt>
    <dgm:pt modelId="{426DC3F8-B1B0-4FB4-A64E-0C4BBDACB8D0}" type="sibTrans" cxnId="{02C66358-710F-452C-A879-DC7E4EEB40E9}">
      <dgm:prSet/>
      <dgm:spPr/>
      <dgm:t>
        <a:bodyPr/>
        <a:lstStyle/>
        <a:p>
          <a:pPr algn="ctr"/>
          <a:endParaRPr lang="es-MX"/>
        </a:p>
      </dgm:t>
    </dgm:pt>
    <dgm:pt modelId="{9D58C201-4455-46FB-95E7-9AE285205981}">
      <dgm:prSet phldrT="[Texto]">
        <dgm:style>
          <a:lnRef idx="2">
            <a:schemeClr val="dk1">
              <a:shade val="50000"/>
            </a:schemeClr>
          </a:lnRef>
          <a:fillRef idx="1">
            <a:schemeClr val="dk1"/>
          </a:fillRef>
          <a:effectRef idx="0">
            <a:schemeClr val="dk1"/>
          </a:effectRef>
          <a:fontRef idx="minor">
            <a:schemeClr val="lt1"/>
          </a:fontRef>
        </dgm:style>
      </dgm:prSet>
      <dgm:spPr>
        <a:xfrm>
          <a:off x="2197109" y="6529"/>
          <a:ext cx="1215273" cy="1215273"/>
        </a:xfrm>
        <a:solidFill>
          <a:sysClr val="windowText" lastClr="000000"/>
        </a:solidFill>
        <a:ln w="25400" cap="flat" cmpd="sng" algn="ctr">
          <a:solidFill>
            <a:sysClr val="windowText" lastClr="000000">
              <a:shade val="50000"/>
            </a:sysClr>
          </a:solidFill>
          <a:prstDash val="solid"/>
        </a:ln>
        <a:effectLst/>
        <a:scene3d>
          <a:camera prst="orthographicFront">
            <a:rot lat="0" lon="0" rev="0"/>
          </a:camera>
          <a:lightRig rig="contrasting" dir="t">
            <a:rot lat="0" lon="0" rev="1200000"/>
          </a:lightRig>
        </a:scene3d>
        <a:sp3d/>
      </dgm:spPr>
      <dgm:t>
        <a:bodyPr/>
        <a:lstStyle/>
        <a:p>
          <a:pPr algn="ctr"/>
          <a:r>
            <a:rPr lang="es-MX" dirty="0">
              <a:solidFill>
                <a:sysClr val="window" lastClr="FFFFFF"/>
              </a:solidFill>
              <a:latin typeface="Calibri"/>
              <a:ea typeface="+mn-ea"/>
              <a:cs typeface="+mn-cs"/>
            </a:rPr>
            <a:t>Eje </a:t>
          </a:r>
          <a:r>
            <a:rPr lang="es-MX" b="1" dirty="0">
              <a:solidFill>
                <a:sysClr val="window" lastClr="FFFFFF"/>
              </a:solidFill>
              <a:latin typeface="Calibri"/>
              <a:ea typeface="+mn-ea"/>
              <a:cs typeface="+mn-cs"/>
            </a:rPr>
            <a:t> 1 nueva  Estructura Programática </a:t>
          </a:r>
        </a:p>
        <a:p>
          <a:pPr algn="ctr"/>
          <a:r>
            <a:rPr lang="es-MX" dirty="0">
              <a:solidFill>
                <a:sysClr val="window" lastClr="FFFFFF"/>
              </a:solidFill>
              <a:latin typeface="Calibri"/>
              <a:ea typeface="+mn-ea"/>
              <a:cs typeface="+mn-cs"/>
            </a:rPr>
            <a:t>PED </a:t>
          </a:r>
        </a:p>
      </dgm:t>
    </dgm:pt>
    <dgm:pt modelId="{ED569D9D-8C60-4C4E-AFC8-A69C53ACC453}" type="parTrans" cxnId="{73C48803-BC76-4EDD-84D4-98FCE8CC09D0}">
      <dgm:prSet/>
      <dgm:spPr>
        <a:xfrm rot="16200000">
          <a:off x="2700041" y="1281637"/>
          <a:ext cx="209408" cy="287294"/>
        </a:xfrm>
        <a:solidFill>
          <a:srgbClr val="4F81BD">
            <a:tint val="60000"/>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gm:spPr>
      <dgm:t>
        <a:bodyPr/>
        <a:lstStyle/>
        <a:p>
          <a:pPr algn="ctr"/>
          <a:endParaRPr lang="es-MX">
            <a:solidFill>
              <a:sysClr val="window" lastClr="FFFFFF"/>
            </a:solidFill>
            <a:latin typeface="Calibri"/>
            <a:ea typeface="+mn-ea"/>
            <a:cs typeface="+mn-cs"/>
          </a:endParaRPr>
        </a:p>
      </dgm:t>
    </dgm:pt>
    <dgm:pt modelId="{C10F381E-DA0B-41AE-9A0C-7E6BA0B98601}" type="sibTrans" cxnId="{73C48803-BC76-4EDD-84D4-98FCE8CC09D0}">
      <dgm:prSet/>
      <dgm:spPr/>
      <dgm:t>
        <a:bodyPr/>
        <a:lstStyle/>
        <a:p>
          <a:pPr algn="ctr"/>
          <a:endParaRPr lang="es-MX"/>
        </a:p>
      </dgm:t>
    </dgm:pt>
    <dgm:pt modelId="{A31F34C3-7AE4-4467-88DB-22B0CF494C33}">
      <dgm:prSet phldrT="[Texto]">
        <dgm:style>
          <a:lnRef idx="1">
            <a:schemeClr val="accent3"/>
          </a:lnRef>
          <a:fillRef idx="2">
            <a:schemeClr val="accent3"/>
          </a:fillRef>
          <a:effectRef idx="1">
            <a:schemeClr val="accent3"/>
          </a:effectRef>
          <a:fontRef idx="minor">
            <a:schemeClr val="dk1"/>
          </a:fontRef>
        </dgm:style>
      </dgm:prSet>
      <dgm:spPr>
        <a:xfrm>
          <a:off x="3616003" y="1037416"/>
          <a:ext cx="1215273" cy="1215273"/>
        </a:xfr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dgm:spPr>
      <dgm:t>
        <a:bodyPr/>
        <a:lstStyle/>
        <a:p>
          <a:pPr algn="ctr"/>
          <a:r>
            <a:rPr lang="es-MX" b="1" dirty="0">
              <a:solidFill>
                <a:sysClr val="windowText" lastClr="000000"/>
              </a:solidFill>
              <a:latin typeface="Calibri"/>
              <a:ea typeface="+mn-ea"/>
              <a:cs typeface="+mn-cs"/>
            </a:rPr>
            <a:t>Eje 2 Análisis del Capítulo Servicios Personales y estructuras orgánicas </a:t>
          </a:r>
          <a:endParaRPr lang="es-MX" dirty="0">
            <a:solidFill>
              <a:sysClr val="windowText" lastClr="000000"/>
            </a:solidFill>
            <a:latin typeface="Calibri"/>
            <a:ea typeface="+mn-ea"/>
            <a:cs typeface="+mn-cs"/>
          </a:endParaRPr>
        </a:p>
      </dgm:t>
    </dgm:pt>
    <dgm:pt modelId="{63E1D94B-2DC2-42D9-B448-506C96ACD3EF}" type="parTrans" cxnId="{D893E6CB-3E22-4E8F-B295-53D61383EB58}">
      <dgm:prSet/>
      <dgm:spPr>
        <a:xfrm rot="20520000">
          <a:off x="3347516" y="1752055"/>
          <a:ext cx="209408" cy="287294"/>
        </a:xfrm>
        <a:solidFill>
          <a:srgbClr val="4F81BD">
            <a:tint val="60000"/>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gm:spPr>
      <dgm:t>
        <a:bodyPr/>
        <a:lstStyle/>
        <a:p>
          <a:pPr algn="ctr"/>
          <a:endParaRPr lang="es-MX">
            <a:solidFill>
              <a:sysClr val="window" lastClr="FFFFFF"/>
            </a:solidFill>
            <a:latin typeface="Calibri"/>
            <a:ea typeface="+mn-ea"/>
            <a:cs typeface="+mn-cs"/>
          </a:endParaRPr>
        </a:p>
      </dgm:t>
    </dgm:pt>
    <dgm:pt modelId="{0CAACB0D-3DF2-4CC3-8C6D-B3812028FF1F}" type="sibTrans" cxnId="{D893E6CB-3E22-4E8F-B295-53D61383EB58}">
      <dgm:prSet/>
      <dgm:spPr/>
      <dgm:t>
        <a:bodyPr/>
        <a:lstStyle/>
        <a:p>
          <a:pPr algn="ctr"/>
          <a:endParaRPr lang="es-MX"/>
        </a:p>
      </dgm:t>
    </dgm:pt>
    <dgm:pt modelId="{F4823DB0-8C33-4CB7-8403-0135CD3C7E4D}">
      <dgm:prSet>
        <dgm:style>
          <a:lnRef idx="1">
            <a:schemeClr val="accent3"/>
          </a:lnRef>
          <a:fillRef idx="3">
            <a:schemeClr val="accent3"/>
          </a:fillRef>
          <a:effectRef idx="2">
            <a:schemeClr val="accent3"/>
          </a:effectRef>
          <a:fontRef idx="minor">
            <a:schemeClr val="lt1"/>
          </a:fontRef>
        </dgm:style>
      </dgm:prSet>
      <dgm:spPr>
        <a:xfrm>
          <a:off x="3094505" y="2711953"/>
          <a:ext cx="1215273" cy="1215273"/>
        </a:xfr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dgm:spPr>
      <dgm:t>
        <a:bodyPr/>
        <a:lstStyle/>
        <a:p>
          <a:pPr algn="ctr"/>
          <a:r>
            <a:rPr lang="es-MX" b="1" dirty="0">
              <a:solidFill>
                <a:sysClr val="window" lastClr="FFFFFF"/>
              </a:solidFill>
              <a:latin typeface="Calibri"/>
              <a:ea typeface="+mn-ea"/>
              <a:cs typeface="+mn-cs"/>
            </a:rPr>
            <a:t>Eje 3. Análisis integral gastos de operación, contexto Plan de Austeridad </a:t>
          </a:r>
          <a:endParaRPr lang="es-MX" dirty="0">
            <a:solidFill>
              <a:sysClr val="window" lastClr="FFFFFF"/>
            </a:solidFill>
            <a:latin typeface="Calibri"/>
            <a:ea typeface="+mn-ea"/>
            <a:cs typeface="+mn-cs"/>
          </a:endParaRPr>
        </a:p>
      </dgm:t>
    </dgm:pt>
    <dgm:pt modelId="{CF757839-BC19-4F43-89F3-5878BB7D77CD}" type="parTrans" cxnId="{5C1561A5-C95E-4DC8-B89E-7A5BCE3DC0E7}">
      <dgm:prSet/>
      <dgm:spPr>
        <a:xfrm rot="3211013">
          <a:off x="3105239" y="2516586"/>
          <a:ext cx="218612" cy="287294"/>
        </a:xfrm>
        <a:solidFill>
          <a:srgbClr val="4F81BD">
            <a:tint val="60000"/>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gm:spPr>
      <dgm:t>
        <a:bodyPr/>
        <a:lstStyle/>
        <a:p>
          <a:pPr algn="ctr"/>
          <a:endParaRPr lang="es-MX">
            <a:solidFill>
              <a:sysClr val="window" lastClr="FFFFFF"/>
            </a:solidFill>
            <a:latin typeface="Calibri"/>
            <a:ea typeface="+mn-ea"/>
            <a:cs typeface="+mn-cs"/>
          </a:endParaRPr>
        </a:p>
      </dgm:t>
    </dgm:pt>
    <dgm:pt modelId="{842D279A-99EB-479C-8BE3-EBED262947C2}" type="sibTrans" cxnId="{5C1561A5-C95E-4DC8-B89E-7A5BCE3DC0E7}">
      <dgm:prSet/>
      <dgm:spPr/>
      <dgm:t>
        <a:bodyPr/>
        <a:lstStyle/>
        <a:p>
          <a:pPr algn="ctr"/>
          <a:endParaRPr lang="es-MX"/>
        </a:p>
      </dgm:t>
    </dgm:pt>
    <dgm:pt modelId="{2F5AEA2E-61FE-43CA-8F58-954621BE4FEB}">
      <dgm:prSet>
        <dgm:style>
          <a:lnRef idx="1">
            <a:schemeClr val="accent3"/>
          </a:lnRef>
          <a:fillRef idx="2">
            <a:schemeClr val="accent3"/>
          </a:fillRef>
          <a:effectRef idx="1">
            <a:schemeClr val="accent3"/>
          </a:effectRef>
          <a:fontRef idx="minor">
            <a:schemeClr val="dk1"/>
          </a:fontRef>
        </dgm:style>
      </dgm:prSet>
      <dgm:spPr>
        <a:xfrm>
          <a:off x="1320184" y="2705427"/>
          <a:ext cx="1215273" cy="1215273"/>
        </a:xfr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dgm:spPr>
      <dgm:t>
        <a:bodyPr/>
        <a:lstStyle/>
        <a:p>
          <a:pPr algn="ctr"/>
          <a:r>
            <a:rPr lang="es-MX" b="1" dirty="0">
              <a:solidFill>
                <a:sysClr val="windowText" lastClr="000000"/>
              </a:solidFill>
              <a:latin typeface="Calibri"/>
              <a:ea typeface="+mn-ea"/>
              <a:cs typeface="+mn-cs"/>
            </a:rPr>
            <a:t>Eje 4  Mejora en la asignación de recursos a programas y proyectos de Inversión.</a:t>
          </a:r>
          <a:endParaRPr lang="es-MX" dirty="0">
            <a:solidFill>
              <a:sysClr val="windowText" lastClr="000000"/>
            </a:solidFill>
            <a:latin typeface="Calibri"/>
            <a:ea typeface="+mn-ea"/>
            <a:cs typeface="+mn-cs"/>
          </a:endParaRPr>
        </a:p>
      </dgm:t>
    </dgm:pt>
    <dgm:pt modelId="{9603236B-E4CD-4668-823D-154F46595C5D}" type="parTrans" cxnId="{A31A1006-2D40-42AA-A0B9-5C15C8B9C724}">
      <dgm:prSet/>
      <dgm:spPr>
        <a:xfrm rot="7560000">
          <a:off x="2299880" y="2513208"/>
          <a:ext cx="209408" cy="287294"/>
        </a:xfrm>
        <a:solidFill>
          <a:srgbClr val="4F81BD">
            <a:tint val="60000"/>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gm:spPr>
      <dgm:t>
        <a:bodyPr/>
        <a:lstStyle/>
        <a:p>
          <a:pPr algn="ctr"/>
          <a:endParaRPr lang="es-MX">
            <a:solidFill>
              <a:sysClr val="window" lastClr="FFFFFF"/>
            </a:solidFill>
            <a:latin typeface="Calibri"/>
            <a:ea typeface="+mn-ea"/>
            <a:cs typeface="+mn-cs"/>
          </a:endParaRPr>
        </a:p>
      </dgm:t>
    </dgm:pt>
    <dgm:pt modelId="{C8F8E8E3-E952-4FA0-9C15-9CC604F67AAB}" type="sibTrans" cxnId="{A31A1006-2D40-42AA-A0B9-5C15C8B9C724}">
      <dgm:prSet/>
      <dgm:spPr/>
      <dgm:t>
        <a:bodyPr/>
        <a:lstStyle/>
        <a:p>
          <a:pPr algn="ctr"/>
          <a:endParaRPr lang="es-MX"/>
        </a:p>
      </dgm:t>
    </dgm:pt>
    <dgm:pt modelId="{6A7E79F1-B459-409B-BAE6-80B198223703}">
      <dgm:prSet>
        <dgm:style>
          <a:lnRef idx="1">
            <a:schemeClr val="dk1"/>
          </a:lnRef>
          <a:fillRef idx="2">
            <a:schemeClr val="dk1"/>
          </a:fillRef>
          <a:effectRef idx="1">
            <a:schemeClr val="dk1"/>
          </a:effectRef>
          <a:fontRef idx="minor">
            <a:schemeClr val="dk1"/>
          </a:fontRef>
        </dgm:style>
      </dgm:prSet>
      <dgm:spPr>
        <a:xfrm>
          <a:off x="778214" y="1037416"/>
          <a:ext cx="1215273" cy="1215273"/>
        </a:xfr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dgm:spPr>
      <dgm:t>
        <a:bodyPr/>
        <a:lstStyle/>
        <a:p>
          <a:pPr algn="ctr"/>
          <a:r>
            <a:rPr lang="es-MX" b="1" dirty="0">
              <a:solidFill>
                <a:sysClr val="windowText" lastClr="000000"/>
              </a:solidFill>
              <a:latin typeface="Calibri"/>
              <a:ea typeface="+mn-ea"/>
              <a:cs typeface="+mn-cs"/>
            </a:rPr>
            <a:t>Enfoque Base Cero—</a:t>
          </a:r>
          <a:r>
            <a:rPr lang="es-MX" b="1" dirty="0" err="1">
              <a:solidFill>
                <a:sysClr val="windowText" lastClr="000000"/>
              </a:solidFill>
              <a:latin typeface="Calibri"/>
              <a:ea typeface="+mn-ea"/>
              <a:cs typeface="+mn-cs"/>
            </a:rPr>
            <a:t>PbR</a:t>
          </a:r>
          <a:r>
            <a:rPr lang="es-MX" b="1" dirty="0">
              <a:solidFill>
                <a:sysClr val="windowText" lastClr="000000"/>
              </a:solidFill>
              <a:latin typeface="Calibri"/>
              <a:ea typeface="+mn-ea"/>
              <a:cs typeface="+mn-cs"/>
            </a:rPr>
            <a:t>-SED</a:t>
          </a:r>
          <a:endParaRPr lang="es-MX" dirty="0">
            <a:solidFill>
              <a:sysClr val="windowText" lastClr="000000"/>
            </a:solidFill>
            <a:latin typeface="Calibri"/>
            <a:ea typeface="+mn-ea"/>
            <a:cs typeface="+mn-cs"/>
          </a:endParaRPr>
        </a:p>
      </dgm:t>
    </dgm:pt>
    <dgm:pt modelId="{AF4EA51C-10F8-435F-9DC1-57AEB74869A7}" type="parTrans" cxnId="{5788BAF7-0F29-4D59-BF6E-467757F16944}">
      <dgm:prSet/>
      <dgm:spPr>
        <a:xfrm rot="11880000">
          <a:off x="2052566" y="1752055"/>
          <a:ext cx="209408" cy="287294"/>
        </a:xfrm>
        <a:solidFill>
          <a:srgbClr val="4F81BD">
            <a:tint val="60000"/>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gm:spPr>
      <dgm:t>
        <a:bodyPr/>
        <a:lstStyle/>
        <a:p>
          <a:pPr algn="ctr"/>
          <a:endParaRPr lang="es-MX">
            <a:solidFill>
              <a:sysClr val="window" lastClr="FFFFFF"/>
            </a:solidFill>
            <a:latin typeface="Calibri"/>
            <a:ea typeface="+mn-ea"/>
            <a:cs typeface="+mn-cs"/>
          </a:endParaRPr>
        </a:p>
      </dgm:t>
    </dgm:pt>
    <dgm:pt modelId="{165B75B1-E988-411B-AE0F-3E895931EFE5}" type="sibTrans" cxnId="{5788BAF7-0F29-4D59-BF6E-467757F16944}">
      <dgm:prSet/>
      <dgm:spPr/>
      <dgm:t>
        <a:bodyPr/>
        <a:lstStyle/>
        <a:p>
          <a:pPr algn="ctr"/>
          <a:endParaRPr lang="es-MX"/>
        </a:p>
      </dgm:t>
    </dgm:pt>
    <dgm:pt modelId="{18A1E2DF-54C9-4058-BC14-EAACA7762742}" type="pres">
      <dgm:prSet presAssocID="{303DFFA5-D590-41AB-B94C-34CBDAB82396}" presName="Name0" presStyleCnt="0">
        <dgm:presLayoutVars>
          <dgm:chMax val="1"/>
          <dgm:dir/>
          <dgm:animLvl val="ctr"/>
          <dgm:resizeHandles val="exact"/>
        </dgm:presLayoutVars>
      </dgm:prSet>
      <dgm:spPr/>
      <dgm:t>
        <a:bodyPr/>
        <a:lstStyle/>
        <a:p>
          <a:endParaRPr lang="es-MX"/>
        </a:p>
      </dgm:t>
    </dgm:pt>
    <dgm:pt modelId="{5AD8FB72-7483-451C-A865-67B5AFEF29B0}" type="pres">
      <dgm:prSet presAssocID="{E830A8E3-68CC-4116-8E7E-E03D5AE49A20}" presName="centerShape" presStyleLbl="node0" presStyleIdx="0" presStyleCnt="1" custScaleX="107288" custScaleY="109663"/>
      <dgm:spPr>
        <a:prstGeom prst="ellipse">
          <a:avLst/>
        </a:prstGeom>
      </dgm:spPr>
      <dgm:t>
        <a:bodyPr/>
        <a:lstStyle/>
        <a:p>
          <a:endParaRPr lang="es-MX"/>
        </a:p>
      </dgm:t>
    </dgm:pt>
    <dgm:pt modelId="{6D05B695-6505-41AE-BE2E-4BDADF25D84A}" type="pres">
      <dgm:prSet presAssocID="{ED569D9D-8C60-4C4E-AFC8-A69C53ACC453}" presName="parTrans" presStyleLbl="sibTrans2D1" presStyleIdx="0" presStyleCnt="5"/>
      <dgm:spPr>
        <a:prstGeom prst="rightArrow">
          <a:avLst>
            <a:gd name="adj1" fmla="val 60000"/>
            <a:gd name="adj2" fmla="val 50000"/>
          </a:avLst>
        </a:prstGeom>
      </dgm:spPr>
      <dgm:t>
        <a:bodyPr/>
        <a:lstStyle/>
        <a:p>
          <a:endParaRPr lang="es-MX"/>
        </a:p>
      </dgm:t>
    </dgm:pt>
    <dgm:pt modelId="{5DF0377B-5D78-4948-A42F-778671F9D029}" type="pres">
      <dgm:prSet presAssocID="{ED569D9D-8C60-4C4E-AFC8-A69C53ACC453}" presName="connectorText" presStyleLbl="sibTrans2D1" presStyleIdx="0" presStyleCnt="5"/>
      <dgm:spPr/>
      <dgm:t>
        <a:bodyPr/>
        <a:lstStyle/>
        <a:p>
          <a:endParaRPr lang="es-MX"/>
        </a:p>
      </dgm:t>
    </dgm:pt>
    <dgm:pt modelId="{90CBD08C-4666-48B2-873C-D884FA798505}" type="pres">
      <dgm:prSet presAssocID="{9D58C201-4455-46FB-95E7-9AE285205981}" presName="node" presStyleLbl="node1" presStyleIdx="0" presStyleCnt="5">
        <dgm:presLayoutVars>
          <dgm:bulletEnabled val="1"/>
        </dgm:presLayoutVars>
      </dgm:prSet>
      <dgm:spPr>
        <a:prstGeom prst="ellipse">
          <a:avLst/>
        </a:prstGeom>
      </dgm:spPr>
      <dgm:t>
        <a:bodyPr/>
        <a:lstStyle/>
        <a:p>
          <a:endParaRPr lang="es-MX"/>
        </a:p>
      </dgm:t>
    </dgm:pt>
    <dgm:pt modelId="{99BD55C5-5988-4436-961C-D207186A8DA7}" type="pres">
      <dgm:prSet presAssocID="{63E1D94B-2DC2-42D9-B448-506C96ACD3EF}" presName="parTrans" presStyleLbl="sibTrans2D1" presStyleIdx="1" presStyleCnt="5"/>
      <dgm:spPr>
        <a:prstGeom prst="rightArrow">
          <a:avLst>
            <a:gd name="adj1" fmla="val 60000"/>
            <a:gd name="adj2" fmla="val 50000"/>
          </a:avLst>
        </a:prstGeom>
      </dgm:spPr>
      <dgm:t>
        <a:bodyPr/>
        <a:lstStyle/>
        <a:p>
          <a:endParaRPr lang="es-MX"/>
        </a:p>
      </dgm:t>
    </dgm:pt>
    <dgm:pt modelId="{B7719C14-130F-4735-A08C-3C5EDA9882C9}" type="pres">
      <dgm:prSet presAssocID="{63E1D94B-2DC2-42D9-B448-506C96ACD3EF}" presName="connectorText" presStyleLbl="sibTrans2D1" presStyleIdx="1" presStyleCnt="5"/>
      <dgm:spPr/>
      <dgm:t>
        <a:bodyPr/>
        <a:lstStyle/>
        <a:p>
          <a:endParaRPr lang="es-MX"/>
        </a:p>
      </dgm:t>
    </dgm:pt>
    <dgm:pt modelId="{9E07B3BD-8CA3-451B-A955-B27E68116AD5}" type="pres">
      <dgm:prSet presAssocID="{A31F34C3-7AE4-4467-88DB-22B0CF494C33}" presName="node" presStyleLbl="node1" presStyleIdx="1" presStyleCnt="5">
        <dgm:presLayoutVars>
          <dgm:bulletEnabled val="1"/>
        </dgm:presLayoutVars>
      </dgm:prSet>
      <dgm:spPr>
        <a:prstGeom prst="ellipse">
          <a:avLst/>
        </a:prstGeom>
      </dgm:spPr>
      <dgm:t>
        <a:bodyPr/>
        <a:lstStyle/>
        <a:p>
          <a:endParaRPr lang="es-MX"/>
        </a:p>
      </dgm:t>
    </dgm:pt>
    <dgm:pt modelId="{C56CEE35-F08C-4E2B-8CEF-19643D11A5DE}" type="pres">
      <dgm:prSet presAssocID="{CF757839-BC19-4F43-89F3-5878BB7D77CD}" presName="parTrans" presStyleLbl="sibTrans2D1" presStyleIdx="2" presStyleCnt="5"/>
      <dgm:spPr>
        <a:prstGeom prst="rightArrow">
          <a:avLst>
            <a:gd name="adj1" fmla="val 60000"/>
            <a:gd name="adj2" fmla="val 50000"/>
          </a:avLst>
        </a:prstGeom>
      </dgm:spPr>
      <dgm:t>
        <a:bodyPr/>
        <a:lstStyle/>
        <a:p>
          <a:endParaRPr lang="es-MX"/>
        </a:p>
      </dgm:t>
    </dgm:pt>
    <dgm:pt modelId="{BBD07E9B-E77E-47C8-97C5-2762D134C64A}" type="pres">
      <dgm:prSet presAssocID="{CF757839-BC19-4F43-89F3-5878BB7D77CD}" presName="connectorText" presStyleLbl="sibTrans2D1" presStyleIdx="2" presStyleCnt="5"/>
      <dgm:spPr/>
      <dgm:t>
        <a:bodyPr/>
        <a:lstStyle/>
        <a:p>
          <a:endParaRPr lang="es-MX"/>
        </a:p>
      </dgm:t>
    </dgm:pt>
    <dgm:pt modelId="{06CF77CB-2FD8-4A24-8FC8-F9D79D6B68BB}" type="pres">
      <dgm:prSet presAssocID="{F4823DB0-8C33-4CB7-8403-0135CD3C7E4D}" presName="node" presStyleLbl="node1" presStyleIdx="2" presStyleCnt="5" custRadScaleRad="101164" custRadScaleInc="-1342">
        <dgm:presLayoutVars>
          <dgm:bulletEnabled val="1"/>
        </dgm:presLayoutVars>
      </dgm:prSet>
      <dgm:spPr>
        <a:prstGeom prst="ellipse">
          <a:avLst/>
        </a:prstGeom>
      </dgm:spPr>
      <dgm:t>
        <a:bodyPr/>
        <a:lstStyle/>
        <a:p>
          <a:endParaRPr lang="es-MX"/>
        </a:p>
      </dgm:t>
    </dgm:pt>
    <dgm:pt modelId="{BB5C2A1D-74B7-4FA6-8292-8268F9CE55E0}" type="pres">
      <dgm:prSet presAssocID="{9603236B-E4CD-4668-823D-154F46595C5D}" presName="parTrans" presStyleLbl="sibTrans2D1" presStyleIdx="3" presStyleCnt="5"/>
      <dgm:spPr>
        <a:prstGeom prst="rightArrow">
          <a:avLst>
            <a:gd name="adj1" fmla="val 60000"/>
            <a:gd name="adj2" fmla="val 50000"/>
          </a:avLst>
        </a:prstGeom>
      </dgm:spPr>
      <dgm:t>
        <a:bodyPr/>
        <a:lstStyle/>
        <a:p>
          <a:endParaRPr lang="es-MX"/>
        </a:p>
      </dgm:t>
    </dgm:pt>
    <dgm:pt modelId="{8AA42C6E-47F2-4BDF-A7C3-D2AABB631EB4}" type="pres">
      <dgm:prSet presAssocID="{9603236B-E4CD-4668-823D-154F46595C5D}" presName="connectorText" presStyleLbl="sibTrans2D1" presStyleIdx="3" presStyleCnt="5"/>
      <dgm:spPr/>
      <dgm:t>
        <a:bodyPr/>
        <a:lstStyle/>
        <a:p>
          <a:endParaRPr lang="es-MX"/>
        </a:p>
      </dgm:t>
    </dgm:pt>
    <dgm:pt modelId="{C8E73D08-27FD-465E-9969-01674B093A76}" type="pres">
      <dgm:prSet presAssocID="{2F5AEA2E-61FE-43CA-8F58-954621BE4FEB}" presName="node" presStyleLbl="node1" presStyleIdx="3" presStyleCnt="5">
        <dgm:presLayoutVars>
          <dgm:bulletEnabled val="1"/>
        </dgm:presLayoutVars>
      </dgm:prSet>
      <dgm:spPr>
        <a:prstGeom prst="ellipse">
          <a:avLst/>
        </a:prstGeom>
      </dgm:spPr>
      <dgm:t>
        <a:bodyPr/>
        <a:lstStyle/>
        <a:p>
          <a:endParaRPr lang="es-MX"/>
        </a:p>
      </dgm:t>
    </dgm:pt>
    <dgm:pt modelId="{C7D358D8-1612-496B-AE2B-9E55D3654E88}" type="pres">
      <dgm:prSet presAssocID="{AF4EA51C-10F8-435F-9DC1-57AEB74869A7}" presName="parTrans" presStyleLbl="sibTrans2D1" presStyleIdx="4" presStyleCnt="5"/>
      <dgm:spPr>
        <a:prstGeom prst="rightArrow">
          <a:avLst>
            <a:gd name="adj1" fmla="val 60000"/>
            <a:gd name="adj2" fmla="val 50000"/>
          </a:avLst>
        </a:prstGeom>
      </dgm:spPr>
      <dgm:t>
        <a:bodyPr/>
        <a:lstStyle/>
        <a:p>
          <a:endParaRPr lang="es-MX"/>
        </a:p>
      </dgm:t>
    </dgm:pt>
    <dgm:pt modelId="{0314EB00-082B-4520-A33E-47CA73E4396E}" type="pres">
      <dgm:prSet presAssocID="{AF4EA51C-10F8-435F-9DC1-57AEB74869A7}" presName="connectorText" presStyleLbl="sibTrans2D1" presStyleIdx="4" presStyleCnt="5"/>
      <dgm:spPr/>
      <dgm:t>
        <a:bodyPr/>
        <a:lstStyle/>
        <a:p>
          <a:endParaRPr lang="es-MX"/>
        </a:p>
      </dgm:t>
    </dgm:pt>
    <dgm:pt modelId="{E3C5A268-DFF3-49DB-A999-2EB7C40EB9FB}" type="pres">
      <dgm:prSet presAssocID="{6A7E79F1-B459-409B-BAE6-80B198223703}" presName="node" presStyleLbl="node1" presStyleIdx="4" presStyleCnt="5">
        <dgm:presLayoutVars>
          <dgm:bulletEnabled val="1"/>
        </dgm:presLayoutVars>
      </dgm:prSet>
      <dgm:spPr>
        <a:prstGeom prst="ellipse">
          <a:avLst/>
        </a:prstGeom>
      </dgm:spPr>
      <dgm:t>
        <a:bodyPr/>
        <a:lstStyle/>
        <a:p>
          <a:endParaRPr lang="es-MX"/>
        </a:p>
      </dgm:t>
    </dgm:pt>
  </dgm:ptLst>
  <dgm:cxnLst>
    <dgm:cxn modelId="{A47FEFE5-0956-4CB9-98CE-31C71BFDBB10}" type="presOf" srcId="{2F5AEA2E-61FE-43CA-8F58-954621BE4FEB}" destId="{C8E73D08-27FD-465E-9969-01674B093A76}" srcOrd="0" destOrd="0" presId="urn:microsoft.com/office/officeart/2005/8/layout/radial5"/>
    <dgm:cxn modelId="{C30023AA-B933-4978-AB81-F1C5D348F40D}" type="presOf" srcId="{9603236B-E4CD-4668-823D-154F46595C5D}" destId="{8AA42C6E-47F2-4BDF-A7C3-D2AABB631EB4}" srcOrd="1" destOrd="0" presId="urn:microsoft.com/office/officeart/2005/8/layout/radial5"/>
    <dgm:cxn modelId="{A31A1006-2D40-42AA-A0B9-5C15C8B9C724}" srcId="{E830A8E3-68CC-4116-8E7E-E03D5AE49A20}" destId="{2F5AEA2E-61FE-43CA-8F58-954621BE4FEB}" srcOrd="3" destOrd="0" parTransId="{9603236B-E4CD-4668-823D-154F46595C5D}" sibTransId="{C8F8E8E3-E952-4FA0-9C15-9CC604F67AAB}"/>
    <dgm:cxn modelId="{D3000576-9368-4FB3-B698-F390FFA89E25}" type="presOf" srcId="{303DFFA5-D590-41AB-B94C-34CBDAB82396}" destId="{18A1E2DF-54C9-4058-BC14-EAACA7762742}" srcOrd="0" destOrd="0" presId="urn:microsoft.com/office/officeart/2005/8/layout/radial5"/>
    <dgm:cxn modelId="{9750C96C-9721-4E05-BFF2-558C4466D4A8}" type="presOf" srcId="{63E1D94B-2DC2-42D9-B448-506C96ACD3EF}" destId="{B7719C14-130F-4735-A08C-3C5EDA9882C9}" srcOrd="1" destOrd="0" presId="urn:microsoft.com/office/officeart/2005/8/layout/radial5"/>
    <dgm:cxn modelId="{31EF2788-F66C-4F91-BFB6-83C88A3F1B15}" type="presOf" srcId="{6A7E79F1-B459-409B-BAE6-80B198223703}" destId="{E3C5A268-DFF3-49DB-A999-2EB7C40EB9FB}" srcOrd="0" destOrd="0" presId="urn:microsoft.com/office/officeart/2005/8/layout/radial5"/>
    <dgm:cxn modelId="{5788BAF7-0F29-4D59-BF6E-467757F16944}" srcId="{E830A8E3-68CC-4116-8E7E-E03D5AE49A20}" destId="{6A7E79F1-B459-409B-BAE6-80B198223703}" srcOrd="4" destOrd="0" parTransId="{AF4EA51C-10F8-435F-9DC1-57AEB74869A7}" sibTransId="{165B75B1-E988-411B-AE0F-3E895931EFE5}"/>
    <dgm:cxn modelId="{5C1561A5-C95E-4DC8-B89E-7A5BCE3DC0E7}" srcId="{E830A8E3-68CC-4116-8E7E-E03D5AE49A20}" destId="{F4823DB0-8C33-4CB7-8403-0135CD3C7E4D}" srcOrd="2" destOrd="0" parTransId="{CF757839-BC19-4F43-89F3-5878BB7D77CD}" sibTransId="{842D279A-99EB-479C-8BE3-EBED262947C2}"/>
    <dgm:cxn modelId="{13184380-111B-40BB-A0F6-4AF0A924EEF0}" type="presOf" srcId="{AF4EA51C-10F8-435F-9DC1-57AEB74869A7}" destId="{C7D358D8-1612-496B-AE2B-9E55D3654E88}" srcOrd="0" destOrd="0" presId="urn:microsoft.com/office/officeart/2005/8/layout/radial5"/>
    <dgm:cxn modelId="{993BDE7E-457A-4BC1-92A0-68212356BAD8}" type="presOf" srcId="{F4823DB0-8C33-4CB7-8403-0135CD3C7E4D}" destId="{06CF77CB-2FD8-4A24-8FC8-F9D79D6B68BB}" srcOrd="0" destOrd="0" presId="urn:microsoft.com/office/officeart/2005/8/layout/radial5"/>
    <dgm:cxn modelId="{F711DCDE-0734-45AF-A3EE-B336B220E7DB}" type="presOf" srcId="{CF757839-BC19-4F43-89F3-5878BB7D77CD}" destId="{C56CEE35-F08C-4E2B-8CEF-19643D11A5DE}" srcOrd="0" destOrd="0" presId="urn:microsoft.com/office/officeart/2005/8/layout/radial5"/>
    <dgm:cxn modelId="{D893E6CB-3E22-4E8F-B295-53D61383EB58}" srcId="{E830A8E3-68CC-4116-8E7E-E03D5AE49A20}" destId="{A31F34C3-7AE4-4467-88DB-22B0CF494C33}" srcOrd="1" destOrd="0" parTransId="{63E1D94B-2DC2-42D9-B448-506C96ACD3EF}" sibTransId="{0CAACB0D-3DF2-4CC3-8C6D-B3812028FF1F}"/>
    <dgm:cxn modelId="{DC1934A6-AC08-448B-9FFD-9F938F7A2329}" type="presOf" srcId="{CF757839-BC19-4F43-89F3-5878BB7D77CD}" destId="{BBD07E9B-E77E-47C8-97C5-2762D134C64A}" srcOrd="1" destOrd="0" presId="urn:microsoft.com/office/officeart/2005/8/layout/radial5"/>
    <dgm:cxn modelId="{ACD95610-D0B4-491E-8D58-62284D55CF8A}" type="presOf" srcId="{63E1D94B-2DC2-42D9-B448-506C96ACD3EF}" destId="{99BD55C5-5988-4436-961C-D207186A8DA7}" srcOrd="0" destOrd="0" presId="urn:microsoft.com/office/officeart/2005/8/layout/radial5"/>
    <dgm:cxn modelId="{0626890E-3D9F-400F-A5EA-F44D96676B8F}" type="presOf" srcId="{ED569D9D-8C60-4C4E-AFC8-A69C53ACC453}" destId="{6D05B695-6505-41AE-BE2E-4BDADF25D84A}" srcOrd="0" destOrd="0" presId="urn:microsoft.com/office/officeart/2005/8/layout/radial5"/>
    <dgm:cxn modelId="{AF470718-15D2-43AB-A627-1E3FF560961E}" type="presOf" srcId="{E830A8E3-68CC-4116-8E7E-E03D5AE49A20}" destId="{5AD8FB72-7483-451C-A865-67B5AFEF29B0}" srcOrd="0" destOrd="0" presId="urn:microsoft.com/office/officeart/2005/8/layout/radial5"/>
    <dgm:cxn modelId="{F9DC7AA5-2399-421C-9768-08C238705ECB}" type="presOf" srcId="{AF4EA51C-10F8-435F-9DC1-57AEB74869A7}" destId="{0314EB00-082B-4520-A33E-47CA73E4396E}" srcOrd="1" destOrd="0" presId="urn:microsoft.com/office/officeart/2005/8/layout/radial5"/>
    <dgm:cxn modelId="{9A0F2CB8-F112-4552-B2BB-FAB061A798D7}" type="presOf" srcId="{A31F34C3-7AE4-4467-88DB-22B0CF494C33}" destId="{9E07B3BD-8CA3-451B-A955-B27E68116AD5}" srcOrd="0" destOrd="0" presId="urn:microsoft.com/office/officeart/2005/8/layout/radial5"/>
    <dgm:cxn modelId="{41E4AC1C-77B2-415F-85E3-DAF53A2470CB}" type="presOf" srcId="{9D58C201-4455-46FB-95E7-9AE285205981}" destId="{90CBD08C-4666-48B2-873C-D884FA798505}" srcOrd="0" destOrd="0" presId="urn:microsoft.com/office/officeart/2005/8/layout/radial5"/>
    <dgm:cxn modelId="{73C48803-BC76-4EDD-84D4-98FCE8CC09D0}" srcId="{E830A8E3-68CC-4116-8E7E-E03D5AE49A20}" destId="{9D58C201-4455-46FB-95E7-9AE285205981}" srcOrd="0" destOrd="0" parTransId="{ED569D9D-8C60-4C4E-AFC8-A69C53ACC453}" sibTransId="{C10F381E-DA0B-41AE-9A0C-7E6BA0B98601}"/>
    <dgm:cxn modelId="{F36B1C4C-AD75-4BF3-985D-570DBC8B1D69}" type="presOf" srcId="{ED569D9D-8C60-4C4E-AFC8-A69C53ACC453}" destId="{5DF0377B-5D78-4948-A42F-778671F9D029}" srcOrd="1" destOrd="0" presId="urn:microsoft.com/office/officeart/2005/8/layout/radial5"/>
    <dgm:cxn modelId="{11E94864-40A6-47B2-B913-B1C748D911A2}" type="presOf" srcId="{9603236B-E4CD-4668-823D-154F46595C5D}" destId="{BB5C2A1D-74B7-4FA6-8292-8268F9CE55E0}" srcOrd="0" destOrd="0" presId="urn:microsoft.com/office/officeart/2005/8/layout/radial5"/>
    <dgm:cxn modelId="{02C66358-710F-452C-A879-DC7E4EEB40E9}" srcId="{303DFFA5-D590-41AB-B94C-34CBDAB82396}" destId="{E830A8E3-68CC-4116-8E7E-E03D5AE49A20}" srcOrd="0" destOrd="0" parTransId="{1D6C6FC6-7B5A-4224-809F-0CBF142255AE}" sibTransId="{426DC3F8-B1B0-4FB4-A64E-0C4BBDACB8D0}"/>
    <dgm:cxn modelId="{25A60CD5-13B8-45A2-B02D-177DC6321AC0}" type="presParOf" srcId="{18A1E2DF-54C9-4058-BC14-EAACA7762742}" destId="{5AD8FB72-7483-451C-A865-67B5AFEF29B0}" srcOrd="0" destOrd="0" presId="urn:microsoft.com/office/officeart/2005/8/layout/radial5"/>
    <dgm:cxn modelId="{535A4A14-6051-4EA2-8383-6111CCF290D3}" type="presParOf" srcId="{18A1E2DF-54C9-4058-BC14-EAACA7762742}" destId="{6D05B695-6505-41AE-BE2E-4BDADF25D84A}" srcOrd="1" destOrd="0" presId="urn:microsoft.com/office/officeart/2005/8/layout/radial5"/>
    <dgm:cxn modelId="{F90546EB-0EE3-4F60-A907-F0CB5960A01B}" type="presParOf" srcId="{6D05B695-6505-41AE-BE2E-4BDADF25D84A}" destId="{5DF0377B-5D78-4948-A42F-778671F9D029}" srcOrd="0" destOrd="0" presId="urn:microsoft.com/office/officeart/2005/8/layout/radial5"/>
    <dgm:cxn modelId="{BC99EB11-14A8-4EB5-95BA-5EA69CCF2233}" type="presParOf" srcId="{18A1E2DF-54C9-4058-BC14-EAACA7762742}" destId="{90CBD08C-4666-48B2-873C-D884FA798505}" srcOrd="2" destOrd="0" presId="urn:microsoft.com/office/officeart/2005/8/layout/radial5"/>
    <dgm:cxn modelId="{0548747C-1CAC-419F-ACC8-DB8E607ABA36}" type="presParOf" srcId="{18A1E2DF-54C9-4058-BC14-EAACA7762742}" destId="{99BD55C5-5988-4436-961C-D207186A8DA7}" srcOrd="3" destOrd="0" presId="urn:microsoft.com/office/officeart/2005/8/layout/radial5"/>
    <dgm:cxn modelId="{F99FD352-E6AD-4541-9152-35CC6DEF49E4}" type="presParOf" srcId="{99BD55C5-5988-4436-961C-D207186A8DA7}" destId="{B7719C14-130F-4735-A08C-3C5EDA9882C9}" srcOrd="0" destOrd="0" presId="urn:microsoft.com/office/officeart/2005/8/layout/radial5"/>
    <dgm:cxn modelId="{EC9DC0D4-AB61-46B1-AA76-C603ACD287A2}" type="presParOf" srcId="{18A1E2DF-54C9-4058-BC14-EAACA7762742}" destId="{9E07B3BD-8CA3-451B-A955-B27E68116AD5}" srcOrd="4" destOrd="0" presId="urn:microsoft.com/office/officeart/2005/8/layout/radial5"/>
    <dgm:cxn modelId="{27909CA9-1B6A-436F-9E3A-5F79F4EE870F}" type="presParOf" srcId="{18A1E2DF-54C9-4058-BC14-EAACA7762742}" destId="{C56CEE35-F08C-4E2B-8CEF-19643D11A5DE}" srcOrd="5" destOrd="0" presId="urn:microsoft.com/office/officeart/2005/8/layout/radial5"/>
    <dgm:cxn modelId="{9DA75C43-515D-4289-9273-7C867205CA8A}" type="presParOf" srcId="{C56CEE35-F08C-4E2B-8CEF-19643D11A5DE}" destId="{BBD07E9B-E77E-47C8-97C5-2762D134C64A}" srcOrd="0" destOrd="0" presId="urn:microsoft.com/office/officeart/2005/8/layout/radial5"/>
    <dgm:cxn modelId="{4575E165-DD93-48A3-B427-A5B128CE85FF}" type="presParOf" srcId="{18A1E2DF-54C9-4058-BC14-EAACA7762742}" destId="{06CF77CB-2FD8-4A24-8FC8-F9D79D6B68BB}" srcOrd="6" destOrd="0" presId="urn:microsoft.com/office/officeart/2005/8/layout/radial5"/>
    <dgm:cxn modelId="{A3732469-B508-46E4-A376-BBC8D0F2E606}" type="presParOf" srcId="{18A1E2DF-54C9-4058-BC14-EAACA7762742}" destId="{BB5C2A1D-74B7-4FA6-8292-8268F9CE55E0}" srcOrd="7" destOrd="0" presId="urn:microsoft.com/office/officeart/2005/8/layout/radial5"/>
    <dgm:cxn modelId="{2178CC17-663D-408B-BA89-27172058D2ED}" type="presParOf" srcId="{BB5C2A1D-74B7-4FA6-8292-8268F9CE55E0}" destId="{8AA42C6E-47F2-4BDF-A7C3-D2AABB631EB4}" srcOrd="0" destOrd="0" presId="urn:microsoft.com/office/officeart/2005/8/layout/radial5"/>
    <dgm:cxn modelId="{3A53823C-2C51-4419-8ACF-29626740C466}" type="presParOf" srcId="{18A1E2DF-54C9-4058-BC14-EAACA7762742}" destId="{C8E73D08-27FD-465E-9969-01674B093A76}" srcOrd="8" destOrd="0" presId="urn:microsoft.com/office/officeart/2005/8/layout/radial5"/>
    <dgm:cxn modelId="{EEA67172-1414-4A4F-9B55-1B6E24980E9B}" type="presParOf" srcId="{18A1E2DF-54C9-4058-BC14-EAACA7762742}" destId="{C7D358D8-1612-496B-AE2B-9E55D3654E88}" srcOrd="9" destOrd="0" presId="urn:microsoft.com/office/officeart/2005/8/layout/radial5"/>
    <dgm:cxn modelId="{CF6609BC-8068-4E00-9D3B-38C13DF2AE58}" type="presParOf" srcId="{C7D358D8-1612-496B-AE2B-9E55D3654E88}" destId="{0314EB00-082B-4520-A33E-47CA73E4396E}" srcOrd="0" destOrd="0" presId="urn:microsoft.com/office/officeart/2005/8/layout/radial5"/>
    <dgm:cxn modelId="{4311FE53-F706-4B64-8783-A7FDAFA2A8B9}" type="presParOf" srcId="{18A1E2DF-54C9-4058-BC14-EAACA7762742}" destId="{E3C5A268-DFF3-49DB-A999-2EB7C40EB9FB}" srcOrd="10" destOrd="0" presId="urn:microsoft.com/office/officeart/2005/8/layout/radial5"/>
  </dgm:cxnLst>
  <dgm:bg>
    <a:solidFill>
      <a:schemeClr val="bg1"/>
    </a:solidFill>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D8FB72-7483-451C-A865-67B5AFEF29B0}">
      <dsp:nvSpPr>
        <dsp:cNvPr id="0" name=""/>
        <dsp:cNvSpPr/>
      </dsp:nvSpPr>
      <dsp:spPr>
        <a:xfrm>
          <a:off x="2405959" y="1561724"/>
          <a:ext cx="1044740" cy="1067867"/>
        </a:xfrm>
        <a:prstGeom prst="ellipse">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dsp:spPr>
      <dsp:style>
        <a:lnRef idx="1">
          <a:schemeClr val="accent2"/>
        </a:lnRef>
        <a:fillRef idx="3">
          <a:schemeClr val="accent2"/>
        </a:fillRef>
        <a:effectRef idx="2">
          <a:schemeClr val="accent2"/>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s-MX" sz="1050" b="1" kern="1200" dirty="0">
              <a:solidFill>
                <a:sysClr val="windowText" lastClr="000000"/>
              </a:solidFill>
              <a:latin typeface="Calibri"/>
              <a:ea typeface="+mn-ea"/>
              <a:cs typeface="+mn-cs"/>
            </a:rPr>
            <a:t>Presupuesto 2017</a:t>
          </a:r>
        </a:p>
      </dsp:txBody>
      <dsp:txXfrm>
        <a:off x="2558958" y="1718110"/>
        <a:ext cx="738742" cy="755095"/>
      </dsp:txXfrm>
    </dsp:sp>
    <dsp:sp modelId="{6D05B695-6505-41AE-BE2E-4BDADF25D84A}">
      <dsp:nvSpPr>
        <dsp:cNvPr id="0" name=""/>
        <dsp:cNvSpPr/>
      </dsp:nvSpPr>
      <dsp:spPr>
        <a:xfrm rot="16200000">
          <a:off x="2836608" y="1243151"/>
          <a:ext cx="183442" cy="301412"/>
        </a:xfrm>
        <a:prstGeom prst="rightArrow">
          <a:avLst>
            <a:gd name="adj1" fmla="val 60000"/>
            <a:gd name="adj2" fmla="val 50000"/>
          </a:avLst>
        </a:prstGeom>
        <a:solidFill>
          <a:srgbClr val="4F81BD">
            <a:tint val="60000"/>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s-MX" sz="900" kern="1200">
            <a:solidFill>
              <a:sysClr val="window" lastClr="FFFFFF"/>
            </a:solidFill>
            <a:latin typeface="Calibri"/>
            <a:ea typeface="+mn-ea"/>
            <a:cs typeface="+mn-cs"/>
          </a:endParaRPr>
        </a:p>
      </dsp:txBody>
      <dsp:txXfrm>
        <a:off x="2864125" y="1330950"/>
        <a:ext cx="128409" cy="180848"/>
      </dsp:txXfrm>
    </dsp:sp>
    <dsp:sp modelId="{90CBD08C-4666-48B2-873C-D884FA798505}">
      <dsp:nvSpPr>
        <dsp:cNvPr id="0" name=""/>
        <dsp:cNvSpPr/>
      </dsp:nvSpPr>
      <dsp:spPr>
        <a:xfrm>
          <a:off x="2323526" y="6000"/>
          <a:ext cx="1209606" cy="1209606"/>
        </a:xfrm>
        <a:prstGeom prst="ellipse">
          <a:avLst/>
        </a:prstGeom>
        <a:solidFill>
          <a:sysClr val="windowText" lastClr="000000"/>
        </a:solidFill>
        <a:ln w="25400" cap="flat" cmpd="sng" algn="ctr">
          <a:solidFill>
            <a:sysClr val="windowText" lastClr="000000">
              <a:shade val="50000"/>
            </a:sysClr>
          </a:solidFill>
          <a:prstDash val="solid"/>
        </a:ln>
        <a:effectLst/>
        <a:scene3d>
          <a:camera prst="orthographicFront">
            <a:rot lat="0" lon="0" rev="0"/>
          </a:camera>
          <a:lightRig rig="contrasting" dir="t">
            <a:rot lat="0" lon="0" rev="1200000"/>
          </a:lightRig>
        </a:scene3d>
        <a:sp3d/>
      </dsp:spPr>
      <dsp:style>
        <a:lnRef idx="2">
          <a:schemeClr val="dk1">
            <a:shade val="50000"/>
          </a:schemeClr>
        </a:lnRef>
        <a:fillRef idx="1">
          <a:schemeClr val="dk1"/>
        </a:fillRef>
        <a:effectRef idx="0">
          <a:schemeClr val="dk1"/>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MX" sz="900" kern="1200" dirty="0">
              <a:solidFill>
                <a:sysClr val="window" lastClr="FFFFFF"/>
              </a:solidFill>
              <a:latin typeface="Calibri"/>
              <a:ea typeface="+mn-ea"/>
              <a:cs typeface="+mn-cs"/>
            </a:rPr>
            <a:t>Eje </a:t>
          </a:r>
          <a:r>
            <a:rPr lang="es-MX" sz="900" b="1" kern="1200" dirty="0">
              <a:solidFill>
                <a:sysClr val="window" lastClr="FFFFFF"/>
              </a:solidFill>
              <a:latin typeface="Calibri"/>
              <a:ea typeface="+mn-ea"/>
              <a:cs typeface="+mn-cs"/>
            </a:rPr>
            <a:t> 1 nueva  Estructura Programática </a:t>
          </a:r>
        </a:p>
        <a:p>
          <a:pPr lvl="0" algn="ctr" defTabSz="400050">
            <a:lnSpc>
              <a:spcPct val="90000"/>
            </a:lnSpc>
            <a:spcBef>
              <a:spcPct val="0"/>
            </a:spcBef>
            <a:spcAft>
              <a:spcPct val="35000"/>
            </a:spcAft>
          </a:pPr>
          <a:r>
            <a:rPr lang="es-MX" sz="900" kern="1200" dirty="0">
              <a:solidFill>
                <a:sysClr val="window" lastClr="FFFFFF"/>
              </a:solidFill>
              <a:latin typeface="Calibri"/>
              <a:ea typeface="+mn-ea"/>
              <a:cs typeface="+mn-cs"/>
            </a:rPr>
            <a:t>PED </a:t>
          </a:r>
        </a:p>
      </dsp:txBody>
      <dsp:txXfrm>
        <a:off x="2500669" y="183143"/>
        <a:ext cx="855320" cy="855320"/>
      </dsp:txXfrm>
    </dsp:sp>
    <dsp:sp modelId="{99BD55C5-5988-4436-961C-D207186A8DA7}">
      <dsp:nvSpPr>
        <dsp:cNvPr id="0" name=""/>
        <dsp:cNvSpPr/>
      </dsp:nvSpPr>
      <dsp:spPr>
        <a:xfrm rot="20520000">
          <a:off x="3496141" y="1729753"/>
          <a:ext cx="189002" cy="301412"/>
        </a:xfrm>
        <a:prstGeom prst="rightArrow">
          <a:avLst>
            <a:gd name="adj1" fmla="val 60000"/>
            <a:gd name="adj2" fmla="val 50000"/>
          </a:avLst>
        </a:prstGeom>
        <a:solidFill>
          <a:srgbClr val="4F81BD">
            <a:tint val="60000"/>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s-MX" sz="900" kern="1200">
            <a:solidFill>
              <a:sysClr val="window" lastClr="FFFFFF"/>
            </a:solidFill>
            <a:latin typeface="Calibri"/>
            <a:ea typeface="+mn-ea"/>
            <a:cs typeface="+mn-cs"/>
          </a:endParaRPr>
        </a:p>
      </dsp:txBody>
      <dsp:txXfrm>
        <a:off x="3497529" y="1798796"/>
        <a:ext cx="132301" cy="180848"/>
      </dsp:txXfrm>
    </dsp:sp>
    <dsp:sp modelId="{9E07B3BD-8CA3-451B-A955-B27E68116AD5}">
      <dsp:nvSpPr>
        <dsp:cNvPr id="0" name=""/>
        <dsp:cNvSpPr/>
      </dsp:nvSpPr>
      <dsp:spPr>
        <a:xfrm>
          <a:off x="3735707" y="1032009"/>
          <a:ext cx="1209606" cy="1209606"/>
        </a:xfrm>
        <a:prstGeom prst="ellipse">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dsp:spPr>
      <dsp:style>
        <a:lnRef idx="1">
          <a:schemeClr val="accent3"/>
        </a:lnRef>
        <a:fillRef idx="2">
          <a:schemeClr val="accent3"/>
        </a:fillRef>
        <a:effectRef idx="1">
          <a:schemeClr val="accent3"/>
        </a:effectRef>
        <a:fontRef idx="minor">
          <a:schemeClr val="dk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MX" sz="900" b="1" kern="1200" dirty="0">
              <a:solidFill>
                <a:sysClr val="windowText" lastClr="000000"/>
              </a:solidFill>
              <a:latin typeface="Calibri"/>
              <a:ea typeface="+mn-ea"/>
              <a:cs typeface="+mn-cs"/>
            </a:rPr>
            <a:t>Eje 2 Análisis del Capítulo Servicios Personales y estructuras orgánicas </a:t>
          </a:r>
          <a:endParaRPr lang="es-MX" sz="900" kern="1200" dirty="0">
            <a:solidFill>
              <a:sysClr val="windowText" lastClr="000000"/>
            </a:solidFill>
            <a:latin typeface="Calibri"/>
            <a:ea typeface="+mn-ea"/>
            <a:cs typeface="+mn-cs"/>
          </a:endParaRPr>
        </a:p>
      </dsp:txBody>
      <dsp:txXfrm>
        <a:off x="3912850" y="1209152"/>
        <a:ext cx="855320" cy="855320"/>
      </dsp:txXfrm>
    </dsp:sp>
    <dsp:sp modelId="{C56CEE35-F08C-4E2B-8CEF-19643D11A5DE}">
      <dsp:nvSpPr>
        <dsp:cNvPr id="0" name=""/>
        <dsp:cNvSpPr/>
      </dsp:nvSpPr>
      <dsp:spPr>
        <a:xfrm rot="3210340">
          <a:off x="3252009" y="2513995"/>
          <a:ext cx="194606" cy="301412"/>
        </a:xfrm>
        <a:prstGeom prst="rightArrow">
          <a:avLst>
            <a:gd name="adj1" fmla="val 60000"/>
            <a:gd name="adj2" fmla="val 50000"/>
          </a:avLst>
        </a:prstGeom>
        <a:solidFill>
          <a:srgbClr val="4F81BD">
            <a:tint val="60000"/>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s-MX" sz="900" kern="1200">
            <a:solidFill>
              <a:sysClr val="window" lastClr="FFFFFF"/>
            </a:solidFill>
            <a:latin typeface="Calibri"/>
            <a:ea typeface="+mn-ea"/>
            <a:cs typeface="+mn-cs"/>
          </a:endParaRPr>
        </a:p>
      </dsp:txBody>
      <dsp:txXfrm>
        <a:off x="3263839" y="2550810"/>
        <a:ext cx="136224" cy="180848"/>
      </dsp:txXfrm>
    </dsp:sp>
    <dsp:sp modelId="{06CF77CB-2FD8-4A24-8FC8-F9D79D6B68BB}">
      <dsp:nvSpPr>
        <dsp:cNvPr id="0" name=""/>
        <dsp:cNvSpPr/>
      </dsp:nvSpPr>
      <dsp:spPr>
        <a:xfrm>
          <a:off x="3216676" y="2698128"/>
          <a:ext cx="1209606" cy="1209606"/>
        </a:xfrm>
        <a:prstGeom prst="ellipse">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dsp:spPr>
      <dsp:style>
        <a:lnRef idx="1">
          <a:schemeClr val="accent3"/>
        </a:lnRef>
        <a:fillRef idx="3">
          <a:schemeClr val="accent3"/>
        </a:fillRef>
        <a:effectRef idx="2">
          <a:schemeClr val="accent3"/>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MX" sz="900" b="1" kern="1200" dirty="0">
              <a:solidFill>
                <a:sysClr val="window" lastClr="FFFFFF"/>
              </a:solidFill>
              <a:latin typeface="Calibri"/>
              <a:ea typeface="+mn-ea"/>
              <a:cs typeface="+mn-cs"/>
            </a:rPr>
            <a:t>Eje 3. Análisis integral gastos de operación, contexto Plan de Austeridad </a:t>
          </a:r>
          <a:endParaRPr lang="es-MX" sz="900" kern="1200" dirty="0">
            <a:solidFill>
              <a:sysClr val="window" lastClr="FFFFFF"/>
            </a:solidFill>
            <a:latin typeface="Calibri"/>
            <a:ea typeface="+mn-ea"/>
            <a:cs typeface="+mn-cs"/>
          </a:endParaRPr>
        </a:p>
      </dsp:txBody>
      <dsp:txXfrm>
        <a:off x="3393819" y="2875271"/>
        <a:ext cx="855320" cy="855320"/>
      </dsp:txXfrm>
    </dsp:sp>
    <dsp:sp modelId="{BB5C2A1D-74B7-4FA6-8292-8268F9CE55E0}">
      <dsp:nvSpPr>
        <dsp:cNvPr id="0" name=""/>
        <dsp:cNvSpPr/>
      </dsp:nvSpPr>
      <dsp:spPr>
        <a:xfrm rot="7560000">
          <a:off x="2424254" y="2511020"/>
          <a:ext cx="185605" cy="301412"/>
        </a:xfrm>
        <a:prstGeom prst="rightArrow">
          <a:avLst>
            <a:gd name="adj1" fmla="val 60000"/>
            <a:gd name="adj2" fmla="val 50000"/>
          </a:avLst>
        </a:prstGeom>
        <a:solidFill>
          <a:srgbClr val="4F81BD">
            <a:tint val="60000"/>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s-MX" sz="900" kern="1200">
            <a:solidFill>
              <a:sysClr val="window" lastClr="FFFFFF"/>
            </a:solidFill>
            <a:latin typeface="Calibri"/>
            <a:ea typeface="+mn-ea"/>
            <a:cs typeface="+mn-cs"/>
          </a:endParaRPr>
        </a:p>
      </dsp:txBody>
      <dsp:txXfrm rot="10800000">
        <a:off x="2468459" y="2548779"/>
        <a:ext cx="129924" cy="180848"/>
      </dsp:txXfrm>
    </dsp:sp>
    <dsp:sp modelId="{C8E73D08-27FD-465E-9969-01674B093A76}">
      <dsp:nvSpPr>
        <dsp:cNvPr id="0" name=""/>
        <dsp:cNvSpPr/>
      </dsp:nvSpPr>
      <dsp:spPr>
        <a:xfrm>
          <a:off x="1450750" y="2692127"/>
          <a:ext cx="1209606" cy="1209606"/>
        </a:xfrm>
        <a:prstGeom prst="ellipse">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dsp:spPr>
      <dsp:style>
        <a:lnRef idx="1">
          <a:schemeClr val="accent3"/>
        </a:lnRef>
        <a:fillRef idx="2">
          <a:schemeClr val="accent3"/>
        </a:fillRef>
        <a:effectRef idx="1">
          <a:schemeClr val="accent3"/>
        </a:effectRef>
        <a:fontRef idx="minor">
          <a:schemeClr val="dk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MX" sz="900" b="1" kern="1200" dirty="0">
              <a:solidFill>
                <a:sysClr val="windowText" lastClr="000000"/>
              </a:solidFill>
              <a:latin typeface="Calibri"/>
              <a:ea typeface="+mn-ea"/>
              <a:cs typeface="+mn-cs"/>
            </a:rPr>
            <a:t>Eje 4  Mejora en la asignación de recursos a programas y proyectos de Inversión.</a:t>
          </a:r>
          <a:endParaRPr lang="es-MX" sz="900" kern="1200" dirty="0">
            <a:solidFill>
              <a:sysClr val="windowText" lastClr="000000"/>
            </a:solidFill>
            <a:latin typeface="Calibri"/>
            <a:ea typeface="+mn-ea"/>
            <a:cs typeface="+mn-cs"/>
          </a:endParaRPr>
        </a:p>
      </dsp:txBody>
      <dsp:txXfrm>
        <a:off x="1627893" y="2869270"/>
        <a:ext cx="855320" cy="855320"/>
      </dsp:txXfrm>
    </dsp:sp>
    <dsp:sp modelId="{C7D358D8-1612-496B-AE2B-9E55D3654E88}">
      <dsp:nvSpPr>
        <dsp:cNvPr id="0" name=""/>
        <dsp:cNvSpPr/>
      </dsp:nvSpPr>
      <dsp:spPr>
        <a:xfrm rot="11880000">
          <a:off x="2171515" y="1729753"/>
          <a:ext cx="189002" cy="301412"/>
        </a:xfrm>
        <a:prstGeom prst="rightArrow">
          <a:avLst>
            <a:gd name="adj1" fmla="val 60000"/>
            <a:gd name="adj2" fmla="val 50000"/>
          </a:avLst>
        </a:prstGeom>
        <a:solidFill>
          <a:srgbClr val="4F81BD">
            <a:tint val="60000"/>
            <a:hueOff val="0"/>
            <a:satOff val="0"/>
            <a:lumOff val="0"/>
            <a:alphaOff val="0"/>
          </a:srgb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s-MX" sz="900" kern="1200">
            <a:solidFill>
              <a:sysClr val="window" lastClr="FFFFFF"/>
            </a:solidFill>
            <a:latin typeface="Calibri"/>
            <a:ea typeface="+mn-ea"/>
            <a:cs typeface="+mn-cs"/>
          </a:endParaRPr>
        </a:p>
      </dsp:txBody>
      <dsp:txXfrm rot="10800000">
        <a:off x="2226828" y="1798796"/>
        <a:ext cx="132301" cy="180848"/>
      </dsp:txXfrm>
    </dsp:sp>
    <dsp:sp modelId="{E3C5A268-DFF3-49DB-A999-2EB7C40EB9FB}">
      <dsp:nvSpPr>
        <dsp:cNvPr id="0" name=""/>
        <dsp:cNvSpPr/>
      </dsp:nvSpPr>
      <dsp:spPr>
        <a:xfrm>
          <a:off x="911345" y="1032009"/>
          <a:ext cx="1209606" cy="1209606"/>
        </a:xfrm>
        <a:prstGeom prst="ellipse">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dsp:spPr>
      <dsp:style>
        <a:lnRef idx="1">
          <a:schemeClr val="dk1"/>
        </a:lnRef>
        <a:fillRef idx="2">
          <a:schemeClr val="dk1"/>
        </a:fillRef>
        <a:effectRef idx="1">
          <a:schemeClr val="dk1"/>
        </a:effectRef>
        <a:fontRef idx="minor">
          <a:schemeClr val="dk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MX" sz="900" b="1" kern="1200" dirty="0">
              <a:solidFill>
                <a:sysClr val="windowText" lastClr="000000"/>
              </a:solidFill>
              <a:latin typeface="Calibri"/>
              <a:ea typeface="+mn-ea"/>
              <a:cs typeface="+mn-cs"/>
            </a:rPr>
            <a:t>Enfoque Base Cero—</a:t>
          </a:r>
          <a:r>
            <a:rPr lang="es-MX" sz="900" b="1" kern="1200" dirty="0" err="1">
              <a:solidFill>
                <a:sysClr val="windowText" lastClr="000000"/>
              </a:solidFill>
              <a:latin typeface="Calibri"/>
              <a:ea typeface="+mn-ea"/>
              <a:cs typeface="+mn-cs"/>
            </a:rPr>
            <a:t>PbR</a:t>
          </a:r>
          <a:r>
            <a:rPr lang="es-MX" sz="900" b="1" kern="1200" dirty="0">
              <a:solidFill>
                <a:sysClr val="windowText" lastClr="000000"/>
              </a:solidFill>
              <a:latin typeface="Calibri"/>
              <a:ea typeface="+mn-ea"/>
              <a:cs typeface="+mn-cs"/>
            </a:rPr>
            <a:t>-SED</a:t>
          </a:r>
          <a:endParaRPr lang="es-MX" sz="900" kern="1200" dirty="0">
            <a:solidFill>
              <a:sysClr val="windowText" lastClr="000000"/>
            </a:solidFill>
            <a:latin typeface="Calibri"/>
            <a:ea typeface="+mn-ea"/>
            <a:cs typeface="+mn-cs"/>
          </a:endParaRPr>
        </a:p>
      </dsp:txBody>
      <dsp:txXfrm>
        <a:off x="1088488" y="1209152"/>
        <a:ext cx="855320" cy="855320"/>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28EFBE-C95B-44C9-B67F-4FA41EB5C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170</Pages>
  <Words>46139</Words>
  <Characters>253769</Characters>
  <Application>Microsoft Office Word</Application>
  <DocSecurity>0</DocSecurity>
  <Lines>2114</Lines>
  <Paragraphs>598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299310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roberto1</dc:creator>
  <cp:lastModifiedBy>Informática</cp:lastModifiedBy>
  <cp:revision>2</cp:revision>
  <cp:lastPrinted>2016-11-01T18:11:00Z</cp:lastPrinted>
  <dcterms:created xsi:type="dcterms:W3CDTF">2016-11-18T16:08:00Z</dcterms:created>
  <dcterms:modified xsi:type="dcterms:W3CDTF">2016-11-18T16:08:00Z</dcterms:modified>
</cp:coreProperties>
</file>