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696" w:rsidRDefault="00641696" w:rsidP="00641696">
      <w:pPr>
        <w:rPr>
          <w:rFonts w:ascii="Arial" w:hAnsi="Arial" w:cs="Arial"/>
          <w:b/>
          <w:bCs/>
          <w:color w:val="B2A1C7" w:themeColor="accent4" w:themeTint="99"/>
          <w:sz w:val="24"/>
          <w:szCs w:val="24"/>
        </w:rPr>
      </w:pPr>
    </w:p>
    <w:p w:rsidR="00641696" w:rsidRDefault="00641696" w:rsidP="00641696">
      <w:pPr>
        <w:rPr>
          <w:rFonts w:ascii="Arial" w:hAnsi="Arial" w:cs="Arial"/>
          <w:b/>
          <w:bCs/>
          <w:color w:val="B2A1C7" w:themeColor="accent4" w:themeTint="99"/>
          <w:sz w:val="24"/>
          <w:szCs w:val="24"/>
        </w:rPr>
      </w:pPr>
    </w:p>
    <w:p w:rsidR="00641696" w:rsidRDefault="00641696" w:rsidP="00641696">
      <w:pPr>
        <w:rPr>
          <w:rFonts w:ascii="Arial" w:hAnsi="Arial" w:cs="Arial"/>
          <w:b/>
          <w:bCs/>
          <w:color w:val="B2A1C7" w:themeColor="accent4" w:themeTint="99"/>
          <w:sz w:val="24"/>
          <w:szCs w:val="24"/>
        </w:rPr>
      </w:pPr>
    </w:p>
    <w:p w:rsidR="00641696" w:rsidRDefault="00641696" w:rsidP="00641696">
      <w:pPr>
        <w:rPr>
          <w:rFonts w:ascii="Arial Black" w:hAnsi="Arial Black" w:cs="Arial"/>
          <w:b/>
          <w:sz w:val="32"/>
          <w:szCs w:val="32"/>
        </w:rPr>
      </w:pPr>
    </w:p>
    <w:p w:rsidR="00641696" w:rsidRPr="005B46FE" w:rsidRDefault="00641696" w:rsidP="00641696">
      <w:pPr>
        <w:rPr>
          <w:rFonts w:ascii="Arial Black" w:hAnsi="Arial Black" w:cs="Arial"/>
          <w:b/>
          <w:sz w:val="32"/>
          <w:szCs w:val="32"/>
        </w:rPr>
      </w:pPr>
    </w:p>
    <w:p w:rsidR="00E063E1" w:rsidRPr="005B46FE" w:rsidRDefault="00E063E1" w:rsidP="00E063E1">
      <w:pPr>
        <w:jc w:val="center"/>
        <w:rPr>
          <w:rFonts w:ascii="Arial" w:hAnsi="Arial" w:cs="Arial"/>
          <w:b/>
          <w:sz w:val="40"/>
          <w:szCs w:val="40"/>
        </w:rPr>
      </w:pPr>
    </w:p>
    <w:p w:rsidR="00E063E1" w:rsidRPr="003F35C9" w:rsidRDefault="00E063E1" w:rsidP="00D401E0">
      <w:pPr>
        <w:spacing w:line="240" w:lineRule="auto"/>
        <w:jc w:val="center"/>
        <w:rPr>
          <w:rFonts w:ascii="Arial" w:hAnsi="Arial" w:cs="Arial"/>
          <w:b/>
          <w:sz w:val="40"/>
          <w:szCs w:val="40"/>
        </w:rPr>
      </w:pPr>
      <w:r w:rsidRPr="003F35C9">
        <w:rPr>
          <w:rFonts w:ascii="Arial" w:hAnsi="Arial" w:cs="Arial"/>
          <w:b/>
          <w:sz w:val="40"/>
          <w:szCs w:val="40"/>
        </w:rPr>
        <w:t xml:space="preserve">PRESUPUESTO DE </w:t>
      </w:r>
      <w:r w:rsidR="00D401E0">
        <w:rPr>
          <w:rFonts w:ascii="Arial" w:hAnsi="Arial" w:cs="Arial"/>
          <w:b/>
          <w:sz w:val="40"/>
          <w:szCs w:val="40"/>
        </w:rPr>
        <w:t xml:space="preserve">                            </w:t>
      </w:r>
      <w:r w:rsidRPr="003F35C9">
        <w:rPr>
          <w:rFonts w:ascii="Arial" w:hAnsi="Arial" w:cs="Arial"/>
          <w:b/>
          <w:sz w:val="40"/>
          <w:szCs w:val="40"/>
        </w:rPr>
        <w:t xml:space="preserve">EGRESOS DEL </w:t>
      </w:r>
      <w:r w:rsidR="00245EB5">
        <w:rPr>
          <w:rFonts w:ascii="Arial" w:hAnsi="Arial" w:cs="Arial"/>
          <w:b/>
          <w:sz w:val="40"/>
          <w:szCs w:val="40"/>
        </w:rPr>
        <w:t>ESTADO DE COLIMA</w:t>
      </w:r>
      <w:r w:rsidR="003F35C9" w:rsidRPr="003F35C9">
        <w:rPr>
          <w:rFonts w:ascii="Arial" w:hAnsi="Arial" w:cs="Arial"/>
          <w:b/>
          <w:sz w:val="40"/>
          <w:szCs w:val="40"/>
        </w:rPr>
        <w:t xml:space="preserve"> PARA EL EJERCICIO FISCAL 2018</w:t>
      </w: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Default="00E063E1" w:rsidP="00E063E1">
      <w:pPr>
        <w:autoSpaceDE w:val="0"/>
        <w:autoSpaceDN w:val="0"/>
        <w:adjustRightInd w:val="0"/>
        <w:spacing w:after="0" w:line="240" w:lineRule="auto"/>
        <w:jc w:val="center"/>
        <w:rPr>
          <w:rFonts w:ascii="Arial" w:hAnsi="Arial" w:cs="Arial"/>
          <w:b/>
          <w:sz w:val="40"/>
          <w:szCs w:val="40"/>
          <w:highlight w:val="yellow"/>
        </w:rPr>
      </w:pPr>
    </w:p>
    <w:p w:rsidR="00641696" w:rsidRPr="00F8671B" w:rsidRDefault="00641696"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F8671B" w:rsidRDefault="00E063E1" w:rsidP="00E063E1">
      <w:pPr>
        <w:autoSpaceDE w:val="0"/>
        <w:autoSpaceDN w:val="0"/>
        <w:adjustRightInd w:val="0"/>
        <w:spacing w:after="0" w:line="240" w:lineRule="auto"/>
        <w:jc w:val="center"/>
        <w:rPr>
          <w:rFonts w:ascii="Arial" w:hAnsi="Arial" w:cs="Arial"/>
          <w:b/>
          <w:sz w:val="40"/>
          <w:szCs w:val="40"/>
          <w:highlight w:val="yellow"/>
        </w:rPr>
      </w:pPr>
    </w:p>
    <w:p w:rsidR="00E063E1" w:rsidRPr="003F35C9" w:rsidRDefault="00E063E1" w:rsidP="00E063E1">
      <w:pPr>
        <w:autoSpaceDE w:val="0"/>
        <w:autoSpaceDN w:val="0"/>
        <w:adjustRightInd w:val="0"/>
        <w:spacing w:after="0" w:line="240" w:lineRule="auto"/>
        <w:jc w:val="center"/>
        <w:rPr>
          <w:rFonts w:ascii="Arial" w:hAnsi="Arial" w:cs="Arial"/>
          <w:b/>
          <w:sz w:val="40"/>
          <w:szCs w:val="40"/>
        </w:rPr>
      </w:pPr>
      <w:r w:rsidRPr="003F35C9">
        <w:rPr>
          <w:rFonts w:ascii="Arial" w:hAnsi="Arial" w:cs="Arial"/>
          <w:b/>
          <w:sz w:val="40"/>
          <w:szCs w:val="40"/>
        </w:rPr>
        <w:t>TOMO I. EXPOSICIÓN DE MOTIVOS</w:t>
      </w:r>
      <w:r w:rsidR="00B93EB0">
        <w:rPr>
          <w:rFonts w:ascii="Arial" w:hAnsi="Arial" w:cs="Arial"/>
          <w:b/>
          <w:sz w:val="40"/>
          <w:szCs w:val="40"/>
        </w:rPr>
        <w:t>.</w:t>
      </w: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Pr="00F8671B" w:rsidRDefault="00E063E1" w:rsidP="00E063E1">
      <w:pPr>
        <w:rPr>
          <w:highlight w:val="yellow"/>
        </w:rPr>
      </w:pPr>
    </w:p>
    <w:p w:rsidR="00E063E1" w:rsidRDefault="00E063E1" w:rsidP="00E063E1">
      <w:pPr>
        <w:rPr>
          <w:highlight w:val="yellow"/>
        </w:rPr>
      </w:pPr>
    </w:p>
    <w:p w:rsidR="00D45144" w:rsidRPr="00F8671B" w:rsidRDefault="00D45144" w:rsidP="00E063E1">
      <w:pPr>
        <w:rPr>
          <w:highlight w:val="yellow"/>
        </w:rPr>
      </w:pPr>
    </w:p>
    <w:p w:rsidR="00E063E1" w:rsidRPr="00F8671B" w:rsidRDefault="00E063E1" w:rsidP="00E063E1">
      <w:pPr>
        <w:rPr>
          <w:highlight w:val="yellow"/>
        </w:rPr>
      </w:pPr>
    </w:p>
    <w:p w:rsidR="00E063E1" w:rsidRPr="003F35C9" w:rsidRDefault="002B581B" w:rsidP="00E063E1">
      <w:pPr>
        <w:spacing w:after="0" w:line="240" w:lineRule="auto"/>
        <w:jc w:val="both"/>
        <w:rPr>
          <w:rFonts w:ascii="Arial" w:hAnsi="Arial" w:cs="Arial"/>
          <w:b/>
          <w:sz w:val="24"/>
          <w:szCs w:val="24"/>
        </w:rPr>
      </w:pPr>
      <w:r>
        <w:rPr>
          <w:rFonts w:ascii="Arial" w:hAnsi="Arial" w:cs="Arial"/>
          <w:b/>
          <w:sz w:val="24"/>
          <w:szCs w:val="24"/>
        </w:rPr>
        <w:lastRenderedPageBreak/>
        <w:t>CC. DIPUTADA PRESIDENTA</w:t>
      </w:r>
      <w:r w:rsidR="00E063E1" w:rsidRPr="003F35C9">
        <w:rPr>
          <w:rFonts w:ascii="Arial" w:hAnsi="Arial" w:cs="Arial"/>
          <w:b/>
          <w:sz w:val="24"/>
          <w:szCs w:val="24"/>
        </w:rPr>
        <w:t xml:space="preserve"> Y DIPUTADOS SECRETARIOS DE LA </w:t>
      </w:r>
    </w:p>
    <w:p w:rsidR="00E063E1" w:rsidRPr="003F35C9" w:rsidRDefault="00E063E1" w:rsidP="00E063E1">
      <w:pPr>
        <w:spacing w:after="0" w:line="240" w:lineRule="auto"/>
        <w:jc w:val="both"/>
        <w:rPr>
          <w:rFonts w:ascii="Arial" w:hAnsi="Arial" w:cs="Arial"/>
          <w:b/>
          <w:sz w:val="24"/>
          <w:szCs w:val="24"/>
        </w:rPr>
      </w:pPr>
      <w:r w:rsidRPr="003F35C9">
        <w:rPr>
          <w:rFonts w:ascii="Arial" w:hAnsi="Arial" w:cs="Arial"/>
          <w:b/>
          <w:sz w:val="24"/>
          <w:szCs w:val="24"/>
        </w:rPr>
        <w:t xml:space="preserve">MESA DIRECTIVA DEL H. CONGRESO DEL </w:t>
      </w:r>
      <w:r w:rsidR="00245EB5">
        <w:rPr>
          <w:rFonts w:ascii="Arial" w:hAnsi="Arial" w:cs="Arial"/>
          <w:b/>
          <w:sz w:val="24"/>
          <w:szCs w:val="24"/>
        </w:rPr>
        <w:t>ESTADO DE COLIMA</w:t>
      </w:r>
      <w:r w:rsidRPr="003F35C9">
        <w:rPr>
          <w:rFonts w:ascii="Arial" w:hAnsi="Arial" w:cs="Arial"/>
          <w:b/>
          <w:sz w:val="24"/>
          <w:szCs w:val="24"/>
        </w:rPr>
        <w:t>.</w:t>
      </w:r>
    </w:p>
    <w:p w:rsidR="00E063E1" w:rsidRPr="003F35C9" w:rsidRDefault="00E063E1" w:rsidP="00E063E1">
      <w:pPr>
        <w:spacing w:after="0" w:line="240" w:lineRule="auto"/>
        <w:jc w:val="both"/>
        <w:rPr>
          <w:rFonts w:ascii="Arial" w:hAnsi="Arial" w:cs="Arial"/>
          <w:b/>
          <w:sz w:val="24"/>
          <w:szCs w:val="24"/>
        </w:rPr>
      </w:pPr>
      <w:r w:rsidRPr="003F35C9">
        <w:rPr>
          <w:rFonts w:ascii="Arial" w:hAnsi="Arial" w:cs="Arial"/>
          <w:b/>
          <w:sz w:val="24"/>
          <w:szCs w:val="24"/>
        </w:rPr>
        <w:t>PRESENTES.</w:t>
      </w:r>
    </w:p>
    <w:p w:rsidR="00E063E1" w:rsidRPr="00613096" w:rsidRDefault="00E063E1" w:rsidP="00E063E1">
      <w:pPr>
        <w:spacing w:after="0" w:line="240" w:lineRule="auto"/>
        <w:jc w:val="both"/>
        <w:rPr>
          <w:rFonts w:ascii="Arial" w:hAnsi="Arial" w:cs="Arial"/>
          <w:sz w:val="24"/>
          <w:highlight w:val="yellow"/>
        </w:rPr>
      </w:pPr>
    </w:p>
    <w:p w:rsidR="00E063E1" w:rsidRPr="003F35C9" w:rsidRDefault="00E063E1" w:rsidP="00E063E1">
      <w:pPr>
        <w:autoSpaceDE w:val="0"/>
        <w:autoSpaceDN w:val="0"/>
        <w:adjustRightInd w:val="0"/>
        <w:spacing w:after="0" w:line="240" w:lineRule="auto"/>
        <w:jc w:val="both"/>
        <w:rPr>
          <w:rFonts w:ascii="Arial" w:eastAsia="Times New Roman" w:hAnsi="Arial" w:cs="Arial"/>
          <w:sz w:val="24"/>
          <w:szCs w:val="24"/>
          <w:lang w:val="es-ES" w:eastAsia="es-ES"/>
        </w:rPr>
      </w:pPr>
      <w:r w:rsidRPr="003F35C9">
        <w:rPr>
          <w:rFonts w:ascii="Arial" w:eastAsia="Times New Roman" w:hAnsi="Arial" w:cs="Arial"/>
          <w:b/>
          <w:sz w:val="24"/>
          <w:szCs w:val="24"/>
          <w:lang w:val="es-ES" w:eastAsia="es-ES"/>
        </w:rPr>
        <w:t>JOSÉ IGNACIO PERALTA SÁNCHEZ, Gobernador Constitucional del Estado Libre y Soberano de Colima</w:t>
      </w:r>
      <w:r w:rsidRPr="003F35C9">
        <w:rPr>
          <w:rFonts w:ascii="Arial" w:eastAsia="Times New Roman" w:hAnsi="Arial" w:cs="Arial"/>
          <w:sz w:val="24"/>
          <w:szCs w:val="24"/>
          <w:lang w:val="es-ES" w:eastAsia="es-ES"/>
        </w:rPr>
        <w:t xml:space="preserve">, en ejercicio de la facultad que me confieren los artículos </w:t>
      </w:r>
      <w:r w:rsidR="009511B5">
        <w:rPr>
          <w:rFonts w:ascii="Arial" w:eastAsia="Times New Roman" w:hAnsi="Arial" w:cs="Arial"/>
          <w:sz w:val="24"/>
          <w:szCs w:val="24"/>
          <w:lang w:val="es-ES" w:eastAsia="es-ES"/>
        </w:rPr>
        <w:t xml:space="preserve">37, fracción II y </w:t>
      </w:r>
      <w:r w:rsidRPr="003F35C9">
        <w:rPr>
          <w:rFonts w:ascii="Arial" w:eastAsia="Times New Roman" w:hAnsi="Arial" w:cs="Arial"/>
          <w:sz w:val="24"/>
          <w:szCs w:val="24"/>
          <w:lang w:val="es-ES" w:eastAsia="es-ES"/>
        </w:rPr>
        <w:t xml:space="preserve">58, fracción XVI de la Constitución Política del Estado Libre y Soberano de Colima y </w:t>
      </w:r>
      <w:r w:rsidR="00F07672" w:rsidRPr="00D41227">
        <w:rPr>
          <w:rFonts w:ascii="Arial" w:eastAsia="Times New Roman" w:hAnsi="Arial" w:cs="Arial"/>
          <w:sz w:val="24"/>
          <w:szCs w:val="24"/>
          <w:lang w:val="es-ES" w:eastAsia="es-ES"/>
        </w:rPr>
        <w:t>16</w:t>
      </w:r>
      <w:r w:rsidR="009511B5">
        <w:rPr>
          <w:rFonts w:ascii="Arial" w:eastAsia="Times New Roman" w:hAnsi="Arial" w:cs="Arial"/>
          <w:sz w:val="24"/>
          <w:szCs w:val="24"/>
          <w:lang w:val="es-ES" w:eastAsia="es-ES"/>
        </w:rPr>
        <w:t xml:space="preserve"> de la Ley de Presupuesto y Responsabilidad Hacendaria del Estado de Colima</w:t>
      </w:r>
      <w:r w:rsidRPr="00D41227">
        <w:rPr>
          <w:rFonts w:ascii="Arial" w:eastAsia="Times New Roman" w:hAnsi="Arial" w:cs="Arial"/>
          <w:sz w:val="24"/>
          <w:szCs w:val="24"/>
          <w:lang w:val="es-ES" w:eastAsia="es-ES"/>
        </w:rPr>
        <w:t xml:space="preserve">, tengo a bien presentar y poner a consideración de esta Quincuagésima Octava Legislatura Estatal, la presente </w:t>
      </w:r>
      <w:r w:rsidRPr="00D41227">
        <w:rPr>
          <w:rFonts w:ascii="Arial" w:eastAsia="Times New Roman" w:hAnsi="Arial" w:cs="Arial"/>
          <w:b/>
          <w:sz w:val="24"/>
          <w:szCs w:val="24"/>
          <w:lang w:val="es-ES" w:eastAsia="es-ES"/>
        </w:rPr>
        <w:t xml:space="preserve">Iniciativa con Proyecto de Decreto por la que se expide el PRESUPUESTO DE EGRESOS DEL </w:t>
      </w:r>
      <w:r w:rsidR="00245EB5">
        <w:rPr>
          <w:rFonts w:ascii="Arial" w:eastAsia="Times New Roman" w:hAnsi="Arial" w:cs="Arial"/>
          <w:b/>
          <w:sz w:val="24"/>
          <w:szCs w:val="24"/>
          <w:lang w:val="es-ES" w:eastAsia="es-ES"/>
        </w:rPr>
        <w:t>ESTADO DE COLIMA</w:t>
      </w:r>
      <w:r w:rsidRPr="00D41227">
        <w:rPr>
          <w:rFonts w:ascii="Arial" w:eastAsia="Times New Roman" w:hAnsi="Arial" w:cs="Arial"/>
          <w:b/>
          <w:sz w:val="24"/>
          <w:szCs w:val="24"/>
          <w:lang w:val="es-ES" w:eastAsia="es-ES"/>
        </w:rPr>
        <w:t xml:space="preserve"> PARA EL EJERCICIO FISCAL 201</w:t>
      </w:r>
      <w:r w:rsidR="003F35C9" w:rsidRPr="00D41227">
        <w:rPr>
          <w:rFonts w:ascii="Arial" w:eastAsia="Times New Roman" w:hAnsi="Arial" w:cs="Arial"/>
          <w:b/>
          <w:sz w:val="24"/>
          <w:szCs w:val="24"/>
          <w:lang w:val="es-ES" w:eastAsia="es-ES"/>
        </w:rPr>
        <w:t>8</w:t>
      </w:r>
      <w:r w:rsidRPr="00D41227">
        <w:rPr>
          <w:rFonts w:ascii="Arial" w:eastAsia="Times New Roman" w:hAnsi="Arial" w:cs="Arial"/>
          <w:sz w:val="24"/>
          <w:szCs w:val="24"/>
          <w:lang w:val="es-ES" w:eastAsia="es-ES"/>
        </w:rPr>
        <w:t>,</w:t>
      </w:r>
      <w:r w:rsidRPr="00D41227">
        <w:rPr>
          <w:rFonts w:ascii="Arial" w:eastAsia="Times New Roman" w:hAnsi="Arial" w:cs="Arial"/>
          <w:b/>
          <w:sz w:val="24"/>
          <w:szCs w:val="24"/>
          <w:lang w:val="es-ES" w:eastAsia="es-ES"/>
        </w:rPr>
        <w:t xml:space="preserve"> </w:t>
      </w:r>
      <w:r w:rsidRPr="00D41227">
        <w:rPr>
          <w:rFonts w:ascii="Arial" w:eastAsia="Times New Roman" w:hAnsi="Arial" w:cs="Arial"/>
          <w:sz w:val="24"/>
          <w:szCs w:val="24"/>
          <w:lang w:val="es-ES" w:eastAsia="es-ES"/>
        </w:rPr>
        <w:t>de conformidad a la siguiente:</w:t>
      </w:r>
    </w:p>
    <w:p w:rsidR="00E063E1" w:rsidRPr="00F8671B" w:rsidRDefault="00E063E1" w:rsidP="00E063E1">
      <w:pPr>
        <w:autoSpaceDE w:val="0"/>
        <w:autoSpaceDN w:val="0"/>
        <w:adjustRightInd w:val="0"/>
        <w:spacing w:after="0" w:line="240" w:lineRule="auto"/>
        <w:jc w:val="both"/>
        <w:rPr>
          <w:rFonts w:ascii="Arial" w:eastAsia="Times New Roman" w:hAnsi="Arial" w:cs="Arial"/>
          <w:sz w:val="24"/>
          <w:szCs w:val="24"/>
          <w:highlight w:val="yellow"/>
          <w:lang w:val="es-ES" w:eastAsia="es-ES"/>
        </w:rPr>
      </w:pPr>
    </w:p>
    <w:p w:rsidR="00E063E1" w:rsidRPr="003F35C9" w:rsidRDefault="00E063E1" w:rsidP="00185BC9">
      <w:pPr>
        <w:pStyle w:val="Prrafodelista"/>
        <w:numPr>
          <w:ilvl w:val="0"/>
          <w:numId w:val="4"/>
        </w:numPr>
        <w:pBdr>
          <w:top w:val="single" w:sz="12" w:space="1" w:color="auto"/>
          <w:left w:val="single" w:sz="12" w:space="0" w:color="auto"/>
          <w:bottom w:val="single" w:sz="12" w:space="1" w:color="auto"/>
          <w:right w:val="single" w:sz="12" w:space="4" w:color="auto"/>
        </w:pBdr>
        <w:autoSpaceDE w:val="0"/>
        <w:autoSpaceDN w:val="0"/>
        <w:adjustRightInd w:val="0"/>
        <w:spacing w:after="0" w:line="240" w:lineRule="auto"/>
        <w:ind w:left="709" w:hanging="709"/>
        <w:rPr>
          <w:rFonts w:ascii="Arial" w:eastAsia="Times New Roman" w:hAnsi="Arial" w:cs="Arial"/>
          <w:b/>
          <w:sz w:val="28"/>
          <w:szCs w:val="28"/>
          <w:lang w:val="es-ES" w:eastAsia="es-ES"/>
        </w:rPr>
      </w:pPr>
      <w:r w:rsidRPr="003F35C9">
        <w:rPr>
          <w:rFonts w:ascii="Arial" w:eastAsia="Times New Roman" w:hAnsi="Arial" w:cs="Arial"/>
          <w:b/>
          <w:sz w:val="28"/>
          <w:szCs w:val="28"/>
          <w:lang w:val="es-ES" w:eastAsia="es-ES"/>
        </w:rPr>
        <w:t>EXPOSICIÓN DE MOTIVOS</w:t>
      </w:r>
    </w:p>
    <w:p w:rsidR="00E063E1" w:rsidRPr="00BE4FC0" w:rsidRDefault="00E063E1" w:rsidP="00E063E1">
      <w:pPr>
        <w:spacing w:after="0" w:line="240" w:lineRule="auto"/>
        <w:ind w:right="49"/>
        <w:jc w:val="both"/>
        <w:rPr>
          <w:rFonts w:ascii="Arial" w:hAnsi="Arial" w:cs="Arial"/>
          <w:b/>
          <w:sz w:val="24"/>
        </w:rPr>
      </w:pPr>
    </w:p>
    <w:p w:rsidR="00E063E1" w:rsidRPr="003F35C9" w:rsidRDefault="00E063E1" w:rsidP="00185BC9">
      <w:pPr>
        <w:pStyle w:val="Prrafodelista"/>
        <w:numPr>
          <w:ilvl w:val="1"/>
          <w:numId w:val="4"/>
        </w:numPr>
        <w:spacing w:after="0" w:line="240" w:lineRule="auto"/>
        <w:ind w:left="709" w:right="49" w:hanging="709"/>
        <w:jc w:val="both"/>
        <w:rPr>
          <w:rFonts w:ascii="Arial" w:hAnsi="Arial" w:cs="Arial"/>
          <w:b/>
          <w:sz w:val="24"/>
          <w:szCs w:val="24"/>
        </w:rPr>
      </w:pPr>
      <w:r w:rsidRPr="003F35C9">
        <w:rPr>
          <w:rFonts w:ascii="Arial" w:hAnsi="Arial" w:cs="Arial"/>
          <w:b/>
          <w:sz w:val="24"/>
          <w:szCs w:val="24"/>
        </w:rPr>
        <w:t>CONSIDERACIONES PRELIMINARES</w:t>
      </w:r>
    </w:p>
    <w:p w:rsidR="00E063E1" w:rsidRPr="00BE4FC0" w:rsidRDefault="00E063E1" w:rsidP="00BE4FC0">
      <w:pPr>
        <w:spacing w:after="0" w:line="240" w:lineRule="auto"/>
        <w:ind w:right="49"/>
        <w:jc w:val="both"/>
        <w:rPr>
          <w:rFonts w:ascii="Arial" w:hAnsi="Arial" w:cs="Arial"/>
          <w:sz w:val="24"/>
          <w:highlight w:val="yellow"/>
        </w:rPr>
      </w:pPr>
    </w:p>
    <w:p w:rsidR="00E063E1" w:rsidRPr="003A55A7" w:rsidRDefault="00E063E1" w:rsidP="00E063E1">
      <w:pPr>
        <w:spacing w:after="0" w:line="240" w:lineRule="auto"/>
        <w:ind w:right="49"/>
        <w:jc w:val="both"/>
        <w:rPr>
          <w:rFonts w:ascii="Arial" w:eastAsia="Times New Roman" w:hAnsi="Arial" w:cs="Arial"/>
          <w:sz w:val="24"/>
          <w:szCs w:val="24"/>
          <w:lang w:val="es-ES" w:eastAsia="es-ES"/>
        </w:rPr>
      </w:pPr>
      <w:r w:rsidRPr="003A55A7">
        <w:rPr>
          <w:rFonts w:ascii="Arial" w:eastAsia="Times New Roman" w:hAnsi="Arial" w:cs="Arial"/>
          <w:sz w:val="24"/>
          <w:szCs w:val="24"/>
          <w:lang w:val="es-ES" w:eastAsia="es-ES"/>
        </w:rPr>
        <w:t>La Constitución Política del Estado Libre y Soberano de Colima, en su artículo 58, fracción XVI, establece como obligación del Ejecutivo a mi cargo: “Remitir cada año para su aprobación al Congreso del Estado, a más tardar el 31 de octubre, y en su caso, hasta el 15 de noviembre de cada seis años, cuando con motivo del cambio de gobierno del Ejecutivo del Estado, los proyectos de Ley de Ingresos y Presupuesto de Egresos del Estado”.</w:t>
      </w:r>
    </w:p>
    <w:p w:rsidR="00E063E1" w:rsidRPr="00F8671B" w:rsidRDefault="00E063E1" w:rsidP="00E063E1">
      <w:pPr>
        <w:spacing w:after="0" w:line="240" w:lineRule="auto"/>
        <w:ind w:right="49"/>
        <w:jc w:val="both"/>
        <w:rPr>
          <w:rFonts w:ascii="Arial" w:eastAsia="Times New Roman" w:hAnsi="Arial" w:cs="Arial"/>
          <w:sz w:val="24"/>
          <w:szCs w:val="24"/>
          <w:highlight w:val="yellow"/>
          <w:lang w:val="es-ES" w:eastAsia="es-ES"/>
        </w:rPr>
      </w:pPr>
    </w:p>
    <w:p w:rsidR="00E063E1" w:rsidRPr="003A55A7" w:rsidRDefault="00E063E1" w:rsidP="00E063E1">
      <w:pPr>
        <w:spacing w:after="0" w:line="240" w:lineRule="auto"/>
        <w:ind w:right="49"/>
        <w:jc w:val="both"/>
        <w:rPr>
          <w:rFonts w:ascii="Arial" w:eastAsia="Times New Roman" w:hAnsi="Arial" w:cs="Arial"/>
          <w:color w:val="000000" w:themeColor="text1"/>
          <w:sz w:val="24"/>
          <w:szCs w:val="24"/>
          <w:lang w:val="es-ES" w:eastAsia="es-ES"/>
        </w:rPr>
      </w:pPr>
      <w:r w:rsidRPr="003A55A7">
        <w:rPr>
          <w:rFonts w:ascii="Arial" w:eastAsia="Times New Roman" w:hAnsi="Arial" w:cs="Arial"/>
          <w:sz w:val="24"/>
          <w:szCs w:val="24"/>
          <w:lang w:val="es-ES" w:eastAsia="es-ES"/>
        </w:rPr>
        <w:t xml:space="preserve">La iniciativa que se somete a la consideración de esa Honorable Soberanía, se elaboró con fundamento en las expectativas y proyecciones económicas que establece el Poder Ejecutivo Federal en los Criterios </w:t>
      </w:r>
      <w:r w:rsidRPr="003A55A7">
        <w:rPr>
          <w:rFonts w:ascii="Arial" w:eastAsia="Times New Roman" w:hAnsi="Arial" w:cs="Arial"/>
          <w:color w:val="000000" w:themeColor="text1"/>
          <w:sz w:val="24"/>
          <w:szCs w:val="24"/>
          <w:lang w:val="es-ES" w:eastAsia="es-ES"/>
        </w:rPr>
        <w:t xml:space="preserve">Generales de Política Económica, para el Ejercicio </w:t>
      </w:r>
      <w:r w:rsidR="003A55A7" w:rsidRPr="003A55A7">
        <w:rPr>
          <w:rFonts w:ascii="Arial" w:eastAsia="Times New Roman" w:hAnsi="Arial" w:cs="Arial"/>
          <w:color w:val="000000" w:themeColor="text1"/>
          <w:sz w:val="24"/>
          <w:szCs w:val="24"/>
          <w:lang w:val="es-ES" w:eastAsia="es-ES"/>
        </w:rPr>
        <w:t>Fiscal 2018</w:t>
      </w:r>
      <w:r w:rsidRPr="003A55A7">
        <w:rPr>
          <w:rFonts w:ascii="Arial" w:eastAsia="Times New Roman" w:hAnsi="Arial" w:cs="Arial"/>
          <w:color w:val="000000" w:themeColor="text1"/>
          <w:sz w:val="24"/>
          <w:szCs w:val="24"/>
          <w:lang w:val="es-ES" w:eastAsia="es-ES"/>
        </w:rPr>
        <w:t>; así como en las recomendaciones de la Secretaría de Hacienda y Crédito Público.</w:t>
      </w:r>
    </w:p>
    <w:p w:rsidR="00E063E1" w:rsidRPr="00EF4AA2" w:rsidRDefault="00E063E1" w:rsidP="00EF4AA2">
      <w:pPr>
        <w:spacing w:after="0" w:line="240" w:lineRule="auto"/>
        <w:ind w:right="49"/>
        <w:jc w:val="both"/>
        <w:rPr>
          <w:rFonts w:ascii="Arial" w:eastAsia="Times New Roman" w:hAnsi="Arial" w:cs="Arial"/>
          <w:color w:val="000000" w:themeColor="text1"/>
          <w:sz w:val="24"/>
          <w:szCs w:val="24"/>
          <w:highlight w:val="yellow"/>
          <w:u w:val="single"/>
          <w:lang w:val="es-ES" w:eastAsia="es-ES"/>
        </w:rPr>
      </w:pPr>
    </w:p>
    <w:p w:rsidR="00D41227" w:rsidRPr="00575576" w:rsidRDefault="00E063E1" w:rsidP="00EF4AA2">
      <w:pPr>
        <w:spacing w:after="0" w:line="240" w:lineRule="auto"/>
        <w:jc w:val="both"/>
        <w:rPr>
          <w:rFonts w:ascii="Arial" w:eastAsia="Times New Roman" w:hAnsi="Arial" w:cs="Arial"/>
          <w:color w:val="000000" w:themeColor="text1"/>
          <w:sz w:val="24"/>
          <w:szCs w:val="24"/>
          <w:lang w:eastAsia="es-ES"/>
        </w:rPr>
      </w:pPr>
      <w:r w:rsidRPr="00575576">
        <w:rPr>
          <w:rFonts w:ascii="Arial" w:eastAsia="Times New Roman" w:hAnsi="Arial" w:cs="Arial"/>
          <w:color w:val="000000" w:themeColor="text1"/>
          <w:sz w:val="24"/>
          <w:szCs w:val="24"/>
          <w:lang w:eastAsia="es-ES"/>
        </w:rPr>
        <w:t xml:space="preserve">Las expectativas que se </w:t>
      </w:r>
      <w:r w:rsidR="00BA4468" w:rsidRPr="00575576">
        <w:rPr>
          <w:rFonts w:ascii="Arial" w:eastAsia="Times New Roman" w:hAnsi="Arial" w:cs="Arial"/>
          <w:color w:val="000000" w:themeColor="text1"/>
          <w:sz w:val="24"/>
          <w:szCs w:val="24"/>
          <w:lang w:eastAsia="es-ES"/>
        </w:rPr>
        <w:t>establecen en</w:t>
      </w:r>
      <w:r w:rsidRPr="00575576">
        <w:rPr>
          <w:rFonts w:ascii="Arial" w:eastAsia="Times New Roman" w:hAnsi="Arial" w:cs="Arial"/>
          <w:color w:val="000000" w:themeColor="text1"/>
          <w:sz w:val="24"/>
          <w:szCs w:val="24"/>
          <w:lang w:eastAsia="es-ES"/>
        </w:rPr>
        <w:t xml:space="preserve"> dichos Criterios</w:t>
      </w:r>
      <w:r w:rsidRPr="00575576">
        <w:rPr>
          <w:rFonts w:ascii="Arial" w:eastAsia="Times New Roman" w:hAnsi="Arial" w:cs="Arial"/>
          <w:color w:val="000000" w:themeColor="text1"/>
          <w:sz w:val="24"/>
          <w:szCs w:val="24"/>
          <w:lang w:val="es-ES" w:eastAsia="es-ES"/>
        </w:rPr>
        <w:t xml:space="preserve"> Generales </w:t>
      </w:r>
      <w:r w:rsidRPr="00575576">
        <w:rPr>
          <w:rFonts w:ascii="Arial" w:eastAsia="Times New Roman" w:hAnsi="Arial" w:cs="Arial"/>
          <w:color w:val="000000" w:themeColor="text1"/>
          <w:sz w:val="24"/>
          <w:szCs w:val="24"/>
          <w:lang w:eastAsia="es-ES"/>
        </w:rPr>
        <w:t>de Política Económica</w:t>
      </w:r>
      <w:r w:rsidR="00D41227" w:rsidRPr="00575576">
        <w:rPr>
          <w:rFonts w:ascii="Arial" w:eastAsia="Times New Roman" w:hAnsi="Arial" w:cs="Arial"/>
          <w:color w:val="000000" w:themeColor="text1"/>
          <w:sz w:val="24"/>
          <w:szCs w:val="24"/>
          <w:lang w:eastAsia="es-ES"/>
        </w:rPr>
        <w:t xml:space="preserve"> 2018, </w:t>
      </w:r>
      <w:r w:rsidRPr="00575576">
        <w:rPr>
          <w:rFonts w:ascii="Arial" w:eastAsia="Times New Roman" w:hAnsi="Arial" w:cs="Arial"/>
          <w:color w:val="000000" w:themeColor="text1"/>
          <w:sz w:val="24"/>
          <w:szCs w:val="24"/>
          <w:lang w:eastAsia="es-ES"/>
        </w:rPr>
        <w:t xml:space="preserve">prevén un entorno </w:t>
      </w:r>
      <w:r w:rsidR="00D41227" w:rsidRPr="00575576">
        <w:rPr>
          <w:rFonts w:ascii="Arial" w:eastAsia="Times New Roman" w:hAnsi="Arial" w:cs="Arial"/>
          <w:color w:val="000000" w:themeColor="text1"/>
          <w:sz w:val="24"/>
          <w:szCs w:val="24"/>
          <w:lang w:eastAsia="es-ES"/>
        </w:rPr>
        <w:t>externo complejo</w:t>
      </w:r>
      <w:r w:rsidR="000E2C0D" w:rsidRPr="00575576">
        <w:rPr>
          <w:rFonts w:ascii="Arial" w:eastAsia="Times New Roman" w:hAnsi="Arial" w:cs="Arial"/>
          <w:color w:val="000000" w:themeColor="text1"/>
          <w:sz w:val="24"/>
          <w:szCs w:val="24"/>
          <w:lang w:eastAsia="es-ES"/>
        </w:rPr>
        <w:t xml:space="preserve"> </w:t>
      </w:r>
      <w:r w:rsidR="00BA4468" w:rsidRPr="00575576">
        <w:rPr>
          <w:rFonts w:ascii="Arial" w:eastAsia="Times New Roman" w:hAnsi="Arial" w:cs="Arial"/>
          <w:color w:val="000000" w:themeColor="text1"/>
          <w:sz w:val="24"/>
          <w:szCs w:val="24"/>
          <w:lang w:eastAsia="es-ES"/>
        </w:rPr>
        <w:t>que,</w:t>
      </w:r>
      <w:r w:rsidR="000E2C0D" w:rsidRPr="00575576">
        <w:rPr>
          <w:rFonts w:ascii="Arial" w:eastAsia="Times New Roman" w:hAnsi="Arial" w:cs="Arial"/>
          <w:color w:val="000000" w:themeColor="text1"/>
          <w:sz w:val="24"/>
          <w:szCs w:val="24"/>
          <w:lang w:eastAsia="es-ES"/>
        </w:rPr>
        <w:t xml:space="preserve"> si bien muestra señales de una recuperación económica </w:t>
      </w:r>
      <w:r w:rsidR="00BA4468" w:rsidRPr="00575576">
        <w:rPr>
          <w:rFonts w:ascii="Arial" w:eastAsia="Times New Roman" w:hAnsi="Arial" w:cs="Arial"/>
          <w:color w:val="000000" w:themeColor="text1"/>
          <w:sz w:val="24"/>
          <w:szCs w:val="24"/>
          <w:lang w:eastAsia="es-ES"/>
        </w:rPr>
        <w:t>global más</w:t>
      </w:r>
      <w:r w:rsidR="000E2C0D" w:rsidRPr="00575576">
        <w:rPr>
          <w:rFonts w:ascii="Arial" w:eastAsia="Times New Roman" w:hAnsi="Arial" w:cs="Arial"/>
          <w:color w:val="000000" w:themeColor="text1"/>
          <w:sz w:val="24"/>
          <w:szCs w:val="24"/>
          <w:lang w:eastAsia="es-ES"/>
        </w:rPr>
        <w:t xml:space="preserve"> </w:t>
      </w:r>
      <w:r w:rsidR="00F12D29" w:rsidRPr="00575576">
        <w:rPr>
          <w:rFonts w:ascii="Arial" w:eastAsia="Times New Roman" w:hAnsi="Arial" w:cs="Arial"/>
          <w:color w:val="000000" w:themeColor="text1"/>
          <w:sz w:val="24"/>
          <w:szCs w:val="24"/>
          <w:lang w:eastAsia="es-ES"/>
        </w:rPr>
        <w:t>sincronizada,</w:t>
      </w:r>
      <w:r w:rsidR="000E2C0D" w:rsidRPr="00575576">
        <w:rPr>
          <w:rFonts w:ascii="Arial" w:eastAsia="Times New Roman" w:hAnsi="Arial" w:cs="Arial"/>
          <w:color w:val="000000" w:themeColor="text1"/>
          <w:sz w:val="24"/>
          <w:szCs w:val="24"/>
          <w:lang w:eastAsia="es-ES"/>
        </w:rPr>
        <w:t xml:space="preserve"> aún presenta riesgos a la baja.</w:t>
      </w:r>
    </w:p>
    <w:p w:rsidR="000E2C0D" w:rsidRPr="00575576" w:rsidRDefault="000E2C0D" w:rsidP="00EF4AA2">
      <w:pPr>
        <w:spacing w:after="0" w:line="240" w:lineRule="auto"/>
        <w:jc w:val="both"/>
        <w:rPr>
          <w:rFonts w:ascii="Arial" w:eastAsia="Times New Roman" w:hAnsi="Arial" w:cs="Arial"/>
          <w:color w:val="000000" w:themeColor="text1"/>
          <w:sz w:val="24"/>
          <w:szCs w:val="24"/>
          <w:lang w:eastAsia="es-ES"/>
        </w:rPr>
      </w:pPr>
    </w:p>
    <w:p w:rsidR="000E2C0D" w:rsidRPr="00575576" w:rsidRDefault="00FA71A4" w:rsidP="00EF4AA2">
      <w:pPr>
        <w:spacing w:after="0" w:line="240" w:lineRule="auto"/>
        <w:jc w:val="both"/>
        <w:rPr>
          <w:rFonts w:ascii="Arial" w:eastAsia="Times New Roman" w:hAnsi="Arial" w:cs="Arial"/>
          <w:color w:val="000000" w:themeColor="text1"/>
          <w:sz w:val="24"/>
          <w:szCs w:val="24"/>
          <w:lang w:eastAsia="es-ES"/>
        </w:rPr>
      </w:pPr>
      <w:r w:rsidRPr="00575576">
        <w:rPr>
          <w:rFonts w:ascii="Arial" w:eastAsia="Times New Roman" w:hAnsi="Arial" w:cs="Arial"/>
          <w:color w:val="000000" w:themeColor="text1"/>
          <w:sz w:val="24"/>
          <w:szCs w:val="24"/>
          <w:lang w:eastAsia="es-ES"/>
        </w:rPr>
        <w:t xml:space="preserve">Se advierte </w:t>
      </w:r>
      <w:r w:rsidR="00BA4468" w:rsidRPr="00575576">
        <w:rPr>
          <w:rFonts w:ascii="Arial" w:eastAsia="Times New Roman" w:hAnsi="Arial" w:cs="Arial"/>
          <w:color w:val="000000" w:themeColor="text1"/>
          <w:sz w:val="24"/>
          <w:szCs w:val="24"/>
          <w:lang w:eastAsia="es-ES"/>
        </w:rPr>
        <w:t>que,</w:t>
      </w:r>
      <w:r w:rsidRPr="00575576">
        <w:rPr>
          <w:rFonts w:ascii="Arial" w:eastAsia="Times New Roman" w:hAnsi="Arial" w:cs="Arial"/>
          <w:color w:val="000000" w:themeColor="text1"/>
          <w:sz w:val="24"/>
          <w:szCs w:val="24"/>
          <w:lang w:eastAsia="es-ES"/>
        </w:rPr>
        <w:t xml:space="preserve"> a</w:t>
      </w:r>
      <w:r w:rsidR="000E2C0D" w:rsidRPr="00575576">
        <w:rPr>
          <w:rFonts w:ascii="Arial" w:eastAsia="Times New Roman" w:hAnsi="Arial" w:cs="Arial"/>
          <w:color w:val="000000" w:themeColor="text1"/>
          <w:sz w:val="24"/>
          <w:szCs w:val="24"/>
          <w:lang w:eastAsia="es-ES"/>
        </w:rPr>
        <w:t xml:space="preserve"> pesar de</w:t>
      </w:r>
      <w:r w:rsidR="001F0393" w:rsidRPr="00575576">
        <w:rPr>
          <w:rFonts w:ascii="Arial" w:eastAsia="Times New Roman" w:hAnsi="Arial" w:cs="Arial"/>
          <w:color w:val="000000" w:themeColor="text1"/>
          <w:sz w:val="24"/>
          <w:szCs w:val="24"/>
          <w:lang w:eastAsia="es-ES"/>
        </w:rPr>
        <w:t>l</w:t>
      </w:r>
      <w:r w:rsidR="000E2C0D" w:rsidRPr="00575576">
        <w:rPr>
          <w:rFonts w:ascii="Arial" w:eastAsia="Times New Roman" w:hAnsi="Arial" w:cs="Arial"/>
          <w:color w:val="000000" w:themeColor="text1"/>
          <w:sz w:val="24"/>
          <w:szCs w:val="24"/>
          <w:lang w:eastAsia="es-ES"/>
        </w:rPr>
        <w:t xml:space="preserve"> </w:t>
      </w:r>
      <w:r w:rsidR="001F0393" w:rsidRPr="00575576">
        <w:rPr>
          <w:rFonts w:ascii="Arial" w:eastAsia="Times New Roman" w:hAnsi="Arial" w:cs="Arial"/>
          <w:color w:val="000000" w:themeColor="text1"/>
          <w:sz w:val="24"/>
          <w:szCs w:val="24"/>
          <w:lang w:eastAsia="es-ES"/>
        </w:rPr>
        <w:t xml:space="preserve">referido </w:t>
      </w:r>
      <w:r w:rsidR="00BA4468" w:rsidRPr="00575576">
        <w:rPr>
          <w:rFonts w:ascii="Arial" w:eastAsia="Times New Roman" w:hAnsi="Arial" w:cs="Arial"/>
          <w:color w:val="000000" w:themeColor="text1"/>
          <w:sz w:val="24"/>
          <w:szCs w:val="24"/>
          <w:lang w:eastAsia="es-ES"/>
        </w:rPr>
        <w:t>entorno, la</w:t>
      </w:r>
      <w:r w:rsidR="000E2C0D" w:rsidRPr="00575576">
        <w:rPr>
          <w:rFonts w:ascii="Arial" w:eastAsia="Times New Roman" w:hAnsi="Arial" w:cs="Arial"/>
          <w:color w:val="000000" w:themeColor="text1"/>
          <w:sz w:val="24"/>
          <w:szCs w:val="24"/>
          <w:lang w:eastAsia="es-ES"/>
        </w:rPr>
        <w:t xml:space="preserve"> economía mexicana ha mostrado resistencia y un crecimiento sostenido y balanceado.</w:t>
      </w:r>
      <w:r w:rsidR="00EF4AA2" w:rsidRPr="00575576">
        <w:rPr>
          <w:rFonts w:ascii="Arial" w:eastAsia="Times New Roman" w:hAnsi="Arial" w:cs="Arial"/>
          <w:color w:val="000000" w:themeColor="text1"/>
          <w:sz w:val="24"/>
          <w:szCs w:val="24"/>
          <w:lang w:eastAsia="es-ES"/>
        </w:rPr>
        <w:t xml:space="preserve"> </w:t>
      </w:r>
      <w:r w:rsidR="000E2C0D" w:rsidRPr="00575576">
        <w:rPr>
          <w:rFonts w:ascii="Arial" w:eastAsia="Times New Roman" w:hAnsi="Arial" w:cs="Arial"/>
          <w:color w:val="000000" w:themeColor="text1"/>
          <w:sz w:val="24"/>
          <w:szCs w:val="24"/>
          <w:lang w:eastAsia="es-ES"/>
        </w:rPr>
        <w:t xml:space="preserve">La actividad económica crece a una tasa mayor a la esperada y lo hace de manera </w:t>
      </w:r>
      <w:r w:rsidR="00F12D29" w:rsidRPr="00575576">
        <w:rPr>
          <w:rFonts w:ascii="Arial" w:eastAsia="Times New Roman" w:hAnsi="Arial" w:cs="Arial"/>
          <w:color w:val="000000" w:themeColor="text1"/>
          <w:sz w:val="24"/>
          <w:szCs w:val="24"/>
          <w:lang w:eastAsia="es-ES"/>
        </w:rPr>
        <w:t>sostenible,</w:t>
      </w:r>
      <w:r w:rsidR="000E2C0D" w:rsidRPr="00575576">
        <w:rPr>
          <w:rFonts w:ascii="Arial" w:eastAsia="Times New Roman" w:hAnsi="Arial" w:cs="Arial"/>
          <w:color w:val="000000" w:themeColor="text1"/>
          <w:sz w:val="24"/>
          <w:szCs w:val="24"/>
          <w:lang w:eastAsia="es-ES"/>
        </w:rPr>
        <w:t xml:space="preserve"> más balanceada y apalancada en las reformas estructurales que han mostrado su impacto en el crecimiento.</w:t>
      </w:r>
    </w:p>
    <w:p w:rsidR="00FA71A4" w:rsidRPr="0071065E" w:rsidRDefault="00FA71A4" w:rsidP="00EF4AA2">
      <w:pPr>
        <w:autoSpaceDE w:val="0"/>
        <w:autoSpaceDN w:val="0"/>
        <w:adjustRightInd w:val="0"/>
        <w:spacing w:after="0" w:line="240" w:lineRule="auto"/>
        <w:jc w:val="both"/>
        <w:rPr>
          <w:rFonts w:ascii="Arial" w:hAnsi="Arial" w:cs="Arial"/>
          <w:bCs/>
          <w:sz w:val="24"/>
          <w:szCs w:val="24"/>
        </w:rPr>
      </w:pPr>
      <w:r w:rsidRPr="0071065E">
        <w:rPr>
          <w:rFonts w:ascii="Arial" w:hAnsi="Arial" w:cs="Arial"/>
          <w:bCs/>
          <w:sz w:val="24"/>
          <w:szCs w:val="24"/>
        </w:rPr>
        <w:lastRenderedPageBreak/>
        <w:t>Se anticipa una aceleración de la actividad económica en 2018, con un rango de</w:t>
      </w:r>
      <w:r w:rsidR="00CB4083" w:rsidRPr="0071065E">
        <w:rPr>
          <w:rFonts w:ascii="Arial" w:hAnsi="Arial" w:cs="Arial"/>
          <w:bCs/>
          <w:sz w:val="24"/>
          <w:szCs w:val="24"/>
        </w:rPr>
        <w:t xml:space="preserve"> </w:t>
      </w:r>
      <w:r w:rsidRPr="0071065E">
        <w:rPr>
          <w:rFonts w:ascii="Arial" w:hAnsi="Arial" w:cs="Arial"/>
          <w:bCs/>
          <w:sz w:val="24"/>
          <w:szCs w:val="24"/>
        </w:rPr>
        <w:t>crecimiento de entre 2.0 y 3.0 por ciento que incluye una expansión más equilibrada</w:t>
      </w:r>
      <w:r w:rsidR="00EF4AA2" w:rsidRPr="0071065E">
        <w:rPr>
          <w:rFonts w:ascii="Arial" w:hAnsi="Arial" w:cs="Arial"/>
          <w:bCs/>
          <w:sz w:val="24"/>
          <w:szCs w:val="24"/>
        </w:rPr>
        <w:t xml:space="preserve"> </w:t>
      </w:r>
      <w:r w:rsidRPr="0071065E">
        <w:rPr>
          <w:rFonts w:ascii="Arial" w:hAnsi="Arial" w:cs="Arial"/>
          <w:bCs/>
          <w:sz w:val="24"/>
          <w:szCs w:val="24"/>
        </w:rPr>
        <w:t>entre los sectores que componen la economía, una disminución en la incertidumbre</w:t>
      </w:r>
      <w:r w:rsidR="00EF4AA2" w:rsidRPr="0071065E">
        <w:rPr>
          <w:rFonts w:ascii="Arial" w:hAnsi="Arial" w:cs="Arial"/>
          <w:bCs/>
          <w:sz w:val="24"/>
          <w:szCs w:val="24"/>
        </w:rPr>
        <w:t xml:space="preserve"> </w:t>
      </w:r>
      <w:r w:rsidRPr="0071065E">
        <w:rPr>
          <w:rFonts w:ascii="Arial" w:hAnsi="Arial" w:cs="Arial"/>
          <w:bCs/>
          <w:sz w:val="24"/>
          <w:szCs w:val="24"/>
        </w:rPr>
        <w:t>proveniente del exterior y el impacto positivo de la implementación exitosa de las</w:t>
      </w:r>
      <w:r w:rsidR="00EF4AA2" w:rsidRPr="0071065E">
        <w:rPr>
          <w:rFonts w:ascii="Arial" w:hAnsi="Arial" w:cs="Arial"/>
          <w:bCs/>
          <w:sz w:val="24"/>
          <w:szCs w:val="24"/>
        </w:rPr>
        <w:t xml:space="preserve"> </w:t>
      </w:r>
      <w:r w:rsidRPr="0071065E">
        <w:rPr>
          <w:rFonts w:ascii="Arial" w:hAnsi="Arial" w:cs="Arial"/>
          <w:bCs/>
          <w:sz w:val="24"/>
          <w:szCs w:val="24"/>
        </w:rPr>
        <w:t>Reformas Estructurales.</w:t>
      </w:r>
    </w:p>
    <w:p w:rsidR="00EF4AA2" w:rsidRPr="0071065E" w:rsidRDefault="00E066F7" w:rsidP="00E066F7">
      <w:pPr>
        <w:tabs>
          <w:tab w:val="left" w:pos="3405"/>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ab/>
      </w:r>
    </w:p>
    <w:p w:rsidR="00FA71A4" w:rsidRPr="0071065E" w:rsidRDefault="00FA71A4" w:rsidP="0071065E">
      <w:pPr>
        <w:autoSpaceDE w:val="0"/>
        <w:autoSpaceDN w:val="0"/>
        <w:adjustRightInd w:val="0"/>
        <w:spacing w:after="0" w:line="240" w:lineRule="auto"/>
        <w:jc w:val="both"/>
        <w:rPr>
          <w:rFonts w:ascii="Arial" w:hAnsi="Arial" w:cs="Arial"/>
          <w:sz w:val="24"/>
          <w:szCs w:val="24"/>
        </w:rPr>
      </w:pPr>
      <w:r w:rsidRPr="0071065E">
        <w:rPr>
          <w:rFonts w:ascii="Arial" w:hAnsi="Arial" w:cs="Arial"/>
          <w:sz w:val="24"/>
          <w:szCs w:val="24"/>
        </w:rPr>
        <w:t>El Paquete Económico para 2018</w:t>
      </w:r>
      <w:r w:rsidR="001F0393" w:rsidRPr="0071065E">
        <w:rPr>
          <w:rFonts w:ascii="Arial" w:hAnsi="Arial" w:cs="Arial"/>
          <w:sz w:val="24"/>
          <w:szCs w:val="24"/>
        </w:rPr>
        <w:t xml:space="preserve"> turnado por el Titular del Poder Ejecutivo Federal al H. Congreso de la </w:t>
      </w:r>
      <w:r w:rsidR="00BA4468" w:rsidRPr="0071065E">
        <w:rPr>
          <w:rFonts w:ascii="Arial" w:hAnsi="Arial" w:cs="Arial"/>
          <w:sz w:val="24"/>
          <w:szCs w:val="24"/>
        </w:rPr>
        <w:t>Unión, considera</w:t>
      </w:r>
      <w:r w:rsidRPr="0071065E">
        <w:rPr>
          <w:rFonts w:ascii="Arial" w:hAnsi="Arial" w:cs="Arial"/>
          <w:sz w:val="24"/>
          <w:szCs w:val="24"/>
        </w:rPr>
        <w:t xml:space="preserve"> un marco macroeconómico con estimaciones</w:t>
      </w:r>
      <w:r w:rsidR="00EF4AA2" w:rsidRPr="0071065E">
        <w:rPr>
          <w:rFonts w:ascii="Arial" w:hAnsi="Arial" w:cs="Arial"/>
          <w:sz w:val="24"/>
          <w:szCs w:val="24"/>
        </w:rPr>
        <w:t xml:space="preserve"> </w:t>
      </w:r>
      <w:r w:rsidRPr="0071065E">
        <w:rPr>
          <w:rFonts w:ascii="Arial" w:hAnsi="Arial" w:cs="Arial"/>
          <w:sz w:val="24"/>
          <w:szCs w:val="24"/>
        </w:rPr>
        <w:t>realistas y prudentes para las variables clave que determinan las finanzas públicas, que permitan al Gobierno Federal ejecutar una política fiscal prudente y tomar medidas efectivas y oportunas dado el entorno aún incierto y cambiante.</w:t>
      </w:r>
    </w:p>
    <w:p w:rsidR="001F0393" w:rsidRPr="00575576" w:rsidRDefault="001F0393" w:rsidP="00EF4AA2">
      <w:pPr>
        <w:autoSpaceDE w:val="0"/>
        <w:autoSpaceDN w:val="0"/>
        <w:adjustRightInd w:val="0"/>
        <w:spacing w:after="0" w:line="240" w:lineRule="auto"/>
        <w:jc w:val="both"/>
        <w:rPr>
          <w:rFonts w:ascii="Arial" w:hAnsi="Arial" w:cs="Arial"/>
          <w:sz w:val="24"/>
          <w:szCs w:val="24"/>
        </w:rPr>
      </w:pPr>
    </w:p>
    <w:p w:rsidR="000E2C0D" w:rsidRPr="0071065E" w:rsidRDefault="00FA71A4" w:rsidP="00EF4AA2">
      <w:pPr>
        <w:autoSpaceDE w:val="0"/>
        <w:autoSpaceDN w:val="0"/>
        <w:adjustRightInd w:val="0"/>
        <w:spacing w:after="0" w:line="240" w:lineRule="auto"/>
        <w:jc w:val="both"/>
        <w:rPr>
          <w:rFonts w:ascii="Arial" w:eastAsia="Times New Roman" w:hAnsi="Arial" w:cs="Arial"/>
          <w:sz w:val="24"/>
          <w:szCs w:val="24"/>
          <w:lang w:eastAsia="es-ES"/>
        </w:rPr>
      </w:pPr>
      <w:r w:rsidRPr="0071065E">
        <w:rPr>
          <w:rFonts w:ascii="Arial" w:hAnsi="Arial" w:cs="Arial"/>
          <w:sz w:val="24"/>
          <w:szCs w:val="24"/>
        </w:rPr>
        <w:t>El rango de crecimiento propuesto para el próximo año toma en cuenta la mejoría en las</w:t>
      </w:r>
      <w:r w:rsidR="00EF4AA2" w:rsidRPr="0071065E">
        <w:rPr>
          <w:rFonts w:ascii="Arial" w:hAnsi="Arial" w:cs="Arial"/>
          <w:sz w:val="24"/>
          <w:szCs w:val="24"/>
        </w:rPr>
        <w:t xml:space="preserve"> </w:t>
      </w:r>
      <w:r w:rsidRPr="0071065E">
        <w:rPr>
          <w:rFonts w:ascii="Arial" w:hAnsi="Arial" w:cs="Arial"/>
          <w:sz w:val="24"/>
          <w:szCs w:val="24"/>
        </w:rPr>
        <w:t xml:space="preserve">perspectivas para la economía mexicana. De acuerdo con la encuesta del Banco de México de agosto de 2017, los analistas del sector privado pronostican para 2018 un crecimiento económico de 2.4 por ciento, 0.2 </w:t>
      </w:r>
      <w:r w:rsidR="0035610A" w:rsidRPr="0071065E">
        <w:rPr>
          <w:rFonts w:ascii="Arial" w:hAnsi="Arial" w:cs="Arial"/>
          <w:sz w:val="24"/>
          <w:szCs w:val="24"/>
        </w:rPr>
        <w:t xml:space="preserve">puntos porcentuales </w:t>
      </w:r>
      <w:r w:rsidRPr="0071065E">
        <w:rPr>
          <w:rFonts w:ascii="Arial" w:hAnsi="Arial" w:cs="Arial"/>
          <w:sz w:val="24"/>
          <w:szCs w:val="24"/>
        </w:rPr>
        <w:t xml:space="preserve">mayor que la proyección de mayo. Las estimaciones de finanzas públicas emplean la parte media del rango, igual a 2.5 por ciento, cifra que toma en cuenta lo siguiente: la posible persistencia de efectos de la incertidumbre respecto a la relación económica con nuestro principal socio comercial, con un escenario central en el que la actualización del </w:t>
      </w:r>
      <w:r w:rsidR="00473221" w:rsidRPr="0071065E">
        <w:rPr>
          <w:rFonts w:ascii="Arial" w:hAnsi="Arial" w:cs="Arial"/>
          <w:sz w:val="24"/>
          <w:szCs w:val="24"/>
        </w:rPr>
        <w:t xml:space="preserve">Tratado de Libre Comercio de </w:t>
      </w:r>
      <w:r w:rsidR="0035610A" w:rsidRPr="0071065E">
        <w:rPr>
          <w:rFonts w:ascii="Arial" w:hAnsi="Arial" w:cs="Arial"/>
          <w:sz w:val="24"/>
          <w:szCs w:val="24"/>
        </w:rPr>
        <w:t>América</w:t>
      </w:r>
      <w:r w:rsidR="00473221" w:rsidRPr="0071065E">
        <w:rPr>
          <w:rFonts w:ascii="Arial" w:hAnsi="Arial" w:cs="Arial"/>
          <w:sz w:val="24"/>
          <w:szCs w:val="24"/>
        </w:rPr>
        <w:t xml:space="preserve"> del Norte, (</w:t>
      </w:r>
      <w:r w:rsidRPr="0071065E">
        <w:rPr>
          <w:rFonts w:ascii="Arial" w:hAnsi="Arial" w:cs="Arial"/>
          <w:sz w:val="24"/>
          <w:szCs w:val="24"/>
        </w:rPr>
        <w:t>TLCAN</w:t>
      </w:r>
      <w:r w:rsidR="00473221" w:rsidRPr="0071065E">
        <w:rPr>
          <w:rFonts w:ascii="Arial" w:hAnsi="Arial" w:cs="Arial"/>
          <w:sz w:val="24"/>
          <w:szCs w:val="24"/>
        </w:rPr>
        <w:t xml:space="preserve">) </w:t>
      </w:r>
      <w:r w:rsidRPr="0071065E">
        <w:rPr>
          <w:rFonts w:ascii="Arial" w:hAnsi="Arial" w:cs="Arial"/>
          <w:sz w:val="24"/>
          <w:szCs w:val="24"/>
        </w:rPr>
        <w:t>beneficia a las tres partes, dado el proceso transparente de trabajo establecido; el robustecimiento del mercado interno; un repunte en las exportaciones; y una incipiente recuperación de la actividad petrolera, fruto de la Reforma Energética y de los efectos del nuevo Plan de Negocios de Pemex.</w:t>
      </w:r>
    </w:p>
    <w:p w:rsidR="000E2C0D" w:rsidRPr="00575576" w:rsidRDefault="000E2C0D" w:rsidP="00EF4AA2">
      <w:pPr>
        <w:spacing w:after="0" w:line="240" w:lineRule="auto"/>
        <w:jc w:val="both"/>
        <w:rPr>
          <w:rFonts w:ascii="Arial" w:eastAsia="Times New Roman" w:hAnsi="Arial" w:cs="Arial"/>
          <w:sz w:val="24"/>
          <w:szCs w:val="24"/>
          <w:lang w:eastAsia="es-ES"/>
        </w:rPr>
      </w:pPr>
    </w:p>
    <w:p w:rsidR="00FA71A4" w:rsidRPr="00575576" w:rsidRDefault="001F0393" w:rsidP="00EF4AA2">
      <w:pPr>
        <w:autoSpaceDE w:val="0"/>
        <w:autoSpaceDN w:val="0"/>
        <w:adjustRightInd w:val="0"/>
        <w:spacing w:after="0" w:line="240" w:lineRule="auto"/>
        <w:jc w:val="both"/>
        <w:rPr>
          <w:rFonts w:ascii="Arial" w:hAnsi="Arial" w:cs="Arial"/>
          <w:sz w:val="24"/>
          <w:szCs w:val="24"/>
        </w:rPr>
      </w:pPr>
      <w:r w:rsidRPr="00575576">
        <w:rPr>
          <w:rFonts w:ascii="Arial" w:hAnsi="Arial" w:cs="Arial"/>
          <w:sz w:val="24"/>
          <w:szCs w:val="24"/>
        </w:rPr>
        <w:t xml:space="preserve">Se </w:t>
      </w:r>
      <w:r w:rsidR="00FA71A4" w:rsidRPr="00575576">
        <w:rPr>
          <w:rFonts w:ascii="Arial" w:hAnsi="Arial" w:cs="Arial"/>
          <w:sz w:val="24"/>
          <w:szCs w:val="24"/>
        </w:rPr>
        <w:t>proyecta un precio promedio anual para la mezcla mexicana de exportación de</w:t>
      </w:r>
    </w:p>
    <w:p w:rsidR="000E2C0D" w:rsidRPr="00575576" w:rsidRDefault="0035610A" w:rsidP="00EF4AA2">
      <w:pPr>
        <w:spacing w:after="0" w:line="240" w:lineRule="auto"/>
        <w:jc w:val="both"/>
        <w:rPr>
          <w:rFonts w:ascii="Arial" w:hAnsi="Arial" w:cs="Arial"/>
          <w:sz w:val="24"/>
          <w:szCs w:val="24"/>
        </w:rPr>
      </w:pPr>
      <w:r>
        <w:rPr>
          <w:rFonts w:ascii="Arial" w:hAnsi="Arial" w:cs="Arial"/>
          <w:sz w:val="24"/>
          <w:szCs w:val="24"/>
        </w:rPr>
        <w:t>46 dólares por barril.</w:t>
      </w:r>
    </w:p>
    <w:p w:rsidR="00FA71A4" w:rsidRPr="00575576" w:rsidRDefault="00FA71A4" w:rsidP="00EF4AA2">
      <w:pPr>
        <w:spacing w:after="0" w:line="240" w:lineRule="auto"/>
        <w:jc w:val="both"/>
        <w:rPr>
          <w:rFonts w:ascii="Arial" w:hAnsi="Arial" w:cs="Arial"/>
          <w:sz w:val="24"/>
          <w:szCs w:val="24"/>
        </w:rPr>
      </w:pPr>
    </w:p>
    <w:p w:rsidR="00FA71A4" w:rsidRDefault="00FA71A4" w:rsidP="00EF4AA2">
      <w:pPr>
        <w:autoSpaceDE w:val="0"/>
        <w:autoSpaceDN w:val="0"/>
        <w:adjustRightInd w:val="0"/>
        <w:spacing w:after="0" w:line="240" w:lineRule="auto"/>
        <w:jc w:val="both"/>
        <w:rPr>
          <w:rFonts w:ascii="Arial" w:hAnsi="Arial" w:cs="Arial"/>
          <w:sz w:val="24"/>
          <w:szCs w:val="24"/>
        </w:rPr>
      </w:pPr>
      <w:r w:rsidRPr="00575576">
        <w:rPr>
          <w:rFonts w:ascii="Arial" w:hAnsi="Arial" w:cs="Arial"/>
          <w:sz w:val="24"/>
          <w:szCs w:val="24"/>
        </w:rPr>
        <w:t>Las estimaciones de finanzas públicas utilizan un tipo de cambio para el cierre de 2018 de 18.1 pesos por dólar, que es conservador y consistente con la evolución reciente de dicha variable. Además, se emplea una inflación de 3.0 por ciento, en línea con las proyecciones y el objetivo del Banco de México.</w:t>
      </w:r>
    </w:p>
    <w:p w:rsidR="003A0168" w:rsidRPr="00575576" w:rsidRDefault="003A0168" w:rsidP="00EF4AA2">
      <w:pPr>
        <w:autoSpaceDE w:val="0"/>
        <w:autoSpaceDN w:val="0"/>
        <w:adjustRightInd w:val="0"/>
        <w:spacing w:after="0" w:line="240" w:lineRule="auto"/>
        <w:jc w:val="both"/>
        <w:rPr>
          <w:rFonts w:ascii="Arial" w:hAnsi="Arial" w:cs="Arial"/>
          <w:sz w:val="24"/>
          <w:szCs w:val="24"/>
        </w:rPr>
      </w:pPr>
    </w:p>
    <w:p w:rsidR="00FA71A4" w:rsidRPr="00575576" w:rsidRDefault="00FA71A4" w:rsidP="00EF4AA2">
      <w:pPr>
        <w:autoSpaceDE w:val="0"/>
        <w:autoSpaceDN w:val="0"/>
        <w:adjustRightInd w:val="0"/>
        <w:spacing w:after="0" w:line="240" w:lineRule="auto"/>
        <w:jc w:val="both"/>
        <w:rPr>
          <w:rFonts w:ascii="Arial" w:hAnsi="Arial" w:cs="Arial"/>
          <w:bCs/>
          <w:sz w:val="24"/>
          <w:szCs w:val="24"/>
        </w:rPr>
      </w:pPr>
      <w:r w:rsidRPr="00575576">
        <w:rPr>
          <w:rFonts w:ascii="Arial" w:hAnsi="Arial" w:cs="Arial"/>
          <w:bCs/>
          <w:sz w:val="24"/>
          <w:szCs w:val="24"/>
        </w:rPr>
        <w:t xml:space="preserve">El </w:t>
      </w:r>
      <w:r w:rsidR="001F0393" w:rsidRPr="00575576">
        <w:rPr>
          <w:rFonts w:ascii="Arial" w:hAnsi="Arial" w:cs="Arial"/>
          <w:bCs/>
          <w:sz w:val="24"/>
          <w:szCs w:val="24"/>
        </w:rPr>
        <w:t>precitado</w:t>
      </w:r>
      <w:r w:rsidR="00E8509A" w:rsidRPr="00575576">
        <w:rPr>
          <w:rFonts w:ascii="Arial" w:hAnsi="Arial" w:cs="Arial"/>
          <w:bCs/>
          <w:sz w:val="24"/>
          <w:szCs w:val="24"/>
        </w:rPr>
        <w:t xml:space="preserve"> </w:t>
      </w:r>
      <w:r w:rsidRPr="00575576">
        <w:rPr>
          <w:rFonts w:ascii="Arial" w:hAnsi="Arial" w:cs="Arial"/>
          <w:bCs/>
          <w:sz w:val="24"/>
          <w:szCs w:val="24"/>
        </w:rPr>
        <w:t>Paquete Económico está anclado a dos pilares: estabilidad y certidumbre. El primero se refiere a la culminación de la trayectoria de consolidación fiscal comprometida en 2013, que ha sido ratificada durante cuatro años y que implica disminuir los</w:t>
      </w:r>
      <w:r w:rsidR="00473221" w:rsidRPr="00575576">
        <w:rPr>
          <w:rFonts w:ascii="Arial" w:hAnsi="Arial" w:cs="Arial"/>
          <w:bCs/>
          <w:sz w:val="24"/>
          <w:szCs w:val="24"/>
        </w:rPr>
        <w:t xml:space="preserve"> Requerimientos Financieros del Sector Público</w:t>
      </w:r>
      <w:r w:rsidRPr="00575576">
        <w:rPr>
          <w:rFonts w:ascii="Arial" w:hAnsi="Arial" w:cs="Arial"/>
          <w:bCs/>
          <w:sz w:val="24"/>
          <w:szCs w:val="24"/>
        </w:rPr>
        <w:t xml:space="preserve"> </w:t>
      </w:r>
      <w:r w:rsidR="00473221" w:rsidRPr="00575576">
        <w:rPr>
          <w:rFonts w:ascii="Arial" w:hAnsi="Arial" w:cs="Arial"/>
          <w:bCs/>
          <w:sz w:val="24"/>
          <w:szCs w:val="24"/>
        </w:rPr>
        <w:t>(</w:t>
      </w:r>
      <w:r w:rsidRPr="00575576">
        <w:rPr>
          <w:rFonts w:ascii="Arial" w:hAnsi="Arial" w:cs="Arial"/>
          <w:bCs/>
          <w:sz w:val="24"/>
          <w:szCs w:val="24"/>
        </w:rPr>
        <w:t>RFSP</w:t>
      </w:r>
      <w:r w:rsidR="00473221" w:rsidRPr="00575576">
        <w:rPr>
          <w:rFonts w:ascii="Arial" w:hAnsi="Arial" w:cs="Arial"/>
          <w:bCs/>
          <w:sz w:val="24"/>
          <w:szCs w:val="24"/>
        </w:rPr>
        <w:t>)</w:t>
      </w:r>
      <w:r w:rsidRPr="00575576">
        <w:rPr>
          <w:rFonts w:ascii="Arial" w:hAnsi="Arial" w:cs="Arial"/>
          <w:bCs/>
          <w:sz w:val="24"/>
          <w:szCs w:val="24"/>
        </w:rPr>
        <w:t xml:space="preserve"> de 2.9 a 2.5 por ciento del PIB en 2018. El segundo está sustentado en el Acuerdo de Certidumbre Tributaria pactado en 2014 en el cual el Gobierno Federal se </w:t>
      </w:r>
      <w:r w:rsidRPr="00575576">
        <w:rPr>
          <w:rFonts w:ascii="Arial" w:hAnsi="Arial" w:cs="Arial"/>
          <w:bCs/>
          <w:sz w:val="24"/>
          <w:szCs w:val="24"/>
        </w:rPr>
        <w:lastRenderedPageBreak/>
        <w:t xml:space="preserve">comprometió </w:t>
      </w:r>
      <w:r w:rsidRPr="0035610A">
        <w:rPr>
          <w:rFonts w:ascii="Arial" w:hAnsi="Arial" w:cs="Arial"/>
          <w:bCs/>
          <w:sz w:val="24"/>
          <w:szCs w:val="24"/>
        </w:rPr>
        <w:t>a no crear nuevos impuestos ni aumentar los existentes, que se traduce en ingresos similares para el próximo año</w:t>
      </w:r>
      <w:r w:rsidRPr="00575576">
        <w:rPr>
          <w:rFonts w:ascii="Arial" w:hAnsi="Arial" w:cs="Arial"/>
          <w:bCs/>
          <w:color w:val="FF0000"/>
          <w:sz w:val="24"/>
          <w:szCs w:val="24"/>
        </w:rPr>
        <w:t xml:space="preserve"> </w:t>
      </w:r>
      <w:r w:rsidRPr="00575576">
        <w:rPr>
          <w:rFonts w:ascii="Arial" w:hAnsi="Arial" w:cs="Arial"/>
          <w:bCs/>
          <w:sz w:val="24"/>
          <w:szCs w:val="24"/>
        </w:rPr>
        <w:t>respecto al cierre estimado de 2017 excluyendo ingresos con destino específico por Ley, con un ligero aumento en términos del PIB.</w:t>
      </w:r>
    </w:p>
    <w:p w:rsidR="00FA71A4" w:rsidRPr="00575576" w:rsidRDefault="00FA71A4" w:rsidP="00EF4AA2">
      <w:pPr>
        <w:autoSpaceDE w:val="0"/>
        <w:autoSpaceDN w:val="0"/>
        <w:adjustRightInd w:val="0"/>
        <w:spacing w:after="0" w:line="240" w:lineRule="auto"/>
        <w:jc w:val="both"/>
        <w:rPr>
          <w:rFonts w:ascii="Arial" w:hAnsi="Arial" w:cs="Arial"/>
          <w:bCs/>
          <w:sz w:val="24"/>
          <w:szCs w:val="24"/>
        </w:rPr>
      </w:pPr>
    </w:p>
    <w:p w:rsidR="00FA71A4" w:rsidRPr="0035610A" w:rsidRDefault="00E8509A" w:rsidP="00EF4AA2">
      <w:pPr>
        <w:autoSpaceDE w:val="0"/>
        <w:autoSpaceDN w:val="0"/>
        <w:adjustRightInd w:val="0"/>
        <w:spacing w:after="0" w:line="240" w:lineRule="auto"/>
        <w:jc w:val="both"/>
        <w:rPr>
          <w:rFonts w:ascii="Arial" w:hAnsi="Arial" w:cs="Arial"/>
          <w:bCs/>
          <w:sz w:val="24"/>
          <w:szCs w:val="24"/>
        </w:rPr>
      </w:pPr>
      <w:r w:rsidRPr="0035610A">
        <w:rPr>
          <w:rFonts w:ascii="Arial" w:hAnsi="Arial" w:cs="Arial"/>
          <w:sz w:val="24"/>
          <w:szCs w:val="24"/>
        </w:rPr>
        <w:t>Las pr</w:t>
      </w:r>
      <w:r w:rsidR="003A0168">
        <w:rPr>
          <w:rFonts w:ascii="Arial" w:hAnsi="Arial" w:cs="Arial"/>
          <w:sz w:val="24"/>
          <w:szCs w:val="24"/>
        </w:rPr>
        <w:t>evisiones en el ámbito nacional</w:t>
      </w:r>
      <w:r w:rsidRPr="0035610A">
        <w:rPr>
          <w:rFonts w:ascii="Arial" w:hAnsi="Arial" w:cs="Arial"/>
          <w:sz w:val="24"/>
          <w:szCs w:val="24"/>
        </w:rPr>
        <w:t xml:space="preserve">, </w:t>
      </w:r>
      <w:r w:rsidR="00413055" w:rsidRPr="0035610A">
        <w:rPr>
          <w:rFonts w:ascii="Arial" w:hAnsi="Arial" w:cs="Arial"/>
          <w:sz w:val="24"/>
          <w:szCs w:val="24"/>
        </w:rPr>
        <w:t>refleja</w:t>
      </w:r>
      <w:r w:rsidRPr="0035610A">
        <w:rPr>
          <w:rFonts w:ascii="Arial" w:hAnsi="Arial" w:cs="Arial"/>
          <w:sz w:val="24"/>
          <w:szCs w:val="24"/>
        </w:rPr>
        <w:t>n</w:t>
      </w:r>
      <w:r w:rsidR="00413055" w:rsidRPr="0035610A">
        <w:rPr>
          <w:rFonts w:ascii="Arial" w:hAnsi="Arial" w:cs="Arial"/>
          <w:sz w:val="24"/>
          <w:szCs w:val="24"/>
        </w:rPr>
        <w:t xml:space="preserve"> fielmente la reputación de responsabilidad en la</w:t>
      </w:r>
      <w:r w:rsidRPr="0035610A">
        <w:rPr>
          <w:rFonts w:ascii="Arial" w:hAnsi="Arial" w:cs="Arial"/>
          <w:sz w:val="24"/>
          <w:szCs w:val="24"/>
        </w:rPr>
        <w:t xml:space="preserve"> </w:t>
      </w:r>
      <w:r w:rsidR="00413055" w:rsidRPr="0035610A">
        <w:rPr>
          <w:rFonts w:ascii="Arial" w:hAnsi="Arial" w:cs="Arial"/>
          <w:sz w:val="24"/>
          <w:szCs w:val="24"/>
        </w:rPr>
        <w:t>conducción de la política fiscal y macroeconómica que México ha construido durante más de</w:t>
      </w:r>
      <w:r w:rsidR="00574CCF" w:rsidRPr="0035610A">
        <w:rPr>
          <w:rFonts w:ascii="Arial" w:hAnsi="Arial" w:cs="Arial"/>
          <w:sz w:val="24"/>
          <w:szCs w:val="24"/>
        </w:rPr>
        <w:t xml:space="preserve"> </w:t>
      </w:r>
      <w:r w:rsidR="00413055" w:rsidRPr="0035610A">
        <w:rPr>
          <w:rFonts w:ascii="Arial" w:hAnsi="Arial" w:cs="Arial"/>
          <w:sz w:val="24"/>
          <w:szCs w:val="24"/>
        </w:rPr>
        <w:t>dos décadas de pluralidad y responsabilidad política en el Congreso, y que la Administración del</w:t>
      </w:r>
      <w:r w:rsidR="00574CCF" w:rsidRPr="0035610A">
        <w:rPr>
          <w:rFonts w:ascii="Arial" w:hAnsi="Arial" w:cs="Arial"/>
          <w:sz w:val="24"/>
          <w:szCs w:val="24"/>
        </w:rPr>
        <w:t xml:space="preserve"> </w:t>
      </w:r>
      <w:r w:rsidR="00413055" w:rsidRPr="0035610A">
        <w:rPr>
          <w:rFonts w:ascii="Arial" w:hAnsi="Arial" w:cs="Arial"/>
          <w:sz w:val="24"/>
          <w:szCs w:val="24"/>
        </w:rPr>
        <w:t>Presidente Enrique Peña Nieto ha reafirmado y robustecido a través de la Reforma Hacendaria;</w:t>
      </w:r>
      <w:r w:rsidR="00574CCF" w:rsidRPr="0035610A">
        <w:rPr>
          <w:rFonts w:ascii="Arial" w:hAnsi="Arial" w:cs="Arial"/>
          <w:sz w:val="24"/>
          <w:szCs w:val="24"/>
        </w:rPr>
        <w:t xml:space="preserve"> </w:t>
      </w:r>
      <w:r w:rsidR="00413055" w:rsidRPr="0035610A">
        <w:rPr>
          <w:rFonts w:ascii="Arial" w:hAnsi="Arial" w:cs="Arial"/>
          <w:sz w:val="24"/>
          <w:szCs w:val="24"/>
        </w:rPr>
        <w:t>el estricto apego al proceso de consolidación fiscal comprometido en 2013; el fortalecimiento</w:t>
      </w:r>
      <w:r w:rsidR="00574CCF" w:rsidRPr="0035610A">
        <w:rPr>
          <w:rFonts w:ascii="Arial" w:hAnsi="Arial" w:cs="Arial"/>
          <w:sz w:val="24"/>
          <w:szCs w:val="24"/>
        </w:rPr>
        <w:t xml:space="preserve"> </w:t>
      </w:r>
      <w:r w:rsidR="00413055" w:rsidRPr="0035610A">
        <w:rPr>
          <w:rFonts w:ascii="Arial" w:hAnsi="Arial" w:cs="Arial"/>
          <w:sz w:val="24"/>
          <w:szCs w:val="24"/>
        </w:rPr>
        <w:t>y seguimiento puntual de la Ley Federal de Presupuesto y Responsabilidad Hacendaria; y las</w:t>
      </w:r>
      <w:r w:rsidR="00574CCF" w:rsidRPr="0035610A">
        <w:rPr>
          <w:rFonts w:ascii="Arial" w:hAnsi="Arial" w:cs="Arial"/>
          <w:sz w:val="24"/>
          <w:szCs w:val="24"/>
        </w:rPr>
        <w:t xml:space="preserve"> </w:t>
      </w:r>
      <w:r w:rsidR="00413055" w:rsidRPr="0035610A">
        <w:rPr>
          <w:rFonts w:ascii="Arial" w:hAnsi="Arial" w:cs="Arial"/>
          <w:sz w:val="24"/>
          <w:szCs w:val="24"/>
        </w:rPr>
        <w:t>respuestas oportunas y efectivas a los retos provenientes del exterior que se han presentado.</w:t>
      </w:r>
    </w:p>
    <w:p w:rsidR="00FA71A4" w:rsidRPr="00575576" w:rsidRDefault="00FA71A4" w:rsidP="00EF4AA2">
      <w:pPr>
        <w:autoSpaceDE w:val="0"/>
        <w:autoSpaceDN w:val="0"/>
        <w:adjustRightInd w:val="0"/>
        <w:spacing w:after="0" w:line="240" w:lineRule="auto"/>
        <w:jc w:val="both"/>
        <w:rPr>
          <w:rFonts w:ascii="Arial" w:hAnsi="Arial" w:cs="Arial"/>
          <w:bCs/>
          <w:sz w:val="24"/>
          <w:szCs w:val="24"/>
        </w:rPr>
      </w:pPr>
    </w:p>
    <w:p w:rsidR="00D41227" w:rsidRPr="00575576" w:rsidRDefault="00E8509A" w:rsidP="00EF4AA2">
      <w:pPr>
        <w:autoSpaceDE w:val="0"/>
        <w:autoSpaceDN w:val="0"/>
        <w:adjustRightInd w:val="0"/>
        <w:spacing w:after="0" w:line="240" w:lineRule="auto"/>
        <w:jc w:val="both"/>
        <w:rPr>
          <w:rFonts w:ascii="Arial" w:eastAsia="Times New Roman" w:hAnsi="Arial" w:cs="Arial"/>
          <w:sz w:val="24"/>
          <w:szCs w:val="24"/>
          <w:lang w:eastAsia="es-ES"/>
        </w:rPr>
      </w:pPr>
      <w:r w:rsidRPr="00575576">
        <w:rPr>
          <w:rFonts w:ascii="Arial" w:hAnsi="Arial" w:cs="Arial"/>
          <w:sz w:val="24"/>
          <w:szCs w:val="24"/>
        </w:rPr>
        <w:t xml:space="preserve">Significa </w:t>
      </w:r>
      <w:r w:rsidR="00413055" w:rsidRPr="00575576">
        <w:rPr>
          <w:rFonts w:ascii="Arial" w:hAnsi="Arial" w:cs="Arial"/>
          <w:sz w:val="24"/>
          <w:szCs w:val="24"/>
        </w:rPr>
        <w:t>también una señal de certeza sobre el manejo de las finanzas públicas para</w:t>
      </w:r>
      <w:r w:rsidR="00EF4AA2" w:rsidRPr="00575576">
        <w:rPr>
          <w:rFonts w:ascii="Arial" w:hAnsi="Arial" w:cs="Arial"/>
          <w:sz w:val="24"/>
          <w:szCs w:val="24"/>
        </w:rPr>
        <w:t xml:space="preserve"> </w:t>
      </w:r>
      <w:r w:rsidR="00413055" w:rsidRPr="00575576">
        <w:rPr>
          <w:rFonts w:ascii="Arial" w:hAnsi="Arial" w:cs="Arial"/>
          <w:sz w:val="24"/>
          <w:szCs w:val="24"/>
        </w:rPr>
        <w:t>un año donde se anticipa que el entorno externo continuará generando incertidumbre</w:t>
      </w:r>
      <w:r w:rsidR="00EF4AA2" w:rsidRPr="00575576">
        <w:rPr>
          <w:rFonts w:ascii="Arial" w:hAnsi="Arial" w:cs="Arial"/>
          <w:sz w:val="24"/>
          <w:szCs w:val="24"/>
        </w:rPr>
        <w:t xml:space="preserve">. </w:t>
      </w:r>
      <w:r w:rsidR="00422372" w:rsidRPr="00575576">
        <w:rPr>
          <w:rFonts w:ascii="Arial" w:hAnsi="Arial" w:cs="Arial"/>
          <w:sz w:val="24"/>
          <w:szCs w:val="24"/>
        </w:rPr>
        <w:t>E</w:t>
      </w:r>
      <w:r w:rsidR="00413055" w:rsidRPr="00575576">
        <w:rPr>
          <w:rFonts w:ascii="Arial" w:hAnsi="Arial" w:cs="Arial"/>
          <w:sz w:val="24"/>
          <w:szCs w:val="24"/>
        </w:rPr>
        <w:t>l Proyecto privilegia la inversión productiva y en infraestructura estratégica, el fortalecimiento de la</w:t>
      </w:r>
      <w:r w:rsidR="00574CCF" w:rsidRPr="00575576">
        <w:rPr>
          <w:rFonts w:ascii="Arial" w:hAnsi="Arial" w:cs="Arial"/>
          <w:sz w:val="24"/>
          <w:szCs w:val="24"/>
        </w:rPr>
        <w:t xml:space="preserve"> </w:t>
      </w:r>
      <w:r w:rsidR="00413055" w:rsidRPr="00575576">
        <w:rPr>
          <w:rFonts w:ascii="Arial" w:hAnsi="Arial" w:cs="Arial"/>
          <w:sz w:val="24"/>
          <w:szCs w:val="24"/>
        </w:rPr>
        <w:t>seguridad nacional y la seguridad pública, la disminución de las carencias sociales y el aumento</w:t>
      </w:r>
      <w:r w:rsidR="00574CCF" w:rsidRPr="00575576">
        <w:rPr>
          <w:rFonts w:ascii="Arial" w:hAnsi="Arial" w:cs="Arial"/>
          <w:sz w:val="24"/>
          <w:szCs w:val="24"/>
        </w:rPr>
        <w:t xml:space="preserve"> </w:t>
      </w:r>
      <w:r w:rsidR="00413055" w:rsidRPr="00575576">
        <w:rPr>
          <w:rFonts w:ascii="Arial" w:hAnsi="Arial" w:cs="Arial"/>
          <w:sz w:val="24"/>
          <w:szCs w:val="24"/>
        </w:rPr>
        <w:t>en el acceso a los derechos sociales</w:t>
      </w:r>
      <w:r w:rsidR="00BE4FC0">
        <w:rPr>
          <w:rFonts w:ascii="Arial" w:hAnsi="Arial" w:cs="Arial"/>
          <w:sz w:val="24"/>
          <w:szCs w:val="24"/>
        </w:rPr>
        <w:t>.</w:t>
      </w:r>
    </w:p>
    <w:p w:rsidR="00413055" w:rsidRPr="00575576" w:rsidRDefault="00413055" w:rsidP="00EF4AA2">
      <w:pPr>
        <w:spacing w:after="0" w:line="240" w:lineRule="auto"/>
        <w:jc w:val="both"/>
        <w:rPr>
          <w:rFonts w:ascii="Arial" w:eastAsia="Times New Roman" w:hAnsi="Arial" w:cs="Arial"/>
          <w:sz w:val="24"/>
          <w:szCs w:val="24"/>
          <w:lang w:eastAsia="es-ES"/>
        </w:rPr>
      </w:pPr>
    </w:p>
    <w:p w:rsidR="00413055" w:rsidRPr="00575576" w:rsidRDefault="00E8509A" w:rsidP="00EF4AA2">
      <w:pPr>
        <w:autoSpaceDE w:val="0"/>
        <w:autoSpaceDN w:val="0"/>
        <w:adjustRightInd w:val="0"/>
        <w:spacing w:after="0" w:line="240" w:lineRule="auto"/>
        <w:jc w:val="both"/>
        <w:rPr>
          <w:rFonts w:ascii="Arial" w:eastAsia="Times New Roman" w:hAnsi="Arial" w:cs="Arial"/>
          <w:sz w:val="24"/>
          <w:szCs w:val="24"/>
          <w:lang w:eastAsia="es-ES"/>
        </w:rPr>
      </w:pPr>
      <w:r w:rsidRPr="00575576">
        <w:rPr>
          <w:rFonts w:ascii="Arial" w:hAnsi="Arial" w:cs="Arial"/>
          <w:bCs/>
          <w:sz w:val="24"/>
          <w:szCs w:val="24"/>
        </w:rPr>
        <w:t xml:space="preserve">Asimismo, dicho </w:t>
      </w:r>
      <w:r w:rsidR="00EF4AA2" w:rsidRPr="00575576">
        <w:rPr>
          <w:rFonts w:ascii="Arial" w:hAnsi="Arial" w:cs="Arial"/>
          <w:bCs/>
          <w:sz w:val="24"/>
          <w:szCs w:val="24"/>
        </w:rPr>
        <w:t>Proyecto</w:t>
      </w:r>
      <w:r w:rsidRPr="00575576">
        <w:rPr>
          <w:rFonts w:ascii="Arial" w:hAnsi="Arial" w:cs="Arial"/>
          <w:bCs/>
          <w:sz w:val="24"/>
          <w:szCs w:val="24"/>
        </w:rPr>
        <w:t>,</w:t>
      </w:r>
      <w:r w:rsidR="00413055" w:rsidRPr="00575576">
        <w:rPr>
          <w:rFonts w:ascii="Arial" w:hAnsi="Arial" w:cs="Arial"/>
          <w:bCs/>
          <w:sz w:val="24"/>
          <w:szCs w:val="24"/>
        </w:rPr>
        <w:t xml:space="preserve"> abona al objetivo primordial de asegurar y mejorar el bienestar de las familias mexicanas y llevar a México a su máximo</w:t>
      </w:r>
      <w:r w:rsidR="00574CCF" w:rsidRPr="00575576">
        <w:rPr>
          <w:rFonts w:ascii="Arial" w:hAnsi="Arial" w:cs="Arial"/>
          <w:bCs/>
          <w:sz w:val="24"/>
          <w:szCs w:val="24"/>
        </w:rPr>
        <w:t xml:space="preserve"> </w:t>
      </w:r>
      <w:r w:rsidR="00413055" w:rsidRPr="00575576">
        <w:rPr>
          <w:rFonts w:ascii="Arial" w:hAnsi="Arial" w:cs="Arial"/>
          <w:bCs/>
          <w:sz w:val="24"/>
          <w:szCs w:val="24"/>
        </w:rPr>
        <w:t>potencial, a través de una política económica que preserva la estabilidad, detona la</w:t>
      </w:r>
      <w:r w:rsidR="00574CCF" w:rsidRPr="00575576">
        <w:rPr>
          <w:rFonts w:ascii="Arial" w:hAnsi="Arial" w:cs="Arial"/>
          <w:bCs/>
          <w:sz w:val="24"/>
          <w:szCs w:val="24"/>
        </w:rPr>
        <w:t xml:space="preserve"> </w:t>
      </w:r>
      <w:r w:rsidR="00413055" w:rsidRPr="00575576">
        <w:rPr>
          <w:rFonts w:ascii="Arial" w:hAnsi="Arial" w:cs="Arial"/>
          <w:bCs/>
          <w:sz w:val="24"/>
          <w:szCs w:val="24"/>
        </w:rPr>
        <w:t>productividad y genera igualdad de oportunidades.</w:t>
      </w:r>
    </w:p>
    <w:p w:rsidR="00413055" w:rsidRPr="00575576" w:rsidRDefault="00413055" w:rsidP="00EF4AA2">
      <w:pPr>
        <w:spacing w:after="0" w:line="240" w:lineRule="auto"/>
        <w:jc w:val="both"/>
        <w:rPr>
          <w:rFonts w:ascii="Arial" w:eastAsia="Times New Roman" w:hAnsi="Arial" w:cs="Arial"/>
          <w:sz w:val="24"/>
          <w:szCs w:val="24"/>
          <w:lang w:eastAsia="es-ES"/>
        </w:rPr>
      </w:pPr>
    </w:p>
    <w:p w:rsidR="00413055" w:rsidRPr="0035610A" w:rsidRDefault="00413055" w:rsidP="00EF4AA2">
      <w:pPr>
        <w:autoSpaceDE w:val="0"/>
        <w:autoSpaceDN w:val="0"/>
        <w:adjustRightInd w:val="0"/>
        <w:spacing w:after="0" w:line="240" w:lineRule="auto"/>
        <w:jc w:val="both"/>
        <w:rPr>
          <w:rFonts w:ascii="Arial" w:eastAsia="Times New Roman" w:hAnsi="Arial" w:cs="Arial"/>
          <w:sz w:val="24"/>
          <w:szCs w:val="24"/>
          <w:lang w:eastAsia="es-ES"/>
        </w:rPr>
      </w:pPr>
      <w:r w:rsidRPr="00575576">
        <w:rPr>
          <w:rFonts w:ascii="Arial" w:hAnsi="Arial" w:cs="Arial"/>
          <w:sz w:val="24"/>
          <w:szCs w:val="24"/>
        </w:rPr>
        <w:t xml:space="preserve">La </w:t>
      </w:r>
      <w:r w:rsidRPr="00575576">
        <w:rPr>
          <w:rFonts w:ascii="Arial" w:hAnsi="Arial" w:cs="Arial"/>
          <w:bCs/>
          <w:sz w:val="24"/>
          <w:szCs w:val="24"/>
        </w:rPr>
        <w:t>política</w:t>
      </w:r>
      <w:r w:rsidR="00E8509A" w:rsidRPr="00575576">
        <w:rPr>
          <w:rFonts w:ascii="Arial" w:hAnsi="Arial" w:cs="Arial"/>
          <w:bCs/>
          <w:sz w:val="24"/>
          <w:szCs w:val="24"/>
        </w:rPr>
        <w:t xml:space="preserve"> federal</w:t>
      </w:r>
      <w:r w:rsidRPr="00575576">
        <w:rPr>
          <w:rFonts w:ascii="Arial" w:hAnsi="Arial" w:cs="Arial"/>
          <w:bCs/>
          <w:sz w:val="24"/>
          <w:szCs w:val="24"/>
        </w:rPr>
        <w:t xml:space="preserve"> de ingresos </w:t>
      </w:r>
      <w:r w:rsidRPr="00575576">
        <w:rPr>
          <w:rFonts w:ascii="Arial" w:hAnsi="Arial" w:cs="Arial"/>
          <w:sz w:val="24"/>
          <w:szCs w:val="24"/>
        </w:rPr>
        <w:t>para 2018 está orientada a proveer certeza para el adecuado</w:t>
      </w:r>
      <w:r w:rsidR="00E8509A" w:rsidRPr="00575576">
        <w:rPr>
          <w:rFonts w:ascii="Arial" w:hAnsi="Arial" w:cs="Arial"/>
          <w:sz w:val="24"/>
          <w:szCs w:val="24"/>
        </w:rPr>
        <w:t xml:space="preserve"> </w:t>
      </w:r>
      <w:r w:rsidRPr="00575576">
        <w:rPr>
          <w:rFonts w:ascii="Arial" w:hAnsi="Arial" w:cs="Arial"/>
          <w:sz w:val="24"/>
          <w:szCs w:val="24"/>
        </w:rPr>
        <w:t xml:space="preserve">desarrollo de la actividad económica, para un año en el que se anticipa que el entorno externo puede continuar generando incertidumbre. Por tanto, </w:t>
      </w:r>
      <w:r w:rsidRPr="0035610A">
        <w:rPr>
          <w:rFonts w:ascii="Arial" w:hAnsi="Arial" w:cs="Arial"/>
          <w:sz w:val="24"/>
          <w:szCs w:val="24"/>
        </w:rPr>
        <w:t xml:space="preserve">la </w:t>
      </w:r>
      <w:r w:rsidR="009B3C10" w:rsidRPr="0035610A">
        <w:rPr>
          <w:rFonts w:ascii="Arial" w:hAnsi="Arial" w:cs="Arial"/>
          <w:sz w:val="24"/>
          <w:szCs w:val="24"/>
        </w:rPr>
        <w:t>Iniciativa de Ley de Ingresos de la Federación (</w:t>
      </w:r>
      <w:r w:rsidRPr="0035610A">
        <w:rPr>
          <w:rFonts w:ascii="Arial" w:hAnsi="Arial" w:cs="Arial"/>
          <w:sz w:val="24"/>
          <w:szCs w:val="24"/>
        </w:rPr>
        <w:t>ILIF</w:t>
      </w:r>
      <w:r w:rsidR="009B3C10" w:rsidRPr="0035610A">
        <w:rPr>
          <w:rFonts w:ascii="Arial" w:hAnsi="Arial" w:cs="Arial"/>
          <w:sz w:val="24"/>
          <w:szCs w:val="24"/>
        </w:rPr>
        <w:t>)</w:t>
      </w:r>
      <w:r w:rsidRPr="0035610A">
        <w:rPr>
          <w:rFonts w:ascii="Arial" w:hAnsi="Arial" w:cs="Arial"/>
          <w:sz w:val="24"/>
          <w:szCs w:val="24"/>
        </w:rPr>
        <w:t xml:space="preserve"> 2018 reitera el compromiso de no plantear medidas que representen una mayor carga tributaria para las empresas y familias del</w:t>
      </w:r>
      <w:r w:rsidR="00E8509A" w:rsidRPr="0035610A">
        <w:rPr>
          <w:rFonts w:ascii="Arial" w:hAnsi="Arial" w:cs="Arial"/>
          <w:sz w:val="24"/>
          <w:szCs w:val="24"/>
        </w:rPr>
        <w:t xml:space="preserve"> </w:t>
      </w:r>
      <w:r w:rsidRPr="0035610A">
        <w:rPr>
          <w:rFonts w:ascii="Arial" w:hAnsi="Arial" w:cs="Arial"/>
          <w:sz w:val="24"/>
          <w:szCs w:val="24"/>
        </w:rPr>
        <w:t>país, con el objetivo de que los hogares y empresas puedan planear adecuadamente sus decisiones económicas, generando así condiciones propicias para incrementar el ahorro y la inversión</w:t>
      </w:r>
      <w:r w:rsidR="00BE4FC0">
        <w:rPr>
          <w:rFonts w:ascii="Arial" w:hAnsi="Arial" w:cs="Arial"/>
          <w:sz w:val="24"/>
          <w:szCs w:val="24"/>
        </w:rPr>
        <w:t>.</w:t>
      </w:r>
    </w:p>
    <w:p w:rsidR="00413055" w:rsidRPr="0035610A" w:rsidRDefault="00413055" w:rsidP="00EF4AA2">
      <w:pPr>
        <w:spacing w:after="0" w:line="240" w:lineRule="auto"/>
        <w:jc w:val="both"/>
        <w:rPr>
          <w:rFonts w:ascii="Arial" w:eastAsia="Times New Roman" w:hAnsi="Arial" w:cs="Arial"/>
          <w:sz w:val="24"/>
          <w:szCs w:val="24"/>
          <w:lang w:eastAsia="es-ES"/>
        </w:rPr>
      </w:pPr>
    </w:p>
    <w:p w:rsidR="00413055" w:rsidRPr="00575576" w:rsidRDefault="00E8509A" w:rsidP="00EF4AA2">
      <w:pPr>
        <w:autoSpaceDE w:val="0"/>
        <w:autoSpaceDN w:val="0"/>
        <w:adjustRightInd w:val="0"/>
        <w:spacing w:after="0" w:line="240" w:lineRule="auto"/>
        <w:jc w:val="both"/>
        <w:rPr>
          <w:rFonts w:ascii="Arial" w:eastAsia="Times New Roman" w:hAnsi="Arial" w:cs="Arial"/>
          <w:sz w:val="24"/>
          <w:szCs w:val="24"/>
          <w:lang w:eastAsia="es-ES"/>
        </w:rPr>
      </w:pPr>
      <w:r w:rsidRPr="00575576">
        <w:rPr>
          <w:rFonts w:ascii="Arial" w:hAnsi="Arial" w:cs="Arial"/>
          <w:sz w:val="24"/>
          <w:szCs w:val="24"/>
        </w:rPr>
        <w:t xml:space="preserve">La </w:t>
      </w:r>
      <w:r w:rsidR="00413055" w:rsidRPr="00575576">
        <w:rPr>
          <w:rFonts w:ascii="Arial" w:hAnsi="Arial" w:cs="Arial"/>
          <w:bCs/>
          <w:sz w:val="24"/>
          <w:szCs w:val="24"/>
        </w:rPr>
        <w:t xml:space="preserve">política </w:t>
      </w:r>
      <w:r w:rsidRPr="00575576">
        <w:rPr>
          <w:rFonts w:ascii="Arial" w:hAnsi="Arial" w:cs="Arial"/>
          <w:bCs/>
          <w:sz w:val="24"/>
          <w:szCs w:val="24"/>
        </w:rPr>
        <w:t xml:space="preserve">federal </w:t>
      </w:r>
      <w:r w:rsidR="00413055" w:rsidRPr="00575576">
        <w:rPr>
          <w:rFonts w:ascii="Arial" w:hAnsi="Arial" w:cs="Arial"/>
          <w:bCs/>
          <w:sz w:val="24"/>
          <w:szCs w:val="24"/>
        </w:rPr>
        <w:t xml:space="preserve">de gasto </w:t>
      </w:r>
      <w:r w:rsidR="00413055" w:rsidRPr="00575576">
        <w:rPr>
          <w:rFonts w:ascii="Arial" w:hAnsi="Arial" w:cs="Arial"/>
          <w:sz w:val="24"/>
          <w:szCs w:val="24"/>
        </w:rPr>
        <w:t>para 2018 reafirma el esfuerzo de reingeniería del gasto</w:t>
      </w:r>
      <w:r w:rsidR="00EF4AA2" w:rsidRPr="00575576">
        <w:rPr>
          <w:rFonts w:ascii="Arial" w:hAnsi="Arial" w:cs="Arial"/>
          <w:sz w:val="24"/>
          <w:szCs w:val="24"/>
        </w:rPr>
        <w:t xml:space="preserve"> </w:t>
      </w:r>
      <w:r w:rsidR="00413055" w:rsidRPr="00575576">
        <w:rPr>
          <w:rFonts w:ascii="Arial" w:hAnsi="Arial" w:cs="Arial"/>
          <w:sz w:val="24"/>
          <w:szCs w:val="24"/>
        </w:rPr>
        <w:t>público y disciplina en las finanzas, y privilegia programas que contribuyen a la reducción de la</w:t>
      </w:r>
      <w:r w:rsidR="00574CCF" w:rsidRPr="00575576">
        <w:rPr>
          <w:rFonts w:ascii="Arial" w:hAnsi="Arial" w:cs="Arial"/>
          <w:sz w:val="24"/>
          <w:szCs w:val="24"/>
        </w:rPr>
        <w:t xml:space="preserve"> </w:t>
      </w:r>
      <w:r w:rsidR="00413055" w:rsidRPr="00575576">
        <w:rPr>
          <w:rFonts w:ascii="Arial" w:hAnsi="Arial" w:cs="Arial"/>
          <w:sz w:val="24"/>
          <w:szCs w:val="24"/>
        </w:rPr>
        <w:t>pobreza, reduce el gasto corriente en los Ramos Administrativos, prioriza la inversión productiva</w:t>
      </w:r>
      <w:r w:rsidR="00574CCF" w:rsidRPr="00575576">
        <w:rPr>
          <w:rFonts w:ascii="Arial" w:hAnsi="Arial" w:cs="Arial"/>
          <w:sz w:val="24"/>
          <w:szCs w:val="24"/>
        </w:rPr>
        <w:t xml:space="preserve"> </w:t>
      </w:r>
      <w:r w:rsidR="00413055" w:rsidRPr="00575576">
        <w:rPr>
          <w:rFonts w:ascii="Arial" w:hAnsi="Arial" w:cs="Arial"/>
          <w:sz w:val="24"/>
          <w:szCs w:val="24"/>
        </w:rPr>
        <w:t xml:space="preserve">sobre la administrativa y sienta las bases para la </w:t>
      </w:r>
      <w:r w:rsidR="00413055" w:rsidRPr="00575576">
        <w:rPr>
          <w:rFonts w:ascii="Arial" w:hAnsi="Arial" w:cs="Arial"/>
          <w:sz w:val="24"/>
          <w:szCs w:val="24"/>
        </w:rPr>
        <w:lastRenderedPageBreak/>
        <w:t>elaboración de un presupuesto basado en los</w:t>
      </w:r>
      <w:r w:rsidRPr="00575576">
        <w:rPr>
          <w:rFonts w:ascii="Arial" w:hAnsi="Arial" w:cs="Arial"/>
          <w:sz w:val="24"/>
          <w:szCs w:val="24"/>
        </w:rPr>
        <w:t xml:space="preserve"> </w:t>
      </w:r>
      <w:r w:rsidR="00A302D9" w:rsidRPr="00575576">
        <w:rPr>
          <w:rFonts w:ascii="Arial" w:hAnsi="Arial" w:cs="Arial"/>
          <w:sz w:val="24"/>
          <w:szCs w:val="24"/>
        </w:rPr>
        <w:t>Objetivos</w:t>
      </w:r>
      <w:r w:rsidR="0032272C" w:rsidRPr="00575576">
        <w:rPr>
          <w:rFonts w:ascii="Arial" w:hAnsi="Arial" w:cs="Arial"/>
          <w:sz w:val="24"/>
          <w:szCs w:val="24"/>
        </w:rPr>
        <w:t xml:space="preserve"> del Desarrollo Sostenible (</w:t>
      </w:r>
      <w:r w:rsidR="00413055" w:rsidRPr="00575576">
        <w:rPr>
          <w:rFonts w:ascii="Arial" w:hAnsi="Arial" w:cs="Arial"/>
          <w:sz w:val="24"/>
          <w:szCs w:val="24"/>
        </w:rPr>
        <w:t>ODS</w:t>
      </w:r>
      <w:r w:rsidR="0032272C" w:rsidRPr="00575576">
        <w:rPr>
          <w:rFonts w:ascii="Arial" w:hAnsi="Arial" w:cs="Arial"/>
          <w:sz w:val="24"/>
          <w:szCs w:val="24"/>
        </w:rPr>
        <w:t>)</w:t>
      </w:r>
      <w:r w:rsidR="00413055" w:rsidRPr="00575576">
        <w:rPr>
          <w:rFonts w:ascii="Arial" w:hAnsi="Arial" w:cs="Arial"/>
          <w:b/>
          <w:sz w:val="24"/>
          <w:szCs w:val="24"/>
        </w:rPr>
        <w:t xml:space="preserve"> </w:t>
      </w:r>
      <w:r w:rsidR="00413055" w:rsidRPr="00575576">
        <w:rPr>
          <w:rFonts w:ascii="Arial" w:hAnsi="Arial" w:cs="Arial"/>
          <w:sz w:val="24"/>
          <w:szCs w:val="24"/>
        </w:rPr>
        <w:t>acordados por los países miembros de la ONU.</w:t>
      </w:r>
    </w:p>
    <w:p w:rsidR="00413055" w:rsidRPr="00EF4AA2" w:rsidRDefault="00413055" w:rsidP="00E063E1">
      <w:pPr>
        <w:spacing w:after="0" w:line="240" w:lineRule="auto"/>
        <w:jc w:val="both"/>
        <w:rPr>
          <w:rFonts w:ascii="Arial" w:eastAsia="Times New Roman" w:hAnsi="Arial" w:cs="Arial"/>
          <w:sz w:val="24"/>
          <w:szCs w:val="24"/>
          <w:highlight w:val="yellow"/>
          <w:lang w:eastAsia="es-ES"/>
        </w:rPr>
      </w:pPr>
    </w:p>
    <w:p w:rsidR="00E063E1" w:rsidRPr="00B304A9" w:rsidRDefault="00E063E1" w:rsidP="00E063E1">
      <w:pPr>
        <w:spacing w:after="0" w:line="240" w:lineRule="auto"/>
        <w:jc w:val="both"/>
        <w:rPr>
          <w:rFonts w:ascii="Arial" w:eastAsia="Times New Roman" w:hAnsi="Arial" w:cs="Arial"/>
          <w:sz w:val="24"/>
          <w:szCs w:val="24"/>
          <w:lang w:val="es-ES" w:eastAsia="es-ES"/>
        </w:rPr>
      </w:pPr>
      <w:r w:rsidRPr="00B304A9">
        <w:rPr>
          <w:rFonts w:ascii="Arial" w:eastAsia="Times New Roman" w:hAnsi="Arial" w:cs="Arial"/>
          <w:sz w:val="24"/>
          <w:szCs w:val="24"/>
          <w:lang w:val="es-ES" w:eastAsia="es-ES"/>
        </w:rPr>
        <w:t xml:space="preserve">De esta manera y en línea con las expectativas nacionales, </w:t>
      </w:r>
      <w:r w:rsidRPr="00A33C8D">
        <w:rPr>
          <w:rFonts w:ascii="Arial" w:eastAsia="Times New Roman" w:hAnsi="Arial" w:cs="Arial"/>
          <w:sz w:val="24"/>
          <w:szCs w:val="24"/>
          <w:lang w:val="es-ES" w:eastAsia="es-ES"/>
        </w:rPr>
        <w:t xml:space="preserve">así como en las previsiones y prospectiva </w:t>
      </w:r>
      <w:r w:rsidR="007C56D2" w:rsidRPr="00A33C8D">
        <w:rPr>
          <w:rFonts w:ascii="Arial" w:eastAsia="Times New Roman" w:hAnsi="Arial" w:cs="Arial"/>
          <w:sz w:val="24"/>
          <w:szCs w:val="24"/>
          <w:lang w:val="es-ES" w:eastAsia="es-ES"/>
        </w:rPr>
        <w:t>contenidas</w:t>
      </w:r>
      <w:r w:rsidRPr="00A33C8D">
        <w:rPr>
          <w:rFonts w:ascii="Arial" w:eastAsia="Times New Roman" w:hAnsi="Arial" w:cs="Arial"/>
          <w:sz w:val="24"/>
          <w:szCs w:val="24"/>
          <w:lang w:val="es-ES" w:eastAsia="es-ES"/>
        </w:rPr>
        <w:t xml:space="preserve"> en el </w:t>
      </w:r>
      <w:r w:rsidR="00A33C8D">
        <w:rPr>
          <w:rFonts w:ascii="Arial" w:eastAsia="Times New Roman" w:hAnsi="Arial" w:cs="Arial"/>
          <w:sz w:val="24"/>
          <w:szCs w:val="24"/>
          <w:lang w:val="es-ES" w:eastAsia="es-ES"/>
        </w:rPr>
        <w:t>Plan de Gran Visión 20</w:t>
      </w:r>
      <w:r w:rsidR="00B304A9" w:rsidRPr="00A33C8D">
        <w:rPr>
          <w:rFonts w:ascii="Arial" w:eastAsia="Times New Roman" w:hAnsi="Arial" w:cs="Arial"/>
          <w:sz w:val="24"/>
          <w:szCs w:val="24"/>
          <w:lang w:val="es-ES" w:eastAsia="es-ES"/>
        </w:rPr>
        <w:t>40</w:t>
      </w:r>
      <w:r w:rsidR="00B304A9" w:rsidRPr="00B304A9">
        <w:rPr>
          <w:rFonts w:ascii="Arial" w:eastAsia="Times New Roman" w:hAnsi="Arial" w:cs="Arial"/>
          <w:sz w:val="24"/>
          <w:szCs w:val="24"/>
          <w:lang w:val="es-ES" w:eastAsia="es-ES"/>
        </w:rPr>
        <w:t xml:space="preserve">  y en el </w:t>
      </w:r>
      <w:r w:rsidRPr="00B304A9">
        <w:rPr>
          <w:rFonts w:ascii="Arial" w:eastAsia="Times New Roman" w:hAnsi="Arial" w:cs="Arial"/>
          <w:sz w:val="24"/>
          <w:szCs w:val="24"/>
          <w:lang w:val="es-ES" w:eastAsia="es-ES"/>
        </w:rPr>
        <w:t xml:space="preserve">Plan Estatal de Desarrollo 2016-2021,  el Proyecto de Presupuesto de Egresos que se somete a la consideración de esa </w:t>
      </w:r>
      <w:r w:rsidR="0035610A">
        <w:rPr>
          <w:rFonts w:ascii="Arial" w:eastAsia="Times New Roman" w:hAnsi="Arial" w:cs="Arial"/>
          <w:sz w:val="24"/>
          <w:szCs w:val="24"/>
          <w:lang w:val="es-ES" w:eastAsia="es-ES"/>
        </w:rPr>
        <w:t xml:space="preserve">Honorable </w:t>
      </w:r>
      <w:r w:rsidRPr="00B304A9">
        <w:rPr>
          <w:rFonts w:ascii="Arial" w:eastAsia="Times New Roman" w:hAnsi="Arial" w:cs="Arial"/>
          <w:sz w:val="24"/>
          <w:szCs w:val="24"/>
          <w:lang w:val="es-ES" w:eastAsia="es-ES"/>
        </w:rPr>
        <w:t>Soberanía, está orientado a dar respuesta a las demandas más sentidas de la sociedad, para seguir impulsando el desarrollo integral del Estado y generar las condiciones y oportunidades para lograr mejores niveles de vida y bienestar para las familias colimenses.</w:t>
      </w:r>
    </w:p>
    <w:p w:rsidR="00E063E1" w:rsidRPr="00F8671B" w:rsidRDefault="00E063E1" w:rsidP="00E063E1">
      <w:pPr>
        <w:spacing w:after="0" w:line="240" w:lineRule="auto"/>
        <w:jc w:val="both"/>
        <w:rPr>
          <w:rFonts w:ascii="Arial" w:eastAsia="Times New Roman" w:hAnsi="Arial" w:cs="Arial"/>
          <w:sz w:val="24"/>
          <w:szCs w:val="24"/>
          <w:highlight w:val="yellow"/>
          <w:lang w:val="es-ES" w:eastAsia="es-ES"/>
        </w:rPr>
      </w:pPr>
    </w:p>
    <w:p w:rsidR="00E063E1" w:rsidRPr="00B304A9" w:rsidRDefault="00E063E1" w:rsidP="00E063E1">
      <w:pPr>
        <w:spacing w:after="0" w:line="240" w:lineRule="auto"/>
        <w:jc w:val="both"/>
        <w:rPr>
          <w:rFonts w:ascii="Arial" w:eastAsia="Times New Roman" w:hAnsi="Arial" w:cs="Arial"/>
          <w:sz w:val="24"/>
          <w:szCs w:val="24"/>
          <w:lang w:val="es-ES" w:eastAsia="es-ES"/>
        </w:rPr>
      </w:pPr>
      <w:r w:rsidRPr="00B304A9">
        <w:rPr>
          <w:rFonts w:ascii="Arial" w:eastAsia="Times New Roman" w:hAnsi="Arial" w:cs="Arial"/>
          <w:sz w:val="24"/>
          <w:szCs w:val="24"/>
          <w:lang w:val="es-ES" w:eastAsia="es-ES"/>
        </w:rPr>
        <w:t xml:space="preserve">En </w:t>
      </w:r>
      <w:r w:rsidR="0092660B">
        <w:rPr>
          <w:rFonts w:ascii="Arial" w:eastAsia="Times New Roman" w:hAnsi="Arial" w:cs="Arial"/>
          <w:sz w:val="24"/>
          <w:szCs w:val="24"/>
          <w:lang w:val="es-ES" w:eastAsia="es-ES"/>
        </w:rPr>
        <w:t>congruencia</w:t>
      </w:r>
      <w:r w:rsidRPr="00B304A9">
        <w:rPr>
          <w:rFonts w:ascii="Arial" w:eastAsia="Times New Roman" w:hAnsi="Arial" w:cs="Arial"/>
          <w:sz w:val="24"/>
          <w:szCs w:val="24"/>
          <w:lang w:val="es-ES" w:eastAsia="es-ES"/>
        </w:rPr>
        <w:t xml:space="preserve"> con el Plan Estatal de Desarrollo, que se constituye como la carta de navegación de la gestión gubernamental, se integró el presente </w:t>
      </w:r>
      <w:r w:rsidR="007C56D2" w:rsidRPr="00B304A9">
        <w:rPr>
          <w:rFonts w:ascii="Arial" w:eastAsia="Times New Roman" w:hAnsi="Arial" w:cs="Arial"/>
          <w:sz w:val="24"/>
          <w:szCs w:val="24"/>
          <w:lang w:val="es-ES" w:eastAsia="es-ES"/>
        </w:rPr>
        <w:t>Proyecto de P</w:t>
      </w:r>
      <w:r w:rsidRPr="00B304A9">
        <w:rPr>
          <w:rFonts w:ascii="Arial" w:eastAsia="Times New Roman" w:hAnsi="Arial" w:cs="Arial"/>
          <w:sz w:val="24"/>
          <w:szCs w:val="24"/>
          <w:lang w:val="es-ES" w:eastAsia="es-ES"/>
        </w:rPr>
        <w:t xml:space="preserve">resupuesto que se turna a esa </w:t>
      </w:r>
      <w:r w:rsidR="0092660B">
        <w:rPr>
          <w:rFonts w:ascii="Arial" w:eastAsia="Times New Roman" w:hAnsi="Arial" w:cs="Arial"/>
          <w:sz w:val="24"/>
          <w:szCs w:val="24"/>
          <w:lang w:val="es-ES" w:eastAsia="es-ES"/>
        </w:rPr>
        <w:t xml:space="preserve">Honorable </w:t>
      </w:r>
      <w:r w:rsidRPr="00B304A9">
        <w:rPr>
          <w:rFonts w:ascii="Arial" w:eastAsia="Times New Roman" w:hAnsi="Arial" w:cs="Arial"/>
          <w:sz w:val="24"/>
          <w:szCs w:val="24"/>
          <w:lang w:val="es-ES" w:eastAsia="es-ES"/>
        </w:rPr>
        <w:t>Soberanía para su análisis, discusión y aprobación.</w:t>
      </w:r>
    </w:p>
    <w:p w:rsidR="00E063E1" w:rsidRPr="00F8671B" w:rsidRDefault="00E063E1" w:rsidP="00E063E1">
      <w:pPr>
        <w:spacing w:after="0" w:line="240" w:lineRule="auto"/>
        <w:jc w:val="both"/>
        <w:rPr>
          <w:rFonts w:ascii="Arial" w:eastAsia="Times New Roman" w:hAnsi="Arial" w:cs="Arial"/>
          <w:sz w:val="24"/>
          <w:szCs w:val="24"/>
          <w:highlight w:val="yellow"/>
          <w:lang w:val="es-ES" w:eastAsia="es-ES"/>
        </w:rPr>
      </w:pPr>
    </w:p>
    <w:p w:rsidR="00E063E1" w:rsidRPr="00B304A9" w:rsidRDefault="007C56D2" w:rsidP="00E063E1">
      <w:pPr>
        <w:spacing w:after="0" w:line="240" w:lineRule="auto"/>
        <w:jc w:val="both"/>
        <w:rPr>
          <w:rFonts w:ascii="Arial" w:eastAsia="Times New Roman" w:hAnsi="Arial" w:cs="Arial"/>
          <w:sz w:val="24"/>
          <w:szCs w:val="24"/>
          <w:lang w:val="es-ES" w:eastAsia="es-ES"/>
        </w:rPr>
      </w:pPr>
      <w:r w:rsidRPr="00B304A9">
        <w:rPr>
          <w:rFonts w:ascii="Arial" w:eastAsia="Times New Roman" w:hAnsi="Arial" w:cs="Arial"/>
          <w:sz w:val="24"/>
          <w:szCs w:val="24"/>
          <w:lang w:val="es-ES" w:eastAsia="es-ES"/>
        </w:rPr>
        <w:t>Su aprobación</w:t>
      </w:r>
      <w:r w:rsidR="00E063E1" w:rsidRPr="00B304A9">
        <w:rPr>
          <w:rFonts w:ascii="Arial" w:eastAsia="Times New Roman" w:hAnsi="Arial" w:cs="Arial"/>
          <w:sz w:val="24"/>
          <w:szCs w:val="24"/>
          <w:lang w:val="es-ES" w:eastAsia="es-ES"/>
        </w:rPr>
        <w:t>, fortalecer</w:t>
      </w:r>
      <w:r w:rsidRPr="00B304A9">
        <w:rPr>
          <w:rFonts w:ascii="Arial" w:eastAsia="Times New Roman" w:hAnsi="Arial" w:cs="Arial"/>
          <w:sz w:val="24"/>
          <w:szCs w:val="24"/>
          <w:lang w:val="es-ES" w:eastAsia="es-ES"/>
        </w:rPr>
        <w:t>á</w:t>
      </w:r>
      <w:r w:rsidR="00E063E1" w:rsidRPr="00B304A9">
        <w:rPr>
          <w:rFonts w:ascii="Arial" w:eastAsia="Times New Roman" w:hAnsi="Arial" w:cs="Arial"/>
          <w:sz w:val="24"/>
          <w:szCs w:val="24"/>
          <w:lang w:val="es-ES" w:eastAsia="es-ES"/>
        </w:rPr>
        <w:t xml:space="preserve"> las políticas públicas que se emprend</w:t>
      </w:r>
      <w:r w:rsidR="00B304A9" w:rsidRPr="00B304A9">
        <w:rPr>
          <w:rFonts w:ascii="Arial" w:eastAsia="Times New Roman" w:hAnsi="Arial" w:cs="Arial"/>
          <w:sz w:val="24"/>
          <w:szCs w:val="24"/>
          <w:lang w:val="es-ES" w:eastAsia="es-ES"/>
        </w:rPr>
        <w:t xml:space="preserve">erán en el ejercicio fiscal </w:t>
      </w:r>
      <w:r w:rsidR="00B304A9" w:rsidRPr="00542187">
        <w:rPr>
          <w:rFonts w:ascii="Arial" w:eastAsia="Times New Roman" w:hAnsi="Arial" w:cs="Arial"/>
          <w:sz w:val="24"/>
          <w:szCs w:val="24"/>
          <w:lang w:val="es-ES" w:eastAsia="es-ES"/>
        </w:rPr>
        <w:t>2018</w:t>
      </w:r>
      <w:r w:rsidR="00E063E1" w:rsidRPr="00B304A9">
        <w:rPr>
          <w:rFonts w:ascii="Arial" w:eastAsia="Times New Roman" w:hAnsi="Arial" w:cs="Arial"/>
          <w:sz w:val="24"/>
          <w:szCs w:val="24"/>
          <w:lang w:val="es-ES" w:eastAsia="es-ES"/>
        </w:rPr>
        <w:t xml:space="preserve"> para atender prioridades vinculadas con aquellos aspectos que proporcionarán el bienestar social, el crecimiento económico, la paz y la seguridad de la población; de igual manera, posibilitarán continuar trabajando por una mejor calidad de vida, la disminución de la pobreza y fortalecer los esfuerzos para que nuevamente sea Colima uno de los estados más seguros del país.</w:t>
      </w:r>
    </w:p>
    <w:p w:rsidR="00E063E1" w:rsidRPr="00F8671B" w:rsidRDefault="00E063E1" w:rsidP="00E063E1">
      <w:pPr>
        <w:spacing w:after="0" w:line="240" w:lineRule="auto"/>
        <w:jc w:val="both"/>
        <w:rPr>
          <w:rFonts w:ascii="Arial" w:eastAsia="Times New Roman" w:hAnsi="Arial" w:cs="Arial"/>
          <w:sz w:val="24"/>
          <w:szCs w:val="24"/>
          <w:highlight w:val="yellow"/>
          <w:lang w:val="es-ES" w:eastAsia="es-ES"/>
        </w:rPr>
      </w:pPr>
    </w:p>
    <w:p w:rsidR="00E063E1" w:rsidRPr="00542187" w:rsidRDefault="00E063E1" w:rsidP="00E063E1">
      <w:pPr>
        <w:spacing w:after="0" w:line="240" w:lineRule="auto"/>
        <w:jc w:val="both"/>
        <w:rPr>
          <w:rFonts w:ascii="Arial" w:eastAsia="Times New Roman" w:hAnsi="Arial" w:cs="Arial"/>
          <w:sz w:val="24"/>
          <w:szCs w:val="24"/>
          <w:lang w:val="es-ES" w:eastAsia="es-ES"/>
        </w:rPr>
      </w:pPr>
      <w:r w:rsidRPr="00542187">
        <w:rPr>
          <w:rFonts w:ascii="Arial" w:eastAsia="Times New Roman" w:hAnsi="Arial" w:cs="Arial"/>
          <w:sz w:val="24"/>
          <w:szCs w:val="24"/>
          <w:lang w:val="es-ES" w:eastAsia="es-ES"/>
        </w:rPr>
        <w:t>En congruencia con lo anterior, la política presupuestaria para el próximo ejercicio fiscal será de prudencia, austeridad y de estricta racionalidad en el ejercicio del gasto público, fincado en una visión que priorice dar respuestas oportunas a las demandas más sentidas de las familias colimenses, especialmente aquellas de los sectores más vulnerables.</w:t>
      </w:r>
    </w:p>
    <w:p w:rsidR="00E063E1" w:rsidRPr="00F8671B" w:rsidRDefault="00E063E1" w:rsidP="00E063E1">
      <w:pPr>
        <w:spacing w:after="0" w:line="240" w:lineRule="auto"/>
        <w:contextualSpacing/>
        <w:jc w:val="both"/>
        <w:rPr>
          <w:rFonts w:ascii="Arial" w:eastAsia="Times New Roman" w:hAnsi="Arial" w:cs="Arial"/>
          <w:sz w:val="24"/>
          <w:szCs w:val="24"/>
          <w:highlight w:val="yellow"/>
          <w:lang w:val="es-ES" w:eastAsia="es-ES"/>
        </w:rPr>
      </w:pPr>
    </w:p>
    <w:p w:rsidR="00E063E1" w:rsidRDefault="00E063E1" w:rsidP="00E063E1">
      <w:pPr>
        <w:spacing w:after="0" w:line="240" w:lineRule="auto"/>
        <w:contextualSpacing/>
        <w:jc w:val="both"/>
        <w:rPr>
          <w:rFonts w:ascii="Arial" w:eastAsia="Times New Roman" w:hAnsi="Arial" w:cs="Arial"/>
          <w:sz w:val="24"/>
          <w:szCs w:val="24"/>
          <w:lang w:val="es-ES" w:eastAsia="es-ES"/>
        </w:rPr>
      </w:pPr>
      <w:r w:rsidRPr="005F5516">
        <w:rPr>
          <w:rFonts w:ascii="Arial" w:eastAsia="Times New Roman" w:hAnsi="Arial" w:cs="Arial"/>
          <w:sz w:val="24"/>
          <w:szCs w:val="24"/>
          <w:lang w:val="es-ES" w:eastAsia="es-ES"/>
        </w:rPr>
        <w:t>Regidos con la Visión 2021 Colima con mayor bienestar para sus habitantes, el Proyecto de Presupuesto que se somete a la consideración del Honorable Congreso del Estado, incorpora prioridades de desarrollo vinculadas con los ejes estratégicos del Plan Estatal de Desarrollo 2016-2021 (PED).</w:t>
      </w:r>
    </w:p>
    <w:p w:rsidR="007E6A7F" w:rsidRPr="00B93EB0" w:rsidRDefault="007E6A7F" w:rsidP="00E063E1">
      <w:pPr>
        <w:spacing w:after="0" w:line="240" w:lineRule="auto"/>
        <w:contextualSpacing/>
        <w:jc w:val="both"/>
        <w:rPr>
          <w:rFonts w:ascii="Arial" w:eastAsia="Times New Roman" w:hAnsi="Arial" w:cs="Arial"/>
          <w:sz w:val="24"/>
          <w:szCs w:val="24"/>
          <w:lang w:val="es-ES" w:eastAsia="es-ES"/>
        </w:rPr>
      </w:pPr>
    </w:p>
    <w:p w:rsidR="00E063E1" w:rsidRDefault="00E063E1" w:rsidP="00E063E1">
      <w:pPr>
        <w:spacing w:after="0" w:line="240" w:lineRule="auto"/>
        <w:contextualSpacing/>
        <w:jc w:val="both"/>
        <w:rPr>
          <w:rFonts w:ascii="Arial" w:eastAsia="Times New Roman" w:hAnsi="Arial" w:cs="Arial"/>
          <w:sz w:val="24"/>
          <w:szCs w:val="24"/>
          <w:lang w:val="es-ES" w:eastAsia="es-ES"/>
        </w:rPr>
      </w:pPr>
      <w:r w:rsidRPr="005F5516">
        <w:rPr>
          <w:rFonts w:ascii="Arial" w:eastAsia="Times New Roman" w:hAnsi="Arial" w:cs="Arial"/>
          <w:sz w:val="24"/>
          <w:szCs w:val="24"/>
          <w:lang w:val="es-ES" w:eastAsia="es-ES"/>
        </w:rPr>
        <w:t>La reactivación de Colima por medio de la acción pú</w:t>
      </w:r>
      <w:r w:rsidR="005F5516" w:rsidRPr="005F5516">
        <w:rPr>
          <w:rFonts w:ascii="Arial" w:eastAsia="Times New Roman" w:hAnsi="Arial" w:cs="Arial"/>
          <w:sz w:val="24"/>
          <w:szCs w:val="24"/>
          <w:lang w:val="es-ES" w:eastAsia="es-ES"/>
        </w:rPr>
        <w:t xml:space="preserve">blica que se fortalecerá en </w:t>
      </w:r>
      <w:r w:rsidR="005F5516" w:rsidRPr="00542187">
        <w:rPr>
          <w:rFonts w:ascii="Arial" w:eastAsia="Times New Roman" w:hAnsi="Arial" w:cs="Arial"/>
          <w:sz w:val="24"/>
          <w:szCs w:val="24"/>
          <w:lang w:val="es-ES" w:eastAsia="es-ES"/>
        </w:rPr>
        <w:t>2018</w:t>
      </w:r>
      <w:r w:rsidRPr="005F5516">
        <w:rPr>
          <w:rFonts w:ascii="Arial" w:eastAsia="Times New Roman" w:hAnsi="Arial" w:cs="Arial"/>
          <w:sz w:val="24"/>
          <w:szCs w:val="24"/>
          <w:lang w:val="es-ES" w:eastAsia="es-ES"/>
        </w:rPr>
        <w:t>,</w:t>
      </w:r>
      <w:r w:rsidR="003A0168">
        <w:rPr>
          <w:rFonts w:ascii="Arial" w:eastAsia="Times New Roman" w:hAnsi="Arial" w:cs="Arial"/>
          <w:sz w:val="24"/>
          <w:szCs w:val="24"/>
          <w:lang w:val="es-ES" w:eastAsia="es-ES"/>
        </w:rPr>
        <w:t xml:space="preserve"> </w:t>
      </w:r>
      <w:r w:rsidRPr="005F5516">
        <w:rPr>
          <w:rFonts w:ascii="Arial" w:eastAsia="Times New Roman" w:hAnsi="Arial" w:cs="Arial"/>
          <w:sz w:val="24"/>
          <w:szCs w:val="24"/>
          <w:lang w:val="es-ES" w:eastAsia="es-ES"/>
        </w:rPr>
        <w:t>está en línea con la visión 2021 del PED cuyo</w:t>
      </w:r>
      <w:r w:rsidR="00137536">
        <w:rPr>
          <w:rFonts w:ascii="Arial" w:eastAsia="Times New Roman" w:hAnsi="Arial" w:cs="Arial"/>
          <w:sz w:val="24"/>
          <w:szCs w:val="24"/>
          <w:lang w:val="es-ES" w:eastAsia="es-ES"/>
        </w:rPr>
        <w:t xml:space="preserve"> propósito se orienta a ser el E</w:t>
      </w:r>
      <w:r w:rsidRPr="005F5516">
        <w:rPr>
          <w:rFonts w:ascii="Arial" w:eastAsia="Times New Roman" w:hAnsi="Arial" w:cs="Arial"/>
          <w:sz w:val="24"/>
          <w:szCs w:val="24"/>
          <w:lang w:val="es-ES" w:eastAsia="es-ES"/>
        </w:rPr>
        <w:t>stado del país que brinde el mayor bienestar a sus habitantes, con base en la competitividad y sustentabilidad de su economía del conocimiento, que ofrezca más empleos y mejor pagados y que funcione en un círculo virtuoso con el desarrollo social, donde sus habitantes viva</w:t>
      </w:r>
      <w:r w:rsidR="003A0168">
        <w:rPr>
          <w:rFonts w:ascii="Arial" w:eastAsia="Times New Roman" w:hAnsi="Arial" w:cs="Arial"/>
          <w:sz w:val="24"/>
          <w:szCs w:val="24"/>
          <w:lang w:val="es-ES" w:eastAsia="es-ES"/>
        </w:rPr>
        <w:t>n seguros y sin pobreza extrema</w:t>
      </w:r>
      <w:r w:rsidRPr="005F5516">
        <w:rPr>
          <w:rFonts w:ascii="Arial" w:eastAsia="Times New Roman" w:hAnsi="Arial" w:cs="Arial"/>
          <w:sz w:val="24"/>
          <w:szCs w:val="24"/>
          <w:lang w:val="es-ES" w:eastAsia="es-ES"/>
        </w:rPr>
        <w:t xml:space="preserve">, dentro de un </w:t>
      </w:r>
      <w:r w:rsidRPr="005F5516">
        <w:rPr>
          <w:rFonts w:ascii="Arial" w:eastAsia="Times New Roman" w:hAnsi="Arial" w:cs="Arial"/>
          <w:sz w:val="24"/>
          <w:szCs w:val="24"/>
          <w:lang w:val="es-ES" w:eastAsia="es-ES"/>
        </w:rPr>
        <w:lastRenderedPageBreak/>
        <w:t xml:space="preserve">entorno igualitario , además de un estado verde y con gobierno abierto, responsable y austero. </w:t>
      </w:r>
    </w:p>
    <w:p w:rsidR="005F5516" w:rsidRDefault="005F5516" w:rsidP="00E063E1">
      <w:pPr>
        <w:spacing w:after="0" w:line="240" w:lineRule="auto"/>
        <w:contextualSpacing/>
        <w:jc w:val="both"/>
        <w:rPr>
          <w:rFonts w:ascii="Arial" w:eastAsia="Times New Roman" w:hAnsi="Arial" w:cs="Arial"/>
          <w:sz w:val="24"/>
          <w:szCs w:val="24"/>
          <w:lang w:val="es-ES" w:eastAsia="es-ES"/>
        </w:rPr>
      </w:pPr>
    </w:p>
    <w:p w:rsidR="005F5516" w:rsidRPr="005F5516" w:rsidRDefault="00542187" w:rsidP="00E063E1">
      <w:pPr>
        <w:spacing w:after="0" w:line="240" w:lineRule="auto"/>
        <w:contextualSpacing/>
        <w:jc w:val="both"/>
        <w:rPr>
          <w:rFonts w:ascii="Arial" w:eastAsia="Times New Roman" w:hAnsi="Arial" w:cs="Arial"/>
          <w:sz w:val="24"/>
          <w:szCs w:val="24"/>
          <w:lang w:val="es-ES" w:eastAsia="es-ES"/>
        </w:rPr>
      </w:pPr>
      <w:r w:rsidRPr="009D04D2">
        <w:rPr>
          <w:rFonts w:ascii="Arial" w:eastAsia="Times New Roman" w:hAnsi="Arial" w:cs="Arial"/>
          <w:sz w:val="24"/>
          <w:szCs w:val="24"/>
          <w:lang w:val="es-ES" w:eastAsia="es-ES"/>
        </w:rPr>
        <w:t>En ese tenor</w:t>
      </w:r>
      <w:r w:rsidR="005F5516" w:rsidRPr="009D04D2">
        <w:rPr>
          <w:rFonts w:ascii="Arial" w:eastAsia="Times New Roman" w:hAnsi="Arial" w:cs="Arial"/>
          <w:sz w:val="24"/>
          <w:szCs w:val="24"/>
          <w:lang w:val="es-ES" w:eastAsia="es-ES"/>
        </w:rPr>
        <w:t>, la programación</w:t>
      </w:r>
      <w:r w:rsidR="00F34F08" w:rsidRPr="009D04D2">
        <w:rPr>
          <w:rFonts w:ascii="Arial" w:eastAsia="Times New Roman" w:hAnsi="Arial" w:cs="Arial"/>
          <w:sz w:val="24"/>
          <w:szCs w:val="24"/>
          <w:lang w:val="es-ES" w:eastAsia="es-ES"/>
        </w:rPr>
        <w:t>-</w:t>
      </w:r>
      <w:r w:rsidR="00D60C52" w:rsidRPr="009D04D2">
        <w:rPr>
          <w:rFonts w:ascii="Arial" w:eastAsia="Times New Roman" w:hAnsi="Arial" w:cs="Arial"/>
          <w:sz w:val="24"/>
          <w:szCs w:val="24"/>
          <w:lang w:val="es-ES" w:eastAsia="es-ES"/>
        </w:rPr>
        <w:t>p</w:t>
      </w:r>
      <w:r w:rsidR="005F5516" w:rsidRPr="009D04D2">
        <w:rPr>
          <w:rFonts w:ascii="Arial" w:eastAsia="Times New Roman" w:hAnsi="Arial" w:cs="Arial"/>
          <w:sz w:val="24"/>
          <w:szCs w:val="24"/>
          <w:lang w:val="es-ES" w:eastAsia="es-ES"/>
        </w:rPr>
        <w:t>resupuestación</w:t>
      </w:r>
      <w:r w:rsidR="00D60C52" w:rsidRPr="009D04D2">
        <w:rPr>
          <w:rFonts w:ascii="Arial" w:eastAsia="Times New Roman" w:hAnsi="Arial" w:cs="Arial"/>
          <w:sz w:val="24"/>
          <w:szCs w:val="24"/>
          <w:lang w:val="es-ES" w:eastAsia="es-ES"/>
        </w:rPr>
        <w:t xml:space="preserve"> 2018, se realizó en estrecha congruencia </w:t>
      </w:r>
      <w:r w:rsidR="002E3121" w:rsidRPr="009D04D2">
        <w:rPr>
          <w:rFonts w:ascii="Arial" w:eastAsia="Times New Roman" w:hAnsi="Arial" w:cs="Arial"/>
          <w:sz w:val="24"/>
          <w:szCs w:val="24"/>
          <w:lang w:val="es-ES" w:eastAsia="es-ES"/>
        </w:rPr>
        <w:t xml:space="preserve">con los objetivos y metas de los </w:t>
      </w:r>
      <w:r w:rsidR="00F34F08" w:rsidRPr="009D04D2">
        <w:rPr>
          <w:rFonts w:ascii="Arial" w:eastAsia="Times New Roman" w:hAnsi="Arial" w:cs="Arial"/>
          <w:sz w:val="24"/>
          <w:szCs w:val="24"/>
          <w:lang w:val="es-ES" w:eastAsia="es-ES"/>
        </w:rPr>
        <w:t>Programas Sectoriales</w:t>
      </w:r>
      <w:r w:rsidR="002E3121" w:rsidRPr="009D04D2">
        <w:rPr>
          <w:rFonts w:ascii="Arial" w:eastAsia="Times New Roman" w:hAnsi="Arial" w:cs="Arial"/>
          <w:sz w:val="24"/>
          <w:szCs w:val="24"/>
          <w:lang w:val="es-ES" w:eastAsia="es-ES"/>
        </w:rPr>
        <w:t xml:space="preserve">, </w:t>
      </w:r>
      <w:r w:rsidR="00F34F08" w:rsidRPr="009D04D2">
        <w:rPr>
          <w:rFonts w:ascii="Arial" w:eastAsia="Times New Roman" w:hAnsi="Arial" w:cs="Arial"/>
          <w:sz w:val="24"/>
          <w:szCs w:val="24"/>
          <w:lang w:val="es-ES" w:eastAsia="es-ES"/>
        </w:rPr>
        <w:t>Especiales</w:t>
      </w:r>
      <w:r w:rsidR="002E3121" w:rsidRPr="009D04D2">
        <w:rPr>
          <w:rFonts w:ascii="Arial" w:eastAsia="Times New Roman" w:hAnsi="Arial" w:cs="Arial"/>
          <w:sz w:val="24"/>
          <w:szCs w:val="24"/>
          <w:lang w:val="es-ES" w:eastAsia="es-ES"/>
        </w:rPr>
        <w:t xml:space="preserve">, </w:t>
      </w:r>
      <w:r w:rsidR="00F34F08" w:rsidRPr="009D04D2">
        <w:rPr>
          <w:rFonts w:ascii="Arial" w:eastAsia="Times New Roman" w:hAnsi="Arial" w:cs="Arial"/>
          <w:sz w:val="24"/>
          <w:szCs w:val="24"/>
          <w:lang w:val="es-ES" w:eastAsia="es-ES"/>
        </w:rPr>
        <w:t xml:space="preserve">Regionales </w:t>
      </w:r>
      <w:r w:rsidR="002E3121" w:rsidRPr="00CB4083">
        <w:rPr>
          <w:rFonts w:ascii="Arial" w:eastAsia="Times New Roman" w:hAnsi="Arial" w:cs="Arial"/>
          <w:sz w:val="24"/>
          <w:szCs w:val="24"/>
          <w:lang w:val="es-ES" w:eastAsia="es-ES"/>
        </w:rPr>
        <w:t xml:space="preserve">e </w:t>
      </w:r>
      <w:r w:rsidR="00F34F08" w:rsidRPr="00CB4083">
        <w:rPr>
          <w:rFonts w:ascii="Arial" w:eastAsia="Times New Roman" w:hAnsi="Arial" w:cs="Arial"/>
          <w:sz w:val="24"/>
          <w:szCs w:val="24"/>
          <w:lang w:val="es-ES" w:eastAsia="es-ES"/>
        </w:rPr>
        <w:t xml:space="preserve">Institucionales </w:t>
      </w:r>
      <w:r w:rsidR="002E3121" w:rsidRPr="009D04D2">
        <w:rPr>
          <w:rFonts w:ascii="Arial" w:eastAsia="Times New Roman" w:hAnsi="Arial" w:cs="Arial"/>
          <w:sz w:val="24"/>
          <w:szCs w:val="24"/>
          <w:lang w:val="es-ES" w:eastAsia="es-ES"/>
        </w:rPr>
        <w:t xml:space="preserve">que formularon las </w:t>
      </w:r>
      <w:r w:rsidR="00F34F08" w:rsidRPr="009D04D2">
        <w:rPr>
          <w:rFonts w:ascii="Arial" w:eastAsia="Times New Roman" w:hAnsi="Arial" w:cs="Arial"/>
          <w:sz w:val="24"/>
          <w:szCs w:val="24"/>
          <w:lang w:val="es-ES" w:eastAsia="es-ES"/>
        </w:rPr>
        <w:t xml:space="preserve">Dependencias </w:t>
      </w:r>
      <w:r w:rsidR="002E3121" w:rsidRPr="009D04D2">
        <w:rPr>
          <w:rFonts w:ascii="Arial" w:eastAsia="Times New Roman" w:hAnsi="Arial" w:cs="Arial"/>
          <w:sz w:val="24"/>
          <w:szCs w:val="24"/>
          <w:lang w:val="es-ES" w:eastAsia="es-ES"/>
        </w:rPr>
        <w:t xml:space="preserve">y </w:t>
      </w:r>
      <w:r w:rsidR="009D04D2" w:rsidRPr="009D04D2">
        <w:rPr>
          <w:rFonts w:ascii="Arial" w:eastAsia="Times New Roman" w:hAnsi="Arial" w:cs="Arial"/>
          <w:sz w:val="24"/>
          <w:szCs w:val="24"/>
          <w:lang w:val="es-ES" w:eastAsia="es-ES"/>
        </w:rPr>
        <w:t>Entidades,</w:t>
      </w:r>
      <w:r w:rsidR="002E3121" w:rsidRPr="009D04D2">
        <w:rPr>
          <w:rFonts w:ascii="Arial" w:eastAsia="Times New Roman" w:hAnsi="Arial" w:cs="Arial"/>
          <w:sz w:val="24"/>
          <w:szCs w:val="24"/>
          <w:lang w:val="es-ES" w:eastAsia="es-ES"/>
        </w:rPr>
        <w:t xml:space="preserve"> como mecanismos </w:t>
      </w:r>
      <w:r w:rsidR="00F34F08" w:rsidRPr="009D04D2">
        <w:rPr>
          <w:rFonts w:ascii="Arial" w:eastAsia="Times New Roman" w:hAnsi="Arial" w:cs="Arial"/>
          <w:sz w:val="24"/>
          <w:szCs w:val="24"/>
          <w:lang w:val="es-ES" w:eastAsia="es-ES"/>
        </w:rPr>
        <w:t>para ejecutar las acciones prioritarias que demandan los colimenses para alcanzar mej</w:t>
      </w:r>
      <w:r w:rsidR="009D04D2">
        <w:rPr>
          <w:rFonts w:ascii="Arial" w:eastAsia="Times New Roman" w:hAnsi="Arial" w:cs="Arial"/>
          <w:sz w:val="24"/>
          <w:szCs w:val="24"/>
          <w:lang w:val="es-ES" w:eastAsia="es-ES"/>
        </w:rPr>
        <w:t>ores estadi</w:t>
      </w:r>
      <w:r w:rsidR="00F34F08" w:rsidRPr="009D04D2">
        <w:rPr>
          <w:rFonts w:ascii="Arial" w:eastAsia="Times New Roman" w:hAnsi="Arial" w:cs="Arial"/>
          <w:sz w:val="24"/>
          <w:szCs w:val="24"/>
          <w:lang w:val="es-ES" w:eastAsia="es-ES"/>
        </w:rPr>
        <w:t>os de desarrollo.</w:t>
      </w:r>
    </w:p>
    <w:p w:rsidR="00E063E1" w:rsidRPr="00BE4FC0" w:rsidRDefault="00E063E1" w:rsidP="00E063E1">
      <w:pPr>
        <w:spacing w:after="0" w:line="240" w:lineRule="auto"/>
        <w:jc w:val="both"/>
        <w:rPr>
          <w:rFonts w:ascii="Arial" w:hAnsi="Arial" w:cs="Arial"/>
          <w:sz w:val="24"/>
          <w:highlight w:val="yellow"/>
          <w:lang w:val="es-ES"/>
        </w:rPr>
      </w:pPr>
    </w:p>
    <w:p w:rsidR="00E063E1" w:rsidRPr="009D04D2" w:rsidRDefault="00B52861" w:rsidP="00E063E1">
      <w:pPr>
        <w:spacing w:after="0" w:line="240" w:lineRule="auto"/>
        <w:jc w:val="both"/>
        <w:rPr>
          <w:rFonts w:ascii="Arial" w:eastAsia="Times New Roman" w:hAnsi="Arial" w:cs="Arial"/>
          <w:sz w:val="24"/>
          <w:szCs w:val="24"/>
          <w:lang w:val="es-ES" w:eastAsia="es-ES"/>
        </w:rPr>
      </w:pPr>
      <w:r w:rsidRPr="009D04D2">
        <w:rPr>
          <w:rFonts w:ascii="Arial" w:eastAsia="Times New Roman" w:hAnsi="Arial" w:cs="Arial"/>
          <w:sz w:val="24"/>
          <w:szCs w:val="24"/>
          <w:lang w:val="es-ES" w:eastAsia="es-ES"/>
        </w:rPr>
        <w:t>En función de ello, el P</w:t>
      </w:r>
      <w:r w:rsidR="00E063E1" w:rsidRPr="009D04D2">
        <w:rPr>
          <w:rFonts w:ascii="Arial" w:eastAsia="Times New Roman" w:hAnsi="Arial" w:cs="Arial"/>
          <w:sz w:val="24"/>
          <w:szCs w:val="24"/>
          <w:lang w:val="es-ES" w:eastAsia="es-ES"/>
        </w:rPr>
        <w:t xml:space="preserve">resupuesto de </w:t>
      </w:r>
      <w:r w:rsidRPr="009D04D2">
        <w:rPr>
          <w:rFonts w:ascii="Arial" w:eastAsia="Times New Roman" w:hAnsi="Arial" w:cs="Arial"/>
          <w:sz w:val="24"/>
          <w:szCs w:val="24"/>
          <w:lang w:val="es-ES" w:eastAsia="es-ES"/>
        </w:rPr>
        <w:t>E</w:t>
      </w:r>
      <w:r w:rsidR="00E063E1" w:rsidRPr="009D04D2">
        <w:rPr>
          <w:rFonts w:ascii="Arial" w:eastAsia="Times New Roman" w:hAnsi="Arial" w:cs="Arial"/>
          <w:sz w:val="24"/>
          <w:szCs w:val="24"/>
          <w:lang w:val="es-ES" w:eastAsia="es-ES"/>
        </w:rPr>
        <w:t xml:space="preserve">gresos que se somete a la consideración de ese Honorable Congreso del Estado, se alinea con el Eje Transversal del PED denominado, </w:t>
      </w:r>
      <w:r w:rsidR="00E063E1" w:rsidRPr="009D04D2">
        <w:rPr>
          <w:rFonts w:ascii="Arial" w:eastAsia="Times New Roman" w:hAnsi="Arial" w:cs="Arial"/>
          <w:i/>
          <w:sz w:val="24"/>
          <w:szCs w:val="24"/>
          <w:lang w:val="es-ES" w:eastAsia="es-ES"/>
        </w:rPr>
        <w:t>Colima con un Gobierno Moderno, Efectivo y Transparente</w:t>
      </w:r>
      <w:r w:rsidR="00E063E1" w:rsidRPr="009D04D2">
        <w:rPr>
          <w:rFonts w:ascii="Arial" w:eastAsia="Times New Roman" w:hAnsi="Arial" w:cs="Arial"/>
          <w:sz w:val="24"/>
          <w:szCs w:val="24"/>
          <w:lang w:val="es-ES" w:eastAsia="es-ES"/>
        </w:rPr>
        <w:t>, mismo que en su visión 2021, se orienta</w:t>
      </w:r>
      <w:r w:rsidR="009D04D2" w:rsidRPr="009D04D2">
        <w:rPr>
          <w:rFonts w:ascii="Arial" w:eastAsia="Times New Roman" w:hAnsi="Arial" w:cs="Arial"/>
          <w:sz w:val="24"/>
          <w:szCs w:val="24"/>
          <w:lang w:val="es-ES" w:eastAsia="es-ES"/>
        </w:rPr>
        <w:t>,</w:t>
      </w:r>
      <w:r w:rsidR="00E063E1" w:rsidRPr="009D04D2">
        <w:rPr>
          <w:rFonts w:ascii="Arial" w:eastAsia="Times New Roman" w:hAnsi="Arial" w:cs="Arial"/>
          <w:sz w:val="24"/>
          <w:szCs w:val="24"/>
          <w:lang w:val="es-ES" w:eastAsia="es-ES"/>
        </w:rPr>
        <w:t xml:space="preserve"> entre otros aspectos</w:t>
      </w:r>
      <w:r w:rsidR="009D04D2" w:rsidRPr="009D04D2">
        <w:rPr>
          <w:rFonts w:ascii="Arial" w:eastAsia="Times New Roman" w:hAnsi="Arial" w:cs="Arial"/>
          <w:sz w:val="24"/>
          <w:szCs w:val="24"/>
          <w:lang w:val="es-ES" w:eastAsia="es-ES"/>
        </w:rPr>
        <w:t>,</w:t>
      </w:r>
      <w:r w:rsidR="00E063E1" w:rsidRPr="009D04D2">
        <w:rPr>
          <w:rFonts w:ascii="Arial" w:eastAsia="Times New Roman" w:hAnsi="Arial" w:cs="Arial"/>
          <w:sz w:val="24"/>
          <w:szCs w:val="24"/>
          <w:lang w:val="es-ES" w:eastAsia="es-ES"/>
        </w:rPr>
        <w:t xml:space="preserve"> al fortalecimiento de las finanzas públicas que incentiven el pleno desarrollo de los sectores productivos, un Presupuesto basado en Resultados (PbR) y un sistema moderno e integral de implementación, monitoreo y evaluación de programas sociales.</w:t>
      </w:r>
    </w:p>
    <w:p w:rsidR="00E063E1" w:rsidRPr="00F8671B" w:rsidRDefault="00E063E1" w:rsidP="00E063E1">
      <w:pPr>
        <w:spacing w:after="0" w:line="240" w:lineRule="auto"/>
        <w:jc w:val="both"/>
        <w:rPr>
          <w:rFonts w:ascii="Arial" w:eastAsia="Times New Roman" w:hAnsi="Arial" w:cs="Arial"/>
          <w:sz w:val="24"/>
          <w:szCs w:val="24"/>
          <w:highlight w:val="yellow"/>
          <w:lang w:val="es-ES" w:eastAsia="es-ES"/>
        </w:rPr>
      </w:pPr>
    </w:p>
    <w:p w:rsidR="00E063E1" w:rsidRPr="009D04D2" w:rsidRDefault="00E063E1" w:rsidP="00E063E1">
      <w:pPr>
        <w:spacing w:after="0" w:line="240" w:lineRule="auto"/>
        <w:jc w:val="both"/>
        <w:rPr>
          <w:rFonts w:ascii="Arial" w:eastAsia="Times New Roman" w:hAnsi="Arial" w:cs="Arial"/>
          <w:sz w:val="24"/>
          <w:szCs w:val="24"/>
          <w:lang w:val="es-ES" w:eastAsia="es-ES"/>
        </w:rPr>
      </w:pPr>
      <w:r w:rsidRPr="009D04D2">
        <w:rPr>
          <w:rFonts w:ascii="Arial" w:eastAsia="Times New Roman" w:hAnsi="Arial" w:cs="Arial"/>
          <w:sz w:val="24"/>
          <w:szCs w:val="24"/>
          <w:lang w:val="es-ES" w:eastAsia="es-ES"/>
        </w:rPr>
        <w:t>La propuesta que se somete a la consideración de esa Soberanía, se formuló con un</w:t>
      </w:r>
      <w:r w:rsidR="00B52861" w:rsidRPr="009D04D2">
        <w:rPr>
          <w:rFonts w:ascii="Arial" w:eastAsia="Times New Roman" w:hAnsi="Arial" w:cs="Arial"/>
          <w:sz w:val="24"/>
          <w:szCs w:val="24"/>
          <w:lang w:val="es-ES" w:eastAsia="es-ES"/>
        </w:rPr>
        <w:t>a visión responsable y objetiva,</w:t>
      </w:r>
      <w:r w:rsidRPr="009D04D2">
        <w:rPr>
          <w:rFonts w:ascii="Arial" w:eastAsia="Times New Roman" w:hAnsi="Arial" w:cs="Arial"/>
          <w:sz w:val="24"/>
          <w:szCs w:val="24"/>
          <w:lang w:val="es-ES" w:eastAsia="es-ES"/>
        </w:rPr>
        <w:t xml:space="preserve"> privilegiando la asignación del presupuesto a la prevención del delito, seguridad pública, salud y bienestar social, educación, desarrollo económico, apoyo a los jóvenes, superación de la pobreza de grupos vulnerables, apoyo al campo y al impulso de la infraestructura social y productiva, para mejorar los niveles de bienestar y propiciar la generación de empleos de calidad.</w:t>
      </w:r>
    </w:p>
    <w:p w:rsidR="00F34F08" w:rsidRPr="00F34F08" w:rsidRDefault="00F34F08" w:rsidP="00E063E1">
      <w:pPr>
        <w:spacing w:after="0" w:line="240" w:lineRule="auto"/>
        <w:jc w:val="both"/>
        <w:rPr>
          <w:rFonts w:ascii="Arial" w:eastAsia="Calibri" w:hAnsi="Arial" w:cs="Arial"/>
          <w:sz w:val="24"/>
          <w:szCs w:val="24"/>
          <w:highlight w:val="green"/>
          <w:lang w:val="es-ES"/>
        </w:rPr>
      </w:pPr>
    </w:p>
    <w:p w:rsidR="00E063E1" w:rsidRPr="009D04D2" w:rsidRDefault="00E063E1" w:rsidP="00E063E1">
      <w:pPr>
        <w:spacing w:after="0" w:line="240" w:lineRule="auto"/>
        <w:jc w:val="both"/>
        <w:rPr>
          <w:rFonts w:ascii="Arial" w:eastAsia="Calibri" w:hAnsi="Arial" w:cs="Arial"/>
          <w:sz w:val="24"/>
          <w:szCs w:val="24"/>
          <w:lang w:val="es-ES"/>
        </w:rPr>
      </w:pPr>
      <w:r w:rsidRPr="009D04D2">
        <w:rPr>
          <w:rFonts w:ascii="Arial" w:eastAsia="Times New Roman" w:hAnsi="Arial" w:cs="Arial"/>
          <w:sz w:val="24"/>
          <w:szCs w:val="24"/>
          <w:lang w:val="es-ES" w:eastAsia="es-ES"/>
        </w:rPr>
        <w:t>En congruencia a lo previsto en el artículo 73,</w:t>
      </w:r>
      <w:r w:rsidR="009D04D2" w:rsidRPr="009D04D2">
        <w:rPr>
          <w:rFonts w:ascii="Arial" w:eastAsia="Times New Roman" w:hAnsi="Arial" w:cs="Arial"/>
          <w:sz w:val="24"/>
          <w:szCs w:val="24"/>
          <w:lang w:val="es-ES" w:eastAsia="es-ES"/>
        </w:rPr>
        <w:t xml:space="preserve"> </w:t>
      </w:r>
      <w:r w:rsidR="00137536">
        <w:rPr>
          <w:rFonts w:ascii="Arial" w:eastAsia="Times New Roman" w:hAnsi="Arial" w:cs="Arial"/>
          <w:sz w:val="24"/>
          <w:szCs w:val="24"/>
          <w:lang w:val="es-ES" w:eastAsia="es-ES"/>
        </w:rPr>
        <w:t>fracción XXVIII</w:t>
      </w:r>
      <w:r w:rsidRPr="009D04D2">
        <w:rPr>
          <w:rFonts w:ascii="Arial" w:eastAsia="Times New Roman" w:hAnsi="Arial" w:cs="Arial"/>
          <w:sz w:val="24"/>
          <w:szCs w:val="24"/>
          <w:lang w:val="es-ES" w:eastAsia="es-ES"/>
        </w:rPr>
        <w:t>, de la Constitución Política de los Estados Unidos Mexicanos</w:t>
      </w:r>
      <w:r w:rsidR="00137536">
        <w:rPr>
          <w:rFonts w:ascii="Arial" w:eastAsia="Times New Roman" w:hAnsi="Arial" w:cs="Arial"/>
          <w:sz w:val="24"/>
          <w:szCs w:val="24"/>
          <w:lang w:val="es-ES" w:eastAsia="es-ES"/>
        </w:rPr>
        <w:t xml:space="preserve">, así como en  los Artículos 6 </w:t>
      </w:r>
      <w:r w:rsidRPr="009D04D2">
        <w:rPr>
          <w:rFonts w:ascii="Arial" w:eastAsia="Times New Roman" w:hAnsi="Arial" w:cs="Arial"/>
          <w:sz w:val="24"/>
          <w:szCs w:val="24"/>
          <w:lang w:val="es-ES" w:eastAsia="es-ES"/>
        </w:rPr>
        <w:t xml:space="preserve">y 7 de la Ley General de Contabilidad Gubernamental, que señalan la obligatoriedad de que los entes públicos adopten e implementen, en el ámbito de sus respectivas competencias, las decisiones que tome el Consejo Nacional de Armonización Contable (CONAC), órgano de coordinación en la materia, emisor de normas y lineamientos para la generación de información financiera. En ese tenor, el Gobierno del </w:t>
      </w:r>
      <w:r w:rsidR="00245EB5">
        <w:rPr>
          <w:rFonts w:ascii="Arial" w:eastAsia="Times New Roman" w:hAnsi="Arial" w:cs="Arial"/>
          <w:sz w:val="24"/>
          <w:szCs w:val="24"/>
          <w:lang w:val="es-ES" w:eastAsia="es-ES"/>
        </w:rPr>
        <w:t>Estado de Colima</w:t>
      </w:r>
      <w:r w:rsidRPr="009D04D2">
        <w:rPr>
          <w:rFonts w:ascii="Arial" w:eastAsia="Times New Roman" w:hAnsi="Arial" w:cs="Arial"/>
          <w:sz w:val="24"/>
          <w:szCs w:val="24"/>
          <w:lang w:val="es-ES" w:eastAsia="es-ES"/>
        </w:rPr>
        <w:t>, continuará impulsando las acciones necesarias para ir modificando y adaptando su sistema presupuestario, acorde con los clasificadores y lineamientos que emite dicho Consejo.</w:t>
      </w:r>
    </w:p>
    <w:p w:rsidR="00F34F08" w:rsidRDefault="00F34F08" w:rsidP="00E063E1">
      <w:pPr>
        <w:autoSpaceDE w:val="0"/>
        <w:autoSpaceDN w:val="0"/>
        <w:adjustRightInd w:val="0"/>
        <w:spacing w:after="0" w:line="240" w:lineRule="auto"/>
        <w:jc w:val="both"/>
        <w:rPr>
          <w:rFonts w:ascii="Arial" w:eastAsia="Times New Roman" w:hAnsi="Arial" w:cs="Arial"/>
          <w:sz w:val="24"/>
          <w:szCs w:val="24"/>
          <w:highlight w:val="yellow"/>
          <w:lang w:val="es-ES" w:eastAsia="es-ES"/>
        </w:rPr>
      </w:pPr>
    </w:p>
    <w:p w:rsidR="00E063E1" w:rsidRPr="000A7393" w:rsidRDefault="00F34F08" w:rsidP="00E063E1">
      <w:pPr>
        <w:autoSpaceDE w:val="0"/>
        <w:autoSpaceDN w:val="0"/>
        <w:adjustRightInd w:val="0"/>
        <w:spacing w:after="0" w:line="240" w:lineRule="auto"/>
        <w:jc w:val="both"/>
        <w:rPr>
          <w:rFonts w:ascii="Arial" w:eastAsia="Times New Roman" w:hAnsi="Arial" w:cs="Arial"/>
          <w:sz w:val="24"/>
          <w:szCs w:val="24"/>
          <w:lang w:val="es-ES" w:eastAsia="es-ES"/>
        </w:rPr>
      </w:pPr>
      <w:r w:rsidRPr="000C183E">
        <w:rPr>
          <w:rFonts w:ascii="Arial" w:eastAsia="Times New Roman" w:hAnsi="Arial" w:cs="Arial"/>
          <w:sz w:val="24"/>
          <w:szCs w:val="24"/>
          <w:lang w:val="es-ES" w:eastAsia="es-ES"/>
        </w:rPr>
        <w:t xml:space="preserve">En el presente proyecto, </w:t>
      </w:r>
      <w:r w:rsidR="000A7393" w:rsidRPr="000C183E">
        <w:rPr>
          <w:rFonts w:ascii="Arial" w:eastAsia="Times New Roman" w:hAnsi="Arial" w:cs="Arial"/>
          <w:sz w:val="24"/>
          <w:szCs w:val="24"/>
          <w:lang w:val="es-ES" w:eastAsia="es-ES"/>
        </w:rPr>
        <w:t xml:space="preserve">retomamos los postulados establecidos en la Ley de Disciplina Financiera de </w:t>
      </w:r>
      <w:r w:rsidR="00BA4468" w:rsidRPr="000C183E">
        <w:rPr>
          <w:rFonts w:ascii="Arial" w:eastAsia="Times New Roman" w:hAnsi="Arial" w:cs="Arial"/>
          <w:sz w:val="24"/>
          <w:szCs w:val="24"/>
          <w:lang w:val="es-ES" w:eastAsia="es-ES"/>
        </w:rPr>
        <w:t>las Entidades</w:t>
      </w:r>
      <w:r w:rsidR="000A7393" w:rsidRPr="000C183E">
        <w:rPr>
          <w:rFonts w:ascii="Arial" w:eastAsia="Times New Roman" w:hAnsi="Arial" w:cs="Arial"/>
          <w:sz w:val="24"/>
          <w:szCs w:val="24"/>
          <w:lang w:val="es-ES" w:eastAsia="es-ES"/>
        </w:rPr>
        <w:t xml:space="preserve"> Federativas y los Municipios, así como los que prevé la Ley de Presupuesto y Responsabilidad Hacendaria </w:t>
      </w:r>
      <w:r w:rsidR="009D04D2" w:rsidRPr="000C183E">
        <w:rPr>
          <w:rFonts w:ascii="Arial" w:eastAsia="Times New Roman" w:hAnsi="Arial" w:cs="Arial"/>
          <w:sz w:val="24"/>
          <w:szCs w:val="24"/>
          <w:lang w:val="es-ES" w:eastAsia="es-ES"/>
        </w:rPr>
        <w:t xml:space="preserve">que </w:t>
      </w:r>
      <w:r w:rsidR="000A7393" w:rsidRPr="000C183E">
        <w:rPr>
          <w:rFonts w:ascii="Arial" w:eastAsia="Times New Roman" w:hAnsi="Arial" w:cs="Arial"/>
          <w:sz w:val="24"/>
          <w:szCs w:val="24"/>
          <w:lang w:val="es-ES" w:eastAsia="es-ES"/>
        </w:rPr>
        <w:t xml:space="preserve">armonizada </w:t>
      </w:r>
      <w:r w:rsidR="000A7393" w:rsidRPr="000C183E">
        <w:rPr>
          <w:rFonts w:ascii="Arial" w:eastAsia="Times New Roman" w:hAnsi="Arial" w:cs="Arial"/>
          <w:sz w:val="24"/>
          <w:szCs w:val="24"/>
          <w:lang w:val="es-ES" w:eastAsia="es-ES"/>
        </w:rPr>
        <w:lastRenderedPageBreak/>
        <w:t>con la anterior</w:t>
      </w:r>
      <w:r w:rsidR="009D04D2" w:rsidRPr="000C183E">
        <w:rPr>
          <w:rFonts w:ascii="Arial" w:eastAsia="Times New Roman" w:hAnsi="Arial" w:cs="Arial"/>
          <w:sz w:val="24"/>
          <w:szCs w:val="24"/>
          <w:lang w:val="es-ES" w:eastAsia="es-ES"/>
        </w:rPr>
        <w:t xml:space="preserve">, </w:t>
      </w:r>
      <w:r w:rsidR="000A7393" w:rsidRPr="000C183E">
        <w:rPr>
          <w:rFonts w:ascii="Arial" w:eastAsia="Times New Roman" w:hAnsi="Arial" w:cs="Arial"/>
          <w:sz w:val="24"/>
          <w:szCs w:val="24"/>
          <w:lang w:val="es-ES" w:eastAsia="es-ES"/>
        </w:rPr>
        <w:t>aprobó el H. Congr</w:t>
      </w:r>
      <w:r w:rsidR="009D04D2" w:rsidRPr="000C183E">
        <w:rPr>
          <w:rFonts w:ascii="Arial" w:eastAsia="Times New Roman" w:hAnsi="Arial" w:cs="Arial"/>
          <w:sz w:val="24"/>
          <w:szCs w:val="24"/>
          <w:lang w:val="es-ES" w:eastAsia="es-ES"/>
        </w:rPr>
        <w:t xml:space="preserve">eso del Estado en enero de 2017 y fue publicada en el Periódico Oficial “El </w:t>
      </w:r>
      <w:r w:rsidR="00245EB5">
        <w:rPr>
          <w:rFonts w:ascii="Arial" w:eastAsia="Times New Roman" w:hAnsi="Arial" w:cs="Arial"/>
          <w:sz w:val="24"/>
          <w:szCs w:val="24"/>
          <w:lang w:val="es-ES" w:eastAsia="es-ES"/>
        </w:rPr>
        <w:t>Estado de Colima</w:t>
      </w:r>
      <w:r w:rsidR="009D04D2" w:rsidRPr="000C183E">
        <w:rPr>
          <w:rFonts w:ascii="Arial" w:eastAsia="Times New Roman" w:hAnsi="Arial" w:cs="Arial"/>
          <w:sz w:val="24"/>
          <w:szCs w:val="24"/>
          <w:lang w:val="es-ES" w:eastAsia="es-ES"/>
        </w:rPr>
        <w:t>”, el 28 de enero del 2017</w:t>
      </w:r>
      <w:r w:rsidR="000C183E" w:rsidRPr="000C183E">
        <w:rPr>
          <w:rFonts w:ascii="Arial" w:eastAsia="Times New Roman" w:hAnsi="Arial" w:cs="Arial"/>
          <w:sz w:val="24"/>
          <w:szCs w:val="24"/>
          <w:lang w:val="es-ES" w:eastAsia="es-ES"/>
        </w:rPr>
        <w:t>.</w:t>
      </w:r>
    </w:p>
    <w:p w:rsidR="00753788" w:rsidRPr="00F34F08" w:rsidRDefault="00753788" w:rsidP="00E063E1">
      <w:pPr>
        <w:autoSpaceDE w:val="0"/>
        <w:autoSpaceDN w:val="0"/>
        <w:adjustRightInd w:val="0"/>
        <w:spacing w:after="0" w:line="240" w:lineRule="auto"/>
        <w:jc w:val="both"/>
        <w:rPr>
          <w:rFonts w:ascii="Arial" w:eastAsia="Times New Roman" w:hAnsi="Arial" w:cs="Arial"/>
          <w:sz w:val="24"/>
          <w:szCs w:val="24"/>
          <w:lang w:val="es-ES" w:eastAsia="es-ES"/>
        </w:rPr>
      </w:pPr>
    </w:p>
    <w:p w:rsidR="00E063E1" w:rsidRPr="000C183E" w:rsidRDefault="00E063E1" w:rsidP="00E063E1">
      <w:pPr>
        <w:autoSpaceDE w:val="0"/>
        <w:autoSpaceDN w:val="0"/>
        <w:adjustRightInd w:val="0"/>
        <w:spacing w:after="0" w:line="240" w:lineRule="auto"/>
        <w:jc w:val="both"/>
        <w:rPr>
          <w:rFonts w:ascii="Arial" w:eastAsia="Times New Roman" w:hAnsi="Arial" w:cs="Arial"/>
          <w:i/>
          <w:sz w:val="24"/>
          <w:szCs w:val="24"/>
          <w:lang w:val="es-ES" w:eastAsia="es-ES"/>
        </w:rPr>
      </w:pPr>
      <w:r w:rsidRPr="000C183E">
        <w:rPr>
          <w:rFonts w:ascii="Arial" w:eastAsia="Times New Roman" w:hAnsi="Arial" w:cs="Arial"/>
          <w:sz w:val="24"/>
          <w:szCs w:val="24"/>
          <w:lang w:val="es-ES" w:eastAsia="es-ES"/>
        </w:rPr>
        <w:t>De igual forma, la presente iniciativa que se somete a consideración de</w:t>
      </w:r>
      <w:r w:rsidR="00B52861" w:rsidRPr="000C183E">
        <w:rPr>
          <w:rFonts w:ascii="Arial" w:eastAsia="Times New Roman" w:hAnsi="Arial" w:cs="Arial"/>
          <w:sz w:val="24"/>
          <w:szCs w:val="24"/>
          <w:lang w:val="es-ES" w:eastAsia="es-ES"/>
        </w:rPr>
        <w:t>l</w:t>
      </w:r>
      <w:r w:rsidRPr="000C183E">
        <w:rPr>
          <w:rFonts w:ascii="Arial" w:eastAsia="Times New Roman" w:hAnsi="Arial" w:cs="Arial"/>
          <w:sz w:val="24"/>
          <w:szCs w:val="24"/>
          <w:lang w:val="es-ES" w:eastAsia="es-ES"/>
        </w:rPr>
        <w:t xml:space="preserve"> Honorable Congreso</w:t>
      </w:r>
      <w:r w:rsidR="00B52861" w:rsidRPr="000C183E">
        <w:rPr>
          <w:rFonts w:ascii="Arial" w:eastAsia="Times New Roman" w:hAnsi="Arial" w:cs="Arial"/>
          <w:sz w:val="24"/>
          <w:szCs w:val="24"/>
          <w:lang w:val="es-ES" w:eastAsia="es-ES"/>
        </w:rPr>
        <w:t xml:space="preserve"> del Estado</w:t>
      </w:r>
      <w:r w:rsidRPr="000C183E">
        <w:rPr>
          <w:rFonts w:ascii="Arial" w:eastAsia="Times New Roman" w:hAnsi="Arial" w:cs="Arial"/>
          <w:sz w:val="24"/>
          <w:szCs w:val="24"/>
          <w:lang w:val="es-ES" w:eastAsia="es-ES"/>
        </w:rPr>
        <w:t xml:space="preserve">, es congruente con lo previsto en el Artículo 107 de la Constitución Política del Estado Libre y Soberano de Colima, en el cual se establece que: </w:t>
      </w:r>
      <w:r w:rsidRPr="000C183E">
        <w:rPr>
          <w:rFonts w:ascii="Arial" w:eastAsia="Times New Roman" w:hAnsi="Arial" w:cs="Arial"/>
          <w:i/>
          <w:sz w:val="24"/>
          <w:szCs w:val="24"/>
          <w:lang w:val="es-ES" w:eastAsia="es-ES"/>
        </w:rPr>
        <w:t>“La Hacienda Pública tiene por objeto atender los gastos del Estado. Los recursos y fondos públicos que administren, custodien o ejerzan los poderes del Estado, los ayuntamientos, órganos estatales autónomos previstos por esta Constitución, organismos públicos descentralizados contemplados en las leyes, empresas de participación pública, fideicomisos públicos, estatales o municipales, así como a cargo de cualquier persona física o moral, pública o privada, se manejarán con eficiencia, eficacia, economía, transparencia y honradez para satisfacer los objetivos a los que están destinados</w:t>
      </w:r>
      <w:r w:rsidR="0071065E">
        <w:rPr>
          <w:rFonts w:ascii="Arial" w:eastAsia="Times New Roman" w:hAnsi="Arial" w:cs="Arial"/>
          <w:i/>
          <w:sz w:val="24"/>
          <w:szCs w:val="24"/>
          <w:lang w:val="es-ES" w:eastAsia="es-ES"/>
        </w:rPr>
        <w:t>”.</w:t>
      </w:r>
    </w:p>
    <w:p w:rsidR="00E063E1" w:rsidRPr="00BE4FC0" w:rsidRDefault="00E063E1" w:rsidP="00E063E1">
      <w:pPr>
        <w:autoSpaceDE w:val="0"/>
        <w:autoSpaceDN w:val="0"/>
        <w:adjustRightInd w:val="0"/>
        <w:spacing w:after="0" w:line="240" w:lineRule="auto"/>
        <w:jc w:val="both"/>
        <w:rPr>
          <w:rFonts w:ascii="Arial" w:eastAsia="Times New Roman" w:hAnsi="Arial" w:cs="Arial"/>
          <w:sz w:val="24"/>
          <w:szCs w:val="24"/>
          <w:lang w:val="es-ES" w:eastAsia="es-ES"/>
        </w:rPr>
      </w:pPr>
    </w:p>
    <w:p w:rsidR="00E063E1" w:rsidRDefault="00E063E1" w:rsidP="00BE4FC0">
      <w:pPr>
        <w:spacing w:after="0" w:line="240" w:lineRule="auto"/>
        <w:jc w:val="both"/>
        <w:rPr>
          <w:rFonts w:ascii="Arial" w:eastAsia="Times New Roman" w:hAnsi="Arial" w:cs="Arial"/>
          <w:sz w:val="24"/>
          <w:szCs w:val="24"/>
          <w:lang w:val="es-ES" w:eastAsia="es-ES"/>
        </w:rPr>
      </w:pPr>
      <w:r w:rsidRPr="000C183E">
        <w:rPr>
          <w:rFonts w:ascii="Arial" w:eastAsia="Times New Roman" w:hAnsi="Arial" w:cs="Arial"/>
          <w:sz w:val="24"/>
          <w:szCs w:val="24"/>
          <w:lang w:val="es-ES" w:eastAsia="es-ES"/>
        </w:rPr>
        <w:t xml:space="preserve">En el marco de la Gestión Pública para Resultados (GPR), y en congruencia con lo mencionado en párrafos anteriores, redoblaremos los esfuerzos para fortalecer el Presupuesto basado en Resultados (PbR), </w:t>
      </w:r>
      <w:r w:rsidR="008114F5" w:rsidRPr="000C183E">
        <w:rPr>
          <w:rFonts w:ascii="Arial" w:eastAsia="Times New Roman" w:hAnsi="Arial" w:cs="Arial"/>
          <w:sz w:val="24"/>
          <w:szCs w:val="24"/>
          <w:lang w:val="es-ES" w:eastAsia="es-ES"/>
        </w:rPr>
        <w:t>e</w:t>
      </w:r>
      <w:r w:rsidRPr="000C183E">
        <w:rPr>
          <w:rFonts w:ascii="Arial" w:eastAsia="Times New Roman" w:hAnsi="Arial" w:cs="Arial"/>
          <w:sz w:val="24"/>
          <w:szCs w:val="24"/>
          <w:lang w:val="es-ES" w:eastAsia="es-ES"/>
        </w:rPr>
        <w:t>l Presupuesto con enfoque Base Cero y el Sistema de Evaluación del Desempeño (SED).</w:t>
      </w:r>
    </w:p>
    <w:p w:rsidR="00A5552B" w:rsidRPr="00236271" w:rsidRDefault="00A5552B" w:rsidP="0071065E">
      <w:pPr>
        <w:spacing w:after="0" w:line="240" w:lineRule="auto"/>
        <w:jc w:val="both"/>
        <w:rPr>
          <w:rFonts w:ascii="Arial" w:eastAsia="Times New Roman" w:hAnsi="Arial" w:cs="Arial"/>
          <w:sz w:val="24"/>
          <w:szCs w:val="24"/>
          <w:lang w:eastAsia="es-ES"/>
        </w:rPr>
      </w:pPr>
    </w:p>
    <w:p w:rsidR="00A44162" w:rsidRDefault="009C2EBF" w:rsidP="0071065E">
      <w:pPr>
        <w:spacing w:after="0" w:line="240" w:lineRule="auto"/>
        <w:jc w:val="both"/>
        <w:rPr>
          <w:rFonts w:ascii="Arial" w:hAnsi="Arial" w:cs="Arial"/>
          <w:sz w:val="24"/>
          <w:szCs w:val="24"/>
        </w:rPr>
      </w:pPr>
      <w:r>
        <w:rPr>
          <w:rFonts w:ascii="Arial" w:eastAsia="Times New Roman" w:hAnsi="Arial" w:cs="Arial"/>
          <w:sz w:val="24"/>
          <w:szCs w:val="24"/>
          <w:lang w:eastAsia="es-ES"/>
        </w:rPr>
        <w:t>D</w:t>
      </w:r>
      <w:r w:rsidR="00A44162" w:rsidRPr="00236271">
        <w:rPr>
          <w:rFonts w:ascii="Arial" w:eastAsia="Times New Roman" w:hAnsi="Arial" w:cs="Arial"/>
          <w:sz w:val="24"/>
          <w:szCs w:val="24"/>
          <w:lang w:eastAsia="es-ES"/>
        </w:rPr>
        <w:t xml:space="preserve">erivado de la nueva legislación y armonización de las reformas al entramado legal en materia de anticorrupción, en el presente proyecto se consideró la asignación presupuestaria  para la Secretaría Ejecutiva del Sistema </w:t>
      </w:r>
      <w:r w:rsidR="00B137D7" w:rsidRPr="00236271">
        <w:rPr>
          <w:rFonts w:ascii="Arial" w:eastAsia="Times New Roman" w:hAnsi="Arial" w:cs="Arial"/>
          <w:sz w:val="24"/>
          <w:szCs w:val="24"/>
          <w:lang w:eastAsia="es-ES"/>
        </w:rPr>
        <w:t xml:space="preserve">Estatal </w:t>
      </w:r>
      <w:r w:rsidR="00A44162" w:rsidRPr="00236271">
        <w:rPr>
          <w:rFonts w:ascii="Arial" w:eastAsia="Times New Roman" w:hAnsi="Arial" w:cs="Arial"/>
          <w:sz w:val="24"/>
          <w:szCs w:val="24"/>
          <w:lang w:eastAsia="es-ES"/>
        </w:rPr>
        <w:t>Anticorrupción</w:t>
      </w:r>
      <w:r w:rsidR="00404018" w:rsidRPr="00236271">
        <w:rPr>
          <w:rFonts w:ascii="Arial" w:eastAsia="Times New Roman" w:hAnsi="Arial" w:cs="Arial"/>
          <w:sz w:val="24"/>
          <w:szCs w:val="24"/>
          <w:lang w:eastAsia="es-ES"/>
        </w:rPr>
        <w:t xml:space="preserve">, cuya naturaleza Jurídica se considera </w:t>
      </w:r>
      <w:r w:rsidR="00A44162" w:rsidRPr="00236271">
        <w:rPr>
          <w:rFonts w:ascii="Arial" w:eastAsia="Times New Roman" w:hAnsi="Arial" w:cs="Arial"/>
          <w:sz w:val="24"/>
          <w:szCs w:val="24"/>
          <w:lang w:eastAsia="es-ES"/>
        </w:rPr>
        <w:t xml:space="preserve"> como un or</w:t>
      </w:r>
      <w:r w:rsidR="00404018" w:rsidRPr="00236271">
        <w:rPr>
          <w:rFonts w:ascii="Arial" w:eastAsia="Times New Roman" w:hAnsi="Arial" w:cs="Arial"/>
          <w:sz w:val="24"/>
          <w:szCs w:val="24"/>
          <w:lang w:eastAsia="es-ES"/>
        </w:rPr>
        <w:t>ganismo público descentralizado</w:t>
      </w:r>
      <w:r w:rsidR="00A44162" w:rsidRPr="00236271">
        <w:rPr>
          <w:rFonts w:ascii="Arial" w:eastAsia="Times New Roman" w:hAnsi="Arial" w:cs="Arial"/>
          <w:sz w:val="24"/>
          <w:szCs w:val="24"/>
          <w:lang w:eastAsia="es-ES"/>
        </w:rPr>
        <w:t xml:space="preserve"> no sectorizado, con personalidad jurídica y patrimonio propio, con autonomía técnica y de gestión , que tiene como objeto fungir como órgano técnico del Comité Coordinador del </w:t>
      </w:r>
      <w:r w:rsidR="005C1252" w:rsidRPr="00236271">
        <w:rPr>
          <w:rFonts w:ascii="Arial" w:eastAsia="Times New Roman" w:hAnsi="Arial" w:cs="Arial"/>
          <w:sz w:val="24"/>
          <w:szCs w:val="24"/>
          <w:lang w:eastAsia="es-ES"/>
        </w:rPr>
        <w:t>Sistema Esta</w:t>
      </w:r>
      <w:r w:rsidR="00404018" w:rsidRPr="00236271">
        <w:rPr>
          <w:rFonts w:ascii="Arial" w:eastAsia="Times New Roman" w:hAnsi="Arial" w:cs="Arial"/>
          <w:sz w:val="24"/>
          <w:szCs w:val="24"/>
          <w:lang w:eastAsia="es-ES"/>
        </w:rPr>
        <w:t xml:space="preserve">tal Anticorrupción, de acuerdo a lo previsto en los artículos 24 y 25 de la Ley del Sistema Anticorrupción del </w:t>
      </w:r>
      <w:r w:rsidR="00245EB5">
        <w:rPr>
          <w:rFonts w:ascii="Arial" w:eastAsia="Times New Roman" w:hAnsi="Arial" w:cs="Arial"/>
          <w:sz w:val="24"/>
          <w:szCs w:val="24"/>
          <w:lang w:eastAsia="es-ES"/>
        </w:rPr>
        <w:t>Estado de Colima</w:t>
      </w:r>
      <w:r w:rsidR="00404018" w:rsidRPr="00236271">
        <w:rPr>
          <w:rFonts w:ascii="Arial" w:eastAsia="Times New Roman" w:hAnsi="Arial" w:cs="Arial"/>
          <w:sz w:val="24"/>
          <w:szCs w:val="24"/>
          <w:lang w:eastAsia="es-ES"/>
        </w:rPr>
        <w:t xml:space="preserve"> aprobada por el H. Congreso y publicada en el </w:t>
      </w:r>
      <w:r w:rsidR="00404018" w:rsidRPr="00236271">
        <w:rPr>
          <w:rFonts w:ascii="Arial" w:hAnsi="Arial" w:cs="Arial"/>
          <w:sz w:val="24"/>
          <w:szCs w:val="24"/>
        </w:rPr>
        <w:t xml:space="preserve">Periódico Oficial “El </w:t>
      </w:r>
      <w:r w:rsidR="00245EB5">
        <w:rPr>
          <w:rFonts w:ascii="Arial" w:hAnsi="Arial" w:cs="Arial"/>
          <w:sz w:val="24"/>
          <w:szCs w:val="24"/>
        </w:rPr>
        <w:t>Estado de Colima</w:t>
      </w:r>
      <w:r w:rsidR="00404018" w:rsidRPr="00236271">
        <w:rPr>
          <w:rFonts w:ascii="Arial" w:hAnsi="Arial" w:cs="Arial"/>
          <w:sz w:val="24"/>
          <w:szCs w:val="24"/>
        </w:rPr>
        <w:t>”</w:t>
      </w:r>
      <w:r w:rsidR="00A5552B" w:rsidRPr="00236271">
        <w:rPr>
          <w:rFonts w:ascii="Arial" w:hAnsi="Arial" w:cs="Arial"/>
          <w:sz w:val="24"/>
          <w:szCs w:val="24"/>
        </w:rPr>
        <w:t>, el 15 de julio de 2017.</w:t>
      </w:r>
    </w:p>
    <w:p w:rsidR="0071065E" w:rsidRPr="00236271" w:rsidRDefault="0071065E" w:rsidP="0071065E">
      <w:pPr>
        <w:spacing w:after="0" w:line="240" w:lineRule="auto"/>
        <w:jc w:val="both"/>
        <w:rPr>
          <w:rFonts w:ascii="Arial" w:eastAsia="Times New Roman" w:hAnsi="Arial" w:cs="Arial"/>
          <w:sz w:val="24"/>
          <w:szCs w:val="24"/>
          <w:lang w:eastAsia="es-ES"/>
        </w:rPr>
      </w:pPr>
    </w:p>
    <w:p w:rsidR="00A44162" w:rsidRDefault="00A44162" w:rsidP="0071065E">
      <w:pPr>
        <w:spacing w:after="0" w:line="240" w:lineRule="auto"/>
        <w:jc w:val="both"/>
        <w:rPr>
          <w:rFonts w:ascii="Arial" w:hAnsi="Arial" w:cs="Arial"/>
          <w:sz w:val="24"/>
          <w:szCs w:val="24"/>
        </w:rPr>
      </w:pPr>
      <w:r w:rsidRPr="00236271">
        <w:rPr>
          <w:rFonts w:ascii="Arial" w:eastAsia="Times New Roman" w:hAnsi="Arial" w:cs="Arial"/>
          <w:sz w:val="24"/>
          <w:szCs w:val="24"/>
          <w:lang w:eastAsia="es-ES"/>
        </w:rPr>
        <w:t>Dicha Secretaría Ejecutiva es pieza fundamental del Sistema Estatal Anticorrupción que tiene por objeto</w:t>
      </w:r>
      <w:r w:rsidRPr="00236271">
        <w:t xml:space="preserve"> </w:t>
      </w:r>
      <w:r w:rsidRPr="00236271">
        <w:rPr>
          <w:rFonts w:ascii="Arial" w:hAnsi="Arial" w:cs="Arial"/>
          <w:sz w:val="24"/>
          <w:szCs w:val="24"/>
        </w:rPr>
        <w:t xml:space="preserve">establecer principios, bases generales, políticas públicas y </w:t>
      </w:r>
      <w:r w:rsidR="005C1252" w:rsidRPr="00236271">
        <w:rPr>
          <w:rFonts w:ascii="Arial" w:hAnsi="Arial" w:cs="Arial"/>
          <w:sz w:val="24"/>
          <w:szCs w:val="24"/>
        </w:rPr>
        <w:t>procedimientos</w:t>
      </w:r>
      <w:r w:rsidRPr="00236271">
        <w:rPr>
          <w:rFonts w:ascii="Arial" w:hAnsi="Arial" w:cs="Arial"/>
          <w:sz w:val="24"/>
          <w:szCs w:val="24"/>
        </w:rPr>
        <w:t xml:space="preserve"> para la coordinación entre las autoridades del Estado y sus </w:t>
      </w:r>
      <w:r w:rsidR="005C1252" w:rsidRPr="00236271">
        <w:rPr>
          <w:rFonts w:ascii="Arial" w:hAnsi="Arial" w:cs="Arial"/>
          <w:sz w:val="24"/>
          <w:szCs w:val="24"/>
        </w:rPr>
        <w:t>municipios</w:t>
      </w:r>
      <w:r w:rsidRPr="00236271">
        <w:rPr>
          <w:rFonts w:ascii="Arial" w:hAnsi="Arial" w:cs="Arial"/>
          <w:sz w:val="24"/>
          <w:szCs w:val="24"/>
        </w:rPr>
        <w:t xml:space="preserve"> en la prevención, detección y sanción de faltas </w:t>
      </w:r>
      <w:r w:rsidR="005C1252" w:rsidRPr="00236271">
        <w:rPr>
          <w:rFonts w:ascii="Arial" w:hAnsi="Arial" w:cs="Arial"/>
          <w:sz w:val="24"/>
          <w:szCs w:val="24"/>
        </w:rPr>
        <w:t>administrativas</w:t>
      </w:r>
      <w:r w:rsidRPr="00236271">
        <w:rPr>
          <w:rFonts w:ascii="Arial" w:hAnsi="Arial" w:cs="Arial"/>
          <w:sz w:val="24"/>
          <w:szCs w:val="24"/>
        </w:rPr>
        <w:t xml:space="preserve"> y hechos de corrupción, así como en la fiscalización y control de recursos públicos. Es una instancia cuya finalidad es </w:t>
      </w:r>
      <w:r w:rsidR="00A5552B" w:rsidRPr="00236271">
        <w:rPr>
          <w:rFonts w:ascii="Arial" w:hAnsi="Arial" w:cs="Arial"/>
          <w:sz w:val="24"/>
          <w:szCs w:val="24"/>
        </w:rPr>
        <w:t>establecer, articular y evaluar</w:t>
      </w:r>
      <w:r w:rsidR="00422372" w:rsidRPr="00236271">
        <w:rPr>
          <w:rFonts w:ascii="Arial" w:hAnsi="Arial" w:cs="Arial"/>
          <w:sz w:val="24"/>
          <w:szCs w:val="24"/>
        </w:rPr>
        <w:t xml:space="preserve"> </w:t>
      </w:r>
      <w:r w:rsidR="0071065E">
        <w:rPr>
          <w:rFonts w:ascii="Arial" w:hAnsi="Arial" w:cs="Arial"/>
          <w:sz w:val="24"/>
          <w:szCs w:val="24"/>
        </w:rPr>
        <w:t xml:space="preserve">la </w:t>
      </w:r>
      <w:r w:rsidRPr="00236271">
        <w:rPr>
          <w:rFonts w:ascii="Arial" w:hAnsi="Arial" w:cs="Arial"/>
          <w:sz w:val="24"/>
          <w:szCs w:val="24"/>
        </w:rPr>
        <w:t>política en la materia</w:t>
      </w:r>
      <w:r w:rsidR="00A5552B" w:rsidRPr="00236271">
        <w:rPr>
          <w:rFonts w:ascii="Arial" w:hAnsi="Arial" w:cs="Arial"/>
          <w:sz w:val="24"/>
          <w:szCs w:val="24"/>
        </w:rPr>
        <w:t>.</w:t>
      </w:r>
    </w:p>
    <w:p w:rsidR="009C2EBF" w:rsidRDefault="009C2EBF" w:rsidP="0071065E">
      <w:pPr>
        <w:spacing w:after="0" w:line="240" w:lineRule="auto"/>
        <w:jc w:val="both"/>
        <w:rPr>
          <w:rFonts w:ascii="Arial" w:hAnsi="Arial" w:cs="Arial"/>
          <w:sz w:val="24"/>
          <w:szCs w:val="24"/>
        </w:rPr>
      </w:pPr>
    </w:p>
    <w:p w:rsidR="009C2EBF" w:rsidRPr="009C2EBF" w:rsidRDefault="009C2EBF" w:rsidP="009C2EBF">
      <w:pPr>
        <w:autoSpaceDE w:val="0"/>
        <w:autoSpaceDN w:val="0"/>
        <w:adjustRightInd w:val="0"/>
        <w:spacing w:after="0" w:line="240" w:lineRule="auto"/>
        <w:jc w:val="both"/>
        <w:rPr>
          <w:rFonts w:ascii="Arial" w:hAnsi="Arial" w:cs="Arial"/>
          <w:sz w:val="24"/>
          <w:szCs w:val="24"/>
        </w:rPr>
      </w:pPr>
      <w:r w:rsidRPr="009C2EBF">
        <w:rPr>
          <w:rFonts w:ascii="Arial" w:hAnsi="Arial" w:cs="Arial"/>
          <w:sz w:val="24"/>
          <w:szCs w:val="24"/>
        </w:rPr>
        <w:t xml:space="preserve">En lo que concierne a las previsiones para la puesta en operación de las demás instancias vinculadas con el Sistema Estatal Anticorrupción, en </w:t>
      </w:r>
      <w:r w:rsidR="00BA4468" w:rsidRPr="009C2EBF">
        <w:rPr>
          <w:rFonts w:ascii="Arial" w:hAnsi="Arial" w:cs="Arial"/>
          <w:sz w:val="24"/>
          <w:szCs w:val="24"/>
        </w:rPr>
        <w:t>el artículo</w:t>
      </w:r>
      <w:r w:rsidRPr="009C2EBF">
        <w:rPr>
          <w:rFonts w:ascii="Arial" w:hAnsi="Arial" w:cs="Arial"/>
          <w:sz w:val="24"/>
          <w:szCs w:val="24"/>
        </w:rPr>
        <w:t xml:space="preserve"> Quinto </w:t>
      </w:r>
      <w:r w:rsidRPr="009C2EBF">
        <w:rPr>
          <w:rFonts w:ascii="Arial" w:hAnsi="Arial" w:cs="Arial"/>
          <w:sz w:val="24"/>
          <w:szCs w:val="24"/>
        </w:rPr>
        <w:lastRenderedPageBreak/>
        <w:t xml:space="preserve">transitorio de la presente Iniciativa, se establecen los postulados para sustentar en su oportunidad las asignaciones presupuestarias correspondientes a </w:t>
      </w:r>
      <w:r w:rsidR="00BA4468" w:rsidRPr="009C2EBF">
        <w:rPr>
          <w:rFonts w:ascii="Arial" w:hAnsi="Arial" w:cs="Arial"/>
          <w:sz w:val="24"/>
          <w:szCs w:val="24"/>
        </w:rPr>
        <w:t>dichas instancias</w:t>
      </w:r>
      <w:r w:rsidRPr="009C2EBF">
        <w:rPr>
          <w:rFonts w:ascii="Arial" w:hAnsi="Arial" w:cs="Arial"/>
          <w:sz w:val="24"/>
          <w:szCs w:val="24"/>
        </w:rPr>
        <w:t xml:space="preserve"> que tendrán dentro de sus atribuciones la atención a este tema de gran relevancia. </w:t>
      </w:r>
    </w:p>
    <w:p w:rsidR="009C2EBF" w:rsidRDefault="009C2EBF" w:rsidP="009C2EBF">
      <w:pPr>
        <w:autoSpaceDE w:val="0"/>
        <w:autoSpaceDN w:val="0"/>
        <w:adjustRightInd w:val="0"/>
        <w:spacing w:after="0" w:line="240" w:lineRule="auto"/>
        <w:jc w:val="both"/>
        <w:rPr>
          <w:rFonts w:ascii="Arial" w:hAnsi="Arial" w:cs="Arial"/>
          <w:sz w:val="24"/>
          <w:szCs w:val="24"/>
          <w:highlight w:val="lightGray"/>
        </w:rPr>
      </w:pPr>
    </w:p>
    <w:p w:rsidR="0070552D" w:rsidRDefault="0070552D" w:rsidP="007E6A7F">
      <w:pPr>
        <w:spacing w:after="0" w:line="240" w:lineRule="auto"/>
        <w:jc w:val="both"/>
        <w:rPr>
          <w:rFonts w:ascii="Arial" w:hAnsi="Arial" w:cs="Arial"/>
          <w:b/>
          <w:sz w:val="24"/>
          <w:szCs w:val="24"/>
          <w:shd w:val="clear" w:color="auto" w:fill="FFFFFF"/>
        </w:rPr>
      </w:pPr>
      <w:r w:rsidRPr="0070552D">
        <w:rPr>
          <w:rFonts w:ascii="Arial" w:hAnsi="Arial" w:cs="Arial"/>
          <w:sz w:val="24"/>
          <w:szCs w:val="24"/>
        </w:rPr>
        <w:t>Con el propósito de continuar avanzando con pasos firmes en la</w:t>
      </w:r>
      <w:r w:rsidRPr="0070552D">
        <w:rPr>
          <w:rFonts w:ascii="Arial" w:hAnsi="Arial" w:cs="Arial"/>
          <w:b/>
          <w:sz w:val="24"/>
          <w:szCs w:val="24"/>
        </w:rPr>
        <w:t xml:space="preserve"> </w:t>
      </w:r>
      <w:r w:rsidRPr="0070552D">
        <w:rPr>
          <w:rStyle w:val="Textoennegrita"/>
          <w:rFonts w:ascii="Arial" w:hAnsi="Arial" w:cs="Arial"/>
          <w:b w:val="0"/>
          <w:sz w:val="24"/>
          <w:szCs w:val="24"/>
          <w:shd w:val="clear" w:color="auto" w:fill="FFFFFF"/>
        </w:rPr>
        <w:t xml:space="preserve">prevención social de la violencia y el </w:t>
      </w:r>
      <w:r w:rsidR="00BA4468" w:rsidRPr="0070552D">
        <w:rPr>
          <w:rStyle w:val="Textoennegrita"/>
          <w:rFonts w:ascii="Arial" w:hAnsi="Arial" w:cs="Arial"/>
          <w:b w:val="0"/>
          <w:sz w:val="24"/>
          <w:szCs w:val="24"/>
          <w:shd w:val="clear" w:color="auto" w:fill="FFFFFF"/>
        </w:rPr>
        <w:t>delito, erradicar</w:t>
      </w:r>
      <w:r w:rsidRPr="0070552D">
        <w:rPr>
          <w:rStyle w:val="Textoennegrita"/>
          <w:rFonts w:ascii="Arial" w:hAnsi="Arial" w:cs="Arial"/>
          <w:b w:val="0"/>
          <w:sz w:val="24"/>
          <w:szCs w:val="24"/>
          <w:shd w:val="clear" w:color="auto" w:fill="FFFFFF"/>
        </w:rPr>
        <w:t xml:space="preserve"> las causas que generan la </w:t>
      </w:r>
      <w:r w:rsidR="00BA4468" w:rsidRPr="0070552D">
        <w:rPr>
          <w:rStyle w:val="Textoennegrita"/>
          <w:rFonts w:ascii="Arial" w:hAnsi="Arial" w:cs="Arial"/>
          <w:b w:val="0"/>
          <w:sz w:val="24"/>
          <w:szCs w:val="24"/>
          <w:shd w:val="clear" w:color="auto" w:fill="FFFFFF"/>
        </w:rPr>
        <w:t>violencia, en</w:t>
      </w:r>
      <w:r w:rsidRPr="0070552D">
        <w:rPr>
          <w:rStyle w:val="Textoennegrita"/>
          <w:rFonts w:ascii="Arial" w:hAnsi="Arial" w:cs="Arial"/>
          <w:b w:val="0"/>
          <w:sz w:val="24"/>
          <w:szCs w:val="24"/>
          <w:shd w:val="clear" w:color="auto" w:fill="FFFFFF"/>
        </w:rPr>
        <w:t xml:space="preserve"> el fortalecimiento institucional y operativo de las corporaciones de seguridad, vía el</w:t>
      </w:r>
      <w:r w:rsidRPr="00594621">
        <w:rPr>
          <w:rStyle w:val="Textoennegrita"/>
          <w:rFonts w:ascii="Arial" w:hAnsi="Arial" w:cs="Arial"/>
          <w:sz w:val="24"/>
          <w:szCs w:val="24"/>
          <w:shd w:val="clear" w:color="auto" w:fill="FFFFFF"/>
        </w:rPr>
        <w:t xml:space="preserve"> </w:t>
      </w:r>
      <w:r w:rsidRPr="00594621">
        <w:rPr>
          <w:rFonts w:ascii="Arial" w:hAnsi="Arial" w:cs="Arial"/>
          <w:sz w:val="24"/>
          <w:szCs w:val="24"/>
          <w:shd w:val="clear" w:color="auto" w:fill="FFFFFF"/>
        </w:rPr>
        <w:t>uso intensivo de los sistemas de inteligencia, y coordinación efectiva entre los tres órdenes de gobierno</w:t>
      </w:r>
      <w:r w:rsidRPr="00594621">
        <w:rPr>
          <w:rFonts w:ascii="Arial" w:hAnsi="Arial" w:cs="Arial"/>
          <w:b/>
          <w:sz w:val="24"/>
          <w:szCs w:val="24"/>
          <w:shd w:val="clear" w:color="auto" w:fill="FFFFFF"/>
        </w:rPr>
        <w:t xml:space="preserve">, </w:t>
      </w:r>
      <w:r w:rsidRPr="0070552D">
        <w:rPr>
          <w:rStyle w:val="Textoennegrita"/>
          <w:rFonts w:ascii="Arial" w:hAnsi="Arial" w:cs="Arial"/>
          <w:b w:val="0"/>
          <w:sz w:val="24"/>
          <w:szCs w:val="24"/>
          <w:shd w:val="clear" w:color="auto" w:fill="FFFFFF"/>
        </w:rPr>
        <w:t>se asignan recursos para la implementación de una</w:t>
      </w:r>
      <w:r w:rsidRPr="00594621">
        <w:rPr>
          <w:rStyle w:val="Textoennegrita"/>
          <w:rFonts w:ascii="Arial" w:hAnsi="Arial" w:cs="Arial"/>
          <w:sz w:val="24"/>
          <w:szCs w:val="24"/>
          <w:shd w:val="clear" w:color="auto" w:fill="FFFFFF"/>
        </w:rPr>
        <w:t xml:space="preserve"> </w:t>
      </w:r>
      <w:r w:rsidRPr="0070552D">
        <w:rPr>
          <w:rStyle w:val="Textoennegrita"/>
          <w:rFonts w:ascii="Arial" w:hAnsi="Arial" w:cs="Arial"/>
          <w:b w:val="0"/>
          <w:sz w:val="24"/>
          <w:szCs w:val="24"/>
          <w:shd w:val="clear" w:color="auto" w:fill="FFFFFF"/>
        </w:rPr>
        <w:t>primera</w:t>
      </w:r>
      <w:r w:rsidRPr="00594621">
        <w:rPr>
          <w:rStyle w:val="Textoennegrita"/>
          <w:rFonts w:ascii="Arial" w:hAnsi="Arial" w:cs="Arial"/>
          <w:sz w:val="24"/>
          <w:szCs w:val="24"/>
          <w:shd w:val="clear" w:color="auto" w:fill="FFFFFF"/>
        </w:rPr>
        <w:t xml:space="preserve"> </w:t>
      </w:r>
      <w:r w:rsidRPr="0070552D">
        <w:rPr>
          <w:rStyle w:val="Textoennegrita"/>
          <w:rFonts w:ascii="Arial" w:hAnsi="Arial" w:cs="Arial"/>
          <w:b w:val="0"/>
          <w:sz w:val="24"/>
          <w:szCs w:val="24"/>
          <w:shd w:val="clear" w:color="auto" w:fill="FFFFFF"/>
        </w:rPr>
        <w:t>etapa del Centro de Control, Comando, Comunicación, Cómputo y Calidad (</w:t>
      </w:r>
      <w:r w:rsidR="003551A5">
        <w:rPr>
          <w:rStyle w:val="Textoennegrita"/>
          <w:rFonts w:ascii="Arial" w:hAnsi="Arial" w:cs="Arial"/>
          <w:b w:val="0"/>
          <w:sz w:val="24"/>
          <w:szCs w:val="24"/>
          <w:shd w:val="clear" w:color="auto" w:fill="FFFFFF"/>
        </w:rPr>
        <w:t>C</w:t>
      </w:r>
      <w:r w:rsidRPr="0070552D">
        <w:rPr>
          <w:rStyle w:val="Textoennegrita"/>
          <w:rFonts w:ascii="Arial" w:hAnsi="Arial" w:cs="Arial"/>
          <w:b w:val="0"/>
          <w:sz w:val="24"/>
          <w:szCs w:val="24"/>
          <w:shd w:val="clear" w:color="auto" w:fill="FFFFFF"/>
        </w:rPr>
        <w:t>5</w:t>
      </w:r>
      <w:r w:rsidR="00BA4468" w:rsidRPr="0070552D">
        <w:rPr>
          <w:rStyle w:val="Textoennegrita"/>
          <w:rFonts w:ascii="Arial" w:hAnsi="Arial" w:cs="Arial"/>
          <w:b w:val="0"/>
          <w:sz w:val="24"/>
          <w:szCs w:val="24"/>
          <w:shd w:val="clear" w:color="auto" w:fill="FFFFFF"/>
        </w:rPr>
        <w:t>i)</w:t>
      </w:r>
      <w:r w:rsidRPr="0070552D">
        <w:rPr>
          <w:rStyle w:val="Textoennegrita"/>
          <w:rFonts w:ascii="Arial" w:hAnsi="Arial" w:cs="Arial"/>
          <w:b w:val="0"/>
          <w:sz w:val="24"/>
          <w:szCs w:val="24"/>
          <w:shd w:val="clear" w:color="auto" w:fill="FFFFFF"/>
        </w:rPr>
        <w:t>.</w:t>
      </w:r>
      <w:r w:rsidRPr="00594621">
        <w:rPr>
          <w:rFonts w:ascii="Arial" w:hAnsi="Arial" w:cs="Arial"/>
          <w:b/>
          <w:sz w:val="24"/>
          <w:szCs w:val="24"/>
          <w:shd w:val="clear" w:color="auto" w:fill="FFFFFF"/>
        </w:rPr>
        <w:t xml:space="preserve"> </w:t>
      </w:r>
    </w:p>
    <w:p w:rsidR="007E6A7F" w:rsidRPr="003551A5" w:rsidRDefault="007E6A7F" w:rsidP="007E6A7F">
      <w:pPr>
        <w:spacing w:after="0" w:line="240" w:lineRule="auto"/>
        <w:jc w:val="both"/>
        <w:rPr>
          <w:rFonts w:ascii="Arial" w:hAnsi="Arial" w:cs="Arial"/>
          <w:sz w:val="24"/>
          <w:szCs w:val="24"/>
          <w:shd w:val="clear" w:color="auto" w:fill="FFFFFF"/>
        </w:rPr>
      </w:pPr>
    </w:p>
    <w:p w:rsidR="0070552D" w:rsidRDefault="0070552D" w:rsidP="007E6A7F">
      <w:pPr>
        <w:spacing w:after="0" w:line="240" w:lineRule="auto"/>
        <w:jc w:val="both"/>
        <w:rPr>
          <w:rFonts w:ascii="Arial" w:hAnsi="Arial" w:cs="Arial"/>
          <w:sz w:val="24"/>
          <w:szCs w:val="24"/>
          <w:shd w:val="clear" w:color="auto" w:fill="FFFFFF"/>
        </w:rPr>
      </w:pPr>
      <w:r w:rsidRPr="00774612">
        <w:rPr>
          <w:rFonts w:ascii="Arial" w:hAnsi="Arial" w:cs="Arial"/>
          <w:sz w:val="24"/>
          <w:szCs w:val="24"/>
          <w:shd w:val="clear" w:color="auto" w:fill="FFFFFF"/>
        </w:rPr>
        <w:t xml:space="preserve">Mediante </w:t>
      </w:r>
      <w:r>
        <w:rPr>
          <w:rFonts w:ascii="Arial" w:hAnsi="Arial" w:cs="Arial"/>
          <w:sz w:val="24"/>
          <w:szCs w:val="24"/>
          <w:shd w:val="clear" w:color="auto" w:fill="FFFFFF"/>
        </w:rPr>
        <w:t>dicho esfuerzo se dispondrá de</w:t>
      </w:r>
      <w:r w:rsidRPr="00774612">
        <w:rPr>
          <w:rFonts w:ascii="Arial" w:hAnsi="Arial" w:cs="Arial"/>
          <w:sz w:val="24"/>
          <w:szCs w:val="24"/>
          <w:shd w:val="clear" w:color="auto" w:fill="FFFFFF"/>
        </w:rPr>
        <w:t xml:space="preserve"> </w:t>
      </w:r>
      <w:r w:rsidRPr="0070552D">
        <w:rPr>
          <w:rStyle w:val="Textoennegrita"/>
          <w:rFonts w:ascii="Arial" w:hAnsi="Arial" w:cs="Arial"/>
          <w:b w:val="0"/>
          <w:sz w:val="24"/>
          <w:szCs w:val="24"/>
          <w:shd w:val="clear" w:color="auto" w:fill="FFFFFF"/>
        </w:rPr>
        <w:t>tecnología de punta</w:t>
      </w:r>
      <w:r w:rsidRPr="00774612">
        <w:rPr>
          <w:rFonts w:ascii="Arial" w:hAnsi="Arial" w:cs="Arial"/>
          <w:sz w:val="24"/>
          <w:szCs w:val="24"/>
          <w:shd w:val="clear" w:color="auto" w:fill="FFFFFF"/>
        </w:rPr>
        <w:t xml:space="preserve"> para otorgar servicios </w:t>
      </w:r>
      <w:r w:rsidR="009C2EBF" w:rsidRPr="00774612">
        <w:rPr>
          <w:rFonts w:ascii="Arial" w:hAnsi="Arial" w:cs="Arial"/>
          <w:sz w:val="24"/>
          <w:szCs w:val="24"/>
          <w:shd w:val="clear" w:color="auto" w:fill="FFFFFF"/>
        </w:rPr>
        <w:t xml:space="preserve">oportunos </w:t>
      </w:r>
      <w:r w:rsidRPr="00774612">
        <w:rPr>
          <w:rFonts w:ascii="Arial" w:hAnsi="Arial" w:cs="Arial"/>
          <w:sz w:val="24"/>
          <w:szCs w:val="24"/>
          <w:shd w:val="clear" w:color="auto" w:fill="FFFFFF"/>
        </w:rPr>
        <w:t xml:space="preserve">de seguridad pública y de atención a emergencias. </w:t>
      </w:r>
    </w:p>
    <w:p w:rsidR="007E6A7F" w:rsidRPr="00774612" w:rsidRDefault="007E6A7F" w:rsidP="007E6A7F">
      <w:pPr>
        <w:spacing w:after="0" w:line="240" w:lineRule="auto"/>
        <w:jc w:val="both"/>
        <w:rPr>
          <w:rFonts w:ascii="Arial" w:hAnsi="Arial" w:cs="Arial"/>
          <w:sz w:val="24"/>
          <w:szCs w:val="24"/>
        </w:rPr>
      </w:pPr>
    </w:p>
    <w:p w:rsidR="0070552D" w:rsidRDefault="0070552D" w:rsidP="007E6A7F">
      <w:pPr>
        <w:spacing w:after="0" w:line="240" w:lineRule="auto"/>
        <w:jc w:val="both"/>
        <w:rPr>
          <w:rFonts w:ascii="Arial" w:hAnsi="Arial" w:cs="Arial"/>
          <w:sz w:val="24"/>
          <w:szCs w:val="24"/>
        </w:rPr>
      </w:pPr>
      <w:r w:rsidRPr="005F0706">
        <w:rPr>
          <w:rFonts w:ascii="Arial" w:hAnsi="Arial" w:cs="Arial"/>
          <w:sz w:val="24"/>
          <w:szCs w:val="24"/>
        </w:rPr>
        <w:t xml:space="preserve">Asimismo, </w:t>
      </w:r>
      <w:r w:rsidR="009C2EBF" w:rsidRPr="005F0706">
        <w:rPr>
          <w:rFonts w:ascii="Arial" w:hAnsi="Arial" w:cs="Arial"/>
          <w:sz w:val="24"/>
          <w:szCs w:val="24"/>
        </w:rPr>
        <w:t xml:space="preserve">en el presente proyecto </w:t>
      </w:r>
      <w:r w:rsidRPr="005F0706">
        <w:rPr>
          <w:rFonts w:ascii="Arial" w:hAnsi="Arial" w:cs="Arial"/>
          <w:sz w:val="24"/>
          <w:szCs w:val="24"/>
        </w:rPr>
        <w:t xml:space="preserve">se prevén recursos para la operación del Órgano de Gestión y Control del Patrimonio Inmobiliario del </w:t>
      </w:r>
      <w:r w:rsidR="00245EB5">
        <w:rPr>
          <w:rFonts w:ascii="Arial" w:hAnsi="Arial" w:cs="Arial"/>
          <w:sz w:val="24"/>
          <w:szCs w:val="24"/>
        </w:rPr>
        <w:t>Estado de Colima</w:t>
      </w:r>
      <w:r w:rsidRPr="005F0706">
        <w:rPr>
          <w:rFonts w:ascii="Arial" w:hAnsi="Arial" w:cs="Arial"/>
          <w:sz w:val="24"/>
          <w:szCs w:val="24"/>
        </w:rPr>
        <w:t xml:space="preserve">, </w:t>
      </w:r>
      <w:r>
        <w:rPr>
          <w:rFonts w:ascii="Arial" w:hAnsi="Arial" w:cs="Arial"/>
          <w:sz w:val="24"/>
          <w:szCs w:val="24"/>
        </w:rPr>
        <w:t>constituido</w:t>
      </w:r>
      <w:r w:rsidRPr="005F0706">
        <w:rPr>
          <w:rFonts w:ascii="Arial" w:hAnsi="Arial" w:cs="Arial"/>
          <w:sz w:val="24"/>
          <w:szCs w:val="24"/>
        </w:rPr>
        <w:t xml:space="preserve"> como un organismo público descentralizado, con personalidad jurídica, patrimonio propio, autonomía técnica y de gestión, y su propia forma de gobierno</w:t>
      </w:r>
      <w:r w:rsidR="00137536">
        <w:rPr>
          <w:rFonts w:ascii="Arial" w:hAnsi="Arial" w:cs="Arial"/>
          <w:sz w:val="24"/>
          <w:szCs w:val="24"/>
        </w:rPr>
        <w:t>,</w:t>
      </w:r>
      <w:r w:rsidRPr="005F0706">
        <w:rPr>
          <w:rFonts w:ascii="Arial" w:hAnsi="Arial" w:cs="Arial"/>
          <w:sz w:val="24"/>
          <w:szCs w:val="24"/>
        </w:rPr>
        <w:t xml:space="preserve"> cuyo objeto es el de administrar los bienes inmuebles que el Gobierno del Estado o cualquier otra entidad pública o privada le transfiera</w:t>
      </w:r>
      <w:r w:rsidR="009C2EBF">
        <w:rPr>
          <w:rFonts w:ascii="Arial" w:hAnsi="Arial" w:cs="Arial"/>
          <w:sz w:val="24"/>
          <w:szCs w:val="24"/>
        </w:rPr>
        <w:t xml:space="preserve">, </w:t>
      </w:r>
      <w:r w:rsidRPr="005F0706">
        <w:rPr>
          <w:rFonts w:ascii="Arial" w:hAnsi="Arial" w:cs="Arial"/>
          <w:sz w:val="24"/>
          <w:szCs w:val="24"/>
        </w:rPr>
        <w:t xml:space="preserve"> para lograr su uso y óptimo aprovechamiento a través de una eficiente gestión y control de los mismos.</w:t>
      </w:r>
    </w:p>
    <w:p w:rsidR="007E6A7F" w:rsidRPr="005F0706" w:rsidRDefault="007E6A7F" w:rsidP="007E6A7F">
      <w:pPr>
        <w:spacing w:after="0" w:line="240" w:lineRule="auto"/>
        <w:jc w:val="both"/>
        <w:rPr>
          <w:rStyle w:val="Textoennegrita"/>
          <w:rFonts w:ascii="Arial" w:hAnsi="Arial" w:cs="Arial"/>
          <w:color w:val="545454"/>
          <w:sz w:val="24"/>
          <w:szCs w:val="24"/>
          <w:shd w:val="clear" w:color="auto" w:fill="FFFFFF"/>
        </w:rPr>
      </w:pPr>
    </w:p>
    <w:p w:rsidR="00E063E1" w:rsidRPr="00A5552B" w:rsidRDefault="00E063E1" w:rsidP="007E6A7F">
      <w:pPr>
        <w:autoSpaceDE w:val="0"/>
        <w:autoSpaceDN w:val="0"/>
        <w:adjustRightInd w:val="0"/>
        <w:spacing w:after="0" w:line="240" w:lineRule="auto"/>
        <w:jc w:val="both"/>
        <w:rPr>
          <w:rFonts w:ascii="Arial" w:eastAsia="Calibri" w:hAnsi="Arial" w:cs="Arial"/>
          <w:sz w:val="24"/>
          <w:szCs w:val="24"/>
        </w:rPr>
      </w:pPr>
      <w:r w:rsidRPr="00A5552B">
        <w:rPr>
          <w:rFonts w:ascii="Arial" w:eastAsia="Calibri" w:hAnsi="Arial" w:cs="Arial"/>
          <w:bCs/>
          <w:sz w:val="24"/>
          <w:szCs w:val="24"/>
        </w:rPr>
        <w:t>De merecer la presente iniciativa la aprobación de esa Honorable Legislatura, se privilegiarán además las acciones que promuevan:</w:t>
      </w:r>
      <w:r w:rsidR="008114F5" w:rsidRPr="00A5552B">
        <w:rPr>
          <w:rFonts w:ascii="Arial" w:eastAsia="Calibri" w:hAnsi="Arial" w:cs="Arial"/>
          <w:sz w:val="24"/>
          <w:szCs w:val="24"/>
        </w:rPr>
        <w:t xml:space="preserve"> l</w:t>
      </w:r>
      <w:r w:rsidRPr="00A5552B">
        <w:rPr>
          <w:rFonts w:ascii="Arial" w:eastAsia="Calibri" w:hAnsi="Arial" w:cs="Arial"/>
          <w:sz w:val="24"/>
          <w:szCs w:val="24"/>
        </w:rPr>
        <w:t>a igualdad entre mujeres y hombres, la erradicación de la violencia de género y la erradicación de cualquier forma de discriminación de género.</w:t>
      </w:r>
    </w:p>
    <w:p w:rsidR="00E063E1" w:rsidRPr="0071065E" w:rsidRDefault="00E063E1" w:rsidP="00E063E1">
      <w:pPr>
        <w:autoSpaceDE w:val="0"/>
        <w:autoSpaceDN w:val="0"/>
        <w:adjustRightInd w:val="0"/>
        <w:spacing w:after="0" w:line="240" w:lineRule="auto"/>
        <w:jc w:val="both"/>
        <w:rPr>
          <w:rFonts w:ascii="Arial" w:eastAsia="Calibri" w:hAnsi="Arial" w:cs="Arial"/>
          <w:bCs/>
          <w:sz w:val="24"/>
          <w:szCs w:val="24"/>
          <w:highlight w:val="yellow"/>
          <w:lang w:val="es-ES"/>
        </w:rPr>
      </w:pPr>
    </w:p>
    <w:p w:rsidR="00E063E1" w:rsidRPr="00A5552B" w:rsidRDefault="00E063E1" w:rsidP="00E063E1">
      <w:pPr>
        <w:spacing w:after="0" w:line="240" w:lineRule="auto"/>
        <w:jc w:val="both"/>
        <w:rPr>
          <w:rFonts w:ascii="Arial" w:eastAsia="Times New Roman" w:hAnsi="Arial" w:cs="Arial"/>
          <w:sz w:val="24"/>
          <w:szCs w:val="24"/>
          <w:lang w:val="es-ES" w:eastAsia="es-ES"/>
        </w:rPr>
      </w:pPr>
      <w:r w:rsidRPr="00A5552B">
        <w:rPr>
          <w:rFonts w:ascii="Arial" w:eastAsia="Times New Roman" w:hAnsi="Arial" w:cs="Arial"/>
          <w:sz w:val="24"/>
          <w:szCs w:val="24"/>
          <w:lang w:val="es-ES" w:eastAsia="es-ES"/>
        </w:rPr>
        <w:t>Con el propósito de atender</w:t>
      </w:r>
      <w:r w:rsidR="000F5CCF" w:rsidRPr="00A5552B">
        <w:rPr>
          <w:rFonts w:ascii="Arial" w:eastAsia="Times New Roman" w:hAnsi="Arial" w:cs="Arial"/>
          <w:sz w:val="24"/>
          <w:szCs w:val="24"/>
          <w:lang w:val="es-ES" w:eastAsia="es-ES"/>
        </w:rPr>
        <w:t xml:space="preserve"> los resolutivos de la Declaratoria de Alerta de Género </w:t>
      </w:r>
      <w:r w:rsidR="007C1222" w:rsidRPr="00A5552B">
        <w:rPr>
          <w:rFonts w:ascii="Arial" w:eastAsia="Times New Roman" w:hAnsi="Arial" w:cs="Arial"/>
          <w:sz w:val="24"/>
          <w:szCs w:val="24"/>
          <w:lang w:val="es-ES" w:eastAsia="es-ES"/>
        </w:rPr>
        <w:t xml:space="preserve">Contra </w:t>
      </w:r>
      <w:r w:rsidR="00FB658D" w:rsidRPr="00A5552B">
        <w:rPr>
          <w:rFonts w:ascii="Arial" w:eastAsia="Times New Roman" w:hAnsi="Arial" w:cs="Arial"/>
          <w:sz w:val="24"/>
          <w:szCs w:val="24"/>
          <w:lang w:val="es-ES" w:eastAsia="es-ES"/>
        </w:rPr>
        <w:t>l</w:t>
      </w:r>
      <w:r w:rsidR="00A5552B">
        <w:rPr>
          <w:rFonts w:ascii="Arial" w:eastAsia="Times New Roman" w:hAnsi="Arial" w:cs="Arial"/>
          <w:sz w:val="24"/>
          <w:szCs w:val="24"/>
          <w:lang w:val="es-ES" w:eastAsia="es-ES"/>
        </w:rPr>
        <w:t xml:space="preserve">as Mujeres del </w:t>
      </w:r>
      <w:r w:rsidR="00245EB5">
        <w:rPr>
          <w:rFonts w:ascii="Arial" w:eastAsia="Times New Roman" w:hAnsi="Arial" w:cs="Arial"/>
          <w:sz w:val="24"/>
          <w:szCs w:val="24"/>
          <w:lang w:val="es-ES" w:eastAsia="es-ES"/>
        </w:rPr>
        <w:t>Estado de Colima</w:t>
      </w:r>
      <w:r w:rsidR="00A5552B">
        <w:rPr>
          <w:rFonts w:ascii="Arial" w:eastAsia="Times New Roman" w:hAnsi="Arial" w:cs="Arial"/>
          <w:sz w:val="24"/>
          <w:szCs w:val="24"/>
          <w:lang w:val="es-ES" w:eastAsia="es-ES"/>
        </w:rPr>
        <w:t xml:space="preserve">, emitida por la </w:t>
      </w:r>
      <w:r w:rsidR="00A5552B" w:rsidRPr="00A5552B">
        <w:rPr>
          <w:rFonts w:ascii="Arial" w:eastAsia="Times New Roman" w:hAnsi="Arial" w:cs="Arial"/>
          <w:sz w:val="24"/>
          <w:szCs w:val="24"/>
          <w:lang w:val="es-ES" w:eastAsia="es-ES"/>
        </w:rPr>
        <w:t>Secretaría de Gobernación el 20</w:t>
      </w:r>
      <w:r w:rsidR="00FB658D" w:rsidRPr="00A5552B">
        <w:rPr>
          <w:rFonts w:ascii="Arial" w:eastAsia="Times New Roman" w:hAnsi="Arial" w:cs="Arial"/>
          <w:sz w:val="24"/>
          <w:szCs w:val="24"/>
          <w:lang w:val="es-ES" w:eastAsia="es-ES"/>
        </w:rPr>
        <w:t xml:space="preserve"> de junio de 2017, par</w:t>
      </w:r>
      <w:r w:rsidR="003A0168">
        <w:rPr>
          <w:rFonts w:ascii="Arial" w:eastAsia="Times New Roman" w:hAnsi="Arial" w:cs="Arial"/>
          <w:sz w:val="24"/>
          <w:szCs w:val="24"/>
          <w:lang w:val="es-ES" w:eastAsia="es-ES"/>
        </w:rPr>
        <w:t>a los municipios de Coquimatlán</w:t>
      </w:r>
      <w:r w:rsidR="00FB658D" w:rsidRPr="00A5552B">
        <w:rPr>
          <w:rFonts w:ascii="Arial" w:eastAsia="Times New Roman" w:hAnsi="Arial" w:cs="Arial"/>
          <w:sz w:val="24"/>
          <w:szCs w:val="24"/>
          <w:lang w:val="es-ES" w:eastAsia="es-ES"/>
        </w:rPr>
        <w:t>,</w:t>
      </w:r>
      <w:r w:rsidR="003A0168">
        <w:rPr>
          <w:rFonts w:ascii="Arial" w:eastAsia="Times New Roman" w:hAnsi="Arial" w:cs="Arial"/>
          <w:sz w:val="24"/>
          <w:szCs w:val="24"/>
          <w:lang w:val="es-ES" w:eastAsia="es-ES"/>
        </w:rPr>
        <w:t xml:space="preserve"> </w:t>
      </w:r>
      <w:r w:rsidR="00FB658D" w:rsidRPr="00A5552B">
        <w:rPr>
          <w:rFonts w:ascii="Arial" w:eastAsia="Times New Roman" w:hAnsi="Arial" w:cs="Arial"/>
          <w:sz w:val="24"/>
          <w:szCs w:val="24"/>
          <w:lang w:val="es-ES" w:eastAsia="es-ES"/>
        </w:rPr>
        <w:t xml:space="preserve">Colima, Cuauhtémoc, Tecomán y Villa de Álvarez, así como </w:t>
      </w:r>
      <w:r w:rsidRPr="00A5552B">
        <w:rPr>
          <w:rFonts w:ascii="Arial" w:eastAsia="Times New Roman" w:hAnsi="Arial" w:cs="Arial"/>
          <w:sz w:val="24"/>
          <w:szCs w:val="24"/>
          <w:lang w:val="es-ES" w:eastAsia="es-ES"/>
        </w:rPr>
        <w:t xml:space="preserve">las observaciones derivadas del Informe del Grupo de Trabajo conformado para atender la solicitud de alerta de violencia de género contra las mujeres en el </w:t>
      </w:r>
      <w:r w:rsidR="00245EB5">
        <w:rPr>
          <w:rFonts w:ascii="Arial" w:eastAsia="Times New Roman" w:hAnsi="Arial" w:cs="Arial"/>
          <w:sz w:val="24"/>
          <w:szCs w:val="24"/>
          <w:lang w:val="es-ES" w:eastAsia="es-ES"/>
        </w:rPr>
        <w:t>Estado de Colima</w:t>
      </w:r>
      <w:r w:rsidR="00B93EB0">
        <w:rPr>
          <w:rFonts w:ascii="Arial" w:eastAsia="Times New Roman" w:hAnsi="Arial" w:cs="Arial"/>
          <w:sz w:val="24"/>
          <w:szCs w:val="24"/>
          <w:lang w:val="es-ES" w:eastAsia="es-ES"/>
        </w:rPr>
        <w:t xml:space="preserve">, </w:t>
      </w:r>
      <w:r w:rsidRPr="00A5552B">
        <w:rPr>
          <w:rFonts w:ascii="Arial" w:eastAsia="Times New Roman" w:hAnsi="Arial" w:cs="Arial"/>
          <w:sz w:val="24"/>
          <w:szCs w:val="24"/>
          <w:lang w:val="es-ES" w:eastAsia="es-ES"/>
        </w:rPr>
        <w:t xml:space="preserve">reformulamos </w:t>
      </w:r>
      <w:r w:rsidR="007C1222" w:rsidRPr="00A5552B">
        <w:rPr>
          <w:rFonts w:ascii="Arial" w:eastAsia="Times New Roman" w:hAnsi="Arial" w:cs="Arial"/>
          <w:sz w:val="24"/>
          <w:szCs w:val="24"/>
          <w:lang w:val="es-ES" w:eastAsia="es-ES"/>
        </w:rPr>
        <w:t>los Lineamientos</w:t>
      </w:r>
      <w:r w:rsidRPr="00A5552B">
        <w:rPr>
          <w:rFonts w:ascii="Arial" w:eastAsia="Times New Roman" w:hAnsi="Arial" w:cs="Arial"/>
          <w:sz w:val="24"/>
          <w:szCs w:val="24"/>
          <w:lang w:val="es-ES" w:eastAsia="es-ES"/>
        </w:rPr>
        <w:t xml:space="preserve"> para la Elaboración del Anteproyecto de Presupuesto</w:t>
      </w:r>
      <w:r w:rsidR="007C1222" w:rsidRPr="00A5552B">
        <w:rPr>
          <w:rFonts w:ascii="Arial" w:eastAsia="Times New Roman" w:hAnsi="Arial" w:cs="Arial"/>
          <w:sz w:val="24"/>
          <w:szCs w:val="24"/>
          <w:lang w:val="es-ES" w:eastAsia="es-ES"/>
        </w:rPr>
        <w:t xml:space="preserve"> de Egresos </w:t>
      </w:r>
      <w:r w:rsidRPr="00A5552B">
        <w:rPr>
          <w:rFonts w:ascii="Arial" w:eastAsia="Times New Roman" w:hAnsi="Arial" w:cs="Arial"/>
          <w:sz w:val="24"/>
          <w:szCs w:val="24"/>
          <w:lang w:val="es-ES" w:eastAsia="es-ES"/>
        </w:rPr>
        <w:t xml:space="preserve">para el Ejercicio </w:t>
      </w:r>
      <w:r w:rsidR="007C1222" w:rsidRPr="00A5552B">
        <w:rPr>
          <w:rFonts w:ascii="Arial" w:eastAsia="Times New Roman" w:hAnsi="Arial" w:cs="Arial"/>
          <w:sz w:val="24"/>
          <w:szCs w:val="24"/>
          <w:lang w:val="es-ES" w:eastAsia="es-ES"/>
        </w:rPr>
        <w:t>Fiscal 2018</w:t>
      </w:r>
      <w:r w:rsidR="00A5552B">
        <w:rPr>
          <w:rFonts w:ascii="Arial" w:eastAsia="Times New Roman" w:hAnsi="Arial" w:cs="Arial"/>
          <w:sz w:val="24"/>
          <w:szCs w:val="24"/>
          <w:lang w:val="es-ES" w:eastAsia="es-ES"/>
        </w:rPr>
        <w:t xml:space="preserve">, </w:t>
      </w:r>
      <w:r w:rsidRPr="00A5552B">
        <w:rPr>
          <w:rFonts w:ascii="Arial" w:eastAsia="Times New Roman" w:hAnsi="Arial" w:cs="Arial"/>
          <w:sz w:val="24"/>
          <w:szCs w:val="24"/>
          <w:lang w:val="es-ES" w:eastAsia="es-ES"/>
        </w:rPr>
        <w:t xml:space="preserve">en aras de atender las observaciones para etiquetar más recursos para el precitado tema y en cumplimiento a lo dispuesto por el artículo 41, fracción II de la Ley Federal de Presupuesto y Responsabilidad Hacendaria; </w:t>
      </w:r>
      <w:r w:rsidR="00A5552B">
        <w:rPr>
          <w:rFonts w:ascii="Arial" w:eastAsia="Times New Roman" w:hAnsi="Arial" w:cs="Arial"/>
          <w:sz w:val="24"/>
          <w:szCs w:val="24"/>
          <w:lang w:val="es-ES" w:eastAsia="es-ES"/>
        </w:rPr>
        <w:t xml:space="preserve">además, fortalecimos en </w:t>
      </w:r>
      <w:r w:rsidRPr="00A5552B">
        <w:rPr>
          <w:rFonts w:ascii="Arial" w:eastAsia="Times New Roman" w:hAnsi="Arial" w:cs="Arial"/>
          <w:sz w:val="24"/>
          <w:szCs w:val="24"/>
          <w:lang w:val="es-ES" w:eastAsia="es-ES"/>
        </w:rPr>
        <w:t xml:space="preserve">la estructura programática </w:t>
      </w:r>
      <w:r w:rsidR="00C57538" w:rsidRPr="00A5552B">
        <w:rPr>
          <w:rFonts w:ascii="Arial" w:eastAsia="Times New Roman" w:hAnsi="Arial" w:cs="Arial"/>
          <w:sz w:val="24"/>
          <w:szCs w:val="24"/>
          <w:lang w:val="es-ES" w:eastAsia="es-ES"/>
        </w:rPr>
        <w:t>el enfoque transversal del presupuesto</w:t>
      </w:r>
      <w:r w:rsidR="0071065E">
        <w:rPr>
          <w:rFonts w:ascii="Arial" w:eastAsia="Times New Roman" w:hAnsi="Arial" w:cs="Arial"/>
          <w:sz w:val="24"/>
          <w:szCs w:val="24"/>
          <w:lang w:val="es-ES" w:eastAsia="es-ES"/>
        </w:rPr>
        <w:t xml:space="preserve"> en los siguientes elementos:</w:t>
      </w:r>
    </w:p>
    <w:p w:rsidR="00E063E1" w:rsidRPr="00A5552B" w:rsidRDefault="007E6A7F" w:rsidP="00185BC9">
      <w:pPr>
        <w:pStyle w:val="Prrafodelista"/>
        <w:numPr>
          <w:ilvl w:val="0"/>
          <w:numId w:val="7"/>
        </w:num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Igualdad Sustantiva;</w:t>
      </w:r>
    </w:p>
    <w:p w:rsidR="00E063E1" w:rsidRPr="00A5552B" w:rsidRDefault="007E6A7F" w:rsidP="00185BC9">
      <w:pPr>
        <w:pStyle w:val="Prrafodelista"/>
        <w:numPr>
          <w:ilvl w:val="0"/>
          <w:numId w:val="7"/>
        </w:num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Desarrollo de los Jóvenes;</w:t>
      </w:r>
    </w:p>
    <w:p w:rsidR="00E063E1" w:rsidRPr="00A5552B" w:rsidRDefault="00E063E1" w:rsidP="00185BC9">
      <w:pPr>
        <w:pStyle w:val="Prrafodelista"/>
        <w:numPr>
          <w:ilvl w:val="0"/>
          <w:numId w:val="7"/>
        </w:numPr>
        <w:spacing w:after="0" w:line="240" w:lineRule="auto"/>
        <w:jc w:val="both"/>
        <w:rPr>
          <w:rFonts w:ascii="Arial" w:eastAsia="Times New Roman" w:hAnsi="Arial" w:cs="Arial"/>
          <w:sz w:val="24"/>
          <w:szCs w:val="24"/>
          <w:lang w:val="es-ES" w:eastAsia="es-ES"/>
        </w:rPr>
      </w:pPr>
      <w:r w:rsidRPr="00A5552B">
        <w:rPr>
          <w:rFonts w:ascii="Arial" w:eastAsia="Times New Roman" w:hAnsi="Arial" w:cs="Arial"/>
          <w:sz w:val="24"/>
          <w:szCs w:val="24"/>
          <w:lang w:val="es-ES" w:eastAsia="es-ES"/>
        </w:rPr>
        <w:t>Atención a Grupos</w:t>
      </w:r>
      <w:r w:rsidR="007E6A7F">
        <w:rPr>
          <w:rFonts w:ascii="Arial" w:eastAsia="Times New Roman" w:hAnsi="Arial" w:cs="Arial"/>
          <w:sz w:val="24"/>
          <w:szCs w:val="24"/>
          <w:lang w:val="es-ES" w:eastAsia="es-ES"/>
        </w:rPr>
        <w:t xml:space="preserve"> en Situación de Vulnerabilidad;</w:t>
      </w:r>
    </w:p>
    <w:p w:rsidR="00E063E1" w:rsidRPr="00A5552B" w:rsidRDefault="00E063E1" w:rsidP="00185BC9">
      <w:pPr>
        <w:pStyle w:val="Prrafodelista"/>
        <w:numPr>
          <w:ilvl w:val="0"/>
          <w:numId w:val="7"/>
        </w:numPr>
        <w:spacing w:after="0" w:line="240" w:lineRule="auto"/>
        <w:jc w:val="both"/>
        <w:rPr>
          <w:rFonts w:ascii="Arial" w:eastAsia="Times New Roman" w:hAnsi="Arial" w:cs="Arial"/>
          <w:sz w:val="24"/>
          <w:szCs w:val="24"/>
          <w:lang w:val="es-ES" w:eastAsia="es-ES"/>
        </w:rPr>
      </w:pPr>
      <w:r w:rsidRPr="00A5552B">
        <w:rPr>
          <w:rFonts w:ascii="Arial" w:eastAsia="Times New Roman" w:hAnsi="Arial" w:cs="Arial"/>
          <w:sz w:val="24"/>
          <w:szCs w:val="24"/>
          <w:lang w:val="es-ES" w:eastAsia="es-ES"/>
        </w:rPr>
        <w:t xml:space="preserve">Mitigación de los </w:t>
      </w:r>
      <w:r w:rsidR="00A34D88" w:rsidRPr="00A5552B">
        <w:rPr>
          <w:rFonts w:ascii="Arial" w:eastAsia="Times New Roman" w:hAnsi="Arial" w:cs="Arial"/>
          <w:sz w:val="24"/>
          <w:szCs w:val="24"/>
          <w:lang w:val="es-ES" w:eastAsia="es-ES"/>
        </w:rPr>
        <w:t xml:space="preserve">Efectos </w:t>
      </w:r>
      <w:r w:rsidRPr="00A5552B">
        <w:rPr>
          <w:rFonts w:ascii="Arial" w:eastAsia="Times New Roman" w:hAnsi="Arial" w:cs="Arial"/>
          <w:sz w:val="24"/>
          <w:szCs w:val="24"/>
          <w:lang w:val="es-ES" w:eastAsia="es-ES"/>
        </w:rPr>
        <w:t xml:space="preserve">del </w:t>
      </w:r>
      <w:r w:rsidR="00A34D88" w:rsidRPr="00A5552B">
        <w:rPr>
          <w:rFonts w:ascii="Arial" w:eastAsia="Times New Roman" w:hAnsi="Arial" w:cs="Arial"/>
          <w:sz w:val="24"/>
          <w:szCs w:val="24"/>
          <w:lang w:val="es-ES" w:eastAsia="es-ES"/>
        </w:rPr>
        <w:t>Cambio Climático</w:t>
      </w:r>
      <w:r w:rsidR="007E6A7F">
        <w:rPr>
          <w:rFonts w:ascii="Arial" w:eastAsia="Times New Roman" w:hAnsi="Arial" w:cs="Arial"/>
          <w:sz w:val="24"/>
          <w:szCs w:val="24"/>
          <w:lang w:val="es-ES" w:eastAsia="es-ES"/>
        </w:rPr>
        <w:t>;</w:t>
      </w:r>
    </w:p>
    <w:p w:rsidR="00E063E1" w:rsidRPr="00A5552B" w:rsidRDefault="00E063E1" w:rsidP="00185BC9">
      <w:pPr>
        <w:pStyle w:val="Prrafodelista"/>
        <w:numPr>
          <w:ilvl w:val="0"/>
          <w:numId w:val="7"/>
        </w:numPr>
        <w:spacing w:after="0" w:line="240" w:lineRule="auto"/>
        <w:jc w:val="both"/>
        <w:rPr>
          <w:rFonts w:ascii="Arial" w:eastAsia="Times New Roman" w:hAnsi="Arial" w:cs="Arial"/>
          <w:sz w:val="24"/>
          <w:szCs w:val="24"/>
          <w:lang w:val="es-ES" w:eastAsia="es-ES"/>
        </w:rPr>
      </w:pPr>
      <w:r w:rsidRPr="00A5552B">
        <w:rPr>
          <w:rFonts w:ascii="Arial" w:eastAsia="Times New Roman" w:hAnsi="Arial" w:cs="Arial"/>
          <w:sz w:val="24"/>
          <w:szCs w:val="24"/>
          <w:lang w:val="es-ES" w:eastAsia="es-ES"/>
        </w:rPr>
        <w:t>Atenció</w:t>
      </w:r>
      <w:r w:rsidR="007E6A7F">
        <w:rPr>
          <w:rFonts w:ascii="Arial" w:eastAsia="Times New Roman" w:hAnsi="Arial" w:cs="Arial"/>
          <w:sz w:val="24"/>
          <w:szCs w:val="24"/>
          <w:lang w:val="es-ES" w:eastAsia="es-ES"/>
        </w:rPr>
        <w:t>n a Niños, Niñas y Adolescentes;</w:t>
      </w:r>
    </w:p>
    <w:p w:rsidR="00A34D88" w:rsidRPr="00A5552B" w:rsidRDefault="00A34D88" w:rsidP="00185BC9">
      <w:pPr>
        <w:pStyle w:val="Prrafodelista"/>
        <w:numPr>
          <w:ilvl w:val="0"/>
          <w:numId w:val="7"/>
        </w:numPr>
        <w:spacing w:after="0" w:line="240" w:lineRule="auto"/>
        <w:jc w:val="both"/>
        <w:rPr>
          <w:rFonts w:ascii="Arial" w:eastAsia="Times New Roman" w:hAnsi="Arial" w:cs="Arial"/>
          <w:sz w:val="24"/>
          <w:szCs w:val="24"/>
          <w:lang w:val="es-ES" w:eastAsia="es-ES"/>
        </w:rPr>
      </w:pPr>
      <w:r w:rsidRPr="00A5552B">
        <w:rPr>
          <w:rFonts w:ascii="Arial" w:hAnsi="Arial" w:cs="Arial"/>
          <w:color w:val="000000"/>
          <w:sz w:val="24"/>
          <w:szCs w:val="24"/>
        </w:rPr>
        <w:t>Transparencia y Rendición de Cuentas</w:t>
      </w:r>
      <w:r w:rsidR="007E6A7F">
        <w:rPr>
          <w:rFonts w:ascii="Arial" w:hAnsi="Arial" w:cs="Arial"/>
          <w:color w:val="000000"/>
          <w:sz w:val="24"/>
          <w:szCs w:val="24"/>
        </w:rPr>
        <w:t>;</w:t>
      </w:r>
    </w:p>
    <w:p w:rsidR="00FE4A88" w:rsidRPr="00A5552B" w:rsidRDefault="00A5552B" w:rsidP="00185BC9">
      <w:pPr>
        <w:pStyle w:val="Prrafodelista"/>
        <w:numPr>
          <w:ilvl w:val="0"/>
          <w:numId w:val="7"/>
        </w:numPr>
        <w:spacing w:after="0" w:line="240" w:lineRule="auto"/>
        <w:jc w:val="both"/>
        <w:rPr>
          <w:rFonts w:ascii="Arial" w:eastAsia="Times New Roman" w:hAnsi="Arial" w:cs="Arial"/>
          <w:sz w:val="24"/>
          <w:szCs w:val="24"/>
          <w:lang w:val="es-ES" w:eastAsia="es-ES"/>
        </w:rPr>
      </w:pPr>
      <w:r w:rsidRPr="00A5552B">
        <w:rPr>
          <w:rFonts w:ascii="Arial" w:eastAsia="Times New Roman" w:hAnsi="Arial" w:cs="Arial"/>
          <w:color w:val="000000"/>
          <w:sz w:val="24"/>
          <w:szCs w:val="24"/>
        </w:rPr>
        <w:t>Agenda 20</w:t>
      </w:r>
      <w:r w:rsidR="00FE4A88" w:rsidRPr="00A5552B">
        <w:rPr>
          <w:rFonts w:ascii="Arial" w:eastAsia="Times New Roman" w:hAnsi="Arial" w:cs="Arial"/>
          <w:color w:val="000000"/>
          <w:sz w:val="24"/>
          <w:szCs w:val="24"/>
        </w:rPr>
        <w:t>30. Desarrollo Sostenible</w:t>
      </w:r>
      <w:r w:rsidR="007E6A7F">
        <w:rPr>
          <w:rFonts w:ascii="Arial" w:eastAsia="Times New Roman" w:hAnsi="Arial" w:cs="Arial"/>
          <w:color w:val="000000"/>
          <w:sz w:val="24"/>
          <w:szCs w:val="24"/>
        </w:rPr>
        <w:t>;</w:t>
      </w:r>
      <w:r w:rsidR="00794DEC">
        <w:rPr>
          <w:rFonts w:ascii="Arial" w:eastAsia="Times New Roman" w:hAnsi="Arial" w:cs="Arial"/>
          <w:color w:val="000000"/>
          <w:sz w:val="24"/>
          <w:szCs w:val="24"/>
        </w:rPr>
        <w:t xml:space="preserve"> y</w:t>
      </w:r>
    </w:p>
    <w:p w:rsidR="00FE4A88" w:rsidRPr="00A5552B" w:rsidRDefault="00A5552B" w:rsidP="00185BC9">
      <w:pPr>
        <w:pStyle w:val="Prrafodelista"/>
        <w:numPr>
          <w:ilvl w:val="0"/>
          <w:numId w:val="7"/>
        </w:numPr>
        <w:spacing w:after="0" w:line="240" w:lineRule="auto"/>
        <w:jc w:val="both"/>
        <w:rPr>
          <w:rFonts w:ascii="Arial" w:eastAsia="Times New Roman" w:hAnsi="Arial" w:cs="Arial"/>
          <w:strike/>
          <w:sz w:val="24"/>
          <w:szCs w:val="24"/>
          <w:lang w:val="es-ES" w:eastAsia="es-ES"/>
        </w:rPr>
      </w:pPr>
      <w:r w:rsidRPr="00A5552B">
        <w:rPr>
          <w:rFonts w:ascii="Arial" w:eastAsia="Times New Roman" w:hAnsi="Arial" w:cs="Arial"/>
          <w:color w:val="000000"/>
          <w:sz w:val="24"/>
          <w:szCs w:val="24"/>
        </w:rPr>
        <w:t>Sistema Estatal Anticorrupci</w:t>
      </w:r>
      <w:r>
        <w:rPr>
          <w:rFonts w:ascii="Arial" w:eastAsia="Times New Roman" w:hAnsi="Arial" w:cs="Arial"/>
          <w:color w:val="000000"/>
          <w:sz w:val="24"/>
          <w:szCs w:val="24"/>
        </w:rPr>
        <w:t>ón.</w:t>
      </w:r>
    </w:p>
    <w:p w:rsidR="00E063E1" w:rsidRPr="0071065E" w:rsidRDefault="00E063E1" w:rsidP="00E063E1">
      <w:pPr>
        <w:spacing w:after="0" w:line="240" w:lineRule="auto"/>
        <w:jc w:val="both"/>
        <w:rPr>
          <w:rFonts w:ascii="Arial" w:hAnsi="Arial" w:cs="Arial"/>
          <w:sz w:val="24"/>
          <w:lang w:val="es-ES"/>
        </w:rPr>
      </w:pPr>
    </w:p>
    <w:p w:rsidR="00E063E1" w:rsidRPr="00D65074" w:rsidRDefault="00D65074" w:rsidP="00E063E1">
      <w:pPr>
        <w:spacing w:after="0" w:line="240" w:lineRule="auto"/>
        <w:jc w:val="both"/>
        <w:rPr>
          <w:rFonts w:ascii="Arial" w:eastAsia="Times New Roman" w:hAnsi="Arial" w:cs="Arial"/>
          <w:sz w:val="24"/>
          <w:szCs w:val="24"/>
          <w:lang w:val="es-ES" w:eastAsia="es-ES"/>
        </w:rPr>
      </w:pPr>
      <w:r w:rsidRPr="00D65074">
        <w:rPr>
          <w:rFonts w:ascii="Arial" w:eastAsia="Times New Roman" w:hAnsi="Arial" w:cs="Arial"/>
          <w:sz w:val="24"/>
          <w:szCs w:val="24"/>
          <w:lang w:val="es-ES" w:eastAsia="es-ES"/>
        </w:rPr>
        <w:t>Este</w:t>
      </w:r>
      <w:r w:rsidR="00E063E1" w:rsidRPr="00D65074">
        <w:rPr>
          <w:rFonts w:ascii="Arial" w:eastAsia="Times New Roman" w:hAnsi="Arial" w:cs="Arial"/>
          <w:sz w:val="24"/>
          <w:szCs w:val="24"/>
          <w:lang w:val="es-ES" w:eastAsia="es-ES"/>
        </w:rPr>
        <w:t xml:space="preserve"> enfoque</w:t>
      </w:r>
      <w:r w:rsidRPr="00D65074">
        <w:rPr>
          <w:rFonts w:ascii="Arial" w:eastAsia="Times New Roman" w:hAnsi="Arial" w:cs="Arial"/>
          <w:sz w:val="24"/>
          <w:szCs w:val="24"/>
          <w:lang w:val="es-ES" w:eastAsia="es-ES"/>
        </w:rPr>
        <w:t xml:space="preserve"> transversal del presupuesto se refleja en la Clave Presupuestaria 2018</w:t>
      </w:r>
      <w:r w:rsidR="00E063E1" w:rsidRPr="00D65074">
        <w:rPr>
          <w:rFonts w:ascii="Arial" w:eastAsia="Times New Roman" w:hAnsi="Arial" w:cs="Arial"/>
          <w:sz w:val="24"/>
          <w:szCs w:val="24"/>
          <w:lang w:val="es-ES" w:eastAsia="es-ES"/>
        </w:rPr>
        <w:t>, lo que permitirá darle un seguimiento puntual al ejercicio del gasto en general y el derivado de la referida transversalidad.</w:t>
      </w:r>
    </w:p>
    <w:p w:rsidR="00E063E1" w:rsidRPr="00F8671B" w:rsidRDefault="00E063E1" w:rsidP="00E063E1">
      <w:pPr>
        <w:spacing w:after="0" w:line="240" w:lineRule="auto"/>
        <w:jc w:val="both"/>
        <w:rPr>
          <w:rFonts w:ascii="Arial" w:eastAsia="Times New Roman" w:hAnsi="Arial" w:cs="Arial"/>
          <w:sz w:val="24"/>
          <w:szCs w:val="24"/>
          <w:highlight w:val="yellow"/>
          <w:lang w:val="es-ES" w:eastAsia="es-ES"/>
        </w:rPr>
      </w:pPr>
    </w:p>
    <w:p w:rsidR="00E063E1" w:rsidRDefault="00E063E1" w:rsidP="0071065E">
      <w:pPr>
        <w:spacing w:after="0" w:line="240" w:lineRule="auto"/>
        <w:jc w:val="both"/>
        <w:rPr>
          <w:rFonts w:ascii="Arial" w:eastAsia="Times New Roman" w:hAnsi="Arial" w:cs="Arial"/>
          <w:sz w:val="24"/>
          <w:szCs w:val="24"/>
          <w:lang w:val="es-ES" w:eastAsia="es-ES"/>
        </w:rPr>
      </w:pPr>
      <w:r w:rsidRPr="00D65074">
        <w:rPr>
          <w:rFonts w:ascii="Arial" w:eastAsia="Times New Roman" w:hAnsi="Arial" w:cs="Arial"/>
          <w:sz w:val="24"/>
          <w:szCs w:val="24"/>
          <w:lang w:val="es-ES" w:eastAsia="es-ES"/>
        </w:rPr>
        <w:t>Especialmente el tema de atención a la Igualdad entre Mujeres y Hombres reviste una prioridad fundamental, habiéndose etiquetado mayores recursos con perspectiva de género y para la atención a la violencia de género con la finalidad de fortalecer las instituciones encargadas de la atención y procuración de justicia para las mujeres en situación de violencia.</w:t>
      </w:r>
    </w:p>
    <w:p w:rsidR="0071065E" w:rsidRDefault="0071065E" w:rsidP="0071065E">
      <w:pPr>
        <w:spacing w:after="0" w:line="240" w:lineRule="auto"/>
        <w:jc w:val="both"/>
        <w:rPr>
          <w:rFonts w:ascii="Arial" w:eastAsia="Times New Roman" w:hAnsi="Arial" w:cs="Arial"/>
          <w:sz w:val="24"/>
          <w:szCs w:val="24"/>
          <w:lang w:val="es-ES" w:eastAsia="es-ES"/>
        </w:rPr>
      </w:pPr>
    </w:p>
    <w:p w:rsidR="00F974A0" w:rsidRDefault="00F974A0" w:rsidP="0071065E">
      <w:pPr>
        <w:spacing w:after="0" w:line="240" w:lineRule="auto"/>
        <w:jc w:val="both"/>
        <w:rPr>
          <w:rFonts w:ascii="Arial" w:eastAsia="Times New Roman" w:hAnsi="Arial" w:cs="Arial"/>
          <w:sz w:val="24"/>
          <w:szCs w:val="24"/>
          <w:lang w:val="es-ES" w:eastAsia="es-ES"/>
        </w:rPr>
      </w:pPr>
      <w:r w:rsidRPr="00104C12">
        <w:rPr>
          <w:rFonts w:ascii="Arial" w:eastAsia="Times New Roman" w:hAnsi="Arial" w:cs="Arial"/>
          <w:sz w:val="24"/>
          <w:szCs w:val="24"/>
          <w:lang w:val="es-ES" w:eastAsia="es-ES"/>
        </w:rPr>
        <w:t xml:space="preserve">La presente administración asume con responsabilidad la atención a los resolutivos de la referida Declaratoria de Alerta de Violencia de Género </w:t>
      </w:r>
      <w:r w:rsidR="007F4D7A" w:rsidRPr="00104C12">
        <w:rPr>
          <w:rFonts w:ascii="Arial" w:eastAsia="Times New Roman" w:hAnsi="Arial" w:cs="Arial"/>
          <w:sz w:val="24"/>
          <w:szCs w:val="24"/>
          <w:lang w:val="es-ES" w:eastAsia="es-ES"/>
        </w:rPr>
        <w:t xml:space="preserve">Contra </w:t>
      </w:r>
      <w:r w:rsidRPr="00104C12">
        <w:rPr>
          <w:rFonts w:ascii="Arial" w:eastAsia="Times New Roman" w:hAnsi="Arial" w:cs="Arial"/>
          <w:sz w:val="24"/>
          <w:szCs w:val="24"/>
          <w:lang w:val="es-ES" w:eastAsia="es-ES"/>
        </w:rPr>
        <w:t xml:space="preserve">las </w:t>
      </w:r>
      <w:r w:rsidR="007F4D7A" w:rsidRPr="00104C12">
        <w:rPr>
          <w:rFonts w:ascii="Arial" w:eastAsia="Times New Roman" w:hAnsi="Arial" w:cs="Arial"/>
          <w:sz w:val="24"/>
          <w:szCs w:val="24"/>
          <w:lang w:val="es-ES" w:eastAsia="es-ES"/>
        </w:rPr>
        <w:t xml:space="preserve">Mujeres </w:t>
      </w:r>
      <w:r w:rsidRPr="00104C12">
        <w:rPr>
          <w:rFonts w:ascii="Arial" w:eastAsia="Times New Roman" w:hAnsi="Arial" w:cs="Arial"/>
          <w:sz w:val="24"/>
          <w:szCs w:val="24"/>
          <w:lang w:val="es-ES" w:eastAsia="es-ES"/>
        </w:rPr>
        <w:t>de</w:t>
      </w:r>
      <w:r w:rsidR="00104C12">
        <w:rPr>
          <w:rFonts w:ascii="Arial" w:eastAsia="Times New Roman" w:hAnsi="Arial" w:cs="Arial"/>
          <w:sz w:val="24"/>
          <w:szCs w:val="24"/>
          <w:lang w:val="es-ES" w:eastAsia="es-ES"/>
        </w:rPr>
        <w:t xml:space="preserve">l </w:t>
      </w:r>
      <w:r w:rsidR="00245EB5">
        <w:rPr>
          <w:rFonts w:ascii="Arial" w:eastAsia="Times New Roman" w:hAnsi="Arial" w:cs="Arial"/>
          <w:sz w:val="24"/>
          <w:szCs w:val="24"/>
          <w:lang w:val="es-ES" w:eastAsia="es-ES"/>
        </w:rPr>
        <w:t>Estado de Colima</w:t>
      </w:r>
      <w:r w:rsidRPr="00104C12">
        <w:rPr>
          <w:rFonts w:ascii="Arial" w:eastAsia="Times New Roman" w:hAnsi="Arial" w:cs="Arial"/>
          <w:sz w:val="24"/>
          <w:szCs w:val="24"/>
          <w:lang w:val="es-ES" w:eastAsia="es-ES"/>
        </w:rPr>
        <w:t xml:space="preserve"> y adoptó las acciones necesarias para ejecutar las medidas de seguridad, prevención, justicia y reparación y de todas aquellas reque</w:t>
      </w:r>
      <w:r w:rsidR="00F27058" w:rsidRPr="00104C12">
        <w:rPr>
          <w:rFonts w:ascii="Arial" w:eastAsia="Times New Roman" w:hAnsi="Arial" w:cs="Arial"/>
          <w:sz w:val="24"/>
          <w:szCs w:val="24"/>
          <w:lang w:val="es-ES" w:eastAsia="es-ES"/>
        </w:rPr>
        <w:t>ri</w:t>
      </w:r>
      <w:r w:rsidRPr="00104C12">
        <w:rPr>
          <w:rFonts w:ascii="Arial" w:eastAsia="Times New Roman" w:hAnsi="Arial" w:cs="Arial"/>
          <w:sz w:val="24"/>
          <w:szCs w:val="24"/>
          <w:lang w:val="es-ES" w:eastAsia="es-ES"/>
        </w:rPr>
        <w:t>da</w:t>
      </w:r>
      <w:r w:rsidR="007F4D7A" w:rsidRPr="00104C12">
        <w:rPr>
          <w:rFonts w:ascii="Arial" w:eastAsia="Times New Roman" w:hAnsi="Arial" w:cs="Arial"/>
          <w:sz w:val="24"/>
          <w:szCs w:val="24"/>
          <w:lang w:val="es-ES" w:eastAsia="es-ES"/>
        </w:rPr>
        <w:t>s</w:t>
      </w:r>
      <w:r w:rsidRPr="00104C12">
        <w:rPr>
          <w:rFonts w:ascii="Arial" w:eastAsia="Times New Roman" w:hAnsi="Arial" w:cs="Arial"/>
          <w:sz w:val="24"/>
          <w:szCs w:val="24"/>
          <w:lang w:val="es-ES" w:eastAsia="es-ES"/>
        </w:rPr>
        <w:t xml:space="preserve"> para garantizar a las mujeres y niñas el derecho a viv</w:t>
      </w:r>
      <w:r w:rsidR="00104C12">
        <w:rPr>
          <w:rFonts w:ascii="Arial" w:eastAsia="Times New Roman" w:hAnsi="Arial" w:cs="Arial"/>
          <w:sz w:val="24"/>
          <w:szCs w:val="24"/>
          <w:lang w:val="es-ES" w:eastAsia="es-ES"/>
        </w:rPr>
        <w:t xml:space="preserve">ir una vida libre de violencia. </w:t>
      </w:r>
      <w:r w:rsidRPr="00104C12">
        <w:rPr>
          <w:rFonts w:ascii="Arial" w:eastAsia="Times New Roman" w:hAnsi="Arial" w:cs="Arial"/>
          <w:sz w:val="24"/>
          <w:szCs w:val="24"/>
          <w:lang w:val="es-ES" w:eastAsia="es-ES"/>
        </w:rPr>
        <w:t>Dichas medidas son complementaria</w:t>
      </w:r>
      <w:r w:rsidR="00F27058" w:rsidRPr="00104C12">
        <w:rPr>
          <w:rFonts w:ascii="Arial" w:eastAsia="Times New Roman" w:hAnsi="Arial" w:cs="Arial"/>
          <w:sz w:val="24"/>
          <w:szCs w:val="24"/>
          <w:lang w:val="es-ES" w:eastAsia="es-ES"/>
        </w:rPr>
        <w:t>s</w:t>
      </w:r>
      <w:r w:rsidRPr="00104C12">
        <w:rPr>
          <w:rFonts w:ascii="Arial" w:eastAsia="Times New Roman" w:hAnsi="Arial" w:cs="Arial"/>
          <w:sz w:val="24"/>
          <w:szCs w:val="24"/>
          <w:lang w:val="es-ES" w:eastAsia="es-ES"/>
        </w:rPr>
        <w:t xml:space="preserve"> y no excluyentes a las propuestas emitidas por el grupo de trabajo mencionado en supra líneas</w:t>
      </w:r>
      <w:r w:rsidR="00104C12">
        <w:rPr>
          <w:rFonts w:ascii="Arial" w:eastAsia="Times New Roman" w:hAnsi="Arial" w:cs="Arial"/>
          <w:sz w:val="24"/>
          <w:szCs w:val="24"/>
          <w:lang w:val="es-ES" w:eastAsia="es-ES"/>
        </w:rPr>
        <w:t>.</w:t>
      </w:r>
    </w:p>
    <w:p w:rsidR="0071065E" w:rsidRPr="00D65074" w:rsidRDefault="0071065E" w:rsidP="0071065E">
      <w:pPr>
        <w:spacing w:after="0" w:line="240" w:lineRule="auto"/>
        <w:jc w:val="both"/>
        <w:rPr>
          <w:rFonts w:ascii="Arial" w:eastAsia="Times New Roman" w:hAnsi="Arial" w:cs="Arial"/>
          <w:sz w:val="24"/>
          <w:szCs w:val="24"/>
          <w:lang w:val="es-ES" w:eastAsia="es-ES"/>
        </w:rPr>
      </w:pPr>
    </w:p>
    <w:p w:rsidR="00E063E1" w:rsidRDefault="00E063E1" w:rsidP="003551A5">
      <w:pPr>
        <w:spacing w:after="0" w:line="240" w:lineRule="auto"/>
        <w:jc w:val="both"/>
        <w:rPr>
          <w:rFonts w:ascii="Arial" w:hAnsi="Arial" w:cs="Arial"/>
          <w:sz w:val="24"/>
          <w:szCs w:val="24"/>
        </w:rPr>
      </w:pPr>
      <w:r w:rsidRPr="006902AC">
        <w:rPr>
          <w:rFonts w:ascii="Arial" w:hAnsi="Arial" w:cs="Arial"/>
          <w:sz w:val="24"/>
          <w:szCs w:val="24"/>
        </w:rPr>
        <w:t>Aplicando</w:t>
      </w:r>
      <w:r w:rsidR="006902AC" w:rsidRPr="006902AC">
        <w:rPr>
          <w:rFonts w:ascii="Arial" w:hAnsi="Arial" w:cs="Arial"/>
          <w:sz w:val="24"/>
          <w:szCs w:val="24"/>
        </w:rPr>
        <w:t xml:space="preserve"> la metodología propuesta por el</w:t>
      </w:r>
      <w:r w:rsidRPr="006902AC">
        <w:rPr>
          <w:rFonts w:ascii="Arial" w:hAnsi="Arial" w:cs="Arial"/>
          <w:sz w:val="24"/>
          <w:szCs w:val="24"/>
        </w:rPr>
        <w:t xml:space="preserve"> </w:t>
      </w:r>
      <w:r w:rsidR="006902AC" w:rsidRPr="006902AC">
        <w:rPr>
          <w:rFonts w:ascii="Arial" w:hAnsi="Arial" w:cs="Arial"/>
          <w:sz w:val="24"/>
          <w:szCs w:val="24"/>
        </w:rPr>
        <w:t>Fondo de las Naciones Unidas para la Infancia (UNICEF)</w:t>
      </w:r>
      <w:r w:rsidRPr="006902AC">
        <w:rPr>
          <w:rFonts w:ascii="Arial" w:hAnsi="Arial" w:cs="Arial"/>
          <w:sz w:val="24"/>
          <w:szCs w:val="24"/>
        </w:rPr>
        <w:t>, incluimos en el proyecto de presupuesto las previsiones de gasto a la atención de la niñez, para identificar y cuantificar el gasto público para la infancia a fin de establecer la proporción de recursos dirigidos a este grupo de población.</w:t>
      </w:r>
    </w:p>
    <w:p w:rsidR="003551A5" w:rsidRPr="006902AC" w:rsidRDefault="003551A5" w:rsidP="003551A5">
      <w:pPr>
        <w:spacing w:after="0" w:line="240" w:lineRule="auto"/>
        <w:jc w:val="both"/>
        <w:rPr>
          <w:rFonts w:ascii="Arial" w:hAnsi="Arial" w:cs="Arial"/>
          <w:sz w:val="24"/>
          <w:szCs w:val="24"/>
        </w:rPr>
      </w:pPr>
    </w:p>
    <w:p w:rsidR="00E063E1" w:rsidRDefault="006902AC" w:rsidP="003551A5">
      <w:pPr>
        <w:pStyle w:val="Texto"/>
        <w:spacing w:after="0" w:line="240" w:lineRule="auto"/>
        <w:ind w:firstLine="0"/>
        <w:rPr>
          <w:color w:val="000000"/>
          <w:sz w:val="24"/>
          <w:szCs w:val="24"/>
        </w:rPr>
      </w:pPr>
      <w:r w:rsidRPr="006902AC">
        <w:rPr>
          <w:color w:val="000000"/>
          <w:sz w:val="24"/>
          <w:szCs w:val="24"/>
        </w:rPr>
        <w:t xml:space="preserve">La UNICEF </w:t>
      </w:r>
      <w:r w:rsidR="00E063E1" w:rsidRPr="006902AC">
        <w:rPr>
          <w:color w:val="000000"/>
          <w:sz w:val="24"/>
          <w:szCs w:val="24"/>
        </w:rPr>
        <w:t>propone el desarrollo de anexos transversales en todos los presupuestos de egresos estatales con el fin de orientar el ejercicio de los recursos públicos bajo el enfoque de derechos y contar con herramientas que favorezcan la igualdad de oportunidades y garanticen el bienestar de la niñez.</w:t>
      </w:r>
    </w:p>
    <w:p w:rsidR="003A0168" w:rsidRPr="007E6A7F" w:rsidRDefault="003A0168" w:rsidP="003551A5">
      <w:pPr>
        <w:pStyle w:val="Texto"/>
        <w:spacing w:after="0" w:line="240" w:lineRule="auto"/>
        <w:ind w:firstLine="0"/>
        <w:rPr>
          <w:sz w:val="24"/>
          <w:szCs w:val="24"/>
        </w:rPr>
      </w:pPr>
    </w:p>
    <w:p w:rsidR="00E063E1" w:rsidRDefault="00E063E1" w:rsidP="00E063E1">
      <w:pPr>
        <w:pStyle w:val="Texto"/>
        <w:spacing w:after="0" w:line="240" w:lineRule="auto"/>
        <w:ind w:firstLine="0"/>
        <w:rPr>
          <w:sz w:val="24"/>
          <w:szCs w:val="24"/>
        </w:rPr>
      </w:pPr>
      <w:r w:rsidRPr="006902AC">
        <w:rPr>
          <w:sz w:val="24"/>
          <w:szCs w:val="24"/>
        </w:rPr>
        <w:t xml:space="preserve">Incorporamos en la distribución del </w:t>
      </w:r>
      <w:r w:rsidR="00F27058" w:rsidRPr="006902AC">
        <w:rPr>
          <w:sz w:val="24"/>
          <w:szCs w:val="24"/>
        </w:rPr>
        <w:t>Anexo</w:t>
      </w:r>
      <w:r w:rsidR="00F27058" w:rsidRPr="006902AC">
        <w:t xml:space="preserve"> </w:t>
      </w:r>
      <w:r w:rsidR="00F27058" w:rsidRPr="006902AC">
        <w:rPr>
          <w:sz w:val="24"/>
          <w:szCs w:val="24"/>
        </w:rPr>
        <w:t>Enfoque Transversal del Presupuesto,</w:t>
      </w:r>
      <w:r w:rsidRPr="006902AC">
        <w:rPr>
          <w:sz w:val="24"/>
          <w:szCs w:val="24"/>
        </w:rPr>
        <w:t xml:space="preserve"> los grupos de derechos para la atención de las niñas, niños y adolescentes con el </w:t>
      </w:r>
      <w:r w:rsidRPr="006902AC">
        <w:rPr>
          <w:sz w:val="24"/>
          <w:szCs w:val="24"/>
        </w:rPr>
        <w:lastRenderedPageBreak/>
        <w:t>fin de fortalecer la transparencia y los mecanismos de rendición de cuentas para la planeación y ej</w:t>
      </w:r>
      <w:r w:rsidR="0071065E">
        <w:rPr>
          <w:sz w:val="24"/>
          <w:szCs w:val="24"/>
        </w:rPr>
        <w:t xml:space="preserve">ecución del gasto en infancia. </w:t>
      </w:r>
      <w:r w:rsidRPr="006902AC">
        <w:rPr>
          <w:sz w:val="24"/>
          <w:szCs w:val="24"/>
        </w:rPr>
        <w:t>Este es un precedente para el desarrollo de políticas sociales integrales y articuladas para la atención de dicho sector.</w:t>
      </w:r>
    </w:p>
    <w:p w:rsidR="006902AC" w:rsidRPr="006902AC" w:rsidRDefault="006902AC" w:rsidP="00E063E1">
      <w:pPr>
        <w:pStyle w:val="Texto"/>
        <w:spacing w:after="0" w:line="240" w:lineRule="auto"/>
        <w:ind w:firstLine="0"/>
        <w:rPr>
          <w:sz w:val="24"/>
          <w:szCs w:val="24"/>
        </w:rPr>
      </w:pPr>
    </w:p>
    <w:p w:rsidR="00E063E1" w:rsidRDefault="00E063E1" w:rsidP="007E6A7F">
      <w:pPr>
        <w:spacing w:after="0" w:line="240" w:lineRule="auto"/>
        <w:jc w:val="both"/>
        <w:rPr>
          <w:rFonts w:ascii="Arial" w:hAnsi="Arial" w:cs="Arial"/>
          <w:sz w:val="24"/>
          <w:szCs w:val="24"/>
        </w:rPr>
      </w:pPr>
      <w:r w:rsidRPr="006902AC">
        <w:rPr>
          <w:rFonts w:ascii="Arial" w:hAnsi="Arial" w:cs="Arial"/>
          <w:sz w:val="24"/>
          <w:szCs w:val="24"/>
        </w:rPr>
        <w:t xml:space="preserve">En congruencia con lo anterior y a partir de los elementos previamente señalados, </w:t>
      </w:r>
      <w:r w:rsidR="00F27058" w:rsidRPr="006902AC">
        <w:rPr>
          <w:rFonts w:ascii="Arial" w:hAnsi="Arial" w:cs="Arial"/>
          <w:sz w:val="24"/>
          <w:szCs w:val="24"/>
        </w:rPr>
        <w:t xml:space="preserve">dicho Enfoque </w:t>
      </w:r>
      <w:r w:rsidRPr="006902AC">
        <w:rPr>
          <w:rFonts w:ascii="Arial" w:hAnsi="Arial" w:cs="Arial"/>
          <w:sz w:val="24"/>
          <w:szCs w:val="24"/>
        </w:rPr>
        <w:t>Transversal se desagregó de la siguiente manera:</w:t>
      </w:r>
    </w:p>
    <w:p w:rsidR="007E6A7F" w:rsidRDefault="007E6A7F" w:rsidP="007E6A7F">
      <w:pPr>
        <w:spacing w:after="0" w:line="240" w:lineRule="auto"/>
        <w:jc w:val="both"/>
        <w:rPr>
          <w:rFonts w:ascii="Arial" w:hAnsi="Arial" w:cs="Arial"/>
          <w:sz w:val="24"/>
          <w:szCs w:val="24"/>
        </w:rPr>
      </w:pPr>
    </w:p>
    <w:p w:rsidR="00586826" w:rsidRDefault="00586826" w:rsidP="00E063E1">
      <w:pPr>
        <w:spacing w:line="240" w:lineRule="auto"/>
        <w:jc w:val="both"/>
        <w:rPr>
          <w:rFonts w:ascii="Arial" w:hAnsi="Arial" w:cs="Arial"/>
          <w:sz w:val="24"/>
          <w:szCs w:val="24"/>
        </w:rPr>
      </w:pPr>
      <w:r w:rsidRPr="00F12D29">
        <w:rPr>
          <w:noProof/>
          <w:lang w:val="es-ES" w:eastAsia="es-ES"/>
        </w:rPr>
        <w:drawing>
          <wp:inline distT="0" distB="0" distL="0" distR="0">
            <wp:extent cx="5612130" cy="49867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986731"/>
                    </a:xfrm>
                    <a:prstGeom prst="rect">
                      <a:avLst/>
                    </a:prstGeom>
                    <a:noFill/>
                    <a:ln>
                      <a:noFill/>
                    </a:ln>
                  </pic:spPr>
                </pic:pic>
              </a:graphicData>
            </a:graphic>
          </wp:inline>
        </w:drawing>
      </w:r>
    </w:p>
    <w:p w:rsidR="00E063E1" w:rsidRPr="008E1108" w:rsidRDefault="00E063E1" w:rsidP="00E063E1">
      <w:pPr>
        <w:autoSpaceDE w:val="0"/>
        <w:autoSpaceDN w:val="0"/>
        <w:adjustRightInd w:val="0"/>
        <w:spacing w:after="0" w:line="240" w:lineRule="auto"/>
        <w:jc w:val="both"/>
        <w:rPr>
          <w:rFonts w:ascii="Arial" w:hAnsi="Arial" w:cs="Arial"/>
          <w:sz w:val="24"/>
          <w:szCs w:val="24"/>
        </w:rPr>
      </w:pPr>
      <w:r w:rsidRPr="008E1108">
        <w:rPr>
          <w:rFonts w:ascii="Arial" w:hAnsi="Arial" w:cs="Arial"/>
          <w:sz w:val="24"/>
          <w:szCs w:val="24"/>
        </w:rPr>
        <w:t xml:space="preserve">Sensible a las condiciones adversas que enfrenta la economía, la presente administración promueve políticas y ejecuta acciones encaminadas a fortalecer la economía de las familias colimenses; en función de ello, se prevén recursos para </w:t>
      </w:r>
      <w:r w:rsidRPr="008E1108">
        <w:rPr>
          <w:rFonts w:ascii="Arial" w:hAnsi="Arial" w:cs="Arial"/>
          <w:sz w:val="24"/>
          <w:szCs w:val="24"/>
        </w:rPr>
        <w:lastRenderedPageBreak/>
        <w:t>continuar subsidiando el Impuesto sobre Tenencia o Uso de Vehículos Automotores.</w:t>
      </w:r>
    </w:p>
    <w:p w:rsidR="0045466C" w:rsidRPr="0071065E" w:rsidRDefault="0045466C" w:rsidP="00E063E1">
      <w:pPr>
        <w:autoSpaceDE w:val="0"/>
        <w:autoSpaceDN w:val="0"/>
        <w:adjustRightInd w:val="0"/>
        <w:spacing w:after="0" w:line="240" w:lineRule="auto"/>
        <w:jc w:val="both"/>
        <w:rPr>
          <w:rFonts w:ascii="Arial" w:hAnsi="Arial" w:cs="Arial"/>
          <w:sz w:val="24"/>
          <w:szCs w:val="24"/>
          <w:highlight w:val="yellow"/>
        </w:rPr>
      </w:pPr>
    </w:p>
    <w:p w:rsidR="00E063E1" w:rsidRPr="00DD35D1" w:rsidRDefault="00E063E1" w:rsidP="00E063E1">
      <w:pPr>
        <w:spacing w:after="0" w:line="240" w:lineRule="auto"/>
        <w:jc w:val="both"/>
        <w:rPr>
          <w:rFonts w:ascii="Arial" w:eastAsia="Times New Roman" w:hAnsi="Arial" w:cs="Arial"/>
          <w:sz w:val="24"/>
          <w:szCs w:val="24"/>
          <w:lang w:val="es-ES" w:eastAsia="es-ES"/>
        </w:rPr>
      </w:pPr>
      <w:r w:rsidRPr="00DD35D1">
        <w:rPr>
          <w:rFonts w:ascii="Arial" w:eastAsia="Times New Roman" w:hAnsi="Arial" w:cs="Arial"/>
          <w:sz w:val="24"/>
          <w:szCs w:val="24"/>
          <w:lang w:val="es-ES" w:eastAsia="es-ES"/>
        </w:rPr>
        <w:t xml:space="preserve">Asimismo, mediante la construcción de las Matrices de Indicadores para Resultados (MIR) de los </w:t>
      </w:r>
      <w:r w:rsidR="00BF5451" w:rsidRPr="00DD35D1">
        <w:rPr>
          <w:rFonts w:ascii="Arial" w:eastAsia="Times New Roman" w:hAnsi="Arial" w:cs="Arial"/>
          <w:sz w:val="24"/>
          <w:szCs w:val="24"/>
          <w:lang w:val="es-ES" w:eastAsia="es-ES"/>
        </w:rPr>
        <w:t>Programas Presupuestarios</w:t>
      </w:r>
      <w:r w:rsidR="00DD35D1" w:rsidRPr="00DD35D1">
        <w:rPr>
          <w:rFonts w:ascii="Arial" w:eastAsia="Times New Roman" w:hAnsi="Arial" w:cs="Arial"/>
          <w:sz w:val="24"/>
          <w:szCs w:val="24"/>
          <w:lang w:val="es-ES" w:eastAsia="es-ES"/>
        </w:rPr>
        <w:t xml:space="preserve"> alineados al Plan Estatal de Desarrollo a través </w:t>
      </w:r>
      <w:r w:rsidRPr="00DD35D1">
        <w:rPr>
          <w:rFonts w:ascii="Arial" w:eastAsia="Times New Roman" w:hAnsi="Arial" w:cs="Arial"/>
          <w:sz w:val="24"/>
          <w:szCs w:val="24"/>
          <w:lang w:val="es-ES" w:eastAsia="es-ES"/>
        </w:rPr>
        <w:t xml:space="preserve">de la generación de un Clasificador de </w:t>
      </w:r>
      <w:r w:rsidR="00BF5451" w:rsidRPr="00DD35D1">
        <w:rPr>
          <w:rFonts w:ascii="Arial" w:eastAsia="Times New Roman" w:hAnsi="Arial" w:cs="Arial"/>
          <w:sz w:val="24"/>
          <w:szCs w:val="24"/>
          <w:lang w:val="es-ES" w:eastAsia="es-ES"/>
        </w:rPr>
        <w:t xml:space="preserve">Enfoque </w:t>
      </w:r>
      <w:r w:rsidRPr="00DD35D1">
        <w:rPr>
          <w:rFonts w:ascii="Arial" w:eastAsia="Times New Roman" w:hAnsi="Arial" w:cs="Arial"/>
          <w:sz w:val="24"/>
          <w:szCs w:val="24"/>
          <w:lang w:val="es-ES" w:eastAsia="es-ES"/>
        </w:rPr>
        <w:t>Transversal de</w:t>
      </w:r>
      <w:r w:rsidR="00BF5451" w:rsidRPr="00DD35D1">
        <w:rPr>
          <w:rFonts w:ascii="Arial" w:eastAsia="Times New Roman" w:hAnsi="Arial" w:cs="Arial"/>
          <w:sz w:val="24"/>
          <w:szCs w:val="24"/>
          <w:lang w:val="es-ES" w:eastAsia="es-ES"/>
        </w:rPr>
        <w:t>l presupuesto</w:t>
      </w:r>
      <w:r w:rsidRPr="00DD35D1">
        <w:rPr>
          <w:rFonts w:ascii="Arial" w:eastAsia="Times New Roman" w:hAnsi="Arial" w:cs="Arial"/>
          <w:sz w:val="24"/>
          <w:szCs w:val="24"/>
          <w:lang w:val="es-ES" w:eastAsia="es-ES"/>
        </w:rPr>
        <w:t>, permite incorporar en forma automatizada la información en el Sistema Integr</w:t>
      </w:r>
      <w:r w:rsidR="00DD35D1" w:rsidRPr="00DD35D1">
        <w:rPr>
          <w:rFonts w:ascii="Arial" w:eastAsia="Times New Roman" w:hAnsi="Arial" w:cs="Arial"/>
          <w:sz w:val="24"/>
          <w:szCs w:val="24"/>
          <w:lang w:val="es-ES" w:eastAsia="es-ES"/>
        </w:rPr>
        <w:t xml:space="preserve">al de Administración Financiera, </w:t>
      </w:r>
      <w:r w:rsidRPr="00DD35D1">
        <w:rPr>
          <w:rFonts w:ascii="Arial" w:eastAsia="Times New Roman" w:hAnsi="Arial" w:cs="Arial"/>
          <w:sz w:val="24"/>
          <w:szCs w:val="24"/>
          <w:lang w:val="es-ES" w:eastAsia="es-ES"/>
        </w:rPr>
        <w:t>para poder emitir</w:t>
      </w:r>
      <w:r w:rsidR="00FE2E46" w:rsidRPr="00DD35D1">
        <w:rPr>
          <w:rFonts w:ascii="Arial" w:eastAsia="Times New Roman" w:hAnsi="Arial" w:cs="Arial"/>
          <w:sz w:val="24"/>
          <w:szCs w:val="24"/>
          <w:lang w:val="es-ES" w:eastAsia="es-ES"/>
        </w:rPr>
        <w:t xml:space="preserve">, </w:t>
      </w:r>
      <w:r w:rsidRPr="00DD35D1">
        <w:rPr>
          <w:rFonts w:ascii="Arial" w:eastAsia="Times New Roman" w:hAnsi="Arial" w:cs="Arial"/>
          <w:sz w:val="24"/>
          <w:szCs w:val="24"/>
          <w:lang w:val="es-ES" w:eastAsia="es-ES"/>
        </w:rPr>
        <w:t>además de los diferentes informes institucionale</w:t>
      </w:r>
      <w:r w:rsidR="0071065E">
        <w:rPr>
          <w:rFonts w:ascii="Arial" w:eastAsia="Times New Roman" w:hAnsi="Arial" w:cs="Arial"/>
          <w:sz w:val="24"/>
          <w:szCs w:val="24"/>
          <w:lang w:val="es-ES" w:eastAsia="es-ES"/>
        </w:rPr>
        <w:t>s a los que obliga la L</w:t>
      </w:r>
      <w:r w:rsidR="00DD35D1" w:rsidRPr="00DD35D1">
        <w:rPr>
          <w:rFonts w:ascii="Arial" w:eastAsia="Times New Roman" w:hAnsi="Arial" w:cs="Arial"/>
          <w:sz w:val="24"/>
          <w:szCs w:val="24"/>
          <w:lang w:val="es-ES" w:eastAsia="es-ES"/>
        </w:rPr>
        <w:t xml:space="preserve">ey, los informes </w:t>
      </w:r>
      <w:r w:rsidRPr="00DD35D1">
        <w:rPr>
          <w:rFonts w:ascii="Arial" w:eastAsia="Times New Roman" w:hAnsi="Arial" w:cs="Arial"/>
          <w:sz w:val="24"/>
          <w:szCs w:val="24"/>
          <w:lang w:val="es-ES" w:eastAsia="es-ES"/>
        </w:rPr>
        <w:t xml:space="preserve">en </w:t>
      </w:r>
      <w:r w:rsidR="00DD35D1" w:rsidRPr="00DD35D1">
        <w:rPr>
          <w:rFonts w:ascii="Arial" w:eastAsia="Times New Roman" w:hAnsi="Arial" w:cs="Arial"/>
          <w:sz w:val="24"/>
          <w:szCs w:val="24"/>
          <w:lang w:val="es-ES" w:eastAsia="es-ES"/>
        </w:rPr>
        <w:t xml:space="preserve">sus diferentes clasificaciones </w:t>
      </w:r>
      <w:r w:rsidRPr="00DD35D1">
        <w:rPr>
          <w:rFonts w:ascii="Arial" w:eastAsia="Times New Roman" w:hAnsi="Arial" w:cs="Arial"/>
          <w:sz w:val="24"/>
          <w:szCs w:val="24"/>
          <w:lang w:val="es-ES" w:eastAsia="es-ES"/>
        </w:rPr>
        <w:t>sobre los temas de referencia y a la vez for</w:t>
      </w:r>
      <w:r w:rsidR="00DD35D1" w:rsidRPr="00DD35D1">
        <w:rPr>
          <w:rFonts w:ascii="Arial" w:eastAsia="Times New Roman" w:hAnsi="Arial" w:cs="Arial"/>
          <w:sz w:val="24"/>
          <w:szCs w:val="24"/>
          <w:lang w:val="es-ES" w:eastAsia="es-ES"/>
        </w:rPr>
        <w:t xml:space="preserve">talecer el seguimiento puntual </w:t>
      </w:r>
      <w:r w:rsidRPr="00DD35D1">
        <w:rPr>
          <w:rFonts w:ascii="Arial" w:eastAsia="Times New Roman" w:hAnsi="Arial" w:cs="Arial"/>
          <w:sz w:val="24"/>
          <w:szCs w:val="24"/>
          <w:lang w:val="es-ES" w:eastAsia="es-ES"/>
        </w:rPr>
        <w:t>en e</w:t>
      </w:r>
      <w:r w:rsidR="0071065E">
        <w:rPr>
          <w:rFonts w:ascii="Arial" w:eastAsia="Times New Roman" w:hAnsi="Arial" w:cs="Arial"/>
          <w:sz w:val="24"/>
          <w:szCs w:val="24"/>
          <w:lang w:val="es-ES" w:eastAsia="es-ES"/>
        </w:rPr>
        <w:t>l ejercicio de dichos recursos.</w:t>
      </w:r>
    </w:p>
    <w:p w:rsidR="00E063E1" w:rsidRPr="00DD35D1" w:rsidRDefault="00E063E1" w:rsidP="00E063E1">
      <w:pPr>
        <w:spacing w:after="0" w:line="240" w:lineRule="auto"/>
        <w:jc w:val="both"/>
        <w:rPr>
          <w:rFonts w:ascii="Arial" w:eastAsia="Times New Roman" w:hAnsi="Arial" w:cs="Arial"/>
          <w:sz w:val="24"/>
          <w:szCs w:val="24"/>
          <w:lang w:val="es-ES" w:eastAsia="es-ES"/>
        </w:rPr>
      </w:pPr>
    </w:p>
    <w:p w:rsidR="00E063E1" w:rsidRPr="00641696" w:rsidRDefault="006C2F62" w:rsidP="00E063E1">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línea con e</w:t>
      </w:r>
      <w:r w:rsidR="00E063E1" w:rsidRPr="00DD35D1">
        <w:rPr>
          <w:rFonts w:ascii="Arial" w:eastAsia="Times New Roman" w:hAnsi="Arial" w:cs="Arial"/>
          <w:sz w:val="24"/>
          <w:szCs w:val="24"/>
          <w:lang w:val="es-ES" w:eastAsia="es-ES"/>
        </w:rPr>
        <w:t xml:space="preserve">l Plan Nacional de Desarrollo 2013 – 2018 del Licenciado Enrique Peña Nieto, Presidente Constitucional de los Estados Unidos Mexicanos, el presente proyecto promueve transversalmente, en todas las políticas públicas, tres estrategias: Democratizar la Productividad, Consolidar un Gobierno Cercano y </w:t>
      </w:r>
      <w:r w:rsidR="00E063E1" w:rsidRPr="00641696">
        <w:rPr>
          <w:rFonts w:ascii="Arial" w:eastAsia="Times New Roman" w:hAnsi="Arial" w:cs="Arial"/>
          <w:sz w:val="24"/>
          <w:szCs w:val="24"/>
          <w:lang w:val="es-ES" w:eastAsia="es-ES"/>
        </w:rPr>
        <w:t>Moderno, así como incorporar la Perspectiva de Género</w:t>
      </w:r>
      <w:r w:rsidR="00E063E1" w:rsidRPr="00641696">
        <w:rPr>
          <w:rFonts w:ascii="Arial" w:eastAsia="Times New Roman" w:hAnsi="Arial" w:cs="Arial"/>
          <w:sz w:val="24"/>
          <w:szCs w:val="24"/>
          <w:shd w:val="clear" w:color="auto" w:fill="FFFFFF"/>
          <w:lang w:val="es-ES" w:eastAsia="es-ES"/>
        </w:rPr>
        <w:t>.</w:t>
      </w:r>
    </w:p>
    <w:p w:rsidR="000738A7" w:rsidRPr="00641696" w:rsidRDefault="000738A7" w:rsidP="00E063E1">
      <w:pPr>
        <w:autoSpaceDE w:val="0"/>
        <w:autoSpaceDN w:val="0"/>
        <w:adjustRightInd w:val="0"/>
        <w:spacing w:after="0" w:line="240" w:lineRule="auto"/>
        <w:jc w:val="both"/>
        <w:rPr>
          <w:rFonts w:ascii="Arial" w:hAnsi="Arial" w:cs="Arial"/>
          <w:sz w:val="24"/>
          <w:szCs w:val="24"/>
        </w:rPr>
      </w:pPr>
    </w:p>
    <w:p w:rsidR="00E063E1" w:rsidRPr="003A0168" w:rsidRDefault="00E063E1" w:rsidP="00E063E1">
      <w:pPr>
        <w:autoSpaceDE w:val="0"/>
        <w:autoSpaceDN w:val="0"/>
        <w:adjustRightInd w:val="0"/>
        <w:spacing w:after="0" w:line="240" w:lineRule="auto"/>
        <w:jc w:val="both"/>
        <w:rPr>
          <w:rFonts w:ascii="Arial" w:hAnsi="Arial" w:cs="Arial"/>
          <w:b/>
          <w:sz w:val="24"/>
          <w:szCs w:val="24"/>
        </w:rPr>
      </w:pPr>
      <w:r w:rsidRPr="003A0168">
        <w:rPr>
          <w:rFonts w:ascii="Arial" w:hAnsi="Arial" w:cs="Arial"/>
          <w:b/>
          <w:sz w:val="24"/>
          <w:szCs w:val="24"/>
        </w:rPr>
        <w:t>Fuentes de Financiamiento:</w:t>
      </w:r>
    </w:p>
    <w:p w:rsidR="00E063E1" w:rsidRPr="00641696" w:rsidRDefault="00E063E1" w:rsidP="00E063E1">
      <w:pPr>
        <w:autoSpaceDE w:val="0"/>
        <w:autoSpaceDN w:val="0"/>
        <w:adjustRightInd w:val="0"/>
        <w:spacing w:after="0" w:line="240" w:lineRule="auto"/>
        <w:jc w:val="both"/>
        <w:rPr>
          <w:rFonts w:ascii="Arial" w:hAnsi="Arial" w:cs="Arial"/>
          <w:sz w:val="24"/>
          <w:szCs w:val="24"/>
        </w:rPr>
      </w:pPr>
    </w:p>
    <w:p w:rsidR="00E063E1" w:rsidRPr="00641696" w:rsidRDefault="003A0168" w:rsidP="00E063E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presente iniciativa e</w:t>
      </w:r>
      <w:r w:rsidR="00E063E1" w:rsidRPr="00641696">
        <w:rPr>
          <w:rFonts w:ascii="Arial" w:hAnsi="Arial" w:cs="Arial"/>
          <w:sz w:val="24"/>
          <w:szCs w:val="24"/>
        </w:rPr>
        <w:t xml:space="preserve">l presupuesto total se distribuye de la siguiente manera según sus Fuentes de Financiamiento: </w:t>
      </w:r>
    </w:p>
    <w:p w:rsidR="00E063E1" w:rsidRPr="00641696" w:rsidRDefault="00E063E1" w:rsidP="00E063E1">
      <w:pPr>
        <w:autoSpaceDE w:val="0"/>
        <w:autoSpaceDN w:val="0"/>
        <w:adjustRightInd w:val="0"/>
        <w:spacing w:after="0" w:line="240" w:lineRule="auto"/>
        <w:jc w:val="both"/>
        <w:rPr>
          <w:rFonts w:ascii="Arial" w:hAnsi="Arial" w:cs="Arial"/>
          <w:strike/>
          <w:sz w:val="24"/>
          <w:szCs w:val="24"/>
        </w:rPr>
      </w:pPr>
    </w:p>
    <w:p w:rsidR="00A37B76" w:rsidRPr="00641696" w:rsidRDefault="00A37B76" w:rsidP="00E063E1">
      <w:pPr>
        <w:autoSpaceDE w:val="0"/>
        <w:autoSpaceDN w:val="0"/>
        <w:adjustRightInd w:val="0"/>
        <w:spacing w:after="0" w:line="240" w:lineRule="auto"/>
        <w:jc w:val="both"/>
        <w:rPr>
          <w:rFonts w:ascii="Arial" w:hAnsi="Arial" w:cs="Arial"/>
          <w:sz w:val="24"/>
          <w:szCs w:val="24"/>
        </w:rPr>
      </w:pPr>
      <w:r w:rsidRPr="00641696">
        <w:rPr>
          <w:rFonts w:ascii="Arial" w:hAnsi="Arial" w:cs="Arial"/>
          <w:sz w:val="24"/>
          <w:szCs w:val="24"/>
        </w:rPr>
        <w:t>El 9.</w:t>
      </w:r>
      <w:r w:rsidR="00980B2D" w:rsidRPr="00641696">
        <w:rPr>
          <w:rFonts w:ascii="Arial" w:hAnsi="Arial" w:cs="Arial"/>
          <w:sz w:val="24"/>
          <w:szCs w:val="24"/>
        </w:rPr>
        <w:t>6</w:t>
      </w:r>
      <w:r w:rsidR="00E063E1" w:rsidRPr="00641696">
        <w:rPr>
          <w:rFonts w:ascii="Arial" w:hAnsi="Arial" w:cs="Arial"/>
          <w:sz w:val="24"/>
          <w:szCs w:val="24"/>
        </w:rPr>
        <w:t xml:space="preserve"> por ciento que equivale a </w:t>
      </w:r>
      <w:r w:rsidR="00980B2D" w:rsidRPr="00641696">
        <w:rPr>
          <w:rFonts w:ascii="Arial" w:hAnsi="Arial" w:cs="Arial"/>
          <w:sz w:val="24"/>
          <w:szCs w:val="24"/>
        </w:rPr>
        <w:t>1,605.5</w:t>
      </w:r>
      <w:r w:rsidR="00E063E1" w:rsidRPr="00641696">
        <w:rPr>
          <w:rFonts w:ascii="Arial" w:hAnsi="Arial" w:cs="Arial"/>
          <w:sz w:val="24"/>
          <w:szCs w:val="24"/>
        </w:rPr>
        <w:t xml:space="preserve"> millones de pesos, será financia</w:t>
      </w:r>
      <w:r w:rsidRPr="00641696">
        <w:rPr>
          <w:rFonts w:ascii="Arial" w:hAnsi="Arial" w:cs="Arial"/>
          <w:sz w:val="24"/>
          <w:szCs w:val="24"/>
        </w:rPr>
        <w:t xml:space="preserve">do con Ingresos locales; el </w:t>
      </w:r>
      <w:r w:rsidR="00980B2D" w:rsidRPr="00641696">
        <w:rPr>
          <w:rFonts w:ascii="Arial" w:hAnsi="Arial" w:cs="Arial"/>
          <w:sz w:val="24"/>
          <w:szCs w:val="24"/>
        </w:rPr>
        <w:t>29.3</w:t>
      </w:r>
      <w:r w:rsidR="00D3023D" w:rsidRPr="00641696">
        <w:rPr>
          <w:rFonts w:ascii="Arial" w:hAnsi="Arial" w:cs="Arial"/>
          <w:sz w:val="24"/>
          <w:szCs w:val="24"/>
        </w:rPr>
        <w:t xml:space="preserve"> </w:t>
      </w:r>
      <w:r w:rsidR="00E063E1" w:rsidRPr="00641696">
        <w:rPr>
          <w:rFonts w:ascii="Arial" w:hAnsi="Arial" w:cs="Arial"/>
          <w:sz w:val="24"/>
          <w:szCs w:val="24"/>
        </w:rPr>
        <w:t xml:space="preserve"> por ciento que asciende a </w:t>
      </w:r>
      <w:r w:rsidR="00D3023D" w:rsidRPr="00641696">
        <w:rPr>
          <w:rFonts w:ascii="Arial" w:hAnsi="Arial" w:cs="Arial"/>
          <w:sz w:val="24"/>
          <w:szCs w:val="24"/>
        </w:rPr>
        <w:t>4,898.5</w:t>
      </w:r>
      <w:r w:rsidR="00E063E1" w:rsidRPr="00641696">
        <w:rPr>
          <w:rFonts w:ascii="Arial" w:hAnsi="Arial" w:cs="Arial"/>
          <w:sz w:val="24"/>
          <w:szCs w:val="24"/>
        </w:rPr>
        <w:t xml:space="preserve"> millones de pesos con recursos provenie</w:t>
      </w:r>
      <w:r w:rsidRPr="00641696">
        <w:rPr>
          <w:rFonts w:ascii="Arial" w:hAnsi="Arial" w:cs="Arial"/>
          <w:sz w:val="24"/>
          <w:szCs w:val="24"/>
        </w:rPr>
        <w:t>ntes de Participaciones</w:t>
      </w:r>
      <w:r w:rsidR="00980B2D" w:rsidRPr="00641696">
        <w:rPr>
          <w:rFonts w:ascii="Arial" w:hAnsi="Arial" w:cs="Arial"/>
          <w:sz w:val="24"/>
          <w:szCs w:val="24"/>
        </w:rPr>
        <w:t>; el 34.5</w:t>
      </w:r>
      <w:r w:rsidR="00E063E1" w:rsidRPr="00641696">
        <w:rPr>
          <w:rFonts w:ascii="Arial" w:hAnsi="Arial" w:cs="Arial"/>
          <w:sz w:val="24"/>
          <w:szCs w:val="24"/>
        </w:rPr>
        <w:t xml:space="preserve"> por ciento de Fondos de Aportacio</w:t>
      </w:r>
      <w:r w:rsidRPr="00641696">
        <w:rPr>
          <w:rFonts w:ascii="Arial" w:hAnsi="Arial" w:cs="Arial"/>
          <w:sz w:val="24"/>
          <w:szCs w:val="24"/>
        </w:rPr>
        <w:t xml:space="preserve">nes del Ramo General 33; el </w:t>
      </w:r>
      <w:r w:rsidR="00ED2CF8" w:rsidRPr="00641696">
        <w:rPr>
          <w:rFonts w:ascii="Arial" w:hAnsi="Arial" w:cs="Arial"/>
          <w:sz w:val="24"/>
          <w:szCs w:val="24"/>
        </w:rPr>
        <w:t>17.2</w:t>
      </w:r>
      <w:r w:rsidR="00D3023D" w:rsidRPr="00641696">
        <w:rPr>
          <w:rFonts w:ascii="Arial" w:hAnsi="Arial" w:cs="Arial"/>
          <w:sz w:val="24"/>
          <w:szCs w:val="24"/>
        </w:rPr>
        <w:t xml:space="preserve"> </w:t>
      </w:r>
      <w:r w:rsidR="00E063E1" w:rsidRPr="00641696">
        <w:rPr>
          <w:rFonts w:ascii="Arial" w:hAnsi="Arial" w:cs="Arial"/>
          <w:sz w:val="24"/>
          <w:szCs w:val="24"/>
        </w:rPr>
        <w:t xml:space="preserve"> por ciento de Convenios susc</w:t>
      </w:r>
      <w:r w:rsidRPr="00641696">
        <w:rPr>
          <w:rFonts w:ascii="Arial" w:hAnsi="Arial" w:cs="Arial"/>
          <w:sz w:val="24"/>
          <w:szCs w:val="24"/>
        </w:rPr>
        <w:t xml:space="preserve">ritos con la Federación; y el </w:t>
      </w:r>
      <w:r w:rsidR="00ED2CF8" w:rsidRPr="00641696">
        <w:rPr>
          <w:rFonts w:ascii="Arial" w:hAnsi="Arial" w:cs="Arial"/>
          <w:sz w:val="24"/>
          <w:szCs w:val="24"/>
        </w:rPr>
        <w:t>9.4</w:t>
      </w:r>
      <w:r w:rsidR="00E063E1" w:rsidRPr="00641696">
        <w:rPr>
          <w:rFonts w:ascii="Arial" w:hAnsi="Arial" w:cs="Arial"/>
          <w:sz w:val="24"/>
          <w:szCs w:val="24"/>
        </w:rPr>
        <w:t xml:space="preserve"> por ciento proviene de Transferenc</w:t>
      </w:r>
      <w:r w:rsidR="00980B2D" w:rsidRPr="00641696">
        <w:rPr>
          <w:rFonts w:ascii="Arial" w:hAnsi="Arial" w:cs="Arial"/>
          <w:sz w:val="24"/>
          <w:szCs w:val="24"/>
        </w:rPr>
        <w:t>ias, Asignaciones, Subsidios y O</w:t>
      </w:r>
      <w:r w:rsidR="00E063E1" w:rsidRPr="00641696">
        <w:rPr>
          <w:rFonts w:ascii="Arial" w:hAnsi="Arial" w:cs="Arial"/>
          <w:sz w:val="24"/>
          <w:szCs w:val="24"/>
        </w:rPr>
        <w:t>tras Ayudas</w:t>
      </w:r>
      <w:r w:rsidRPr="00641696">
        <w:rPr>
          <w:rFonts w:ascii="Arial" w:hAnsi="Arial" w:cs="Arial"/>
          <w:sz w:val="24"/>
          <w:szCs w:val="24"/>
        </w:rPr>
        <w:t>.</w:t>
      </w:r>
    </w:p>
    <w:p w:rsidR="004C2F4B" w:rsidRPr="00641696" w:rsidRDefault="004C2F4B" w:rsidP="00E063E1">
      <w:pPr>
        <w:autoSpaceDE w:val="0"/>
        <w:autoSpaceDN w:val="0"/>
        <w:adjustRightInd w:val="0"/>
        <w:spacing w:after="0" w:line="240" w:lineRule="auto"/>
        <w:jc w:val="both"/>
        <w:rPr>
          <w:rFonts w:ascii="Arial" w:hAnsi="Arial" w:cs="Arial"/>
          <w:strike/>
          <w:sz w:val="24"/>
          <w:szCs w:val="24"/>
        </w:rPr>
      </w:pPr>
    </w:p>
    <w:p w:rsidR="000738A7" w:rsidRDefault="000738A7" w:rsidP="00E84903">
      <w:pPr>
        <w:spacing w:line="240" w:lineRule="auto"/>
        <w:jc w:val="center"/>
        <w:rPr>
          <w:rFonts w:ascii="Arial" w:hAnsi="Arial" w:cs="Arial"/>
          <w:highlight w:val="yellow"/>
        </w:rPr>
      </w:pPr>
    </w:p>
    <w:p w:rsidR="00397F37" w:rsidRDefault="00397F37" w:rsidP="00E84903">
      <w:pPr>
        <w:spacing w:line="240" w:lineRule="auto"/>
        <w:jc w:val="center"/>
        <w:rPr>
          <w:rFonts w:ascii="Arial" w:hAnsi="Arial" w:cs="Arial"/>
          <w:highlight w:val="yellow"/>
        </w:rPr>
      </w:pPr>
    </w:p>
    <w:p w:rsidR="00E063E1" w:rsidRPr="00F8671B" w:rsidRDefault="00E063E1" w:rsidP="00397F37">
      <w:pPr>
        <w:spacing w:line="240" w:lineRule="auto"/>
        <w:jc w:val="center"/>
        <w:rPr>
          <w:rFonts w:ascii="Arial" w:hAnsi="Arial" w:cs="Arial"/>
          <w:highlight w:val="yellow"/>
        </w:rPr>
      </w:pPr>
    </w:p>
    <w:p w:rsidR="00397F37" w:rsidRDefault="00397F37" w:rsidP="00397F37">
      <w:pPr>
        <w:spacing w:line="240" w:lineRule="auto"/>
        <w:jc w:val="center"/>
        <w:rPr>
          <w:highlight w:val="yellow"/>
        </w:rPr>
      </w:pPr>
    </w:p>
    <w:p w:rsidR="00EF0C56" w:rsidRDefault="00EF0C56" w:rsidP="00397F37">
      <w:pPr>
        <w:spacing w:line="240" w:lineRule="auto"/>
        <w:jc w:val="center"/>
        <w:rPr>
          <w:highlight w:val="yellow"/>
        </w:rPr>
      </w:pPr>
    </w:p>
    <w:p w:rsidR="00B675B5" w:rsidRDefault="00B675B5" w:rsidP="00397F37">
      <w:pPr>
        <w:spacing w:line="240" w:lineRule="auto"/>
        <w:jc w:val="center"/>
        <w:rPr>
          <w:highlight w:val="yellow"/>
        </w:rPr>
      </w:pPr>
      <w:r w:rsidRPr="00641696">
        <w:rPr>
          <w:noProof/>
          <w:lang w:val="es-ES" w:eastAsia="es-ES"/>
        </w:rPr>
        <w:lastRenderedPageBreak/>
        <w:drawing>
          <wp:inline distT="0" distB="0" distL="0" distR="0">
            <wp:extent cx="5577205" cy="3019425"/>
            <wp:effectExtent l="0" t="0" r="444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949" cy="3027407"/>
                    </a:xfrm>
                    <a:prstGeom prst="rect">
                      <a:avLst/>
                    </a:prstGeom>
                    <a:noFill/>
                    <a:ln>
                      <a:noFill/>
                    </a:ln>
                  </pic:spPr>
                </pic:pic>
              </a:graphicData>
            </a:graphic>
          </wp:inline>
        </w:drawing>
      </w:r>
    </w:p>
    <w:p w:rsidR="0040746B" w:rsidRDefault="0040746B" w:rsidP="00902A4A">
      <w:pPr>
        <w:spacing w:after="0" w:line="240" w:lineRule="auto"/>
        <w:rPr>
          <w:rFonts w:ascii="Arial" w:hAnsi="Arial" w:cs="Arial"/>
          <w:highlight w:val="yellow"/>
        </w:rPr>
      </w:pPr>
    </w:p>
    <w:p w:rsidR="00B675B5" w:rsidRPr="00F8671B" w:rsidRDefault="00B675B5" w:rsidP="00B675B5">
      <w:pPr>
        <w:spacing w:line="240" w:lineRule="auto"/>
        <w:jc w:val="center"/>
        <w:rPr>
          <w:rFonts w:ascii="Arial" w:hAnsi="Arial" w:cs="Arial"/>
          <w:highlight w:val="yellow"/>
        </w:rPr>
      </w:pPr>
      <w:r w:rsidRPr="00641696">
        <w:rPr>
          <w:noProof/>
          <w:lang w:val="es-ES" w:eastAsia="es-ES"/>
        </w:rPr>
        <w:drawing>
          <wp:inline distT="0" distB="0" distL="0" distR="0">
            <wp:extent cx="5110013" cy="305752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a:extLst>
                        <a:ext uri="{28A0092B-C50C-407E-A947-70E740481C1C}">
                          <a14:useLocalDpi xmlns:a14="http://schemas.microsoft.com/office/drawing/2010/main" val="0"/>
                        </a:ext>
                      </a:extLst>
                    </a:blip>
                    <a:srcRect r="17298"/>
                    <a:stretch/>
                  </pic:blipFill>
                  <pic:spPr bwMode="auto">
                    <a:xfrm>
                      <a:off x="0" y="0"/>
                      <a:ext cx="5135581" cy="3072823"/>
                    </a:xfrm>
                    <a:prstGeom prst="rect">
                      <a:avLst/>
                    </a:prstGeom>
                    <a:noFill/>
                    <a:ln>
                      <a:noFill/>
                    </a:ln>
                    <a:extLst>
                      <a:ext uri="{53640926-AAD7-44D8-BBD7-CCE9431645EC}">
                        <a14:shadowObscured xmlns:a14="http://schemas.microsoft.com/office/drawing/2010/main"/>
                      </a:ext>
                    </a:extLst>
                  </pic:spPr>
                </pic:pic>
              </a:graphicData>
            </a:graphic>
          </wp:inline>
        </w:drawing>
      </w:r>
    </w:p>
    <w:p w:rsidR="000738A7" w:rsidRPr="00641696" w:rsidRDefault="00E063E1" w:rsidP="00E84903">
      <w:pPr>
        <w:spacing w:after="0" w:line="240" w:lineRule="auto"/>
        <w:jc w:val="both"/>
        <w:rPr>
          <w:rFonts w:ascii="Arial" w:hAnsi="Arial" w:cs="Arial"/>
        </w:rPr>
      </w:pPr>
      <w:r w:rsidRPr="00641696">
        <w:rPr>
          <w:rFonts w:ascii="Arial" w:hAnsi="Arial" w:cs="Arial"/>
          <w:sz w:val="24"/>
          <w:szCs w:val="24"/>
        </w:rPr>
        <w:t>En cuanto al origen de las Fuentes de F</w:t>
      </w:r>
      <w:r w:rsidR="005F37FE" w:rsidRPr="00641696">
        <w:rPr>
          <w:rFonts w:ascii="Arial" w:hAnsi="Arial" w:cs="Arial"/>
          <w:sz w:val="24"/>
          <w:szCs w:val="24"/>
        </w:rPr>
        <w:t xml:space="preserve">inanciamiento del gasto, el </w:t>
      </w:r>
      <w:r w:rsidR="00980B2D" w:rsidRPr="00641696">
        <w:rPr>
          <w:rFonts w:ascii="Arial" w:hAnsi="Arial" w:cs="Arial"/>
          <w:sz w:val="24"/>
          <w:szCs w:val="24"/>
        </w:rPr>
        <w:t>38.9</w:t>
      </w:r>
      <w:r w:rsidRPr="00641696">
        <w:rPr>
          <w:rFonts w:ascii="Arial" w:hAnsi="Arial" w:cs="Arial"/>
          <w:sz w:val="24"/>
          <w:szCs w:val="24"/>
        </w:rPr>
        <w:t xml:space="preserve"> por ciento proviene de Ingresos Lo</w:t>
      </w:r>
      <w:r w:rsidR="005F37FE" w:rsidRPr="00641696">
        <w:rPr>
          <w:rFonts w:ascii="Arial" w:hAnsi="Arial" w:cs="Arial"/>
          <w:sz w:val="24"/>
          <w:szCs w:val="24"/>
        </w:rPr>
        <w:t xml:space="preserve">cales y Participaciones; el </w:t>
      </w:r>
      <w:r w:rsidR="00980B2D" w:rsidRPr="00641696">
        <w:rPr>
          <w:rFonts w:ascii="Arial" w:hAnsi="Arial" w:cs="Arial"/>
          <w:sz w:val="24"/>
          <w:szCs w:val="24"/>
        </w:rPr>
        <w:t>61.1</w:t>
      </w:r>
      <w:r w:rsidRPr="00641696">
        <w:rPr>
          <w:rFonts w:ascii="Arial" w:hAnsi="Arial" w:cs="Arial"/>
          <w:sz w:val="24"/>
          <w:szCs w:val="24"/>
        </w:rPr>
        <w:t xml:space="preserve"> por ciento de Recursos </w:t>
      </w:r>
      <w:r w:rsidRPr="00641696">
        <w:rPr>
          <w:rFonts w:ascii="Arial" w:hAnsi="Arial" w:cs="Arial"/>
          <w:sz w:val="24"/>
          <w:szCs w:val="24"/>
        </w:rPr>
        <w:lastRenderedPageBreak/>
        <w:t>Federales, los cuales se conforman de las Aportaciones del Ramo 33, Convenios, Transferencias, Asignac</w:t>
      </w:r>
      <w:r w:rsidR="00980B2D" w:rsidRPr="00641696">
        <w:rPr>
          <w:rFonts w:ascii="Arial" w:hAnsi="Arial" w:cs="Arial"/>
          <w:sz w:val="24"/>
          <w:szCs w:val="24"/>
        </w:rPr>
        <w:t>iones, Subsidios y O</w:t>
      </w:r>
      <w:r w:rsidR="005F37FE" w:rsidRPr="00641696">
        <w:rPr>
          <w:rFonts w:ascii="Arial" w:hAnsi="Arial" w:cs="Arial"/>
          <w:sz w:val="24"/>
          <w:szCs w:val="24"/>
        </w:rPr>
        <w:t>tras Ayudas.</w:t>
      </w:r>
      <w:r w:rsidRPr="00641696">
        <w:rPr>
          <w:rFonts w:ascii="Arial" w:hAnsi="Arial" w:cs="Arial"/>
          <w:sz w:val="24"/>
          <w:szCs w:val="24"/>
        </w:rPr>
        <w:t xml:space="preserve"> </w:t>
      </w:r>
    </w:p>
    <w:p w:rsidR="00E84903" w:rsidRPr="00B93EB0" w:rsidRDefault="00E84903" w:rsidP="00E84903">
      <w:pPr>
        <w:spacing w:after="0" w:line="240" w:lineRule="auto"/>
        <w:jc w:val="both"/>
        <w:rPr>
          <w:rFonts w:ascii="Arial" w:hAnsi="Arial" w:cs="Arial"/>
          <w:strike/>
          <w:sz w:val="24"/>
          <w:highlight w:val="yellow"/>
        </w:rPr>
      </w:pPr>
    </w:p>
    <w:p w:rsidR="00E063E1" w:rsidRDefault="00E063E1" w:rsidP="00F75BF5">
      <w:pPr>
        <w:spacing w:after="0"/>
        <w:rPr>
          <w:b/>
          <w:sz w:val="28"/>
        </w:rPr>
      </w:pPr>
      <w:r w:rsidRPr="00C84D68">
        <w:rPr>
          <w:b/>
          <w:sz w:val="28"/>
        </w:rPr>
        <w:t>Ingresos de Libre Disposición</w:t>
      </w:r>
    </w:p>
    <w:p w:rsidR="00F75BF5" w:rsidRPr="005F67E5" w:rsidRDefault="00F75BF5" w:rsidP="00F75BF5">
      <w:pPr>
        <w:spacing w:after="0"/>
        <w:rPr>
          <w:rFonts w:ascii="Arial" w:hAnsi="Arial" w:cs="Arial"/>
          <w:sz w:val="24"/>
        </w:rPr>
      </w:pPr>
    </w:p>
    <w:p w:rsidR="00E063E1" w:rsidRDefault="00E063E1" w:rsidP="00F75BF5">
      <w:pPr>
        <w:tabs>
          <w:tab w:val="left" w:pos="2205"/>
        </w:tabs>
        <w:spacing w:after="0" w:line="240" w:lineRule="auto"/>
        <w:jc w:val="both"/>
        <w:rPr>
          <w:rFonts w:ascii="Arial" w:hAnsi="Arial" w:cs="Arial"/>
          <w:i/>
          <w:sz w:val="24"/>
          <w:szCs w:val="24"/>
        </w:rPr>
      </w:pPr>
      <w:r w:rsidRPr="00C84D68">
        <w:rPr>
          <w:rFonts w:ascii="Arial" w:hAnsi="Arial" w:cs="Arial"/>
          <w:sz w:val="24"/>
          <w:szCs w:val="24"/>
        </w:rPr>
        <w:t xml:space="preserve">De acuerdo a lo previsto en la Ley de Disciplina Financiera de las Entidades Federativas y los Municipios, </w:t>
      </w:r>
      <w:r w:rsidRPr="00C84D68">
        <w:rPr>
          <w:rFonts w:ascii="Arial" w:hAnsi="Arial" w:cs="Arial"/>
          <w:i/>
          <w:sz w:val="24"/>
          <w:szCs w:val="24"/>
        </w:rPr>
        <w:t>“los Ingresos de Libre Disposición se constituyen de</w:t>
      </w:r>
      <w:r w:rsidRPr="00C84D68">
        <w:rPr>
          <w:rFonts w:ascii="Arial" w:hAnsi="Arial" w:cs="Arial"/>
          <w:b/>
          <w:i/>
          <w:sz w:val="24"/>
          <w:szCs w:val="24"/>
        </w:rPr>
        <w:t xml:space="preserve"> </w:t>
      </w:r>
      <w:r w:rsidRPr="00C84D68">
        <w:rPr>
          <w:rFonts w:ascii="Arial" w:hAnsi="Arial" w:cs="Arial"/>
          <w:i/>
          <w:sz w:val="24"/>
          <w:szCs w:val="24"/>
        </w:rPr>
        <w:t>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w:t>
      </w:r>
      <w:r w:rsidR="00106DC6">
        <w:rPr>
          <w:rFonts w:ascii="Arial" w:hAnsi="Arial" w:cs="Arial"/>
          <w:i/>
          <w:sz w:val="24"/>
          <w:szCs w:val="24"/>
        </w:rPr>
        <w:t>é destinado a un fin específico</w:t>
      </w:r>
      <w:r w:rsidRPr="00C84D68">
        <w:rPr>
          <w:rFonts w:ascii="Arial" w:hAnsi="Arial" w:cs="Arial"/>
          <w:i/>
          <w:sz w:val="24"/>
          <w:szCs w:val="24"/>
        </w:rPr>
        <w:t>”</w:t>
      </w:r>
      <w:r w:rsidR="00106DC6">
        <w:rPr>
          <w:rFonts w:ascii="Arial" w:hAnsi="Arial" w:cs="Arial"/>
          <w:i/>
          <w:sz w:val="24"/>
          <w:szCs w:val="24"/>
        </w:rPr>
        <w:t>.</w:t>
      </w:r>
      <w:r w:rsidRPr="00C84D68">
        <w:rPr>
          <w:rFonts w:ascii="Arial" w:hAnsi="Arial" w:cs="Arial"/>
          <w:i/>
          <w:sz w:val="24"/>
          <w:szCs w:val="24"/>
        </w:rPr>
        <w:t xml:space="preserve"> </w:t>
      </w:r>
    </w:p>
    <w:p w:rsidR="00B675B5" w:rsidRDefault="00B675B5" w:rsidP="00E063E1">
      <w:pPr>
        <w:tabs>
          <w:tab w:val="left" w:pos="2205"/>
        </w:tabs>
        <w:spacing w:after="0" w:line="240" w:lineRule="auto"/>
        <w:jc w:val="both"/>
        <w:rPr>
          <w:rFonts w:ascii="Arial" w:hAnsi="Arial" w:cs="Arial"/>
          <w:i/>
          <w:sz w:val="24"/>
          <w:szCs w:val="24"/>
        </w:rPr>
      </w:pPr>
    </w:p>
    <w:p w:rsidR="0040746B" w:rsidRDefault="0040746B" w:rsidP="005F67E5">
      <w:pPr>
        <w:spacing w:after="0" w:line="240" w:lineRule="auto"/>
        <w:jc w:val="center"/>
        <w:rPr>
          <w:rFonts w:ascii="Arial" w:hAnsi="Arial" w:cs="Arial"/>
          <w:highlight w:val="yellow"/>
        </w:rPr>
      </w:pPr>
      <w:r w:rsidRPr="00641696">
        <w:rPr>
          <w:noProof/>
          <w:lang w:val="es-ES" w:eastAsia="es-ES"/>
        </w:rPr>
        <w:drawing>
          <wp:inline distT="0" distB="0" distL="0" distR="0">
            <wp:extent cx="4810425" cy="261937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031" cy="2625695"/>
                    </a:xfrm>
                    <a:prstGeom prst="rect">
                      <a:avLst/>
                    </a:prstGeom>
                    <a:noFill/>
                    <a:ln>
                      <a:noFill/>
                    </a:ln>
                  </pic:spPr>
                </pic:pic>
              </a:graphicData>
            </a:graphic>
          </wp:inline>
        </w:drawing>
      </w:r>
    </w:p>
    <w:p w:rsidR="005F67E5" w:rsidRPr="00F8671B" w:rsidRDefault="005F67E5" w:rsidP="005F67E5">
      <w:pPr>
        <w:spacing w:after="0" w:line="240" w:lineRule="auto"/>
        <w:jc w:val="center"/>
        <w:rPr>
          <w:rFonts w:ascii="Arial" w:hAnsi="Arial" w:cs="Arial"/>
          <w:highlight w:val="yellow"/>
        </w:rPr>
      </w:pPr>
    </w:p>
    <w:p w:rsidR="00E063E1" w:rsidRPr="00DD35D1" w:rsidRDefault="00FF185D" w:rsidP="005F67E5">
      <w:pPr>
        <w:tabs>
          <w:tab w:val="left" w:pos="2205"/>
        </w:tabs>
        <w:spacing w:after="0" w:line="240" w:lineRule="auto"/>
        <w:jc w:val="both"/>
        <w:rPr>
          <w:rFonts w:ascii="Arial" w:hAnsi="Arial" w:cs="Arial"/>
          <w:sz w:val="24"/>
          <w:szCs w:val="24"/>
        </w:rPr>
      </w:pPr>
      <w:r w:rsidRPr="00DD35D1">
        <w:rPr>
          <w:rFonts w:ascii="Arial" w:hAnsi="Arial" w:cs="Arial"/>
          <w:sz w:val="24"/>
          <w:szCs w:val="24"/>
        </w:rPr>
        <w:t>Es pertinente precisar</w:t>
      </w:r>
      <w:r w:rsidR="00E063E1" w:rsidRPr="00DD35D1">
        <w:rPr>
          <w:rFonts w:ascii="Arial" w:hAnsi="Arial" w:cs="Arial"/>
          <w:sz w:val="24"/>
          <w:szCs w:val="24"/>
        </w:rPr>
        <w:t xml:space="preserve"> que la Ley de Disciplina Financiera de las Entidades Federativas y los Municipios señala en su artículo 6° que: “</w:t>
      </w:r>
      <w:r w:rsidR="00E063E1" w:rsidRPr="00DD35D1">
        <w:rPr>
          <w:rFonts w:ascii="Arial" w:hAnsi="Arial" w:cs="Arial"/>
          <w:i/>
          <w:sz w:val="24"/>
          <w:szCs w:val="24"/>
        </w:rPr>
        <w:t>El Gasto total propuesto por el Ejecutivo de la Entidad Federativa en el proyecto de Presupuesto de Egresos, aquél que apruebe la Legislatura local y el que se ejerza en el año fiscal, deberá contribuir a un Balance presupuestario sostenible…</w:t>
      </w:r>
      <w:r w:rsidR="00E063E1" w:rsidRPr="00DD35D1">
        <w:rPr>
          <w:rFonts w:ascii="Arial" w:hAnsi="Arial" w:cs="Arial"/>
          <w:sz w:val="24"/>
          <w:szCs w:val="24"/>
        </w:rPr>
        <w:t>”</w:t>
      </w:r>
    </w:p>
    <w:p w:rsidR="00E063E1" w:rsidRPr="00FE2E46" w:rsidRDefault="00E063E1" w:rsidP="00E063E1">
      <w:pPr>
        <w:tabs>
          <w:tab w:val="left" w:pos="2205"/>
        </w:tabs>
        <w:spacing w:after="0" w:line="240" w:lineRule="auto"/>
        <w:jc w:val="both"/>
        <w:rPr>
          <w:rFonts w:ascii="Arial" w:hAnsi="Arial" w:cs="Arial"/>
          <w:sz w:val="24"/>
          <w:szCs w:val="24"/>
        </w:rPr>
      </w:pPr>
    </w:p>
    <w:p w:rsidR="00E063E1" w:rsidRPr="00641696" w:rsidRDefault="00E063E1" w:rsidP="00ED2CF8">
      <w:pPr>
        <w:tabs>
          <w:tab w:val="left" w:pos="2205"/>
        </w:tabs>
        <w:spacing w:after="0" w:line="240" w:lineRule="auto"/>
        <w:jc w:val="both"/>
        <w:rPr>
          <w:rFonts w:ascii="Arial" w:hAnsi="Arial" w:cs="Arial"/>
          <w:i/>
          <w:sz w:val="24"/>
          <w:szCs w:val="24"/>
        </w:rPr>
      </w:pPr>
      <w:r w:rsidRPr="00FE2E46">
        <w:rPr>
          <w:rFonts w:ascii="Arial" w:hAnsi="Arial" w:cs="Arial"/>
          <w:sz w:val="24"/>
          <w:szCs w:val="24"/>
        </w:rPr>
        <w:t xml:space="preserve">En ese tenor, dicho artículo establece en su fracción III que </w:t>
      </w:r>
      <w:r w:rsidRPr="00FE2E46">
        <w:rPr>
          <w:rFonts w:ascii="Arial" w:hAnsi="Arial" w:cs="Arial"/>
          <w:i/>
          <w:sz w:val="24"/>
          <w:szCs w:val="24"/>
        </w:rPr>
        <w:t xml:space="preserve">“…En caso de que la Legislatura local modifique la Ley de Ingresos y el Presupuesto de Egresos de tal manera que genere un Balance presupuestario de recursos disponibles negativo, deberá motivar su decisión sujetándose a las fracciones I y II de este artículo. A </w:t>
      </w:r>
      <w:r w:rsidRPr="00FE2E46">
        <w:rPr>
          <w:rFonts w:ascii="Arial" w:hAnsi="Arial" w:cs="Arial"/>
          <w:i/>
          <w:sz w:val="24"/>
          <w:szCs w:val="24"/>
        </w:rPr>
        <w:lastRenderedPageBreak/>
        <w:t xml:space="preserve">partir de la aprobación del Balance presupuestario de recursos disponibles negativo </w:t>
      </w:r>
      <w:r w:rsidRPr="00641696">
        <w:rPr>
          <w:rFonts w:ascii="Arial" w:hAnsi="Arial" w:cs="Arial"/>
          <w:i/>
          <w:sz w:val="24"/>
          <w:szCs w:val="24"/>
        </w:rPr>
        <w:t xml:space="preserve">a que se refiere este párrafo…” </w:t>
      </w:r>
    </w:p>
    <w:p w:rsidR="00641696" w:rsidRPr="005F67E5" w:rsidRDefault="00641696" w:rsidP="00E063E1">
      <w:pPr>
        <w:spacing w:after="0" w:line="240" w:lineRule="auto"/>
        <w:jc w:val="both"/>
        <w:rPr>
          <w:rFonts w:ascii="Arial" w:hAnsi="Arial" w:cs="Arial"/>
          <w:sz w:val="24"/>
          <w:szCs w:val="24"/>
        </w:rPr>
      </w:pPr>
    </w:p>
    <w:p w:rsidR="00E063E1" w:rsidRPr="00641696" w:rsidRDefault="00E063E1" w:rsidP="00E063E1">
      <w:pPr>
        <w:spacing w:after="0" w:line="240" w:lineRule="auto"/>
        <w:jc w:val="both"/>
        <w:rPr>
          <w:rFonts w:ascii="Arial" w:eastAsia="Times New Roman" w:hAnsi="Arial" w:cs="Arial"/>
          <w:sz w:val="24"/>
          <w:szCs w:val="24"/>
          <w:lang w:val="es-ES" w:eastAsia="es-ES"/>
        </w:rPr>
      </w:pPr>
      <w:r w:rsidRPr="00641696">
        <w:rPr>
          <w:rFonts w:ascii="Arial" w:eastAsia="Times New Roman" w:hAnsi="Arial" w:cs="Arial"/>
          <w:sz w:val="24"/>
          <w:szCs w:val="24"/>
          <w:lang w:val="es-ES" w:eastAsia="es-ES"/>
        </w:rPr>
        <w:t xml:space="preserve">El gasto total del Proyecto de Presupuesto de Egresos del </w:t>
      </w:r>
      <w:r w:rsidR="00245EB5" w:rsidRPr="00641696">
        <w:rPr>
          <w:rFonts w:ascii="Arial" w:eastAsia="Times New Roman" w:hAnsi="Arial" w:cs="Arial"/>
          <w:sz w:val="24"/>
          <w:szCs w:val="24"/>
          <w:lang w:val="es-ES" w:eastAsia="es-ES"/>
        </w:rPr>
        <w:t>Estado de Colima</w:t>
      </w:r>
      <w:r w:rsidR="00FE2E46" w:rsidRPr="00641696">
        <w:rPr>
          <w:rFonts w:ascii="Arial" w:eastAsia="Times New Roman" w:hAnsi="Arial" w:cs="Arial"/>
          <w:sz w:val="24"/>
          <w:szCs w:val="24"/>
          <w:lang w:val="es-ES" w:eastAsia="es-ES"/>
        </w:rPr>
        <w:t>, para el Ejercicio Fiscal 2018</w:t>
      </w:r>
      <w:r w:rsidRPr="00641696">
        <w:rPr>
          <w:rFonts w:ascii="Arial" w:eastAsia="Times New Roman" w:hAnsi="Arial" w:cs="Arial"/>
          <w:sz w:val="24"/>
          <w:szCs w:val="24"/>
          <w:lang w:val="es-ES" w:eastAsia="es-ES"/>
        </w:rPr>
        <w:t xml:space="preserve"> que se somete a la consideración y aprobación, por parte de ese Honorable Congreso, suma la cantidad de</w:t>
      </w:r>
      <w:r w:rsidR="00ED2CF8" w:rsidRPr="00641696">
        <w:rPr>
          <w:rFonts w:ascii="Arial" w:eastAsia="Times New Roman" w:hAnsi="Arial" w:cs="Arial"/>
          <w:sz w:val="24"/>
          <w:szCs w:val="24"/>
          <w:lang w:val="es-ES" w:eastAsia="es-ES"/>
        </w:rPr>
        <w:t xml:space="preserve"> 16,730.4 </w:t>
      </w:r>
      <w:r w:rsidRPr="00641696">
        <w:rPr>
          <w:rFonts w:ascii="Arial" w:eastAsia="Times New Roman" w:hAnsi="Arial" w:cs="Arial"/>
          <w:bCs/>
          <w:sz w:val="24"/>
          <w:szCs w:val="24"/>
        </w:rPr>
        <w:t>millones de pesos,</w:t>
      </w:r>
      <w:r w:rsidRPr="00641696">
        <w:rPr>
          <w:rFonts w:ascii="Arial" w:eastAsia="Times New Roman" w:hAnsi="Arial" w:cs="Arial"/>
          <w:b/>
          <w:bCs/>
          <w:sz w:val="24"/>
          <w:szCs w:val="24"/>
        </w:rPr>
        <w:t xml:space="preserve"> </w:t>
      </w:r>
      <w:r w:rsidR="00226821" w:rsidRPr="00641696">
        <w:rPr>
          <w:rFonts w:ascii="Arial" w:eastAsia="Times New Roman" w:hAnsi="Arial" w:cs="Arial"/>
          <w:sz w:val="24"/>
          <w:szCs w:val="24"/>
          <w:lang w:val="es-ES" w:eastAsia="es-ES"/>
        </w:rPr>
        <w:t xml:space="preserve">monto superior en </w:t>
      </w:r>
      <w:r w:rsidR="00ED2CF8" w:rsidRPr="00641696">
        <w:rPr>
          <w:rFonts w:ascii="Arial" w:eastAsia="Times New Roman" w:hAnsi="Arial" w:cs="Arial"/>
          <w:sz w:val="24"/>
          <w:szCs w:val="24"/>
          <w:lang w:val="es-ES" w:eastAsia="es-ES"/>
        </w:rPr>
        <w:t>7.8</w:t>
      </w:r>
      <w:r w:rsidR="00226821" w:rsidRPr="00641696">
        <w:rPr>
          <w:rFonts w:ascii="Arial" w:eastAsia="Times New Roman" w:hAnsi="Arial" w:cs="Arial"/>
          <w:sz w:val="24"/>
          <w:szCs w:val="24"/>
          <w:lang w:val="es-ES" w:eastAsia="es-ES"/>
        </w:rPr>
        <w:t xml:space="preserve"> </w:t>
      </w:r>
      <w:r w:rsidRPr="00641696">
        <w:rPr>
          <w:rFonts w:ascii="Arial" w:eastAsia="Times New Roman" w:hAnsi="Arial" w:cs="Arial"/>
          <w:sz w:val="24"/>
          <w:szCs w:val="24"/>
          <w:lang w:val="es-ES" w:eastAsia="es-ES"/>
        </w:rPr>
        <w:t>por ciento al aproba</w:t>
      </w:r>
      <w:r w:rsidR="002A5D0F" w:rsidRPr="00641696">
        <w:rPr>
          <w:rFonts w:ascii="Arial" w:eastAsia="Times New Roman" w:hAnsi="Arial" w:cs="Arial"/>
          <w:sz w:val="24"/>
          <w:szCs w:val="24"/>
          <w:lang w:val="es-ES" w:eastAsia="es-ES"/>
        </w:rPr>
        <w:t>do para el ejercicio f</w:t>
      </w:r>
      <w:r w:rsidR="00FE2E46" w:rsidRPr="00641696">
        <w:rPr>
          <w:rFonts w:ascii="Arial" w:eastAsia="Times New Roman" w:hAnsi="Arial" w:cs="Arial"/>
          <w:sz w:val="24"/>
          <w:szCs w:val="24"/>
          <w:lang w:val="es-ES" w:eastAsia="es-ES"/>
        </w:rPr>
        <w:t>iscal 2017</w:t>
      </w:r>
      <w:r w:rsidRPr="00641696">
        <w:rPr>
          <w:rFonts w:ascii="Arial" w:eastAsia="Times New Roman" w:hAnsi="Arial" w:cs="Arial"/>
          <w:sz w:val="24"/>
          <w:szCs w:val="24"/>
          <w:lang w:val="es-ES" w:eastAsia="es-ES"/>
        </w:rPr>
        <w:t>.</w:t>
      </w:r>
    </w:p>
    <w:p w:rsidR="00E063E1" w:rsidRPr="005F67E5" w:rsidRDefault="00E063E1" w:rsidP="00106DC6">
      <w:pPr>
        <w:spacing w:after="0" w:line="240" w:lineRule="auto"/>
        <w:jc w:val="both"/>
        <w:rPr>
          <w:rFonts w:ascii="Arial" w:hAnsi="Arial" w:cs="Arial"/>
          <w:lang w:val="es-ES"/>
        </w:rPr>
      </w:pPr>
    </w:p>
    <w:p w:rsidR="00E063E1" w:rsidRPr="00641696" w:rsidRDefault="001B1579" w:rsidP="00E063E1">
      <w:pPr>
        <w:pStyle w:val="Prrafodelista"/>
        <w:autoSpaceDE w:val="0"/>
        <w:autoSpaceDN w:val="0"/>
        <w:adjustRightInd w:val="0"/>
        <w:spacing w:after="0" w:line="240" w:lineRule="auto"/>
        <w:ind w:left="0"/>
        <w:rPr>
          <w:rFonts w:ascii="Arial" w:hAnsi="Arial" w:cs="Arial"/>
          <w:b/>
          <w:sz w:val="24"/>
          <w:szCs w:val="24"/>
        </w:rPr>
      </w:pPr>
      <w:r w:rsidRPr="00641696">
        <w:rPr>
          <w:rFonts w:ascii="Arial" w:hAnsi="Arial" w:cs="Arial"/>
          <w:b/>
          <w:sz w:val="24"/>
          <w:szCs w:val="24"/>
        </w:rPr>
        <w:t>I.2</w:t>
      </w:r>
      <w:r w:rsidR="00E063E1" w:rsidRPr="00641696">
        <w:rPr>
          <w:rFonts w:ascii="Arial" w:hAnsi="Arial" w:cs="Arial"/>
          <w:b/>
          <w:sz w:val="24"/>
          <w:szCs w:val="24"/>
        </w:rPr>
        <w:t>. POLÍTICA DE GASTO</w:t>
      </w:r>
    </w:p>
    <w:p w:rsidR="00E063E1" w:rsidRPr="00641696" w:rsidRDefault="00E063E1" w:rsidP="00E063E1">
      <w:pPr>
        <w:autoSpaceDE w:val="0"/>
        <w:autoSpaceDN w:val="0"/>
        <w:adjustRightInd w:val="0"/>
        <w:spacing w:after="0" w:line="240" w:lineRule="auto"/>
        <w:jc w:val="both"/>
        <w:rPr>
          <w:rFonts w:ascii="Arial" w:hAnsi="Arial" w:cs="Arial"/>
          <w:sz w:val="24"/>
          <w:szCs w:val="28"/>
        </w:rPr>
      </w:pPr>
    </w:p>
    <w:p w:rsidR="00E063E1" w:rsidRPr="0083181A" w:rsidRDefault="00E063E1" w:rsidP="00E063E1">
      <w:pPr>
        <w:autoSpaceDE w:val="0"/>
        <w:autoSpaceDN w:val="0"/>
        <w:adjustRightInd w:val="0"/>
        <w:spacing w:after="0" w:line="240" w:lineRule="auto"/>
        <w:jc w:val="both"/>
        <w:rPr>
          <w:rFonts w:ascii="Arial" w:hAnsi="Arial" w:cs="Arial"/>
          <w:b/>
          <w:sz w:val="24"/>
          <w:szCs w:val="24"/>
        </w:rPr>
      </w:pPr>
      <w:r w:rsidRPr="00641696">
        <w:rPr>
          <w:rFonts w:ascii="Arial" w:hAnsi="Arial" w:cs="Arial"/>
          <w:b/>
          <w:sz w:val="24"/>
          <w:szCs w:val="24"/>
        </w:rPr>
        <w:t>I.2.1. Visión del gasto público.</w:t>
      </w:r>
    </w:p>
    <w:p w:rsidR="00E063E1" w:rsidRPr="00106DC6" w:rsidRDefault="00E063E1" w:rsidP="00E063E1">
      <w:pPr>
        <w:autoSpaceDE w:val="0"/>
        <w:autoSpaceDN w:val="0"/>
        <w:adjustRightInd w:val="0"/>
        <w:spacing w:after="0" w:line="240" w:lineRule="auto"/>
        <w:jc w:val="both"/>
        <w:rPr>
          <w:rFonts w:ascii="Arial" w:hAnsi="Arial" w:cs="Arial"/>
          <w:sz w:val="24"/>
        </w:rPr>
      </w:pPr>
    </w:p>
    <w:p w:rsidR="00E063E1" w:rsidRPr="0083181A" w:rsidRDefault="00E063E1" w:rsidP="00E063E1">
      <w:pPr>
        <w:autoSpaceDE w:val="0"/>
        <w:autoSpaceDN w:val="0"/>
        <w:adjustRightInd w:val="0"/>
        <w:spacing w:after="0" w:line="240" w:lineRule="auto"/>
        <w:jc w:val="both"/>
        <w:rPr>
          <w:rFonts w:ascii="Arial" w:hAnsi="Arial" w:cs="Arial"/>
          <w:sz w:val="24"/>
          <w:szCs w:val="24"/>
        </w:rPr>
      </w:pPr>
      <w:r w:rsidRPr="0083181A">
        <w:rPr>
          <w:rFonts w:ascii="Arial" w:hAnsi="Arial" w:cs="Arial"/>
          <w:sz w:val="24"/>
          <w:szCs w:val="24"/>
        </w:rPr>
        <w:t xml:space="preserve">Cuanto más escasos son los recursos, mayor importancia cobra el aumentar la efectividad de su uso. </w:t>
      </w:r>
      <w:r w:rsidRPr="0083181A">
        <w:rPr>
          <w:rFonts w:ascii="Arial" w:hAnsi="Arial" w:cs="Arial"/>
          <w:color w:val="000000" w:themeColor="text1"/>
          <w:sz w:val="24"/>
          <w:szCs w:val="24"/>
        </w:rPr>
        <w:t>En ese tenor, en el presente proyecto dejamos</w:t>
      </w:r>
      <w:r w:rsidRPr="0083181A">
        <w:rPr>
          <w:rFonts w:ascii="Arial" w:hAnsi="Arial" w:cs="Arial"/>
          <w:sz w:val="24"/>
          <w:szCs w:val="24"/>
        </w:rPr>
        <w:t xml:space="preserve"> de lado criterios de asignación clientelar del gasto y la práctica incrementalista, que consiste en aumentar la misma proporción de recursos a todos los ejecutores año tras año.</w:t>
      </w:r>
    </w:p>
    <w:p w:rsidR="00E063E1" w:rsidRPr="0083181A" w:rsidRDefault="00E063E1" w:rsidP="00E063E1">
      <w:pPr>
        <w:autoSpaceDE w:val="0"/>
        <w:autoSpaceDN w:val="0"/>
        <w:adjustRightInd w:val="0"/>
        <w:spacing w:after="0" w:line="240" w:lineRule="auto"/>
        <w:jc w:val="both"/>
        <w:rPr>
          <w:rFonts w:ascii="Arial" w:hAnsi="Arial" w:cs="Arial"/>
          <w:sz w:val="24"/>
          <w:szCs w:val="24"/>
        </w:rPr>
      </w:pPr>
    </w:p>
    <w:p w:rsidR="00E063E1" w:rsidRPr="0083181A" w:rsidRDefault="00E063E1" w:rsidP="00E063E1">
      <w:pPr>
        <w:autoSpaceDE w:val="0"/>
        <w:autoSpaceDN w:val="0"/>
        <w:adjustRightInd w:val="0"/>
        <w:spacing w:after="0" w:line="240" w:lineRule="auto"/>
        <w:jc w:val="both"/>
        <w:rPr>
          <w:rFonts w:ascii="Arial" w:hAnsi="Arial" w:cs="Arial"/>
          <w:sz w:val="24"/>
          <w:szCs w:val="24"/>
        </w:rPr>
      </w:pPr>
      <w:r w:rsidRPr="0083181A">
        <w:rPr>
          <w:rFonts w:ascii="Arial" w:hAnsi="Arial" w:cs="Arial"/>
          <w:sz w:val="24"/>
          <w:szCs w:val="24"/>
        </w:rPr>
        <w:t xml:space="preserve">Se rompen inercias para perpetuar estructuras de gasto anteriores como si fueran válidas para todos los años. </w:t>
      </w:r>
    </w:p>
    <w:p w:rsidR="00E063E1" w:rsidRPr="0083181A" w:rsidRDefault="00E063E1" w:rsidP="00E063E1">
      <w:pPr>
        <w:autoSpaceDE w:val="0"/>
        <w:autoSpaceDN w:val="0"/>
        <w:adjustRightInd w:val="0"/>
        <w:spacing w:after="0" w:line="240" w:lineRule="auto"/>
        <w:jc w:val="both"/>
        <w:rPr>
          <w:rFonts w:ascii="Arial" w:hAnsi="Arial" w:cs="Arial"/>
          <w:sz w:val="24"/>
          <w:szCs w:val="24"/>
        </w:rPr>
      </w:pPr>
    </w:p>
    <w:p w:rsidR="00E063E1" w:rsidRPr="0083181A" w:rsidRDefault="00E063E1" w:rsidP="00E063E1">
      <w:pPr>
        <w:autoSpaceDE w:val="0"/>
        <w:autoSpaceDN w:val="0"/>
        <w:adjustRightInd w:val="0"/>
        <w:spacing w:after="0" w:line="240" w:lineRule="auto"/>
        <w:jc w:val="both"/>
        <w:rPr>
          <w:rFonts w:ascii="Arial" w:hAnsi="Arial" w:cs="Arial"/>
          <w:sz w:val="24"/>
          <w:szCs w:val="24"/>
        </w:rPr>
      </w:pPr>
      <w:r w:rsidRPr="0083181A">
        <w:rPr>
          <w:rFonts w:ascii="Arial" w:hAnsi="Arial" w:cs="Arial"/>
          <w:sz w:val="24"/>
          <w:szCs w:val="24"/>
        </w:rPr>
        <w:t xml:space="preserve">La articulación entre el presupuesto y la planificación, la elaboración del marco fiscal de mediano plazo de ingresos y gastos de mediano plazo, permitirán una planificación financiera más allá del periodo anual. </w:t>
      </w:r>
    </w:p>
    <w:p w:rsidR="00E063E1" w:rsidRPr="0083181A" w:rsidRDefault="00E063E1" w:rsidP="00E063E1">
      <w:pPr>
        <w:autoSpaceDE w:val="0"/>
        <w:autoSpaceDN w:val="0"/>
        <w:adjustRightInd w:val="0"/>
        <w:spacing w:after="0" w:line="240" w:lineRule="auto"/>
        <w:jc w:val="both"/>
        <w:rPr>
          <w:rFonts w:ascii="Arial" w:hAnsi="Arial" w:cs="Arial"/>
          <w:sz w:val="24"/>
          <w:szCs w:val="24"/>
        </w:rPr>
      </w:pPr>
    </w:p>
    <w:p w:rsidR="00E063E1" w:rsidRDefault="00E063E1" w:rsidP="00106DC6">
      <w:pPr>
        <w:spacing w:after="0" w:line="240" w:lineRule="auto"/>
        <w:jc w:val="both"/>
        <w:rPr>
          <w:rFonts w:ascii="Arial" w:hAnsi="Arial" w:cs="Arial"/>
          <w:sz w:val="24"/>
          <w:szCs w:val="24"/>
        </w:rPr>
      </w:pPr>
      <w:r w:rsidRPr="0083181A">
        <w:rPr>
          <w:rFonts w:ascii="Arial" w:hAnsi="Arial" w:cs="Arial"/>
          <w:sz w:val="24"/>
          <w:szCs w:val="24"/>
        </w:rPr>
        <w:t xml:space="preserve">Retomamos en la presupuestación las metodologías derivadas de la Gestión para Resultados del Desarrollo GpRD, como estrategia de gestión que centra sus esfuerzos en dirigir todos los recursos humanos, financieros, tecnológicos y naturales, sean estos internos o externos, hacia la consecución de resultados de desarrollo esperados. </w:t>
      </w:r>
    </w:p>
    <w:p w:rsidR="00106DC6" w:rsidRPr="0083181A" w:rsidRDefault="00106DC6" w:rsidP="00106DC6">
      <w:pPr>
        <w:spacing w:after="0" w:line="240" w:lineRule="auto"/>
        <w:jc w:val="both"/>
        <w:rPr>
          <w:rFonts w:ascii="Arial" w:hAnsi="Arial" w:cs="Arial"/>
          <w:sz w:val="24"/>
          <w:szCs w:val="24"/>
        </w:rPr>
      </w:pPr>
    </w:p>
    <w:p w:rsidR="00E063E1" w:rsidRDefault="00E063E1" w:rsidP="00106DC6">
      <w:pPr>
        <w:spacing w:after="0" w:line="240" w:lineRule="auto"/>
        <w:jc w:val="both"/>
        <w:rPr>
          <w:rFonts w:ascii="Arial" w:hAnsi="Arial" w:cs="Arial"/>
          <w:sz w:val="24"/>
          <w:szCs w:val="24"/>
        </w:rPr>
      </w:pPr>
      <w:r w:rsidRPr="0083181A">
        <w:rPr>
          <w:rFonts w:ascii="Arial" w:hAnsi="Arial" w:cs="Arial"/>
          <w:sz w:val="24"/>
          <w:szCs w:val="24"/>
        </w:rPr>
        <w:t>El foco de atención ya no se encuentra en los insumos en sí (cuánto dinero se obtendrá o cuándo se puede gastar) sino en los resultados mensurables (qué se puede lograr con esos fondos) en todas las fases del proceso de desarrollo.</w:t>
      </w:r>
    </w:p>
    <w:p w:rsidR="00106DC6" w:rsidRPr="0083181A" w:rsidRDefault="00106DC6" w:rsidP="00106DC6">
      <w:pPr>
        <w:spacing w:after="0" w:line="240" w:lineRule="auto"/>
        <w:jc w:val="both"/>
        <w:rPr>
          <w:rFonts w:ascii="Arial" w:hAnsi="Arial" w:cs="Arial"/>
          <w:sz w:val="24"/>
          <w:szCs w:val="24"/>
        </w:rPr>
      </w:pPr>
    </w:p>
    <w:p w:rsidR="00E063E1" w:rsidRPr="0083181A" w:rsidRDefault="00E063E1" w:rsidP="00106DC6">
      <w:pPr>
        <w:autoSpaceDE w:val="0"/>
        <w:autoSpaceDN w:val="0"/>
        <w:adjustRightInd w:val="0"/>
        <w:spacing w:after="0" w:line="240" w:lineRule="auto"/>
        <w:jc w:val="both"/>
        <w:rPr>
          <w:rFonts w:ascii="Arial" w:hAnsi="Arial" w:cs="Arial"/>
          <w:sz w:val="24"/>
          <w:szCs w:val="24"/>
        </w:rPr>
      </w:pPr>
      <w:r w:rsidRPr="0083181A">
        <w:rPr>
          <w:rFonts w:ascii="Arial" w:hAnsi="Arial" w:cs="Arial"/>
          <w:sz w:val="24"/>
          <w:szCs w:val="24"/>
        </w:rPr>
        <w:t>De igual manera, en la perspectiva de la ejecución del propio presupuesto consideramos postulados de la gestión financiera pública, entendida esta como el conjunto de elementos administrativos que hace posible la captación de recursos y su aplicación para la concreción de los objetivos y las metas.</w:t>
      </w:r>
    </w:p>
    <w:p w:rsidR="00E063E1" w:rsidRPr="00F8671B" w:rsidRDefault="00E063E1" w:rsidP="00E063E1">
      <w:pPr>
        <w:autoSpaceDE w:val="0"/>
        <w:autoSpaceDN w:val="0"/>
        <w:adjustRightInd w:val="0"/>
        <w:spacing w:after="0" w:line="240" w:lineRule="auto"/>
        <w:jc w:val="both"/>
        <w:rPr>
          <w:rFonts w:cs="Rotis Sans Serif Std Light"/>
          <w:color w:val="000000"/>
          <w:sz w:val="26"/>
          <w:szCs w:val="26"/>
          <w:highlight w:val="yellow"/>
        </w:rPr>
      </w:pPr>
    </w:p>
    <w:p w:rsidR="00CC02F1" w:rsidRPr="00CC02F1" w:rsidRDefault="0083181A" w:rsidP="00CC02F1">
      <w:pPr>
        <w:autoSpaceDE w:val="0"/>
        <w:autoSpaceDN w:val="0"/>
        <w:adjustRightInd w:val="0"/>
        <w:spacing w:after="0" w:line="240" w:lineRule="auto"/>
        <w:jc w:val="both"/>
        <w:rPr>
          <w:rFonts w:ascii="Arial" w:hAnsi="Arial" w:cs="Arial"/>
          <w:sz w:val="24"/>
          <w:szCs w:val="24"/>
          <w:highlight w:val="green"/>
        </w:rPr>
      </w:pPr>
      <w:r w:rsidRPr="00CC02F1">
        <w:rPr>
          <w:rFonts w:ascii="Arial" w:hAnsi="Arial" w:cs="Arial"/>
          <w:sz w:val="24"/>
          <w:szCs w:val="24"/>
        </w:rPr>
        <w:lastRenderedPageBreak/>
        <w:t>El presente</w:t>
      </w:r>
      <w:r w:rsidR="00E063E1" w:rsidRPr="00CC02F1">
        <w:rPr>
          <w:rFonts w:ascii="Arial" w:hAnsi="Arial" w:cs="Arial"/>
          <w:sz w:val="24"/>
          <w:szCs w:val="24"/>
        </w:rPr>
        <w:t xml:space="preserve"> proyecto de presupuesto, se diseñó con un marco plurianual, a través de la inclusión de un marco macroeconómico, marco fiscal, marco presupuestar</w:t>
      </w:r>
      <w:r w:rsidR="00CC02F1">
        <w:rPr>
          <w:rFonts w:ascii="Arial" w:hAnsi="Arial" w:cs="Arial"/>
          <w:sz w:val="24"/>
          <w:szCs w:val="24"/>
        </w:rPr>
        <w:t>io y un presupuesto plurianual.</w:t>
      </w:r>
    </w:p>
    <w:p w:rsidR="00E063E1" w:rsidRPr="00CC02F1" w:rsidRDefault="00E063E1" w:rsidP="00E063E1">
      <w:pPr>
        <w:autoSpaceDE w:val="0"/>
        <w:autoSpaceDN w:val="0"/>
        <w:adjustRightInd w:val="0"/>
        <w:spacing w:after="0" w:line="240" w:lineRule="auto"/>
        <w:jc w:val="both"/>
        <w:rPr>
          <w:rFonts w:ascii="Arial" w:hAnsi="Arial" w:cs="Arial"/>
          <w:sz w:val="24"/>
          <w:szCs w:val="24"/>
        </w:rPr>
      </w:pPr>
    </w:p>
    <w:p w:rsidR="00E063E1" w:rsidRPr="00106DC6" w:rsidRDefault="00E063E1" w:rsidP="00E063E1">
      <w:pPr>
        <w:autoSpaceDE w:val="0"/>
        <w:autoSpaceDN w:val="0"/>
        <w:adjustRightInd w:val="0"/>
        <w:spacing w:after="0" w:line="240" w:lineRule="auto"/>
        <w:jc w:val="both"/>
        <w:rPr>
          <w:rFonts w:ascii="Arial" w:hAnsi="Arial" w:cs="Arial"/>
          <w:sz w:val="24"/>
          <w:szCs w:val="24"/>
        </w:rPr>
      </w:pPr>
      <w:r w:rsidRPr="0083181A">
        <w:rPr>
          <w:rFonts w:ascii="Arial" w:hAnsi="Arial" w:cs="Arial"/>
          <w:color w:val="000000"/>
          <w:sz w:val="24"/>
          <w:szCs w:val="24"/>
        </w:rPr>
        <w:t xml:space="preserve">Esta visión tiene el propósito de apuntalar el enfoque hacia el desarrollo sostenido que </w:t>
      </w:r>
      <w:r w:rsidR="0083181A" w:rsidRPr="0083181A">
        <w:rPr>
          <w:rFonts w:ascii="Arial" w:hAnsi="Arial" w:cs="Arial"/>
          <w:color w:val="000000"/>
          <w:sz w:val="24"/>
          <w:szCs w:val="24"/>
        </w:rPr>
        <w:t>genere progreso social y aumento de</w:t>
      </w:r>
      <w:r w:rsidRPr="0083181A">
        <w:rPr>
          <w:rFonts w:ascii="Arial" w:hAnsi="Arial" w:cs="Arial"/>
          <w:color w:val="000000"/>
          <w:sz w:val="24"/>
          <w:szCs w:val="24"/>
        </w:rPr>
        <w:t xml:space="preserve"> la ca</w:t>
      </w:r>
      <w:r w:rsidR="003B62BB" w:rsidRPr="0083181A">
        <w:rPr>
          <w:rFonts w:ascii="Arial" w:hAnsi="Arial" w:cs="Arial"/>
          <w:color w:val="000000"/>
          <w:sz w:val="24"/>
          <w:szCs w:val="24"/>
        </w:rPr>
        <w:t xml:space="preserve">lidad de vida de los colimenses. </w:t>
      </w:r>
      <w:r w:rsidRPr="0083181A">
        <w:rPr>
          <w:rFonts w:ascii="Arial" w:hAnsi="Arial" w:cs="Arial"/>
          <w:sz w:val="24"/>
          <w:szCs w:val="24"/>
        </w:rPr>
        <w:t xml:space="preserve">El marco macroeconómico corresponde al conjunto de proyecciones de variables </w:t>
      </w:r>
      <w:r w:rsidRPr="00106DC6">
        <w:rPr>
          <w:rFonts w:ascii="Arial" w:hAnsi="Arial" w:cs="Arial"/>
          <w:sz w:val="24"/>
          <w:szCs w:val="24"/>
        </w:rPr>
        <w:t xml:space="preserve">macroeconómicas exclusivamente. </w:t>
      </w:r>
    </w:p>
    <w:p w:rsidR="003B62BB" w:rsidRPr="00106DC6" w:rsidRDefault="003B62BB" w:rsidP="00E063E1">
      <w:pPr>
        <w:autoSpaceDE w:val="0"/>
        <w:autoSpaceDN w:val="0"/>
        <w:adjustRightInd w:val="0"/>
        <w:spacing w:after="0" w:line="240" w:lineRule="auto"/>
        <w:jc w:val="both"/>
        <w:rPr>
          <w:rFonts w:ascii="Arial" w:hAnsi="Arial" w:cs="Arial"/>
          <w:sz w:val="24"/>
          <w:szCs w:val="24"/>
          <w:highlight w:val="yellow"/>
        </w:rPr>
      </w:pPr>
    </w:p>
    <w:p w:rsidR="00E063E1" w:rsidRPr="00A60A6C" w:rsidRDefault="00E063E1" w:rsidP="00E063E1">
      <w:pPr>
        <w:autoSpaceDE w:val="0"/>
        <w:autoSpaceDN w:val="0"/>
        <w:adjustRightInd w:val="0"/>
        <w:spacing w:after="0" w:line="240" w:lineRule="auto"/>
        <w:rPr>
          <w:rFonts w:ascii="Arial" w:hAnsi="Arial" w:cs="Arial"/>
          <w:b/>
          <w:sz w:val="24"/>
          <w:szCs w:val="24"/>
        </w:rPr>
      </w:pPr>
      <w:r w:rsidRPr="00A60A6C">
        <w:rPr>
          <w:rFonts w:ascii="Arial" w:hAnsi="Arial" w:cs="Arial"/>
          <w:b/>
          <w:sz w:val="24"/>
          <w:szCs w:val="24"/>
        </w:rPr>
        <w:t>I.3. ENTORNO EXTERNO E INTERNO</w:t>
      </w:r>
    </w:p>
    <w:p w:rsidR="00E063E1" w:rsidRPr="00106DC6" w:rsidRDefault="00E063E1" w:rsidP="00E063E1">
      <w:pPr>
        <w:autoSpaceDE w:val="0"/>
        <w:autoSpaceDN w:val="0"/>
        <w:adjustRightInd w:val="0"/>
        <w:spacing w:after="0" w:line="240" w:lineRule="auto"/>
        <w:jc w:val="both"/>
        <w:rPr>
          <w:rFonts w:ascii="Arial" w:hAnsi="Arial" w:cs="Arial"/>
          <w:sz w:val="24"/>
          <w:szCs w:val="24"/>
        </w:rPr>
      </w:pPr>
    </w:p>
    <w:p w:rsidR="00E063E1" w:rsidRPr="00A60A6C" w:rsidRDefault="00E063E1" w:rsidP="00E063E1">
      <w:pPr>
        <w:autoSpaceDE w:val="0"/>
        <w:autoSpaceDN w:val="0"/>
        <w:adjustRightInd w:val="0"/>
        <w:spacing w:after="0" w:line="240" w:lineRule="auto"/>
        <w:jc w:val="both"/>
        <w:rPr>
          <w:rFonts w:ascii="Arial" w:hAnsi="Arial" w:cs="Arial"/>
          <w:b/>
          <w:sz w:val="24"/>
          <w:szCs w:val="24"/>
        </w:rPr>
      </w:pPr>
      <w:r w:rsidRPr="00A60A6C">
        <w:rPr>
          <w:rFonts w:ascii="Arial" w:hAnsi="Arial" w:cs="Arial"/>
          <w:b/>
          <w:sz w:val="24"/>
          <w:szCs w:val="24"/>
        </w:rPr>
        <w:t>I.3.1. Entorno externo</w:t>
      </w:r>
    </w:p>
    <w:p w:rsidR="00A60A6C" w:rsidRDefault="00A60A6C" w:rsidP="002C0C2F">
      <w:pPr>
        <w:autoSpaceDE w:val="0"/>
        <w:autoSpaceDN w:val="0"/>
        <w:adjustRightInd w:val="0"/>
        <w:spacing w:after="0" w:line="240" w:lineRule="auto"/>
        <w:jc w:val="both"/>
        <w:rPr>
          <w:rFonts w:ascii="Arial" w:hAnsi="Arial" w:cs="Arial"/>
          <w:sz w:val="24"/>
          <w:szCs w:val="24"/>
        </w:rPr>
      </w:pPr>
    </w:p>
    <w:p w:rsidR="00A60A6C" w:rsidRDefault="00E063E1" w:rsidP="002C0C2F">
      <w:pPr>
        <w:autoSpaceDE w:val="0"/>
        <w:autoSpaceDN w:val="0"/>
        <w:adjustRightInd w:val="0"/>
        <w:spacing w:after="0" w:line="240" w:lineRule="auto"/>
        <w:jc w:val="both"/>
        <w:rPr>
          <w:rFonts w:ascii="Arial" w:hAnsi="Arial" w:cs="Arial"/>
          <w:sz w:val="24"/>
          <w:szCs w:val="24"/>
        </w:rPr>
      </w:pPr>
      <w:r w:rsidRPr="00A60A6C">
        <w:rPr>
          <w:rFonts w:ascii="Arial" w:hAnsi="Arial" w:cs="Arial"/>
          <w:sz w:val="24"/>
          <w:szCs w:val="24"/>
        </w:rPr>
        <w:t>De acuerdo a lo previsto en los Criterios Gene</w:t>
      </w:r>
      <w:r w:rsidR="00A60A6C">
        <w:rPr>
          <w:rFonts w:ascii="Arial" w:hAnsi="Arial" w:cs="Arial"/>
          <w:sz w:val="24"/>
          <w:szCs w:val="24"/>
        </w:rPr>
        <w:t>rales de Política Económica 2018</w:t>
      </w:r>
      <w:r w:rsidRPr="00A60A6C">
        <w:rPr>
          <w:rFonts w:ascii="Arial" w:hAnsi="Arial" w:cs="Arial"/>
          <w:sz w:val="24"/>
          <w:szCs w:val="24"/>
        </w:rPr>
        <w:t>,</w:t>
      </w:r>
      <w:r w:rsidR="002C0C2F" w:rsidRPr="00A60A6C">
        <w:rPr>
          <w:rFonts w:ascii="Arial" w:hAnsi="Arial" w:cs="Arial"/>
          <w:sz w:val="24"/>
          <w:szCs w:val="24"/>
        </w:rPr>
        <w:t xml:space="preserve"> e</w:t>
      </w:r>
      <w:r w:rsidR="00A60A6C">
        <w:rPr>
          <w:rFonts w:ascii="Arial" w:hAnsi="Arial" w:cs="Arial"/>
          <w:sz w:val="24"/>
          <w:szCs w:val="24"/>
        </w:rPr>
        <w:t>l Paquete Económico 2018</w:t>
      </w:r>
      <w:r w:rsidRPr="00A60A6C">
        <w:rPr>
          <w:rFonts w:ascii="Arial" w:hAnsi="Arial" w:cs="Arial"/>
          <w:sz w:val="24"/>
          <w:szCs w:val="24"/>
        </w:rPr>
        <w:t xml:space="preserve"> que turnó el Ejecutivo</w:t>
      </w:r>
      <w:r w:rsidR="002C0C2F" w:rsidRPr="00A60A6C">
        <w:rPr>
          <w:rFonts w:ascii="Arial" w:hAnsi="Arial" w:cs="Arial"/>
          <w:sz w:val="24"/>
          <w:szCs w:val="24"/>
        </w:rPr>
        <w:t xml:space="preserve"> Federal</w:t>
      </w:r>
      <w:r w:rsidRPr="00A60A6C">
        <w:rPr>
          <w:rFonts w:ascii="Arial" w:hAnsi="Arial" w:cs="Arial"/>
          <w:sz w:val="24"/>
          <w:szCs w:val="24"/>
        </w:rPr>
        <w:t xml:space="preserve"> al H. Congreso de la Unión, se presenta en un entorno externo </w:t>
      </w:r>
      <w:r w:rsidR="00A60A6C">
        <w:rPr>
          <w:rFonts w:ascii="Arial" w:hAnsi="Arial" w:cs="Arial"/>
          <w:sz w:val="24"/>
          <w:szCs w:val="24"/>
        </w:rPr>
        <w:t>con las siguientes características:</w:t>
      </w:r>
    </w:p>
    <w:p w:rsidR="00A60A6C" w:rsidRPr="00A60A6C" w:rsidRDefault="00A60A6C" w:rsidP="002C0C2F">
      <w:pPr>
        <w:autoSpaceDE w:val="0"/>
        <w:autoSpaceDN w:val="0"/>
        <w:adjustRightInd w:val="0"/>
        <w:spacing w:after="0" w:line="240" w:lineRule="auto"/>
        <w:jc w:val="both"/>
        <w:rPr>
          <w:rFonts w:ascii="Arial" w:hAnsi="Arial" w:cs="Arial"/>
          <w:sz w:val="24"/>
          <w:szCs w:val="24"/>
        </w:rPr>
      </w:pPr>
    </w:p>
    <w:p w:rsidR="00A60A6C" w:rsidRPr="00EC73E1" w:rsidRDefault="00A60A6C" w:rsidP="00EC73E1">
      <w:pPr>
        <w:autoSpaceDE w:val="0"/>
        <w:autoSpaceDN w:val="0"/>
        <w:adjustRightInd w:val="0"/>
        <w:spacing w:after="0" w:line="240" w:lineRule="auto"/>
        <w:jc w:val="both"/>
        <w:rPr>
          <w:rFonts w:ascii="Arial" w:hAnsi="Arial" w:cs="Arial"/>
          <w:sz w:val="24"/>
          <w:szCs w:val="24"/>
        </w:rPr>
      </w:pPr>
      <w:r w:rsidRPr="00A60A6C">
        <w:rPr>
          <w:rFonts w:ascii="Arial" w:hAnsi="Arial" w:cs="Arial"/>
          <w:sz w:val="24"/>
          <w:szCs w:val="24"/>
        </w:rPr>
        <w:t xml:space="preserve">La actividad económica mundial registró una importante recuperación durante 2017, tras haber experimentado una fase de desaceleración en años previos. En países avanzados, Estados Unidos creció a un ritmo moderado durante la segunda mitad de 2016, y se recuperó significativamente en el segundo trimestre </w:t>
      </w:r>
      <w:r w:rsidRPr="00EC73E1">
        <w:rPr>
          <w:rFonts w:ascii="Arial" w:hAnsi="Arial" w:cs="Arial"/>
          <w:sz w:val="24"/>
          <w:szCs w:val="24"/>
        </w:rPr>
        <w:t xml:space="preserve">de este año, impulsada principalmente por el desempeño del consumo privado. Por otra parte, el mercado laboral se fortaleció, lo cual permitió que </w:t>
      </w:r>
      <w:r w:rsidR="00D41C6E" w:rsidRPr="00EC73E1">
        <w:rPr>
          <w:rFonts w:ascii="Arial" w:hAnsi="Arial" w:cs="Arial"/>
          <w:sz w:val="24"/>
          <w:szCs w:val="24"/>
        </w:rPr>
        <w:t xml:space="preserve">el </w:t>
      </w:r>
      <w:r w:rsidR="00D41C6E" w:rsidRPr="00EC73E1">
        <w:rPr>
          <w:rFonts w:ascii="SoberanaSans-Light" w:hAnsi="SoberanaSans-Light" w:cs="SoberanaSans-Light"/>
          <w:sz w:val="24"/>
          <w:szCs w:val="24"/>
        </w:rPr>
        <w:t>Sistema</w:t>
      </w:r>
      <w:r w:rsidR="00106DC6">
        <w:rPr>
          <w:rFonts w:ascii="SoberanaSans-Light" w:hAnsi="SoberanaSans-Light" w:cs="SoberanaSans-Light"/>
          <w:sz w:val="24"/>
          <w:szCs w:val="24"/>
        </w:rPr>
        <w:t xml:space="preserve"> </w:t>
      </w:r>
      <w:r w:rsidR="00D41C6E" w:rsidRPr="00EC73E1">
        <w:rPr>
          <w:rFonts w:ascii="SoberanaSans-Light" w:hAnsi="SoberanaSans-Light" w:cs="SoberanaSans-Light"/>
          <w:sz w:val="24"/>
          <w:szCs w:val="24"/>
        </w:rPr>
        <w:t>de la Reserva Federal (</w:t>
      </w:r>
      <w:r w:rsidRPr="00EC73E1">
        <w:rPr>
          <w:rFonts w:ascii="Arial" w:hAnsi="Arial" w:cs="Arial"/>
          <w:sz w:val="24"/>
          <w:szCs w:val="24"/>
        </w:rPr>
        <w:t>FED</w:t>
      </w:r>
      <w:r w:rsidR="00D41C6E" w:rsidRPr="00EC73E1">
        <w:rPr>
          <w:rFonts w:ascii="Arial" w:hAnsi="Arial" w:cs="Arial"/>
          <w:sz w:val="24"/>
          <w:szCs w:val="24"/>
        </w:rPr>
        <w:t>)</w:t>
      </w:r>
      <w:r w:rsidRPr="00EC73E1">
        <w:rPr>
          <w:rFonts w:ascii="Arial" w:hAnsi="Arial" w:cs="Arial"/>
          <w:sz w:val="24"/>
          <w:szCs w:val="24"/>
        </w:rPr>
        <w:t xml:space="preserve"> continuara con la normalización de su política monetaria en este periodo. </w:t>
      </w:r>
    </w:p>
    <w:p w:rsidR="00A60A6C" w:rsidRPr="00EC73E1" w:rsidRDefault="00A60A6C" w:rsidP="002C0C2F">
      <w:pPr>
        <w:autoSpaceDE w:val="0"/>
        <w:autoSpaceDN w:val="0"/>
        <w:adjustRightInd w:val="0"/>
        <w:spacing w:after="0" w:line="240" w:lineRule="auto"/>
        <w:jc w:val="both"/>
        <w:rPr>
          <w:rFonts w:ascii="Arial" w:hAnsi="Arial" w:cs="Arial"/>
          <w:sz w:val="24"/>
          <w:szCs w:val="24"/>
        </w:rPr>
      </w:pPr>
    </w:p>
    <w:p w:rsidR="00A60A6C" w:rsidRDefault="00A60A6C" w:rsidP="002C0C2F">
      <w:pPr>
        <w:autoSpaceDE w:val="0"/>
        <w:autoSpaceDN w:val="0"/>
        <w:adjustRightInd w:val="0"/>
        <w:spacing w:after="0" w:line="240" w:lineRule="auto"/>
        <w:jc w:val="both"/>
        <w:rPr>
          <w:rFonts w:ascii="Arial" w:hAnsi="Arial" w:cs="Arial"/>
          <w:sz w:val="24"/>
          <w:szCs w:val="24"/>
        </w:rPr>
      </w:pPr>
      <w:r w:rsidRPr="00A60A6C">
        <w:rPr>
          <w:rFonts w:ascii="Arial" w:hAnsi="Arial" w:cs="Arial"/>
          <w:sz w:val="24"/>
          <w:szCs w:val="24"/>
        </w:rPr>
        <w:t xml:space="preserve">En la zona del euro, la economía evolucionó de manera estable en la segunda mitad de 2016; y en el segundo trimestre de 2017 ha mostrado una aceleración moderada en su ritmo de crecimiento. Además, la inflación comienza a mostrar señales de recuperación, a pesar de mantenerse por debajo del objetivo del Banco Central Europeo (BCE). En este contexto, el BCE ha reducido el monto mensual de compra de activos enmarcado en su programa de estímulos monetarios, aunque extendió la vigencia del programa hasta diciembre de 2017. </w:t>
      </w:r>
    </w:p>
    <w:p w:rsidR="00A60A6C" w:rsidRDefault="00A60A6C" w:rsidP="002C0C2F">
      <w:pPr>
        <w:autoSpaceDE w:val="0"/>
        <w:autoSpaceDN w:val="0"/>
        <w:adjustRightInd w:val="0"/>
        <w:spacing w:after="0" w:line="240" w:lineRule="auto"/>
        <w:jc w:val="both"/>
        <w:rPr>
          <w:rFonts w:ascii="Arial" w:hAnsi="Arial" w:cs="Arial"/>
          <w:sz w:val="24"/>
          <w:szCs w:val="24"/>
        </w:rPr>
      </w:pPr>
    </w:p>
    <w:p w:rsidR="00A60A6C" w:rsidRDefault="00A60A6C" w:rsidP="002C0C2F">
      <w:pPr>
        <w:autoSpaceDE w:val="0"/>
        <w:autoSpaceDN w:val="0"/>
        <w:adjustRightInd w:val="0"/>
        <w:spacing w:after="0" w:line="240" w:lineRule="auto"/>
        <w:jc w:val="both"/>
        <w:rPr>
          <w:rFonts w:ascii="Arial" w:hAnsi="Arial" w:cs="Arial"/>
          <w:sz w:val="24"/>
          <w:szCs w:val="24"/>
        </w:rPr>
      </w:pPr>
      <w:r w:rsidRPr="00A60A6C">
        <w:rPr>
          <w:rFonts w:ascii="Arial" w:hAnsi="Arial" w:cs="Arial"/>
          <w:sz w:val="24"/>
          <w:szCs w:val="24"/>
        </w:rPr>
        <w:t xml:space="preserve">Por su parte, la economía japonesa se ha recuperado de manera significativa, impulsada por una buena dinámica del mercado interno. Dado el desempeño que se ha registrado en economías avanzadas, es importante señalar que existe una percepción en el mercado de que los principales bancos centrales en economías avanzadas comenzarán a implementar políticas monetarias más restrictivas. Por su parte, las economías emergentes han mostrado una recuperación importante durante la primera mitad de 2017, aunque se observa un comportamiento desigual </w:t>
      </w:r>
      <w:r w:rsidRPr="00A60A6C">
        <w:rPr>
          <w:rFonts w:ascii="Arial" w:hAnsi="Arial" w:cs="Arial"/>
          <w:sz w:val="24"/>
          <w:szCs w:val="24"/>
        </w:rPr>
        <w:lastRenderedPageBreak/>
        <w:t>entre países. Destaca que la economía China ha mostrado un crecimiento ligeramente mayor al esperado este año, lo cual generó que el FMI revisara al alza sus pronósticos de crecimiento para 2017 y 2018 de esta economía en su última estimación.</w:t>
      </w:r>
    </w:p>
    <w:p w:rsidR="00A60A6C" w:rsidRDefault="00A60A6C" w:rsidP="002C0C2F">
      <w:pPr>
        <w:autoSpaceDE w:val="0"/>
        <w:autoSpaceDN w:val="0"/>
        <w:adjustRightInd w:val="0"/>
        <w:spacing w:after="0" w:line="240" w:lineRule="auto"/>
        <w:jc w:val="both"/>
        <w:rPr>
          <w:rFonts w:ascii="Arial" w:hAnsi="Arial" w:cs="Arial"/>
          <w:sz w:val="24"/>
          <w:szCs w:val="24"/>
        </w:rPr>
      </w:pPr>
    </w:p>
    <w:p w:rsidR="00A60A6C" w:rsidRDefault="00A60A6C" w:rsidP="002C0C2F">
      <w:pPr>
        <w:autoSpaceDE w:val="0"/>
        <w:autoSpaceDN w:val="0"/>
        <w:adjustRightInd w:val="0"/>
        <w:spacing w:after="0" w:line="240" w:lineRule="auto"/>
        <w:jc w:val="both"/>
        <w:rPr>
          <w:rFonts w:ascii="Arial" w:hAnsi="Arial" w:cs="Arial"/>
          <w:sz w:val="24"/>
          <w:szCs w:val="24"/>
        </w:rPr>
      </w:pPr>
      <w:r w:rsidRPr="00A60A6C">
        <w:rPr>
          <w:rFonts w:ascii="Arial" w:hAnsi="Arial" w:cs="Arial"/>
          <w:sz w:val="24"/>
          <w:szCs w:val="24"/>
        </w:rPr>
        <w:t>En los mercados financieros se ha observado una tendencia a la baja en la volatilidad desde la segunda mitad de 2016 a la fecha. Sin embargo, este periodo no ha estado exento de episodios de elevada incertidumbre que han afectado al desempeño de los mercados. Resalta la volatilidad asociada al proceso electoral en Estados Unidos, las negociaciones entre el Reino Unido y la Unión Europea, así como las tensiones geopolíticas en Medio Oriente y Corea del Norte.</w:t>
      </w:r>
    </w:p>
    <w:p w:rsidR="00A60A6C" w:rsidRDefault="00A60A6C" w:rsidP="002C0C2F">
      <w:pPr>
        <w:autoSpaceDE w:val="0"/>
        <w:autoSpaceDN w:val="0"/>
        <w:adjustRightInd w:val="0"/>
        <w:spacing w:after="0" w:line="240" w:lineRule="auto"/>
        <w:jc w:val="both"/>
        <w:rPr>
          <w:rFonts w:ascii="Arial" w:hAnsi="Arial" w:cs="Arial"/>
          <w:sz w:val="24"/>
          <w:szCs w:val="24"/>
        </w:rPr>
      </w:pPr>
    </w:p>
    <w:p w:rsidR="00A60A6C" w:rsidRPr="00A60A6C" w:rsidRDefault="00A60A6C" w:rsidP="00276E88">
      <w:pPr>
        <w:autoSpaceDE w:val="0"/>
        <w:autoSpaceDN w:val="0"/>
        <w:adjustRightInd w:val="0"/>
        <w:spacing w:after="0" w:line="240" w:lineRule="auto"/>
        <w:jc w:val="both"/>
        <w:rPr>
          <w:rFonts w:ascii="Arial" w:hAnsi="Arial" w:cs="Arial"/>
          <w:sz w:val="24"/>
          <w:szCs w:val="24"/>
          <w:highlight w:val="yellow"/>
        </w:rPr>
      </w:pPr>
      <w:r w:rsidRPr="00A60A6C">
        <w:rPr>
          <w:rFonts w:ascii="Arial" w:hAnsi="Arial" w:cs="Arial"/>
          <w:sz w:val="24"/>
          <w:szCs w:val="24"/>
        </w:rPr>
        <w:t>Por último, los precios del petróleo han registrado un comportamiento estable durante este año, tras haberse recuperado en la segunda mitad de 2016. Esto se debe principalmente a las acciones de los miembros de la Organización de Países Exportadores de Petróleo (OPEP), quienes se han apegado al acuerdo de recorte de producción de crudo. La dinámica también estuvo apoyada por las importantes disminuciones registradas en los inventarios de crudo en EEUU, así como por la inclusión de Nigeria al acuerdo de la OPEP y una reducción adicional en las exportaciones de crudo por parte de Arabia Saudita.</w:t>
      </w:r>
    </w:p>
    <w:p w:rsidR="00A60A6C" w:rsidRDefault="00A60A6C" w:rsidP="00276E88">
      <w:pPr>
        <w:autoSpaceDE w:val="0"/>
        <w:autoSpaceDN w:val="0"/>
        <w:adjustRightInd w:val="0"/>
        <w:spacing w:after="0" w:line="240" w:lineRule="auto"/>
        <w:jc w:val="both"/>
        <w:rPr>
          <w:rFonts w:ascii="Arial" w:hAnsi="Arial" w:cs="Arial"/>
          <w:sz w:val="24"/>
          <w:szCs w:val="24"/>
          <w:highlight w:val="yellow"/>
        </w:rPr>
      </w:pPr>
    </w:p>
    <w:p w:rsidR="00E063E1" w:rsidRDefault="00E063E1" w:rsidP="00276E88">
      <w:pPr>
        <w:spacing w:after="0" w:line="240" w:lineRule="auto"/>
        <w:jc w:val="both"/>
        <w:rPr>
          <w:rFonts w:ascii="Arial" w:hAnsi="Arial" w:cs="Arial"/>
          <w:sz w:val="24"/>
          <w:szCs w:val="24"/>
        </w:rPr>
      </w:pPr>
      <w:r w:rsidRPr="00A60A6C">
        <w:rPr>
          <w:rFonts w:ascii="Arial" w:hAnsi="Arial" w:cs="Arial"/>
          <w:sz w:val="24"/>
          <w:szCs w:val="24"/>
        </w:rPr>
        <w:t>Considerando el panorama económico exis</w:t>
      </w:r>
      <w:r w:rsidR="0005022D">
        <w:rPr>
          <w:rFonts w:ascii="Arial" w:hAnsi="Arial" w:cs="Arial"/>
          <w:sz w:val="24"/>
          <w:szCs w:val="24"/>
        </w:rPr>
        <w:t>tente, el Paquete Económico federal 2018</w:t>
      </w:r>
      <w:r w:rsidRPr="00A60A6C">
        <w:rPr>
          <w:rFonts w:ascii="Arial" w:hAnsi="Arial" w:cs="Arial"/>
          <w:sz w:val="24"/>
          <w:szCs w:val="24"/>
        </w:rPr>
        <w:t xml:space="preserve"> preserva la estabilidad macroeconómica y está diseñado para hacer frente a los retos en las finanzas públicas.</w:t>
      </w:r>
    </w:p>
    <w:p w:rsidR="00106DC6" w:rsidRPr="00A60A6C" w:rsidRDefault="00106DC6" w:rsidP="00106DC6">
      <w:pPr>
        <w:spacing w:after="0" w:line="240" w:lineRule="auto"/>
        <w:jc w:val="both"/>
        <w:rPr>
          <w:rFonts w:ascii="Arial" w:hAnsi="Arial" w:cs="Arial"/>
          <w:sz w:val="24"/>
          <w:szCs w:val="24"/>
        </w:rPr>
      </w:pPr>
    </w:p>
    <w:p w:rsidR="00E063E1" w:rsidRDefault="00276E88" w:rsidP="00106DC6">
      <w:pPr>
        <w:spacing w:after="0"/>
        <w:jc w:val="both"/>
        <w:rPr>
          <w:rFonts w:ascii="Arial" w:hAnsi="Arial" w:cs="Arial"/>
          <w:b/>
          <w:sz w:val="24"/>
          <w:szCs w:val="24"/>
        </w:rPr>
      </w:pPr>
      <w:r>
        <w:rPr>
          <w:rFonts w:ascii="Arial" w:hAnsi="Arial" w:cs="Arial"/>
          <w:b/>
          <w:sz w:val="24"/>
          <w:szCs w:val="24"/>
        </w:rPr>
        <w:t>1.3.1.1. Entorno Internacional</w:t>
      </w:r>
    </w:p>
    <w:p w:rsidR="00106DC6" w:rsidRPr="00106DC6" w:rsidRDefault="00106DC6" w:rsidP="00106DC6">
      <w:pPr>
        <w:spacing w:after="0"/>
        <w:jc w:val="both"/>
        <w:rPr>
          <w:rFonts w:ascii="Arial" w:hAnsi="Arial" w:cs="Arial"/>
          <w:sz w:val="24"/>
          <w:szCs w:val="24"/>
        </w:rPr>
      </w:pPr>
    </w:p>
    <w:p w:rsidR="002D4240" w:rsidRDefault="00C47E67" w:rsidP="00276E88">
      <w:pPr>
        <w:spacing w:after="0" w:line="240" w:lineRule="auto"/>
        <w:jc w:val="both"/>
        <w:rPr>
          <w:rFonts w:ascii="Arial" w:hAnsi="Arial" w:cs="Arial"/>
          <w:sz w:val="24"/>
          <w:szCs w:val="24"/>
        </w:rPr>
      </w:pPr>
      <w:r w:rsidRPr="00C47E67">
        <w:rPr>
          <w:rFonts w:ascii="Arial" w:hAnsi="Arial" w:cs="Arial"/>
          <w:sz w:val="24"/>
          <w:szCs w:val="24"/>
        </w:rPr>
        <w:t xml:space="preserve">En cuanto a </w:t>
      </w:r>
      <w:r w:rsidR="005A5B17" w:rsidRPr="00C47E67">
        <w:rPr>
          <w:rFonts w:ascii="Arial" w:hAnsi="Arial" w:cs="Arial"/>
          <w:sz w:val="24"/>
          <w:szCs w:val="24"/>
        </w:rPr>
        <w:t>las Perspectivas</w:t>
      </w:r>
      <w:r w:rsidRPr="00C47E67">
        <w:rPr>
          <w:rFonts w:ascii="Arial" w:hAnsi="Arial" w:cs="Arial"/>
          <w:sz w:val="24"/>
          <w:szCs w:val="24"/>
        </w:rPr>
        <w:t xml:space="preserve"> económicas para </w:t>
      </w:r>
      <w:r w:rsidR="00F12D29" w:rsidRPr="00C47E67">
        <w:rPr>
          <w:rFonts w:ascii="Arial" w:hAnsi="Arial" w:cs="Arial"/>
          <w:sz w:val="24"/>
          <w:szCs w:val="24"/>
        </w:rPr>
        <w:t>2018,</w:t>
      </w:r>
      <w:r w:rsidRPr="00C47E67">
        <w:rPr>
          <w:rFonts w:ascii="Arial" w:hAnsi="Arial" w:cs="Arial"/>
          <w:sz w:val="24"/>
          <w:szCs w:val="24"/>
        </w:rPr>
        <w:t xml:space="preserve"> en línea con los principales analistas y organismos internacionales, se anticipa que durante 2018 el crecimiento económico mundial y, particularmente, el de Estados Unidos, registre una ligera aceleración respecto a 2017. Si bien se considera que los riesgos en el entorno externo se encuentran balanceados, en los meses recientes se han incrementado los relacionados con tensiones geopolíticas, particularmente en la península de Corea y el proceso de salida del Reino Unido de la Unión Europea.</w:t>
      </w:r>
    </w:p>
    <w:p w:rsidR="005A5B17" w:rsidRPr="00C47E67" w:rsidRDefault="005A5B17" w:rsidP="00276E88">
      <w:pPr>
        <w:spacing w:after="0" w:line="240" w:lineRule="auto"/>
        <w:jc w:val="both"/>
        <w:rPr>
          <w:rFonts w:ascii="Arial" w:hAnsi="Arial" w:cs="Arial"/>
          <w:sz w:val="24"/>
          <w:szCs w:val="24"/>
        </w:rPr>
      </w:pPr>
    </w:p>
    <w:p w:rsidR="00C47E67" w:rsidRDefault="00C47E67" w:rsidP="00276E88">
      <w:pPr>
        <w:spacing w:after="0" w:line="240" w:lineRule="auto"/>
        <w:jc w:val="both"/>
        <w:rPr>
          <w:rFonts w:ascii="Arial" w:hAnsi="Arial" w:cs="Arial"/>
          <w:sz w:val="24"/>
          <w:szCs w:val="24"/>
        </w:rPr>
      </w:pPr>
      <w:r w:rsidRPr="00C47E67">
        <w:rPr>
          <w:rFonts w:ascii="Arial" w:hAnsi="Arial" w:cs="Arial"/>
          <w:sz w:val="24"/>
          <w:szCs w:val="24"/>
        </w:rPr>
        <w:t xml:space="preserve">En lo que concierne a las perspectivas de la economía global 2017-2018, de acuerdo con el Fondo Monetario </w:t>
      </w:r>
      <w:r w:rsidR="00F12D29" w:rsidRPr="00C47E67">
        <w:rPr>
          <w:rFonts w:ascii="Arial" w:hAnsi="Arial" w:cs="Arial"/>
          <w:sz w:val="24"/>
          <w:szCs w:val="24"/>
        </w:rPr>
        <w:t>Internacional,</w:t>
      </w:r>
      <w:r w:rsidRPr="00C47E67">
        <w:rPr>
          <w:rFonts w:ascii="Arial" w:hAnsi="Arial" w:cs="Arial"/>
          <w:sz w:val="24"/>
          <w:szCs w:val="24"/>
        </w:rPr>
        <w:t xml:space="preserve"> se espera que el crecimiento global se acelere en 2017 y permanezca sólido en 2018. En particular, se anticipa que la economía global crezca 3.5 por ciento en 2017, 0.3 </w:t>
      </w:r>
      <w:r w:rsidRPr="00BE3273">
        <w:rPr>
          <w:rFonts w:ascii="Arial" w:hAnsi="Arial" w:cs="Arial"/>
          <w:sz w:val="24"/>
          <w:szCs w:val="24"/>
        </w:rPr>
        <w:t>p</w:t>
      </w:r>
      <w:r w:rsidR="00BE3273" w:rsidRPr="00BE3273">
        <w:rPr>
          <w:rFonts w:ascii="Arial" w:hAnsi="Arial" w:cs="Arial"/>
          <w:sz w:val="24"/>
          <w:szCs w:val="24"/>
        </w:rPr>
        <w:t xml:space="preserve">untos </w:t>
      </w:r>
      <w:r w:rsidRPr="00BE3273">
        <w:rPr>
          <w:rFonts w:ascii="Arial" w:hAnsi="Arial" w:cs="Arial"/>
          <w:sz w:val="24"/>
          <w:szCs w:val="24"/>
        </w:rPr>
        <w:t>p</w:t>
      </w:r>
      <w:r w:rsidR="00BE3273" w:rsidRPr="00BE3273">
        <w:rPr>
          <w:rFonts w:ascii="Arial" w:hAnsi="Arial" w:cs="Arial"/>
          <w:sz w:val="24"/>
          <w:szCs w:val="24"/>
        </w:rPr>
        <w:t>orcentuales</w:t>
      </w:r>
      <w:r w:rsidRPr="00BE3273">
        <w:rPr>
          <w:rFonts w:ascii="Arial" w:hAnsi="Arial" w:cs="Arial"/>
          <w:sz w:val="24"/>
          <w:szCs w:val="24"/>
        </w:rPr>
        <w:t xml:space="preserve"> </w:t>
      </w:r>
      <w:r w:rsidRPr="00C47E67">
        <w:rPr>
          <w:rFonts w:ascii="Arial" w:hAnsi="Arial" w:cs="Arial"/>
          <w:sz w:val="24"/>
          <w:szCs w:val="24"/>
        </w:rPr>
        <w:t xml:space="preserve">por arriba </w:t>
      </w:r>
      <w:r w:rsidRPr="00C47E67">
        <w:rPr>
          <w:rFonts w:ascii="Arial" w:hAnsi="Arial" w:cs="Arial"/>
          <w:sz w:val="24"/>
          <w:szCs w:val="24"/>
        </w:rPr>
        <w:lastRenderedPageBreak/>
        <w:t>de lo registrado en 2016, y que el ritmo de crecimiento se acelere ligeramente en 2018, para llegar a 3.6 por ciento.</w:t>
      </w:r>
    </w:p>
    <w:p w:rsidR="00106DC6" w:rsidRPr="00C47E67" w:rsidRDefault="00106DC6" w:rsidP="00106DC6">
      <w:pPr>
        <w:spacing w:after="0"/>
        <w:jc w:val="both"/>
        <w:rPr>
          <w:rFonts w:ascii="Arial" w:hAnsi="Arial" w:cs="Arial"/>
          <w:sz w:val="24"/>
          <w:szCs w:val="24"/>
        </w:rPr>
      </w:pPr>
    </w:p>
    <w:p w:rsidR="00C47E67" w:rsidRDefault="00C47E67" w:rsidP="00276E88">
      <w:pPr>
        <w:spacing w:after="0" w:line="240" w:lineRule="auto"/>
        <w:jc w:val="both"/>
        <w:rPr>
          <w:rFonts w:ascii="Arial" w:hAnsi="Arial" w:cs="Arial"/>
          <w:sz w:val="24"/>
          <w:szCs w:val="24"/>
        </w:rPr>
      </w:pPr>
      <w:r w:rsidRPr="00C47E67">
        <w:rPr>
          <w:rFonts w:ascii="Arial" w:hAnsi="Arial" w:cs="Arial"/>
          <w:sz w:val="24"/>
          <w:szCs w:val="24"/>
        </w:rPr>
        <w:t>En su actualización de julio a los pronósticos de crecimiento de la economía mundial, el FMI realizó una revisión al desempeño esperado de las economías avanzadas y emergentes en 2017 y 2018 que no implicó modificaciones a las expectativas globales de crecimiento para dichos años presentadas en abril (World Economic Outlook). El panorama global indica que los riesgos para el crecimiento económico mundial parecen estar balanceados en el corto plazo, pero permanecen inclinados a la baja en el mediano plazo.</w:t>
      </w:r>
    </w:p>
    <w:p w:rsidR="00106DC6" w:rsidRPr="00C47E67" w:rsidRDefault="00106DC6" w:rsidP="00106DC6">
      <w:pPr>
        <w:spacing w:after="0"/>
        <w:jc w:val="both"/>
        <w:rPr>
          <w:rFonts w:ascii="Arial" w:hAnsi="Arial" w:cs="Arial"/>
          <w:sz w:val="24"/>
          <w:szCs w:val="24"/>
        </w:rPr>
      </w:pPr>
    </w:p>
    <w:p w:rsidR="00C47E67" w:rsidRDefault="00C47E67" w:rsidP="00276E88">
      <w:pPr>
        <w:spacing w:after="0" w:line="240" w:lineRule="auto"/>
        <w:jc w:val="both"/>
        <w:rPr>
          <w:rFonts w:ascii="Arial" w:hAnsi="Arial" w:cs="Arial"/>
          <w:sz w:val="24"/>
          <w:szCs w:val="24"/>
        </w:rPr>
      </w:pPr>
      <w:r w:rsidRPr="00C47E67">
        <w:rPr>
          <w:rFonts w:ascii="Arial" w:hAnsi="Arial" w:cs="Arial"/>
          <w:sz w:val="24"/>
          <w:szCs w:val="24"/>
        </w:rPr>
        <w:t xml:space="preserve">Para 2017 se espera que las economías avanzadas incrementen su ritmo de crecimiento respecto a 2016, aunque para algunas de ellas se registraron revisiones a la baja. La expectativa de crecimiento en 2017 y 2018 para Estados Unidos se redujo, principalmente anticipando que la política fiscal en aquel país sea menos expansiva de lo que se asumía anteriormente. Por otro lado, la debilidad de los datos de actividad de Reino Unido en el primer trimestre derivó en ajustes a la baja en su crecimiento estimado para 2017. En contraste, para la mayoría de las economías de la Zona del Euro los pronósticos fueron revisados al alza, reflejando un mejor desempeño de la demanda interna. En este contexto, el pronóstico de crecimiento de las economías avanzadas para 2017 permaneció sin cambios en 2.0 por ciento, mientras que para 2018 fue revisado marginalmente a la baja, de 2.0 a 1.9 por ciento. </w:t>
      </w:r>
    </w:p>
    <w:p w:rsidR="00276E88" w:rsidRPr="00C47E67" w:rsidRDefault="00276E88" w:rsidP="00276E88">
      <w:pPr>
        <w:spacing w:after="0" w:line="240" w:lineRule="auto"/>
        <w:jc w:val="both"/>
        <w:rPr>
          <w:rFonts w:ascii="Arial" w:hAnsi="Arial" w:cs="Arial"/>
          <w:sz w:val="24"/>
          <w:szCs w:val="24"/>
        </w:rPr>
      </w:pPr>
    </w:p>
    <w:p w:rsidR="00C47E67" w:rsidRDefault="00C47E67" w:rsidP="00276E88">
      <w:pPr>
        <w:spacing w:after="0" w:line="240" w:lineRule="auto"/>
        <w:jc w:val="both"/>
        <w:rPr>
          <w:rFonts w:ascii="Arial" w:hAnsi="Arial" w:cs="Arial"/>
          <w:sz w:val="24"/>
          <w:szCs w:val="24"/>
        </w:rPr>
      </w:pPr>
      <w:r w:rsidRPr="00C47E67">
        <w:rPr>
          <w:rFonts w:ascii="Arial" w:hAnsi="Arial" w:cs="Arial"/>
          <w:sz w:val="24"/>
          <w:szCs w:val="24"/>
        </w:rPr>
        <w:t>Se espera que el crecimiento de las economías emergentes sea robusto en la mayoría de los países. En particular, se anticipa que el ritmo de expansión de China e India permanezca sólido y que el crecimiento en Latinoamérica se recupere gradualmente con Brasil y Argentina alcanzando el final de sus periodos de recesión. El FMI estima que las economías emergentes pasen de crecer a un ritmo anual de 4.3 por ciento en 2016 a 4.6 por ciento en 2017 y 4.8 por ciento en 2018.</w:t>
      </w:r>
    </w:p>
    <w:p w:rsidR="00BC0010" w:rsidRDefault="00BC0010" w:rsidP="00276E88">
      <w:pPr>
        <w:spacing w:after="0" w:line="240" w:lineRule="auto"/>
        <w:jc w:val="both"/>
        <w:rPr>
          <w:rFonts w:ascii="Arial" w:hAnsi="Arial" w:cs="Arial"/>
          <w:sz w:val="24"/>
          <w:szCs w:val="24"/>
        </w:rPr>
      </w:pPr>
    </w:p>
    <w:p w:rsidR="0003724B" w:rsidRDefault="00C47E67" w:rsidP="00276E88">
      <w:pPr>
        <w:spacing w:after="0" w:line="240" w:lineRule="auto"/>
        <w:jc w:val="both"/>
        <w:rPr>
          <w:rFonts w:ascii="Arial" w:hAnsi="Arial" w:cs="Arial"/>
          <w:sz w:val="24"/>
          <w:szCs w:val="24"/>
        </w:rPr>
      </w:pPr>
      <w:r w:rsidRPr="00DB3747">
        <w:rPr>
          <w:rFonts w:ascii="Arial" w:hAnsi="Arial" w:cs="Arial"/>
          <w:sz w:val="24"/>
          <w:szCs w:val="24"/>
        </w:rPr>
        <w:t xml:space="preserve">Precio del petróleo </w:t>
      </w:r>
    </w:p>
    <w:p w:rsidR="00276E88" w:rsidRPr="00DB3747" w:rsidRDefault="00276E88" w:rsidP="00276E88">
      <w:pPr>
        <w:spacing w:after="0"/>
        <w:jc w:val="both"/>
        <w:rPr>
          <w:rFonts w:ascii="Arial" w:hAnsi="Arial" w:cs="Arial"/>
          <w:sz w:val="24"/>
          <w:szCs w:val="24"/>
        </w:rPr>
      </w:pPr>
    </w:p>
    <w:p w:rsidR="00C47E67" w:rsidRDefault="00C47E67" w:rsidP="00276E88">
      <w:pPr>
        <w:spacing w:after="0" w:line="240" w:lineRule="auto"/>
        <w:jc w:val="both"/>
        <w:rPr>
          <w:rFonts w:ascii="Arial" w:hAnsi="Arial" w:cs="Arial"/>
          <w:sz w:val="24"/>
          <w:szCs w:val="24"/>
        </w:rPr>
      </w:pPr>
      <w:r w:rsidRPr="00DB3747">
        <w:rPr>
          <w:rFonts w:ascii="Arial" w:hAnsi="Arial" w:cs="Arial"/>
          <w:sz w:val="24"/>
          <w:szCs w:val="24"/>
        </w:rPr>
        <w:t xml:space="preserve">A lo largo de 2017 los fundamentos del mercado petrolero han mejorado, indicando el retorno al equilibrio del mercado y disminuyendo la volatilidad en los precios. Este comportamiento se atribuye fundamentalmente al alto cumplimiento y extensión por 9 meses adicionales del recorte de la OPEP, y más recientemente a la disminución adicional de 1 millón de barriles diarios en las exportaciones de Arabia Saudita, la adhesión de Nigeria al recorte y las disminuciones registradas en los inventarios de crudo de EEUU. No </w:t>
      </w:r>
      <w:r w:rsidR="005A5B17" w:rsidRPr="00DB3747">
        <w:rPr>
          <w:rFonts w:ascii="Arial" w:hAnsi="Arial" w:cs="Arial"/>
          <w:sz w:val="24"/>
          <w:szCs w:val="24"/>
        </w:rPr>
        <w:t>obstante,</w:t>
      </w:r>
      <w:r w:rsidRPr="00DB3747">
        <w:rPr>
          <w:rFonts w:ascii="Arial" w:hAnsi="Arial" w:cs="Arial"/>
          <w:sz w:val="24"/>
          <w:szCs w:val="24"/>
        </w:rPr>
        <w:t xml:space="preserve"> lo anterior, los precios también se han visto </w:t>
      </w:r>
      <w:r w:rsidRPr="00DB3747">
        <w:rPr>
          <w:rFonts w:ascii="Arial" w:hAnsi="Arial" w:cs="Arial"/>
          <w:sz w:val="24"/>
          <w:szCs w:val="24"/>
        </w:rPr>
        <w:lastRenderedPageBreak/>
        <w:t>presionados a la baja por factores como la creciente producción de EEUU, sus elevados niveles de inventarios, los incrementos en las producciones de Libia y Nigeria y el impacto del Huracán Harvey en múltiples refinerías de EEUU.</w:t>
      </w:r>
    </w:p>
    <w:p w:rsidR="001021BF" w:rsidRDefault="001021BF" w:rsidP="00276E88">
      <w:pPr>
        <w:spacing w:after="0" w:line="240" w:lineRule="auto"/>
        <w:jc w:val="both"/>
        <w:rPr>
          <w:rFonts w:ascii="Arial" w:hAnsi="Arial" w:cs="Arial"/>
          <w:sz w:val="24"/>
          <w:szCs w:val="24"/>
        </w:rPr>
      </w:pPr>
    </w:p>
    <w:p w:rsidR="00DB3747" w:rsidRPr="00DB3747" w:rsidRDefault="00DB3747" w:rsidP="00276E88">
      <w:pPr>
        <w:autoSpaceDE w:val="0"/>
        <w:autoSpaceDN w:val="0"/>
        <w:adjustRightInd w:val="0"/>
        <w:spacing w:after="0" w:line="240" w:lineRule="auto"/>
        <w:jc w:val="both"/>
        <w:rPr>
          <w:rFonts w:ascii="Arial" w:hAnsi="Arial" w:cs="Arial"/>
          <w:sz w:val="24"/>
          <w:szCs w:val="24"/>
        </w:rPr>
      </w:pPr>
      <w:r w:rsidRPr="00DB3747">
        <w:rPr>
          <w:rFonts w:ascii="Arial" w:hAnsi="Arial" w:cs="Arial"/>
          <w:sz w:val="24"/>
          <w:szCs w:val="24"/>
        </w:rPr>
        <w:t xml:space="preserve">Como se señala en supra líneas en los Criterios Generales de </w:t>
      </w:r>
      <w:r w:rsidR="004C3EEA" w:rsidRPr="00DB3747">
        <w:rPr>
          <w:rFonts w:ascii="Arial" w:hAnsi="Arial" w:cs="Arial"/>
          <w:sz w:val="24"/>
          <w:szCs w:val="24"/>
        </w:rPr>
        <w:t>Política</w:t>
      </w:r>
      <w:r w:rsidRPr="00DB3747">
        <w:rPr>
          <w:rFonts w:ascii="Arial" w:hAnsi="Arial" w:cs="Arial"/>
          <w:sz w:val="24"/>
          <w:szCs w:val="24"/>
        </w:rPr>
        <w:t xml:space="preserve"> </w:t>
      </w:r>
      <w:r w:rsidR="005A5B17" w:rsidRPr="00DB3747">
        <w:rPr>
          <w:rFonts w:ascii="Arial" w:hAnsi="Arial" w:cs="Arial"/>
          <w:sz w:val="24"/>
          <w:szCs w:val="24"/>
        </w:rPr>
        <w:t>Económica, se</w:t>
      </w:r>
      <w:r w:rsidRPr="00DB3747">
        <w:rPr>
          <w:rFonts w:ascii="Arial" w:hAnsi="Arial" w:cs="Arial"/>
          <w:sz w:val="24"/>
          <w:szCs w:val="24"/>
        </w:rPr>
        <w:t xml:space="preserve"> proyecta un precio promedio anual para la mezcla mexicana de exportación de</w:t>
      </w:r>
    </w:p>
    <w:p w:rsidR="00DB3747" w:rsidRPr="00575576" w:rsidRDefault="00DB3747" w:rsidP="00276E88">
      <w:pPr>
        <w:spacing w:after="0" w:line="240" w:lineRule="auto"/>
        <w:jc w:val="both"/>
        <w:rPr>
          <w:rFonts w:ascii="Arial" w:hAnsi="Arial" w:cs="Arial"/>
          <w:sz w:val="24"/>
          <w:szCs w:val="24"/>
        </w:rPr>
      </w:pPr>
      <w:r w:rsidRPr="00DB3747">
        <w:rPr>
          <w:rFonts w:ascii="Arial" w:hAnsi="Arial" w:cs="Arial"/>
          <w:sz w:val="24"/>
          <w:szCs w:val="24"/>
        </w:rPr>
        <w:t>46 dólares por barril.</w:t>
      </w:r>
    </w:p>
    <w:p w:rsidR="000E6714" w:rsidRPr="00276E88" w:rsidRDefault="000E6714" w:rsidP="004C3EEA">
      <w:pPr>
        <w:spacing w:after="0"/>
        <w:jc w:val="both"/>
        <w:rPr>
          <w:rFonts w:ascii="Arial" w:hAnsi="Arial" w:cs="Arial"/>
          <w:sz w:val="24"/>
          <w:szCs w:val="24"/>
        </w:rPr>
      </w:pPr>
    </w:p>
    <w:p w:rsidR="00E063E1" w:rsidRDefault="00276E88" w:rsidP="00276E88">
      <w:pPr>
        <w:spacing w:after="0" w:line="240" w:lineRule="auto"/>
        <w:rPr>
          <w:rFonts w:ascii="Arial" w:hAnsi="Arial" w:cs="Arial"/>
          <w:b/>
          <w:sz w:val="24"/>
          <w:szCs w:val="24"/>
        </w:rPr>
      </w:pPr>
      <w:r>
        <w:rPr>
          <w:rFonts w:ascii="Arial" w:hAnsi="Arial" w:cs="Arial"/>
          <w:b/>
          <w:sz w:val="24"/>
          <w:szCs w:val="24"/>
        </w:rPr>
        <w:t>I.3.1.2. Entorno Nacional</w:t>
      </w:r>
    </w:p>
    <w:p w:rsidR="00276E88" w:rsidRPr="00276E88" w:rsidRDefault="00276E88" w:rsidP="00276E88">
      <w:pPr>
        <w:spacing w:after="0" w:line="240" w:lineRule="auto"/>
        <w:rPr>
          <w:rFonts w:ascii="Arial" w:hAnsi="Arial" w:cs="Arial"/>
          <w:sz w:val="24"/>
          <w:szCs w:val="24"/>
        </w:rPr>
      </w:pPr>
    </w:p>
    <w:p w:rsidR="000E6714" w:rsidRDefault="000E6714" w:rsidP="00276E88">
      <w:pPr>
        <w:spacing w:after="0" w:line="240" w:lineRule="auto"/>
        <w:jc w:val="both"/>
        <w:rPr>
          <w:rFonts w:ascii="Arial" w:hAnsi="Arial" w:cs="Arial"/>
          <w:sz w:val="24"/>
          <w:szCs w:val="24"/>
        </w:rPr>
      </w:pPr>
      <w:r w:rsidRPr="000E6714">
        <w:rPr>
          <w:rFonts w:ascii="Arial" w:hAnsi="Arial" w:cs="Arial"/>
          <w:sz w:val="24"/>
          <w:szCs w:val="24"/>
        </w:rPr>
        <w:t xml:space="preserve">Los Criterios Generales de Política </w:t>
      </w:r>
      <w:r w:rsidRPr="000E6714">
        <w:rPr>
          <w:rFonts w:ascii="Arial" w:hAnsi="Arial" w:cs="Arial"/>
          <w:sz w:val="24"/>
          <w:szCs w:val="24"/>
        </w:rPr>
        <w:tab/>
        <w:t>Económica 2018 establecen que la economía de México ha registrado un desempeño positivo durante 2017, en un entorno externo incierto pero que ha mejorado a lo largo del año. La información disponible indica que el efecto sobre la economía real de la incertidumbre respecto a las políticas económicas de la entrante administración del gobierno de EEUU ha sido, en todo caso, bajo. Se observa un crecimiento sostenido y balanceado, sustentado en las Reformas Estructurales que están demostrando su importancia.</w:t>
      </w:r>
    </w:p>
    <w:p w:rsidR="00276E88" w:rsidRPr="000E6714" w:rsidRDefault="00276E88" w:rsidP="00276E88">
      <w:pPr>
        <w:spacing w:after="0" w:line="240" w:lineRule="auto"/>
        <w:jc w:val="both"/>
        <w:rPr>
          <w:rFonts w:ascii="Arial" w:hAnsi="Arial" w:cs="Arial"/>
          <w:sz w:val="24"/>
          <w:szCs w:val="24"/>
        </w:rPr>
      </w:pPr>
    </w:p>
    <w:p w:rsidR="00E063E1" w:rsidRPr="000E6714" w:rsidRDefault="00E063E1" w:rsidP="00E063E1">
      <w:pPr>
        <w:spacing w:after="0" w:line="240" w:lineRule="auto"/>
        <w:jc w:val="both"/>
        <w:rPr>
          <w:rFonts w:ascii="Arial" w:hAnsi="Arial" w:cs="Arial"/>
          <w:sz w:val="24"/>
          <w:szCs w:val="24"/>
        </w:rPr>
      </w:pPr>
      <w:r w:rsidRPr="000E6714">
        <w:rPr>
          <w:rFonts w:ascii="Arial" w:hAnsi="Arial" w:cs="Arial"/>
          <w:sz w:val="24"/>
          <w:szCs w:val="24"/>
        </w:rPr>
        <w:t>Considerando el panorama económico internacional prevaleciente, así como su prospe</w:t>
      </w:r>
      <w:r w:rsidR="000E6714" w:rsidRPr="000E6714">
        <w:rPr>
          <w:rFonts w:ascii="Arial" w:hAnsi="Arial" w:cs="Arial"/>
          <w:sz w:val="24"/>
          <w:szCs w:val="24"/>
        </w:rPr>
        <w:t>ctiva, el Paquete Económico 2018</w:t>
      </w:r>
      <w:r w:rsidRPr="000E6714">
        <w:rPr>
          <w:rFonts w:ascii="Arial" w:hAnsi="Arial" w:cs="Arial"/>
          <w:sz w:val="24"/>
          <w:szCs w:val="24"/>
        </w:rPr>
        <w:t xml:space="preserve"> presentado por el </w:t>
      </w:r>
      <w:r w:rsidR="002C0C2F" w:rsidRPr="000E6714">
        <w:rPr>
          <w:rFonts w:ascii="Arial" w:hAnsi="Arial" w:cs="Arial"/>
          <w:sz w:val="24"/>
          <w:szCs w:val="24"/>
        </w:rPr>
        <w:t xml:space="preserve">Ejecutivo Federal </w:t>
      </w:r>
      <w:r w:rsidRPr="000E6714">
        <w:rPr>
          <w:rFonts w:ascii="Arial" w:hAnsi="Arial" w:cs="Arial"/>
          <w:sz w:val="24"/>
          <w:szCs w:val="24"/>
        </w:rPr>
        <w:t>al H. Congreso de la Unión preserva la estabilidad macroeconómica y está diseñado para hacer frente a los retos en las finanzas públicas, y considera diferentes aspectos entre los que sobresalen los que a continuación se enuncian:</w:t>
      </w:r>
    </w:p>
    <w:p w:rsidR="00E063E1" w:rsidRPr="00F8671B" w:rsidRDefault="00E063E1" w:rsidP="00E063E1">
      <w:pPr>
        <w:spacing w:after="0" w:line="240" w:lineRule="auto"/>
        <w:jc w:val="both"/>
        <w:rPr>
          <w:rFonts w:ascii="Arial" w:hAnsi="Arial" w:cs="Arial"/>
          <w:sz w:val="24"/>
          <w:szCs w:val="24"/>
          <w:highlight w:val="yellow"/>
        </w:rPr>
      </w:pPr>
    </w:p>
    <w:p w:rsidR="00E063E1" w:rsidRDefault="00276E88" w:rsidP="00E063E1">
      <w:pPr>
        <w:spacing w:after="0" w:line="240" w:lineRule="auto"/>
        <w:jc w:val="both"/>
        <w:rPr>
          <w:rFonts w:ascii="Arial" w:hAnsi="Arial" w:cs="Arial"/>
          <w:b/>
          <w:sz w:val="24"/>
          <w:szCs w:val="24"/>
          <w:highlight w:val="yellow"/>
        </w:rPr>
      </w:pPr>
      <w:r>
        <w:rPr>
          <w:rFonts w:ascii="Arial" w:hAnsi="Arial" w:cs="Arial"/>
          <w:b/>
          <w:sz w:val="24"/>
          <w:szCs w:val="24"/>
        </w:rPr>
        <w:t>Evolución de la inflación</w:t>
      </w:r>
    </w:p>
    <w:p w:rsidR="00ED44A0" w:rsidRPr="00276E88" w:rsidRDefault="00ED44A0" w:rsidP="00E063E1">
      <w:pPr>
        <w:spacing w:after="0" w:line="240" w:lineRule="auto"/>
        <w:jc w:val="both"/>
        <w:rPr>
          <w:rFonts w:ascii="Arial" w:hAnsi="Arial" w:cs="Arial"/>
          <w:sz w:val="24"/>
          <w:szCs w:val="24"/>
          <w:highlight w:val="yellow"/>
        </w:rPr>
      </w:pPr>
    </w:p>
    <w:p w:rsidR="00E063E1" w:rsidRPr="00ED44A0" w:rsidRDefault="00064541" w:rsidP="00ED44A0">
      <w:pPr>
        <w:autoSpaceDE w:val="0"/>
        <w:autoSpaceDN w:val="0"/>
        <w:adjustRightInd w:val="0"/>
        <w:spacing w:after="0" w:line="240" w:lineRule="auto"/>
        <w:jc w:val="both"/>
        <w:rPr>
          <w:rFonts w:ascii="Arial" w:hAnsi="Arial" w:cs="Arial"/>
          <w:sz w:val="24"/>
          <w:szCs w:val="24"/>
        </w:rPr>
      </w:pPr>
      <w:r w:rsidRPr="00ED44A0">
        <w:rPr>
          <w:rFonts w:ascii="Arial" w:hAnsi="Arial" w:cs="Arial"/>
          <w:sz w:val="24"/>
          <w:szCs w:val="24"/>
        </w:rPr>
        <w:t>El escenario económico para 2018 considera una inflación de 3.0 por ciento, en línea con las proyecciones y el objetivo del Banco de México.</w:t>
      </w:r>
    </w:p>
    <w:p w:rsidR="00064541" w:rsidRPr="00ED44A0" w:rsidRDefault="00064541" w:rsidP="00ED44A0">
      <w:pPr>
        <w:spacing w:after="0" w:line="240" w:lineRule="auto"/>
        <w:jc w:val="both"/>
        <w:rPr>
          <w:rFonts w:ascii="Arial" w:hAnsi="Arial" w:cs="Arial"/>
          <w:sz w:val="24"/>
          <w:szCs w:val="24"/>
        </w:rPr>
      </w:pPr>
    </w:p>
    <w:p w:rsidR="00064541" w:rsidRPr="00ED44A0" w:rsidRDefault="00064541" w:rsidP="00ED44A0">
      <w:pPr>
        <w:autoSpaceDE w:val="0"/>
        <w:autoSpaceDN w:val="0"/>
        <w:adjustRightInd w:val="0"/>
        <w:spacing w:after="0" w:line="240" w:lineRule="auto"/>
        <w:jc w:val="both"/>
        <w:rPr>
          <w:rFonts w:ascii="Arial" w:hAnsi="Arial" w:cs="Arial"/>
          <w:sz w:val="24"/>
          <w:szCs w:val="24"/>
        </w:rPr>
      </w:pPr>
      <w:r w:rsidRPr="00ED44A0">
        <w:rPr>
          <w:rFonts w:ascii="Arial" w:hAnsi="Arial" w:cs="Arial"/>
          <w:sz w:val="24"/>
          <w:szCs w:val="24"/>
        </w:rPr>
        <w:t>Por otro lado, se proyecta que en el periodo 2019-2023 la inflación se ubicará en un nivel</w:t>
      </w:r>
      <w:r w:rsidR="00ED44A0" w:rsidRPr="00ED44A0">
        <w:rPr>
          <w:rFonts w:ascii="Arial" w:hAnsi="Arial" w:cs="Arial"/>
          <w:sz w:val="24"/>
          <w:szCs w:val="24"/>
        </w:rPr>
        <w:t xml:space="preserve"> </w:t>
      </w:r>
      <w:r w:rsidRPr="00ED44A0">
        <w:rPr>
          <w:rFonts w:ascii="Arial" w:hAnsi="Arial" w:cs="Arial"/>
          <w:sz w:val="24"/>
          <w:szCs w:val="24"/>
        </w:rPr>
        <w:t>consistente con la meta del Banco de México de 3.0 por ciento y un intervalo de variabilidad de +/- un punto porcentual. Se anticipa que durante esos años la tasa de Cetes a 28 días sea de 5.8 por ciento en promedio.</w:t>
      </w:r>
    </w:p>
    <w:p w:rsidR="00064541" w:rsidRDefault="00064541" w:rsidP="00E063E1">
      <w:pPr>
        <w:spacing w:after="0" w:line="240" w:lineRule="auto"/>
        <w:jc w:val="both"/>
        <w:rPr>
          <w:rFonts w:ascii="Arial" w:hAnsi="Arial" w:cs="Arial"/>
          <w:b/>
          <w:sz w:val="24"/>
          <w:szCs w:val="24"/>
        </w:rPr>
      </w:pPr>
    </w:p>
    <w:p w:rsidR="00E063E1" w:rsidRPr="00DB3747" w:rsidRDefault="00276E88" w:rsidP="00E063E1">
      <w:pPr>
        <w:spacing w:after="0" w:line="240" w:lineRule="auto"/>
        <w:jc w:val="both"/>
        <w:rPr>
          <w:rFonts w:ascii="Arial" w:hAnsi="Arial" w:cs="Arial"/>
          <w:b/>
          <w:sz w:val="24"/>
          <w:szCs w:val="24"/>
        </w:rPr>
      </w:pPr>
      <w:r>
        <w:rPr>
          <w:rFonts w:ascii="Arial" w:hAnsi="Arial" w:cs="Arial"/>
          <w:b/>
          <w:sz w:val="24"/>
          <w:szCs w:val="24"/>
        </w:rPr>
        <w:t>Política Fiscal 2017</w:t>
      </w:r>
    </w:p>
    <w:p w:rsidR="0003724B" w:rsidRPr="00DB3747" w:rsidRDefault="0003724B" w:rsidP="00E063E1">
      <w:pPr>
        <w:spacing w:after="0" w:line="240" w:lineRule="auto"/>
        <w:jc w:val="both"/>
        <w:rPr>
          <w:rFonts w:ascii="Arial" w:hAnsi="Arial" w:cs="Arial"/>
          <w:b/>
          <w:sz w:val="24"/>
          <w:szCs w:val="24"/>
          <w:highlight w:val="yellow"/>
        </w:rPr>
      </w:pPr>
    </w:p>
    <w:p w:rsidR="00A506CB" w:rsidRDefault="00A506CB" w:rsidP="00E063E1">
      <w:pPr>
        <w:spacing w:after="0" w:line="240" w:lineRule="auto"/>
        <w:jc w:val="both"/>
        <w:rPr>
          <w:rFonts w:ascii="Arial" w:hAnsi="Arial" w:cs="Arial"/>
          <w:sz w:val="24"/>
          <w:szCs w:val="24"/>
        </w:rPr>
      </w:pPr>
      <w:r w:rsidRPr="00ED44A0">
        <w:rPr>
          <w:rFonts w:ascii="Arial" w:hAnsi="Arial" w:cs="Arial"/>
          <w:sz w:val="24"/>
          <w:szCs w:val="24"/>
        </w:rPr>
        <w:t>El Paquete Económico</w:t>
      </w:r>
      <w:r w:rsidRPr="00A506CB">
        <w:rPr>
          <w:rFonts w:ascii="Arial" w:hAnsi="Arial" w:cs="Arial"/>
          <w:sz w:val="24"/>
          <w:szCs w:val="24"/>
        </w:rPr>
        <w:t xml:space="preserve"> </w:t>
      </w:r>
      <w:r>
        <w:rPr>
          <w:rFonts w:ascii="Arial" w:hAnsi="Arial" w:cs="Arial"/>
          <w:sz w:val="24"/>
          <w:szCs w:val="24"/>
        </w:rPr>
        <w:t xml:space="preserve">federal </w:t>
      </w:r>
      <w:r w:rsidRPr="00A506CB">
        <w:rPr>
          <w:rFonts w:ascii="Arial" w:hAnsi="Arial" w:cs="Arial"/>
          <w:sz w:val="24"/>
          <w:szCs w:val="24"/>
        </w:rPr>
        <w:t xml:space="preserve">para el próximo ejercicio fiscal está construido sobre dos pilares: primero, estabilidad, basada en la culminación de la trayectoria de consolidación fiscal comprometida en 2013, que ha sido ratificada por cuatro años y que implica disminuir los </w:t>
      </w:r>
      <w:r w:rsidR="00ED44A0" w:rsidRPr="00ED44A0">
        <w:rPr>
          <w:rFonts w:ascii="Arial" w:hAnsi="Arial" w:cs="Arial"/>
          <w:bCs/>
          <w:sz w:val="24"/>
          <w:szCs w:val="24"/>
        </w:rPr>
        <w:t xml:space="preserve">Requerimientos Financieros del Sector Público </w:t>
      </w:r>
      <w:r w:rsidR="00ED44A0" w:rsidRPr="00ED44A0">
        <w:rPr>
          <w:rFonts w:ascii="Arial" w:hAnsi="Arial" w:cs="Arial"/>
          <w:b/>
          <w:bCs/>
          <w:sz w:val="24"/>
          <w:szCs w:val="24"/>
        </w:rPr>
        <w:t>(</w:t>
      </w:r>
      <w:r w:rsidRPr="00ED44A0">
        <w:rPr>
          <w:rFonts w:ascii="Arial" w:hAnsi="Arial" w:cs="Arial"/>
          <w:b/>
          <w:sz w:val="24"/>
          <w:szCs w:val="24"/>
        </w:rPr>
        <w:t>RFSP</w:t>
      </w:r>
      <w:r w:rsidR="00ED44A0" w:rsidRPr="00ED44A0">
        <w:rPr>
          <w:rFonts w:ascii="Arial" w:hAnsi="Arial" w:cs="Arial"/>
          <w:b/>
          <w:sz w:val="24"/>
          <w:szCs w:val="24"/>
        </w:rPr>
        <w:t>)</w:t>
      </w:r>
      <w:r w:rsidRPr="00A506CB">
        <w:rPr>
          <w:rFonts w:ascii="Arial" w:hAnsi="Arial" w:cs="Arial"/>
          <w:sz w:val="24"/>
          <w:szCs w:val="24"/>
        </w:rPr>
        <w:t xml:space="preserve"> </w:t>
      </w:r>
      <w:r w:rsidRPr="00A506CB">
        <w:rPr>
          <w:rFonts w:ascii="Arial" w:hAnsi="Arial" w:cs="Arial"/>
          <w:sz w:val="24"/>
          <w:szCs w:val="24"/>
        </w:rPr>
        <w:lastRenderedPageBreak/>
        <w:t>de 2.9 a 2.5 por ciento del PIB en 2018; segundo, certidumbre, sustentada en el Acuerdo de Certidumbre Tributaria de 2014 en el cual el Gobierno Federal se comprometió a no crear nuevos impuestos ni aumentar los existentes, que se traduce en ingresos relativamente estables para el próximo año respecto al cierre estimado de 2017 excluyendo ingresos con destino específico por Ley.</w:t>
      </w:r>
    </w:p>
    <w:p w:rsidR="00A506CB" w:rsidRDefault="00A506CB" w:rsidP="00E063E1">
      <w:pPr>
        <w:spacing w:after="0" w:line="240" w:lineRule="auto"/>
        <w:jc w:val="both"/>
        <w:rPr>
          <w:rFonts w:ascii="Arial" w:hAnsi="Arial" w:cs="Arial"/>
          <w:sz w:val="24"/>
          <w:szCs w:val="24"/>
        </w:rPr>
      </w:pPr>
    </w:p>
    <w:p w:rsidR="00A506CB" w:rsidRDefault="00A506CB" w:rsidP="00E063E1">
      <w:pPr>
        <w:spacing w:after="0" w:line="240" w:lineRule="auto"/>
        <w:jc w:val="both"/>
        <w:rPr>
          <w:rFonts w:ascii="Arial" w:hAnsi="Arial" w:cs="Arial"/>
          <w:sz w:val="24"/>
          <w:szCs w:val="24"/>
        </w:rPr>
      </w:pPr>
      <w:r w:rsidRPr="00A506CB">
        <w:rPr>
          <w:rFonts w:ascii="Arial" w:hAnsi="Arial" w:cs="Arial"/>
          <w:sz w:val="24"/>
          <w:szCs w:val="24"/>
        </w:rPr>
        <w:t xml:space="preserve">El cumplimiento puntual de las metas fiscales ha implicado sacrificios pero ha sido recompensado con estabilidad macroeconómica, un crecimiento económico sostenido y la mejora en las perspectivas para el país, todo en medio de un entorno externo complejo y con riesgos a la baja que han disminuido pero persisten. </w:t>
      </w:r>
    </w:p>
    <w:p w:rsidR="00A506CB" w:rsidRDefault="00A506CB" w:rsidP="00E063E1">
      <w:pPr>
        <w:spacing w:after="0" w:line="240" w:lineRule="auto"/>
        <w:jc w:val="both"/>
        <w:rPr>
          <w:rFonts w:ascii="Arial" w:hAnsi="Arial" w:cs="Arial"/>
          <w:sz w:val="24"/>
          <w:szCs w:val="24"/>
        </w:rPr>
      </w:pPr>
    </w:p>
    <w:p w:rsidR="000E6714" w:rsidRDefault="00A506CB" w:rsidP="00E063E1">
      <w:pPr>
        <w:spacing w:after="0" w:line="240" w:lineRule="auto"/>
        <w:jc w:val="both"/>
        <w:rPr>
          <w:rFonts w:ascii="Arial" w:hAnsi="Arial" w:cs="Arial"/>
          <w:sz w:val="24"/>
          <w:szCs w:val="24"/>
        </w:rPr>
      </w:pPr>
      <w:r w:rsidRPr="00A506CB">
        <w:rPr>
          <w:rFonts w:ascii="Arial" w:hAnsi="Arial" w:cs="Arial"/>
          <w:sz w:val="24"/>
          <w:szCs w:val="24"/>
        </w:rPr>
        <w:t xml:space="preserve">Los buenos resultados alcanzados a la fecha significan un llamado a continuar la disciplina en las finanzas públicas sobre la que están fundados. En esta línea, el Paquete Económico 2018 refrenda el objetivo de concluir el proceso de consolidación fiscal, en estricto apego a la </w:t>
      </w:r>
      <w:r w:rsidR="00ED44A0">
        <w:rPr>
          <w:rFonts w:ascii="Arial" w:hAnsi="Arial" w:cs="Arial"/>
          <w:sz w:val="24"/>
          <w:szCs w:val="24"/>
        </w:rPr>
        <w:t>Ley Federal de Presupuesto y Responsabilidad Hacendaria (</w:t>
      </w:r>
      <w:r w:rsidRPr="00ED44A0">
        <w:rPr>
          <w:rFonts w:ascii="Arial" w:hAnsi="Arial" w:cs="Arial"/>
          <w:sz w:val="24"/>
          <w:szCs w:val="24"/>
        </w:rPr>
        <w:t>LPRFH</w:t>
      </w:r>
      <w:r w:rsidR="00ED44A0" w:rsidRPr="00ED44A0">
        <w:rPr>
          <w:rFonts w:ascii="Arial" w:hAnsi="Arial" w:cs="Arial"/>
          <w:sz w:val="24"/>
          <w:szCs w:val="24"/>
        </w:rPr>
        <w:t>)</w:t>
      </w:r>
      <w:r w:rsidRPr="00ED44A0">
        <w:rPr>
          <w:rFonts w:ascii="Arial" w:hAnsi="Arial" w:cs="Arial"/>
          <w:sz w:val="24"/>
          <w:szCs w:val="24"/>
        </w:rPr>
        <w:t>,</w:t>
      </w:r>
      <w:r w:rsidRPr="00A506CB">
        <w:rPr>
          <w:rFonts w:ascii="Arial" w:hAnsi="Arial" w:cs="Arial"/>
          <w:sz w:val="24"/>
          <w:szCs w:val="24"/>
        </w:rPr>
        <w:t xml:space="preserve"> lo cual implicará un esfuerzo adicional en materia presupuestaria ante la estabilidad en los ingresos y el incremento esperado en erogaciones que están fuera del control del Gobierno Federal en el corto plazo.</w:t>
      </w:r>
    </w:p>
    <w:p w:rsidR="00A506CB" w:rsidRPr="00A506CB" w:rsidRDefault="00A506CB" w:rsidP="00E063E1">
      <w:pPr>
        <w:spacing w:after="0" w:line="240" w:lineRule="auto"/>
        <w:jc w:val="both"/>
        <w:rPr>
          <w:rFonts w:ascii="Arial" w:hAnsi="Arial" w:cs="Arial"/>
          <w:sz w:val="24"/>
          <w:szCs w:val="24"/>
        </w:rPr>
      </w:pPr>
    </w:p>
    <w:p w:rsidR="00A506CB" w:rsidRPr="00A506CB" w:rsidRDefault="00A506CB" w:rsidP="00E063E1">
      <w:pPr>
        <w:spacing w:after="0" w:line="240" w:lineRule="auto"/>
        <w:jc w:val="both"/>
        <w:rPr>
          <w:rFonts w:ascii="Arial" w:hAnsi="Arial" w:cs="Arial"/>
          <w:b/>
          <w:sz w:val="24"/>
          <w:szCs w:val="24"/>
        </w:rPr>
      </w:pPr>
      <w:r w:rsidRPr="00A506CB">
        <w:rPr>
          <w:rFonts w:ascii="Arial" w:hAnsi="Arial" w:cs="Arial"/>
          <w:sz w:val="24"/>
          <w:szCs w:val="24"/>
        </w:rPr>
        <w:t>En cuanto a la política de ingresos, se reitera el compromiso de no plantear medidas que representen una mayor carga tributaria para las empresas y familias del país, con el objetivo de que los hogares y empresas puedan planear adecuadamente sus decisiones económicas, generando así condiciones propicias para incrementar el ahorro y la inversión</w:t>
      </w:r>
      <w:r>
        <w:rPr>
          <w:rFonts w:ascii="Arial" w:hAnsi="Arial" w:cs="Arial"/>
          <w:sz w:val="24"/>
          <w:szCs w:val="24"/>
        </w:rPr>
        <w:t>.</w:t>
      </w:r>
    </w:p>
    <w:p w:rsidR="00E063E1" w:rsidRPr="00276E88" w:rsidRDefault="00E063E1" w:rsidP="00E063E1">
      <w:pPr>
        <w:spacing w:after="0" w:line="240" w:lineRule="auto"/>
        <w:jc w:val="both"/>
        <w:rPr>
          <w:rFonts w:ascii="Arial" w:hAnsi="Arial" w:cs="Arial"/>
          <w:sz w:val="24"/>
          <w:szCs w:val="24"/>
          <w:highlight w:val="yellow"/>
        </w:rPr>
      </w:pPr>
    </w:p>
    <w:p w:rsidR="00204EB4" w:rsidRDefault="00276E88" w:rsidP="00204EB4">
      <w:pPr>
        <w:spacing w:after="0" w:line="240" w:lineRule="auto"/>
        <w:jc w:val="both"/>
        <w:rPr>
          <w:rFonts w:ascii="Arial" w:hAnsi="Arial" w:cs="Arial"/>
          <w:b/>
          <w:sz w:val="24"/>
          <w:szCs w:val="24"/>
        </w:rPr>
      </w:pPr>
      <w:r>
        <w:rPr>
          <w:rFonts w:ascii="Arial" w:hAnsi="Arial" w:cs="Arial"/>
          <w:b/>
          <w:sz w:val="24"/>
          <w:szCs w:val="24"/>
        </w:rPr>
        <w:t>Política de Gasto</w:t>
      </w:r>
    </w:p>
    <w:p w:rsidR="00204EB4" w:rsidRDefault="00204EB4" w:rsidP="00204EB4">
      <w:pPr>
        <w:spacing w:after="0" w:line="240" w:lineRule="auto"/>
        <w:jc w:val="both"/>
        <w:rPr>
          <w:rFonts w:ascii="Arial" w:hAnsi="Arial" w:cs="Arial"/>
          <w:b/>
          <w:sz w:val="24"/>
          <w:szCs w:val="24"/>
        </w:rPr>
      </w:pPr>
    </w:p>
    <w:p w:rsidR="00204EB4" w:rsidRDefault="00204EB4" w:rsidP="00204EB4">
      <w:pPr>
        <w:spacing w:after="0" w:line="240" w:lineRule="auto"/>
        <w:jc w:val="both"/>
        <w:rPr>
          <w:rFonts w:ascii="Arial" w:hAnsi="Arial" w:cs="Arial"/>
          <w:sz w:val="24"/>
          <w:szCs w:val="24"/>
        </w:rPr>
      </w:pPr>
      <w:r w:rsidRPr="00204EB4">
        <w:rPr>
          <w:rFonts w:ascii="Arial" w:hAnsi="Arial" w:cs="Arial"/>
          <w:sz w:val="24"/>
          <w:szCs w:val="24"/>
        </w:rPr>
        <w:t>El Proyecto de Presupuesto de Egresos de la Federación (PPEF) para el ejercicio fiscal 2018 se presenta en un contexto de mayor estabilidad macroeconómica, que permite la continuidad en el financiamiento de las prioridades de gasto y sentar las bases de un desarrollo sostenible de largo plazo.</w:t>
      </w:r>
    </w:p>
    <w:p w:rsidR="00E063E1" w:rsidRDefault="00E063E1" w:rsidP="00E063E1">
      <w:pPr>
        <w:spacing w:after="0" w:line="240" w:lineRule="auto"/>
        <w:jc w:val="both"/>
        <w:rPr>
          <w:rFonts w:ascii="Arial" w:hAnsi="Arial" w:cs="Arial"/>
          <w:b/>
          <w:sz w:val="24"/>
          <w:szCs w:val="24"/>
          <w:highlight w:val="yellow"/>
        </w:rPr>
      </w:pPr>
    </w:p>
    <w:p w:rsidR="00B803F5" w:rsidRDefault="00B803F5" w:rsidP="00E063E1">
      <w:pPr>
        <w:spacing w:after="0" w:line="240" w:lineRule="auto"/>
        <w:jc w:val="both"/>
        <w:rPr>
          <w:rFonts w:ascii="Arial" w:hAnsi="Arial" w:cs="Arial"/>
          <w:sz w:val="24"/>
          <w:szCs w:val="24"/>
        </w:rPr>
      </w:pPr>
      <w:r w:rsidRPr="00B803F5">
        <w:rPr>
          <w:rFonts w:ascii="Arial" w:hAnsi="Arial" w:cs="Arial"/>
          <w:sz w:val="24"/>
          <w:szCs w:val="24"/>
        </w:rPr>
        <w:t>La política de gasto para 2018 reafirma el esfuerzo de reingeniería del gasto público y disciplina en las finanzas, y privilegia programas que contribuyen a la reducción de la pobreza, reduce el gasto corriente en los Ramos Administrativos, prioriza la inversión productiva sobre la administrativa y sienta las bases para la</w:t>
      </w:r>
      <w:r w:rsidR="00F55478">
        <w:rPr>
          <w:rFonts w:ascii="Arial" w:hAnsi="Arial" w:cs="Arial"/>
          <w:sz w:val="24"/>
          <w:szCs w:val="24"/>
        </w:rPr>
        <w:t xml:space="preserve"> </w:t>
      </w:r>
      <w:r w:rsidRPr="00B803F5">
        <w:rPr>
          <w:rFonts w:ascii="Arial" w:hAnsi="Arial" w:cs="Arial"/>
          <w:sz w:val="24"/>
          <w:szCs w:val="24"/>
        </w:rPr>
        <w:t xml:space="preserve">elaboración de un presupuesto basado en los </w:t>
      </w:r>
      <w:r w:rsidRPr="00931874">
        <w:rPr>
          <w:rFonts w:ascii="Arial" w:hAnsi="Arial" w:cs="Arial"/>
          <w:sz w:val="24"/>
          <w:szCs w:val="24"/>
        </w:rPr>
        <w:t>O</w:t>
      </w:r>
      <w:r w:rsidR="0003724B" w:rsidRPr="00931874">
        <w:rPr>
          <w:rFonts w:ascii="Arial" w:hAnsi="Arial" w:cs="Arial"/>
          <w:sz w:val="24"/>
          <w:szCs w:val="24"/>
        </w:rPr>
        <w:t>bjetivos del Desarrollo Sostenible</w:t>
      </w:r>
      <w:r w:rsidR="0003724B">
        <w:rPr>
          <w:rFonts w:ascii="Arial" w:hAnsi="Arial" w:cs="Arial"/>
          <w:color w:val="FF0000"/>
          <w:sz w:val="24"/>
          <w:szCs w:val="24"/>
        </w:rPr>
        <w:t xml:space="preserve"> </w:t>
      </w:r>
      <w:r w:rsidRPr="00B803F5">
        <w:rPr>
          <w:rFonts w:ascii="Arial" w:hAnsi="Arial" w:cs="Arial"/>
          <w:sz w:val="24"/>
          <w:szCs w:val="24"/>
        </w:rPr>
        <w:t>acordados por los países miembros de la ONU.</w:t>
      </w:r>
    </w:p>
    <w:p w:rsidR="00E063E1" w:rsidRDefault="00E063E1" w:rsidP="00E063E1">
      <w:pPr>
        <w:spacing w:after="0" w:line="240" w:lineRule="auto"/>
        <w:jc w:val="both"/>
        <w:rPr>
          <w:rFonts w:ascii="Arial" w:hAnsi="Arial" w:cs="Arial"/>
          <w:sz w:val="24"/>
          <w:szCs w:val="24"/>
          <w:highlight w:val="yellow"/>
        </w:rPr>
      </w:pPr>
    </w:p>
    <w:p w:rsidR="001021BF" w:rsidRDefault="001021BF" w:rsidP="00E063E1">
      <w:pPr>
        <w:spacing w:after="0" w:line="240" w:lineRule="auto"/>
        <w:jc w:val="both"/>
        <w:rPr>
          <w:rFonts w:ascii="Arial" w:hAnsi="Arial" w:cs="Arial"/>
          <w:sz w:val="24"/>
          <w:szCs w:val="24"/>
          <w:highlight w:val="yellow"/>
        </w:rPr>
      </w:pPr>
    </w:p>
    <w:p w:rsidR="00E063E1" w:rsidRPr="00DB3747" w:rsidRDefault="00E063E1" w:rsidP="00E063E1">
      <w:pPr>
        <w:spacing w:after="0" w:line="240" w:lineRule="auto"/>
        <w:jc w:val="both"/>
        <w:rPr>
          <w:rFonts w:ascii="Arial" w:hAnsi="Arial" w:cs="Arial"/>
          <w:b/>
          <w:sz w:val="24"/>
          <w:szCs w:val="24"/>
        </w:rPr>
      </w:pPr>
      <w:r w:rsidRPr="00DB3747">
        <w:rPr>
          <w:rFonts w:ascii="Arial" w:hAnsi="Arial" w:cs="Arial"/>
          <w:b/>
          <w:sz w:val="24"/>
          <w:szCs w:val="24"/>
        </w:rPr>
        <w:lastRenderedPageBreak/>
        <w:t>Perspectivas de fi</w:t>
      </w:r>
      <w:r w:rsidR="0003724B" w:rsidRPr="00DB3747">
        <w:rPr>
          <w:rFonts w:ascii="Arial" w:hAnsi="Arial" w:cs="Arial"/>
          <w:b/>
          <w:sz w:val="24"/>
          <w:szCs w:val="24"/>
        </w:rPr>
        <w:t>nanzas públicas para 2018</w:t>
      </w:r>
    </w:p>
    <w:p w:rsidR="007035C8" w:rsidRPr="00276E88" w:rsidRDefault="007035C8" w:rsidP="00E063E1">
      <w:pPr>
        <w:spacing w:after="0" w:line="240" w:lineRule="auto"/>
        <w:jc w:val="both"/>
        <w:rPr>
          <w:rFonts w:ascii="Arial" w:hAnsi="Arial" w:cs="Arial"/>
          <w:sz w:val="24"/>
          <w:szCs w:val="24"/>
          <w:highlight w:val="yellow"/>
        </w:rPr>
      </w:pPr>
    </w:p>
    <w:p w:rsidR="007035C8" w:rsidRPr="00795DE0" w:rsidRDefault="007035C8" w:rsidP="00E063E1">
      <w:pPr>
        <w:spacing w:after="0" w:line="240" w:lineRule="auto"/>
        <w:jc w:val="both"/>
        <w:rPr>
          <w:rFonts w:ascii="Arial" w:hAnsi="Arial" w:cs="Arial"/>
          <w:sz w:val="24"/>
          <w:szCs w:val="24"/>
        </w:rPr>
      </w:pPr>
      <w:r w:rsidRPr="00795DE0">
        <w:rPr>
          <w:rFonts w:ascii="Arial" w:hAnsi="Arial" w:cs="Arial"/>
          <w:sz w:val="24"/>
          <w:szCs w:val="24"/>
        </w:rPr>
        <w:t xml:space="preserve">El Paquete Económico para 2018 refleja el compromiso del Ejecutivo Federal de continuar con un manejo responsable de las finanzas públicas para promover la estabilidad económica. Asimismo, la propuesta de la </w:t>
      </w:r>
      <w:r w:rsidR="00795DE0" w:rsidRPr="00795DE0">
        <w:rPr>
          <w:rFonts w:ascii="Arial" w:hAnsi="Arial" w:cs="Arial"/>
          <w:sz w:val="24"/>
          <w:szCs w:val="24"/>
        </w:rPr>
        <w:t xml:space="preserve">Iniciativa de Ley de </w:t>
      </w:r>
      <w:r w:rsidR="005A5B17" w:rsidRPr="00795DE0">
        <w:rPr>
          <w:rFonts w:ascii="Arial" w:hAnsi="Arial" w:cs="Arial"/>
          <w:sz w:val="24"/>
          <w:szCs w:val="24"/>
        </w:rPr>
        <w:t>Ingresos de</w:t>
      </w:r>
      <w:r w:rsidR="00795DE0" w:rsidRPr="00795DE0">
        <w:rPr>
          <w:rFonts w:ascii="Arial" w:hAnsi="Arial" w:cs="Arial"/>
          <w:sz w:val="24"/>
          <w:szCs w:val="24"/>
        </w:rPr>
        <w:t xml:space="preserve"> la Federación (</w:t>
      </w:r>
      <w:r w:rsidRPr="00795DE0">
        <w:rPr>
          <w:rFonts w:ascii="Arial" w:hAnsi="Arial" w:cs="Arial"/>
          <w:sz w:val="24"/>
          <w:szCs w:val="24"/>
        </w:rPr>
        <w:t>ILIF</w:t>
      </w:r>
      <w:r w:rsidR="00795DE0" w:rsidRPr="00795DE0">
        <w:rPr>
          <w:rFonts w:ascii="Arial" w:hAnsi="Arial" w:cs="Arial"/>
          <w:sz w:val="24"/>
          <w:szCs w:val="24"/>
        </w:rPr>
        <w:t>)</w:t>
      </w:r>
      <w:r w:rsidRPr="00795DE0">
        <w:rPr>
          <w:rFonts w:ascii="Arial" w:hAnsi="Arial" w:cs="Arial"/>
          <w:sz w:val="24"/>
          <w:szCs w:val="24"/>
        </w:rPr>
        <w:t xml:space="preserve"> y el </w:t>
      </w:r>
      <w:r w:rsidR="00D41C6E" w:rsidRPr="00795DE0">
        <w:rPr>
          <w:rFonts w:ascii="Arial" w:hAnsi="Arial" w:cs="Arial"/>
          <w:sz w:val="24"/>
          <w:szCs w:val="24"/>
        </w:rPr>
        <w:t>Proyecto de Presupuesto de Egresos de la Federación (</w:t>
      </w:r>
      <w:r w:rsidRPr="00795DE0">
        <w:rPr>
          <w:rFonts w:ascii="Arial" w:hAnsi="Arial" w:cs="Arial"/>
          <w:sz w:val="24"/>
          <w:szCs w:val="24"/>
        </w:rPr>
        <w:t>PPEF</w:t>
      </w:r>
      <w:r w:rsidR="00D41C6E" w:rsidRPr="00795DE0">
        <w:rPr>
          <w:rFonts w:ascii="Arial" w:hAnsi="Arial" w:cs="Arial"/>
          <w:sz w:val="24"/>
          <w:szCs w:val="24"/>
        </w:rPr>
        <w:t>)</w:t>
      </w:r>
      <w:r w:rsidRPr="00795DE0">
        <w:rPr>
          <w:rFonts w:ascii="Arial" w:hAnsi="Arial" w:cs="Arial"/>
          <w:sz w:val="24"/>
          <w:szCs w:val="24"/>
        </w:rPr>
        <w:t xml:space="preserve"> 2018 mantienen el compromiso de no aumentar los impuestos y de reducir el endeudamiento público. En consecuencia, para concluir en 2018 la trayectoria de consolidación fiscal comprometida, el esfuerzo recaerá en ajustes en el gasto público.</w:t>
      </w:r>
    </w:p>
    <w:p w:rsidR="007035C8" w:rsidRPr="00276E88" w:rsidRDefault="007035C8" w:rsidP="00E063E1">
      <w:pPr>
        <w:spacing w:after="0" w:line="240" w:lineRule="auto"/>
        <w:jc w:val="both"/>
        <w:rPr>
          <w:rFonts w:ascii="Arial" w:hAnsi="Arial" w:cs="Arial"/>
          <w:sz w:val="24"/>
          <w:szCs w:val="24"/>
          <w:highlight w:val="yellow"/>
        </w:rPr>
      </w:pPr>
    </w:p>
    <w:p w:rsidR="007035C8" w:rsidRPr="007035C8" w:rsidRDefault="007035C8" w:rsidP="00E063E1">
      <w:pPr>
        <w:spacing w:after="0" w:line="240" w:lineRule="auto"/>
        <w:jc w:val="both"/>
        <w:rPr>
          <w:rFonts w:ascii="Arial" w:hAnsi="Arial" w:cs="Arial"/>
          <w:b/>
          <w:sz w:val="24"/>
          <w:szCs w:val="24"/>
          <w:highlight w:val="yellow"/>
        </w:rPr>
      </w:pPr>
      <w:r w:rsidRPr="007035C8">
        <w:rPr>
          <w:rFonts w:ascii="Arial" w:hAnsi="Arial" w:cs="Arial"/>
          <w:sz w:val="24"/>
          <w:szCs w:val="24"/>
        </w:rPr>
        <w:t xml:space="preserve">Consistente con la trayectoria de déficit decrecientes, para el ejercicio fiscal 2018 se prevé un déficit público equivalente a 2.0 puntos del PIB, lo que permitirá mantener la trayectoria decreciente comprometida en 2013 y alcanzar unos </w:t>
      </w:r>
      <w:r w:rsidR="007B7768" w:rsidRPr="00ED44A0">
        <w:rPr>
          <w:rFonts w:ascii="Arial" w:hAnsi="Arial" w:cs="Arial"/>
          <w:bCs/>
          <w:sz w:val="24"/>
          <w:szCs w:val="24"/>
        </w:rPr>
        <w:t>Requerimientos Financieros del Sector</w:t>
      </w:r>
      <w:r w:rsidR="007B7768" w:rsidRPr="00ED44A0">
        <w:rPr>
          <w:rFonts w:ascii="Arial" w:hAnsi="Arial" w:cs="Arial"/>
          <w:b/>
          <w:bCs/>
          <w:sz w:val="24"/>
          <w:szCs w:val="24"/>
        </w:rPr>
        <w:t xml:space="preserve"> </w:t>
      </w:r>
      <w:r w:rsidR="007B7768" w:rsidRPr="00ED44A0">
        <w:rPr>
          <w:rFonts w:ascii="Arial" w:hAnsi="Arial" w:cs="Arial"/>
          <w:bCs/>
          <w:sz w:val="24"/>
          <w:szCs w:val="24"/>
        </w:rPr>
        <w:t>Público</w:t>
      </w:r>
      <w:r w:rsidR="00ED44A0" w:rsidRPr="00ED44A0">
        <w:rPr>
          <w:rFonts w:ascii="SoberanaSans-Bold" w:hAnsi="SoberanaSans-Bold" w:cs="SoberanaSans-Bold"/>
          <w:bCs/>
          <w:sz w:val="19"/>
          <w:szCs w:val="19"/>
        </w:rPr>
        <w:t xml:space="preserve"> </w:t>
      </w:r>
      <w:r w:rsidR="00ED44A0">
        <w:rPr>
          <w:rFonts w:ascii="SoberanaSans-Bold" w:hAnsi="SoberanaSans-Bold" w:cs="SoberanaSans-Bold"/>
          <w:b/>
          <w:bCs/>
          <w:sz w:val="19"/>
          <w:szCs w:val="19"/>
        </w:rPr>
        <w:t>(</w:t>
      </w:r>
      <w:r w:rsidRPr="007035C8">
        <w:rPr>
          <w:rFonts w:ascii="Arial" w:hAnsi="Arial" w:cs="Arial"/>
          <w:sz w:val="24"/>
          <w:szCs w:val="24"/>
        </w:rPr>
        <w:t>RFSP</w:t>
      </w:r>
      <w:r w:rsidR="00ED44A0">
        <w:rPr>
          <w:rFonts w:ascii="Arial" w:hAnsi="Arial" w:cs="Arial"/>
          <w:sz w:val="24"/>
          <w:szCs w:val="24"/>
        </w:rPr>
        <w:t>)</w:t>
      </w:r>
      <w:r w:rsidRPr="007035C8">
        <w:rPr>
          <w:rFonts w:ascii="Arial" w:hAnsi="Arial" w:cs="Arial"/>
          <w:sz w:val="24"/>
          <w:szCs w:val="24"/>
        </w:rPr>
        <w:t xml:space="preserve"> de 2.5 por ciento del PIB, nivel congruente con una senda decreciente robusta para la deuda del sector público en el largo plazo. Asimismo, destacan el superávit primario propuesto de 0.9 por ciento del PIB y el equilibrio presupuestario, sin considerar la inversión en proyectos de alto impacto.</w:t>
      </w:r>
    </w:p>
    <w:p w:rsidR="00E063E1" w:rsidRDefault="00E063E1" w:rsidP="00F55478">
      <w:pPr>
        <w:spacing w:after="0" w:line="240" w:lineRule="auto"/>
        <w:jc w:val="center"/>
        <w:rPr>
          <w:rFonts w:ascii="Arial" w:hAnsi="Arial" w:cs="Arial"/>
          <w:sz w:val="24"/>
          <w:szCs w:val="24"/>
          <w:highlight w:val="yellow"/>
        </w:rPr>
      </w:pPr>
    </w:p>
    <w:p w:rsidR="00F55478" w:rsidRDefault="0063067B" w:rsidP="00F55478">
      <w:pPr>
        <w:spacing w:line="240" w:lineRule="auto"/>
        <w:jc w:val="center"/>
        <w:rPr>
          <w:rFonts w:ascii="Arial" w:hAnsi="Arial" w:cs="Arial"/>
          <w:sz w:val="24"/>
          <w:szCs w:val="24"/>
          <w:highlight w:val="yellow"/>
        </w:rPr>
      </w:pPr>
      <w:r w:rsidRPr="0063067B">
        <w:rPr>
          <w:noProof/>
          <w:lang w:val="es-ES" w:eastAsia="es-ES"/>
        </w:rPr>
        <w:drawing>
          <wp:inline distT="0" distB="0" distL="0" distR="0">
            <wp:extent cx="4846603" cy="3648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8413" cy="3664492"/>
                    </a:xfrm>
                    <a:prstGeom prst="rect">
                      <a:avLst/>
                    </a:prstGeom>
                    <a:noFill/>
                    <a:ln>
                      <a:noFill/>
                    </a:ln>
                  </pic:spPr>
                </pic:pic>
              </a:graphicData>
            </a:graphic>
          </wp:inline>
        </w:drawing>
      </w:r>
    </w:p>
    <w:p w:rsidR="007035C8" w:rsidRPr="007035C8" w:rsidRDefault="007035C8" w:rsidP="007035C8">
      <w:pPr>
        <w:spacing w:line="240" w:lineRule="auto"/>
        <w:jc w:val="both"/>
        <w:rPr>
          <w:rFonts w:ascii="Arial" w:hAnsi="Arial" w:cs="Arial"/>
          <w:sz w:val="24"/>
          <w:szCs w:val="24"/>
        </w:rPr>
      </w:pPr>
      <w:r w:rsidRPr="007035C8">
        <w:rPr>
          <w:rFonts w:ascii="Arial" w:hAnsi="Arial" w:cs="Arial"/>
          <w:sz w:val="24"/>
          <w:szCs w:val="24"/>
        </w:rPr>
        <w:lastRenderedPageBreak/>
        <w:t xml:space="preserve">El escenario de finanzas públicas para 2018 se construyó con la integración de los siguientes elementos: </w:t>
      </w:r>
    </w:p>
    <w:p w:rsidR="007035C8" w:rsidRPr="00E066F7" w:rsidRDefault="007035C8" w:rsidP="00185BC9">
      <w:pPr>
        <w:pStyle w:val="Prrafodelista"/>
        <w:numPr>
          <w:ilvl w:val="0"/>
          <w:numId w:val="12"/>
        </w:numPr>
        <w:spacing w:line="240" w:lineRule="auto"/>
        <w:jc w:val="both"/>
        <w:rPr>
          <w:rFonts w:ascii="Arial" w:hAnsi="Arial" w:cs="Arial"/>
          <w:sz w:val="24"/>
          <w:szCs w:val="24"/>
        </w:rPr>
      </w:pPr>
      <w:r w:rsidRPr="00E066F7">
        <w:rPr>
          <w:rFonts w:ascii="Arial" w:hAnsi="Arial" w:cs="Arial"/>
          <w:sz w:val="24"/>
          <w:szCs w:val="24"/>
        </w:rPr>
        <w:t>Una estimación de los ingresos presupuestarios congruente con el Acuerdo de Certidumbre Tributaria suscrito en 2014, así como con los pronósticos presentados de variables como el crecimiento económico, el precio y plataforma de producción de petróleo y el ti</w:t>
      </w:r>
      <w:r w:rsidR="00276E88" w:rsidRPr="00E066F7">
        <w:rPr>
          <w:rFonts w:ascii="Arial" w:hAnsi="Arial" w:cs="Arial"/>
          <w:sz w:val="24"/>
          <w:szCs w:val="24"/>
        </w:rPr>
        <w:t>po de cambio.</w:t>
      </w:r>
    </w:p>
    <w:p w:rsidR="007035C8" w:rsidRPr="00E066F7" w:rsidRDefault="007035C8" w:rsidP="00185BC9">
      <w:pPr>
        <w:pStyle w:val="Prrafodelista"/>
        <w:numPr>
          <w:ilvl w:val="0"/>
          <w:numId w:val="12"/>
        </w:numPr>
        <w:spacing w:line="240" w:lineRule="auto"/>
        <w:jc w:val="both"/>
        <w:rPr>
          <w:rFonts w:ascii="Arial" w:hAnsi="Arial" w:cs="Arial"/>
          <w:sz w:val="24"/>
          <w:szCs w:val="24"/>
        </w:rPr>
      </w:pPr>
      <w:r w:rsidRPr="00E066F7">
        <w:rPr>
          <w:rFonts w:ascii="Arial" w:hAnsi="Arial" w:cs="Arial"/>
          <w:sz w:val="24"/>
          <w:szCs w:val="24"/>
        </w:rPr>
        <w:t xml:space="preserve">Concluir con la trayectoria multianual de consolidación fiscal, lo que requiere una mejora en los </w:t>
      </w:r>
      <w:r w:rsidR="002E5B7D" w:rsidRPr="00E066F7">
        <w:rPr>
          <w:rFonts w:ascii="SoberanaSans-Bold" w:hAnsi="SoberanaSans-Bold" w:cs="SoberanaSans-Bold"/>
          <w:bCs/>
        </w:rPr>
        <w:t>Requerimientos Financieros del Sector Público</w:t>
      </w:r>
      <w:r w:rsidR="0003724B" w:rsidRPr="00E066F7">
        <w:rPr>
          <w:rFonts w:ascii="SoberanaSans-Bold" w:hAnsi="SoberanaSans-Bold" w:cs="SoberanaSans-Bold"/>
          <w:b/>
          <w:bCs/>
          <w:color w:val="262626"/>
        </w:rPr>
        <w:t>.</w:t>
      </w:r>
    </w:p>
    <w:p w:rsidR="007035C8" w:rsidRPr="00E066F7" w:rsidRDefault="007035C8" w:rsidP="00185BC9">
      <w:pPr>
        <w:pStyle w:val="Prrafodelista"/>
        <w:numPr>
          <w:ilvl w:val="0"/>
          <w:numId w:val="12"/>
        </w:numPr>
        <w:spacing w:line="240" w:lineRule="auto"/>
        <w:jc w:val="both"/>
        <w:rPr>
          <w:rFonts w:ascii="Arial" w:hAnsi="Arial" w:cs="Arial"/>
          <w:sz w:val="24"/>
          <w:szCs w:val="24"/>
        </w:rPr>
      </w:pPr>
      <w:r w:rsidRPr="00E066F7">
        <w:rPr>
          <w:rFonts w:ascii="Arial" w:hAnsi="Arial" w:cs="Arial"/>
          <w:sz w:val="24"/>
          <w:szCs w:val="24"/>
        </w:rPr>
        <w:t xml:space="preserve">Un aumento esperado en el gasto no programable, derivado principalmente de un incremento en el costo financiero y en las participaciones. </w:t>
      </w:r>
    </w:p>
    <w:p w:rsidR="007035C8" w:rsidRPr="00E066F7" w:rsidRDefault="007035C8" w:rsidP="00185BC9">
      <w:pPr>
        <w:pStyle w:val="Prrafodelista"/>
        <w:numPr>
          <w:ilvl w:val="0"/>
          <w:numId w:val="12"/>
        </w:numPr>
        <w:spacing w:line="240" w:lineRule="auto"/>
        <w:jc w:val="both"/>
        <w:rPr>
          <w:rFonts w:ascii="Arial" w:hAnsi="Arial" w:cs="Arial"/>
          <w:sz w:val="24"/>
          <w:szCs w:val="24"/>
        </w:rPr>
      </w:pPr>
      <w:r w:rsidRPr="00E066F7">
        <w:rPr>
          <w:rFonts w:ascii="Arial" w:hAnsi="Arial" w:cs="Arial"/>
          <w:sz w:val="24"/>
          <w:szCs w:val="24"/>
        </w:rPr>
        <w:t>Por tanto, el gasto programable se convierte en la variable de ajuste para alcanzar el cumplimiento de las métricas de balance.</w:t>
      </w:r>
    </w:p>
    <w:p w:rsidR="00E47E24" w:rsidRPr="00E84903" w:rsidRDefault="00E84903" w:rsidP="00E84903">
      <w:pPr>
        <w:jc w:val="center"/>
        <w:rPr>
          <w:highlight w:val="yellow"/>
        </w:rPr>
      </w:pPr>
      <w:r w:rsidRPr="0012031A">
        <w:rPr>
          <w:noProof/>
          <w:lang w:val="es-ES" w:eastAsia="es-ES"/>
        </w:rPr>
        <w:lastRenderedPageBreak/>
        <w:drawing>
          <wp:inline distT="0" distB="0" distL="0" distR="0">
            <wp:extent cx="4999973" cy="7115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8167" cy="7141066"/>
                    </a:xfrm>
                    <a:prstGeom prst="rect">
                      <a:avLst/>
                    </a:prstGeom>
                    <a:noFill/>
                    <a:ln>
                      <a:noFill/>
                    </a:ln>
                  </pic:spPr>
                </pic:pic>
              </a:graphicData>
            </a:graphic>
          </wp:inline>
        </w:drawing>
      </w:r>
    </w:p>
    <w:p w:rsidR="00E063E1" w:rsidRDefault="00E063E1" w:rsidP="00276E88">
      <w:pPr>
        <w:spacing w:after="0" w:line="240" w:lineRule="auto"/>
        <w:jc w:val="both"/>
        <w:rPr>
          <w:rFonts w:ascii="Arial" w:hAnsi="Arial" w:cs="Arial"/>
          <w:b/>
          <w:sz w:val="24"/>
          <w:szCs w:val="24"/>
        </w:rPr>
      </w:pPr>
      <w:r w:rsidRPr="00857FB9">
        <w:rPr>
          <w:rFonts w:ascii="Arial" w:hAnsi="Arial" w:cs="Arial"/>
          <w:b/>
          <w:sz w:val="24"/>
          <w:szCs w:val="24"/>
        </w:rPr>
        <w:lastRenderedPageBreak/>
        <w:t xml:space="preserve">Escenario macroeconómico </w:t>
      </w:r>
      <w:r w:rsidRPr="00C0753B">
        <w:rPr>
          <w:rFonts w:ascii="Arial" w:hAnsi="Arial" w:cs="Arial"/>
          <w:b/>
          <w:sz w:val="24"/>
          <w:szCs w:val="24"/>
        </w:rPr>
        <w:t>2018-202</w:t>
      </w:r>
      <w:r w:rsidR="00795DE0" w:rsidRPr="00C0753B">
        <w:rPr>
          <w:rFonts w:ascii="Arial" w:hAnsi="Arial" w:cs="Arial"/>
          <w:b/>
          <w:sz w:val="24"/>
          <w:szCs w:val="24"/>
        </w:rPr>
        <w:t>3</w:t>
      </w:r>
      <w:r w:rsidRPr="00C0753B">
        <w:rPr>
          <w:rFonts w:ascii="Arial" w:hAnsi="Arial" w:cs="Arial"/>
          <w:b/>
          <w:sz w:val="24"/>
          <w:szCs w:val="24"/>
        </w:rPr>
        <w:t>.</w:t>
      </w:r>
    </w:p>
    <w:p w:rsidR="00276E88" w:rsidRPr="00EF3BFB" w:rsidRDefault="00276E88" w:rsidP="00276E88">
      <w:pPr>
        <w:spacing w:after="0" w:line="240" w:lineRule="auto"/>
        <w:jc w:val="both"/>
        <w:rPr>
          <w:rFonts w:ascii="Arial" w:hAnsi="Arial" w:cs="Arial"/>
          <w:sz w:val="24"/>
          <w:szCs w:val="24"/>
          <w:highlight w:val="yellow"/>
        </w:rPr>
      </w:pPr>
    </w:p>
    <w:p w:rsidR="00857FB9" w:rsidRDefault="00857FB9" w:rsidP="00276E88">
      <w:pPr>
        <w:spacing w:after="0" w:line="240" w:lineRule="auto"/>
        <w:jc w:val="both"/>
        <w:rPr>
          <w:rFonts w:ascii="Arial" w:hAnsi="Arial" w:cs="Arial"/>
          <w:sz w:val="24"/>
          <w:szCs w:val="24"/>
        </w:rPr>
      </w:pPr>
      <w:r>
        <w:rPr>
          <w:rFonts w:ascii="Arial" w:hAnsi="Arial" w:cs="Arial"/>
          <w:sz w:val="24"/>
          <w:szCs w:val="24"/>
        </w:rPr>
        <w:t xml:space="preserve">El </w:t>
      </w:r>
      <w:r w:rsidRPr="00857FB9">
        <w:rPr>
          <w:rFonts w:ascii="Arial" w:hAnsi="Arial" w:cs="Arial"/>
          <w:sz w:val="24"/>
          <w:szCs w:val="24"/>
        </w:rPr>
        <w:t xml:space="preserve">marco macroeconómico de mediano plazo contempla los efectos positivos de la agenda de Reformas Estructurales </w:t>
      </w:r>
      <w:r w:rsidRPr="00795DE0">
        <w:rPr>
          <w:rFonts w:ascii="Arial" w:hAnsi="Arial" w:cs="Arial"/>
          <w:sz w:val="24"/>
          <w:szCs w:val="24"/>
        </w:rPr>
        <w:t>que se han implementado durante la presente administración</w:t>
      </w:r>
      <w:r w:rsidR="00795DE0" w:rsidRPr="00795DE0">
        <w:rPr>
          <w:rFonts w:ascii="Arial" w:hAnsi="Arial" w:cs="Arial"/>
          <w:sz w:val="24"/>
          <w:szCs w:val="24"/>
        </w:rPr>
        <w:t xml:space="preserve"> federal</w:t>
      </w:r>
      <w:r w:rsidRPr="00795DE0">
        <w:rPr>
          <w:rFonts w:ascii="Arial" w:hAnsi="Arial" w:cs="Arial"/>
          <w:sz w:val="24"/>
          <w:szCs w:val="24"/>
        </w:rPr>
        <w:t>.</w:t>
      </w:r>
      <w:r w:rsidRPr="00857FB9">
        <w:rPr>
          <w:rFonts w:ascii="Arial" w:hAnsi="Arial" w:cs="Arial"/>
          <w:sz w:val="24"/>
          <w:szCs w:val="24"/>
        </w:rPr>
        <w:t xml:space="preserve"> Asimismo, el escenario de mediano plazo se elaboró considerando una serie de trayectorias futuras para indicadores internacionales que podrían afectarlo, tales como: 1) la evolución de la economía de Estados Unidos; 2) las tasas de interés internacionales; 3) el entorno en los mercados internacionales de capital; y 4) los precios del petróleo y del gas natural a nivel mundial.</w:t>
      </w:r>
    </w:p>
    <w:p w:rsidR="00276E88" w:rsidRPr="00857FB9" w:rsidRDefault="00276E88" w:rsidP="00276E88">
      <w:pPr>
        <w:spacing w:after="0" w:line="240" w:lineRule="auto"/>
        <w:jc w:val="both"/>
        <w:rPr>
          <w:rFonts w:ascii="Arial" w:hAnsi="Arial" w:cs="Arial"/>
          <w:sz w:val="24"/>
          <w:szCs w:val="24"/>
        </w:rPr>
      </w:pPr>
    </w:p>
    <w:p w:rsidR="00520E68" w:rsidRDefault="00520E68" w:rsidP="00276E88">
      <w:pPr>
        <w:spacing w:after="0" w:line="240" w:lineRule="auto"/>
        <w:jc w:val="both"/>
        <w:rPr>
          <w:rFonts w:ascii="Arial" w:hAnsi="Arial" w:cs="Arial"/>
          <w:sz w:val="24"/>
          <w:szCs w:val="24"/>
        </w:rPr>
      </w:pPr>
      <w:r w:rsidRPr="00520E68">
        <w:rPr>
          <w:rFonts w:ascii="Arial" w:hAnsi="Arial" w:cs="Arial"/>
          <w:sz w:val="24"/>
          <w:szCs w:val="24"/>
        </w:rPr>
        <w:t>El escenario macroeconómico de mediano plazo está sujeto a riesgos que podrían modificar las trayectorias anticipadas. Dentro de los riesgos a la baja destacan:</w:t>
      </w:r>
    </w:p>
    <w:p w:rsidR="00276E88" w:rsidRPr="00520E68" w:rsidRDefault="00276E88" w:rsidP="00276E88">
      <w:pPr>
        <w:spacing w:after="0" w:line="240" w:lineRule="auto"/>
        <w:jc w:val="both"/>
        <w:rPr>
          <w:rFonts w:ascii="Arial" w:hAnsi="Arial" w:cs="Arial"/>
          <w:sz w:val="24"/>
          <w:szCs w:val="24"/>
        </w:rPr>
      </w:pPr>
    </w:p>
    <w:p w:rsidR="00520E68" w:rsidRPr="00E066F7" w:rsidRDefault="00520E68" w:rsidP="00185BC9">
      <w:pPr>
        <w:pStyle w:val="Prrafodelista"/>
        <w:numPr>
          <w:ilvl w:val="0"/>
          <w:numId w:val="13"/>
        </w:numPr>
        <w:spacing w:after="0" w:line="240" w:lineRule="auto"/>
        <w:jc w:val="both"/>
        <w:rPr>
          <w:rFonts w:ascii="Arial" w:hAnsi="Arial" w:cs="Arial"/>
          <w:sz w:val="24"/>
          <w:szCs w:val="24"/>
        </w:rPr>
      </w:pPr>
      <w:r w:rsidRPr="00E066F7">
        <w:rPr>
          <w:rFonts w:ascii="Arial" w:hAnsi="Arial" w:cs="Arial"/>
          <w:b/>
          <w:sz w:val="24"/>
          <w:szCs w:val="24"/>
        </w:rPr>
        <w:t>Resultado no favorable en la renegociación del TLCAN</w:t>
      </w:r>
      <w:r w:rsidRPr="00E066F7">
        <w:rPr>
          <w:rFonts w:ascii="Arial" w:hAnsi="Arial" w:cs="Arial"/>
          <w:sz w:val="24"/>
          <w:szCs w:val="24"/>
        </w:rPr>
        <w:t>. En caso de que al término de las rondas de negociación los intereses de México se vean afectados o de materializarse la salida de Estados Unidos del acuerdo, el resultado se reflejaría en una desaceleración del comercio y los flujos de inversión en sectores clave de la economía.</w:t>
      </w:r>
    </w:p>
    <w:p w:rsidR="00276E88" w:rsidRPr="005562D8" w:rsidRDefault="00276E88" w:rsidP="00276E88">
      <w:pPr>
        <w:spacing w:after="0" w:line="240" w:lineRule="auto"/>
        <w:jc w:val="both"/>
        <w:rPr>
          <w:rFonts w:ascii="Arial" w:hAnsi="Arial" w:cs="Arial"/>
          <w:b/>
          <w:sz w:val="24"/>
          <w:szCs w:val="24"/>
        </w:rPr>
      </w:pPr>
    </w:p>
    <w:p w:rsidR="00520E68" w:rsidRPr="00E066F7" w:rsidRDefault="00520E68" w:rsidP="00185BC9">
      <w:pPr>
        <w:pStyle w:val="Prrafodelista"/>
        <w:numPr>
          <w:ilvl w:val="0"/>
          <w:numId w:val="13"/>
        </w:numPr>
        <w:spacing w:after="0" w:line="240" w:lineRule="auto"/>
        <w:jc w:val="both"/>
        <w:rPr>
          <w:rFonts w:ascii="Arial" w:hAnsi="Arial" w:cs="Arial"/>
          <w:sz w:val="24"/>
          <w:szCs w:val="24"/>
        </w:rPr>
      </w:pPr>
      <w:r w:rsidRPr="00E066F7">
        <w:rPr>
          <w:rFonts w:ascii="Arial" w:hAnsi="Arial" w:cs="Arial"/>
          <w:b/>
          <w:sz w:val="24"/>
          <w:szCs w:val="24"/>
        </w:rPr>
        <w:t>Un crecimiento económico de Estados Unidos menor que el previsto</w:t>
      </w:r>
      <w:r w:rsidRPr="00E066F7">
        <w:rPr>
          <w:rFonts w:ascii="Arial" w:hAnsi="Arial" w:cs="Arial"/>
          <w:sz w:val="24"/>
          <w:szCs w:val="24"/>
        </w:rPr>
        <w:t xml:space="preserve">. En caso de materializarse un menor crecimiento de esa economía, las exportaciones de México aumentarían a tasas menores que las proyectadas. </w:t>
      </w:r>
    </w:p>
    <w:p w:rsidR="00276E88" w:rsidRPr="005562D8" w:rsidRDefault="00276E88" w:rsidP="00276E88">
      <w:pPr>
        <w:spacing w:after="0" w:line="240" w:lineRule="auto"/>
        <w:jc w:val="both"/>
        <w:rPr>
          <w:rFonts w:ascii="Arial" w:hAnsi="Arial" w:cs="Arial"/>
          <w:sz w:val="24"/>
          <w:szCs w:val="24"/>
        </w:rPr>
      </w:pPr>
    </w:p>
    <w:p w:rsidR="00520E68" w:rsidRPr="00E066F7" w:rsidRDefault="00520E68" w:rsidP="00185BC9">
      <w:pPr>
        <w:pStyle w:val="Prrafodelista"/>
        <w:numPr>
          <w:ilvl w:val="0"/>
          <w:numId w:val="13"/>
        </w:numPr>
        <w:spacing w:after="0" w:line="240" w:lineRule="auto"/>
        <w:jc w:val="both"/>
        <w:rPr>
          <w:rFonts w:ascii="Arial" w:hAnsi="Arial" w:cs="Arial"/>
          <w:sz w:val="24"/>
          <w:szCs w:val="24"/>
        </w:rPr>
      </w:pPr>
      <w:r w:rsidRPr="00E066F7">
        <w:rPr>
          <w:rFonts w:ascii="Arial" w:hAnsi="Arial" w:cs="Arial"/>
          <w:b/>
          <w:sz w:val="24"/>
          <w:szCs w:val="24"/>
        </w:rPr>
        <w:t>Condiciones en los mercados financieros internacionales menos favorables.</w:t>
      </w:r>
      <w:r w:rsidRPr="00E066F7">
        <w:rPr>
          <w:rFonts w:ascii="Arial" w:hAnsi="Arial" w:cs="Arial"/>
          <w:sz w:val="24"/>
          <w:szCs w:val="24"/>
        </w:rPr>
        <w:t xml:space="preserve"> Este fenómeno se traduciría en condiciones más restrictivas de financiamiento para los sectores público y privado del país, y en un deterioro en la confianza de consumidores y empresas. </w:t>
      </w:r>
    </w:p>
    <w:p w:rsidR="00276E88" w:rsidRPr="005562D8" w:rsidRDefault="00276E88" w:rsidP="00276E88">
      <w:pPr>
        <w:spacing w:after="0" w:line="240" w:lineRule="auto"/>
        <w:jc w:val="both"/>
        <w:rPr>
          <w:rFonts w:ascii="Arial" w:hAnsi="Arial" w:cs="Arial"/>
          <w:sz w:val="24"/>
          <w:szCs w:val="24"/>
        </w:rPr>
      </w:pPr>
    </w:p>
    <w:p w:rsidR="005562D8" w:rsidRPr="00E066F7" w:rsidRDefault="00520E68" w:rsidP="00185BC9">
      <w:pPr>
        <w:pStyle w:val="Prrafodelista"/>
        <w:numPr>
          <w:ilvl w:val="0"/>
          <w:numId w:val="13"/>
        </w:numPr>
        <w:spacing w:after="0" w:line="240" w:lineRule="auto"/>
        <w:jc w:val="both"/>
        <w:rPr>
          <w:rFonts w:ascii="Arial" w:hAnsi="Arial" w:cs="Arial"/>
          <w:sz w:val="24"/>
          <w:szCs w:val="24"/>
        </w:rPr>
      </w:pPr>
      <w:r w:rsidRPr="00E066F7">
        <w:rPr>
          <w:rFonts w:ascii="Arial" w:hAnsi="Arial" w:cs="Arial"/>
          <w:b/>
          <w:sz w:val="24"/>
          <w:szCs w:val="24"/>
        </w:rPr>
        <w:t>Precios internacionales del petróleo deprimidos o un bajo dinamismo de la plataforma de producción de petróleo.</w:t>
      </w:r>
      <w:r w:rsidRPr="00E066F7">
        <w:rPr>
          <w:rFonts w:ascii="Arial" w:hAnsi="Arial" w:cs="Arial"/>
          <w:sz w:val="24"/>
          <w:szCs w:val="24"/>
        </w:rPr>
        <w:t xml:space="preserve"> Esta situación afectaría adversamente el nivel de ingresos petroleros, generando presiones a las finanzas públicas en el mediano plazo, así como a la tasa de crecimiento potencial de la economía.</w:t>
      </w:r>
      <w:r w:rsidR="00BF1E08" w:rsidRPr="00E066F7">
        <w:rPr>
          <w:rFonts w:ascii="Arial" w:hAnsi="Arial" w:cs="Arial"/>
          <w:sz w:val="24"/>
          <w:szCs w:val="24"/>
        </w:rPr>
        <w:t xml:space="preserve"> </w:t>
      </w:r>
    </w:p>
    <w:p w:rsidR="005562D8" w:rsidRDefault="005562D8" w:rsidP="00E063E1">
      <w:pPr>
        <w:spacing w:line="240" w:lineRule="auto"/>
        <w:jc w:val="both"/>
        <w:rPr>
          <w:rFonts w:ascii="Arial" w:hAnsi="Arial" w:cs="Arial"/>
          <w:sz w:val="24"/>
          <w:szCs w:val="24"/>
        </w:rPr>
      </w:pPr>
    </w:p>
    <w:p w:rsidR="00586826" w:rsidRDefault="00E84903" w:rsidP="005F67E5">
      <w:pPr>
        <w:spacing w:after="0" w:line="240" w:lineRule="auto"/>
        <w:jc w:val="center"/>
        <w:rPr>
          <w:rFonts w:ascii="Arial" w:hAnsi="Arial" w:cs="Arial"/>
          <w:sz w:val="24"/>
          <w:szCs w:val="24"/>
        </w:rPr>
      </w:pPr>
      <w:r w:rsidRPr="00F12D29">
        <w:rPr>
          <w:noProof/>
          <w:lang w:val="es-ES" w:eastAsia="es-ES"/>
        </w:rPr>
        <w:lastRenderedPageBreak/>
        <w:drawing>
          <wp:inline distT="0" distB="0" distL="0" distR="0">
            <wp:extent cx="5344969" cy="4069841"/>
            <wp:effectExtent l="0" t="0" r="825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1590" cy="4074883"/>
                    </a:xfrm>
                    <a:prstGeom prst="rect">
                      <a:avLst/>
                    </a:prstGeom>
                    <a:noFill/>
                    <a:ln>
                      <a:noFill/>
                    </a:ln>
                  </pic:spPr>
                </pic:pic>
              </a:graphicData>
            </a:graphic>
          </wp:inline>
        </w:drawing>
      </w:r>
    </w:p>
    <w:p w:rsidR="005F67E5" w:rsidRDefault="005F67E5" w:rsidP="005F67E5">
      <w:pPr>
        <w:spacing w:after="0" w:line="240" w:lineRule="auto"/>
        <w:jc w:val="center"/>
        <w:rPr>
          <w:rFonts w:ascii="Arial" w:hAnsi="Arial" w:cs="Arial"/>
          <w:sz w:val="24"/>
          <w:szCs w:val="24"/>
        </w:rPr>
      </w:pPr>
    </w:p>
    <w:p w:rsidR="00E063E1" w:rsidRDefault="00E063E1" w:rsidP="005F67E5">
      <w:pPr>
        <w:autoSpaceDE w:val="0"/>
        <w:autoSpaceDN w:val="0"/>
        <w:adjustRightInd w:val="0"/>
        <w:spacing w:after="0" w:line="240" w:lineRule="auto"/>
        <w:jc w:val="both"/>
        <w:rPr>
          <w:rFonts w:ascii="Arial" w:hAnsi="Arial" w:cs="Arial"/>
          <w:b/>
          <w:sz w:val="24"/>
          <w:szCs w:val="24"/>
        </w:rPr>
      </w:pPr>
      <w:r w:rsidRPr="00DD35D1">
        <w:rPr>
          <w:rFonts w:ascii="Arial" w:hAnsi="Arial" w:cs="Arial"/>
          <w:b/>
          <w:sz w:val="24"/>
          <w:szCs w:val="24"/>
        </w:rPr>
        <w:t>I.3.2. ENTORNO INTERNO</w:t>
      </w:r>
    </w:p>
    <w:p w:rsidR="00276E88" w:rsidRPr="00EF3BFB" w:rsidRDefault="00276E88" w:rsidP="00276E88">
      <w:pPr>
        <w:autoSpaceDE w:val="0"/>
        <w:autoSpaceDN w:val="0"/>
        <w:adjustRightInd w:val="0"/>
        <w:spacing w:after="0" w:line="240" w:lineRule="auto"/>
        <w:jc w:val="both"/>
        <w:rPr>
          <w:rFonts w:ascii="Arial" w:hAnsi="Arial" w:cs="Arial"/>
          <w:sz w:val="24"/>
          <w:szCs w:val="24"/>
        </w:rPr>
      </w:pPr>
    </w:p>
    <w:p w:rsidR="00E063E1" w:rsidRDefault="00276E88" w:rsidP="00276E88">
      <w:pPr>
        <w:spacing w:after="0" w:line="240" w:lineRule="auto"/>
        <w:jc w:val="both"/>
        <w:rPr>
          <w:rFonts w:ascii="Arial" w:hAnsi="Arial" w:cs="Arial"/>
          <w:b/>
          <w:sz w:val="24"/>
          <w:szCs w:val="24"/>
        </w:rPr>
      </w:pPr>
      <w:r>
        <w:rPr>
          <w:rFonts w:ascii="Arial" w:hAnsi="Arial" w:cs="Arial"/>
          <w:b/>
          <w:sz w:val="24"/>
          <w:szCs w:val="24"/>
        </w:rPr>
        <w:t>Panorama Económico de Colima</w:t>
      </w:r>
    </w:p>
    <w:p w:rsidR="00276E88" w:rsidRPr="00EF3BFB" w:rsidRDefault="00276E88" w:rsidP="00276E88">
      <w:pPr>
        <w:spacing w:after="0" w:line="240" w:lineRule="auto"/>
        <w:jc w:val="both"/>
        <w:rPr>
          <w:rFonts w:ascii="Arial" w:hAnsi="Arial" w:cs="Arial"/>
          <w:sz w:val="24"/>
          <w:szCs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Por su ubicación geográfica y su desempeño económico y social, Colima tiene una posición privilegiada en México y un enorme potencial hacia el futuro.</w:t>
      </w:r>
    </w:p>
    <w:p w:rsidR="00276E88" w:rsidRPr="00DD35D1" w:rsidRDefault="00276E88" w:rsidP="00276E88">
      <w:pPr>
        <w:spacing w:after="0" w:line="240" w:lineRule="auto"/>
        <w:jc w:val="both"/>
        <w:rPr>
          <w:rFonts w:ascii="Arial" w:hAnsi="Arial" w:cs="Arial"/>
          <w:sz w:val="24"/>
        </w:rPr>
      </w:pPr>
    </w:p>
    <w:p w:rsidR="00276E88" w:rsidRDefault="007C2295" w:rsidP="00276E88">
      <w:pPr>
        <w:spacing w:after="0" w:line="240" w:lineRule="auto"/>
        <w:jc w:val="both"/>
        <w:rPr>
          <w:rFonts w:ascii="Arial" w:hAnsi="Arial" w:cs="Arial"/>
          <w:sz w:val="24"/>
        </w:rPr>
      </w:pPr>
      <w:r w:rsidRPr="00DD35D1">
        <w:rPr>
          <w:rFonts w:ascii="Arial" w:hAnsi="Arial" w:cs="Arial"/>
          <w:sz w:val="24"/>
        </w:rPr>
        <w:t>La visión 2021 establecida en el PED 2016-2</w:t>
      </w:r>
      <w:r w:rsidR="00137536">
        <w:rPr>
          <w:rFonts w:ascii="Arial" w:hAnsi="Arial" w:cs="Arial"/>
          <w:sz w:val="24"/>
        </w:rPr>
        <w:t>021 es que Colima sea el E</w:t>
      </w:r>
      <w:r w:rsidRPr="00DD35D1">
        <w:rPr>
          <w:rFonts w:ascii="Arial" w:hAnsi="Arial" w:cs="Arial"/>
          <w:sz w:val="24"/>
        </w:rPr>
        <w:t xml:space="preserve">stado del país que brinde el mayor bienestar a sus habitantes, con base en la competitividad y sustentabilidad de su economía del conocimiento, que ofrezca más empleos y mejor pagados y que funcione en un círculo virtuoso con el desarrollo social, donde sus habitantes vivan seguros y sin pobreza extrema, dentro de un entorno igualitario. Además de un estado verde y con un gobierno abierto, responsable y austero. </w:t>
      </w:r>
    </w:p>
    <w:p w:rsidR="00F55478" w:rsidRPr="00DD35D1" w:rsidRDefault="00F5547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lastRenderedPageBreak/>
        <w:t xml:space="preserve">Actualmente la actividad económica tiene tres polos de desarrollo regional: Manzanillo, donde la actividad logística del puerto y, en menor medida, el turismo son las actividades predominantes; Colima con las actividades gubernamentales y de servicios; y el valle de Tecomán, que aporta una tercera parte de la actividad agrícola estatal. </w:t>
      </w:r>
    </w:p>
    <w:p w:rsidR="00276E88" w:rsidRPr="00DD35D1" w:rsidRDefault="00276E88" w:rsidP="00276E88">
      <w:pPr>
        <w:spacing w:after="0" w:line="240" w:lineRule="auto"/>
        <w:jc w:val="both"/>
        <w:rPr>
          <w:rFonts w:ascii="Arial" w:hAnsi="Arial" w:cs="Arial"/>
          <w:sz w:val="24"/>
        </w:rPr>
      </w:pPr>
    </w:p>
    <w:p w:rsidR="00276E88" w:rsidRDefault="007C2295" w:rsidP="00276E88">
      <w:pPr>
        <w:spacing w:after="0" w:line="240" w:lineRule="auto"/>
        <w:jc w:val="both"/>
        <w:rPr>
          <w:rFonts w:ascii="Arial" w:hAnsi="Arial" w:cs="Arial"/>
          <w:i/>
          <w:sz w:val="24"/>
        </w:rPr>
      </w:pPr>
      <w:r w:rsidRPr="00DD35D1">
        <w:rPr>
          <w:rFonts w:ascii="Arial" w:hAnsi="Arial" w:cs="Arial"/>
          <w:i/>
          <w:sz w:val="24"/>
        </w:rPr>
        <w:t>Colima ha mantenido su posición nacional en cuanto aportación al PIB nacional.</w:t>
      </w:r>
    </w:p>
    <w:p w:rsidR="007C2295" w:rsidRPr="00DD35D1" w:rsidRDefault="007C2295" w:rsidP="00276E88">
      <w:pPr>
        <w:spacing w:after="0" w:line="240" w:lineRule="auto"/>
        <w:jc w:val="both"/>
        <w:rPr>
          <w:rFonts w:ascii="Arial" w:hAnsi="Arial" w:cs="Arial"/>
          <w:i/>
          <w:sz w:val="24"/>
        </w:rPr>
      </w:pPr>
    </w:p>
    <w:p w:rsidR="007C2295" w:rsidRDefault="007C2295" w:rsidP="00276E88">
      <w:pPr>
        <w:spacing w:after="0" w:line="240" w:lineRule="auto"/>
        <w:jc w:val="both"/>
        <w:rPr>
          <w:rFonts w:ascii="Arial" w:eastAsia="Times New Roman" w:hAnsi="Arial" w:cs="Arial"/>
          <w:color w:val="000000"/>
          <w:sz w:val="24"/>
          <w:szCs w:val="24"/>
        </w:rPr>
      </w:pPr>
      <w:r w:rsidRPr="00DD35D1">
        <w:rPr>
          <w:rFonts w:ascii="Arial" w:hAnsi="Arial" w:cs="Arial"/>
          <w:sz w:val="24"/>
        </w:rPr>
        <w:t>Para el 2015</w:t>
      </w:r>
      <w:r w:rsidRPr="00DD35D1">
        <w:rPr>
          <w:rStyle w:val="Refdenotaalpie"/>
          <w:rFonts w:ascii="Arial" w:hAnsi="Arial" w:cs="Arial"/>
          <w:sz w:val="24"/>
        </w:rPr>
        <w:footnoteReference w:id="1"/>
      </w:r>
      <w:r w:rsidRPr="00DD35D1">
        <w:rPr>
          <w:rFonts w:ascii="Arial" w:hAnsi="Arial" w:cs="Arial"/>
          <w:sz w:val="24"/>
        </w:rPr>
        <w:t xml:space="preserve"> el </w:t>
      </w:r>
      <w:r w:rsidR="00245EB5">
        <w:rPr>
          <w:rFonts w:ascii="Arial" w:hAnsi="Arial" w:cs="Arial"/>
          <w:sz w:val="24"/>
        </w:rPr>
        <w:t>Estado de Colima</w:t>
      </w:r>
      <w:r w:rsidRPr="00DD35D1">
        <w:rPr>
          <w:rFonts w:ascii="Arial" w:hAnsi="Arial" w:cs="Arial"/>
          <w:sz w:val="24"/>
        </w:rPr>
        <w:t xml:space="preserve"> presenta un PIB de </w:t>
      </w:r>
      <w:r w:rsidRPr="00DD35D1">
        <w:rPr>
          <w:rFonts w:ascii="Arial" w:eastAsia="Times New Roman" w:hAnsi="Arial" w:cs="Arial"/>
          <w:color w:val="000000"/>
          <w:sz w:val="24"/>
          <w:szCs w:val="24"/>
        </w:rPr>
        <w:t xml:space="preserve">81,672 millones de pesos (MDP), por tanto se </w:t>
      </w:r>
      <w:r w:rsidRPr="00DD35D1">
        <w:rPr>
          <w:rFonts w:ascii="Arial" w:eastAsia="Times New Roman" w:hAnsi="Arial" w:cs="Arial"/>
          <w:sz w:val="24"/>
          <w:szCs w:val="24"/>
        </w:rPr>
        <w:t>ubica</w:t>
      </w:r>
      <w:r w:rsidRPr="00DD35D1">
        <w:rPr>
          <w:rFonts w:ascii="Arial" w:eastAsia="Times New Roman" w:hAnsi="Arial" w:cs="Arial"/>
          <w:color w:val="000000"/>
          <w:sz w:val="24"/>
          <w:szCs w:val="24"/>
        </w:rPr>
        <w:t xml:space="preserve"> al igual que en 2014 en la posición número 31 en el país, con una aportación de 0.59 por ciento al total del Producto Interno Bruto en términos reales, nuevamente superando sólo al estado de Tlaxcala, el cual tiene una aportación de 0.55 por ciento.</w:t>
      </w:r>
    </w:p>
    <w:p w:rsidR="00276E88" w:rsidRPr="00DD35D1" w:rsidRDefault="00276E88" w:rsidP="00276E88">
      <w:pPr>
        <w:spacing w:after="0" w:line="240" w:lineRule="auto"/>
        <w:jc w:val="both"/>
        <w:rPr>
          <w:rFonts w:ascii="Arial" w:eastAsia="Times New Roman" w:hAnsi="Arial" w:cs="Arial"/>
          <w:color w:val="000000"/>
          <w:sz w:val="24"/>
          <w:szCs w:val="24"/>
        </w:rPr>
      </w:pPr>
    </w:p>
    <w:p w:rsidR="007C2295" w:rsidRPr="00276E88" w:rsidRDefault="007C2295" w:rsidP="00276E88">
      <w:pPr>
        <w:spacing w:after="0" w:line="240" w:lineRule="auto"/>
        <w:jc w:val="both"/>
        <w:rPr>
          <w:rFonts w:ascii="Arial" w:eastAsia="Times New Roman" w:hAnsi="Arial" w:cs="Arial"/>
          <w:i/>
          <w:sz w:val="24"/>
          <w:szCs w:val="24"/>
        </w:rPr>
      </w:pPr>
      <w:r w:rsidRPr="00276E88">
        <w:rPr>
          <w:rFonts w:ascii="Arial" w:eastAsia="Times New Roman" w:hAnsi="Arial" w:cs="Arial"/>
          <w:i/>
          <w:sz w:val="24"/>
          <w:szCs w:val="24"/>
        </w:rPr>
        <w:t xml:space="preserve">Hasta el 2014 la economía de Colima había mantenido un crecimiento superior al de la economía nacional. </w:t>
      </w:r>
    </w:p>
    <w:p w:rsidR="00276E88" w:rsidRPr="00276E88" w:rsidRDefault="00276E88" w:rsidP="00276E88">
      <w:pPr>
        <w:spacing w:after="0" w:line="240" w:lineRule="auto"/>
        <w:jc w:val="both"/>
        <w:rPr>
          <w:rFonts w:ascii="Arial" w:eastAsia="Times New Roman" w:hAnsi="Arial" w:cs="Arial"/>
          <w:i/>
          <w:sz w:val="24"/>
          <w:szCs w:val="24"/>
        </w:rPr>
      </w:pPr>
    </w:p>
    <w:p w:rsidR="007C2295" w:rsidRPr="00276E88" w:rsidRDefault="007C2295" w:rsidP="00276E88">
      <w:pPr>
        <w:spacing w:after="0" w:line="240" w:lineRule="auto"/>
        <w:jc w:val="both"/>
        <w:rPr>
          <w:rFonts w:ascii="Arial" w:eastAsia="Times New Roman" w:hAnsi="Arial" w:cs="Arial"/>
          <w:sz w:val="24"/>
          <w:szCs w:val="24"/>
        </w:rPr>
      </w:pPr>
      <w:r w:rsidRPr="00276E88">
        <w:rPr>
          <w:rFonts w:ascii="Arial" w:eastAsia="Times New Roman" w:hAnsi="Arial" w:cs="Arial"/>
          <w:sz w:val="24"/>
          <w:szCs w:val="24"/>
        </w:rPr>
        <w:t>En términos reales de 2004 a 2015, el PIB del estado creció a una tasa media de 2.94 por ciento, a excepción del 2009, cuando el indicador cayó a -6 por ciento, durante la crisis económica mundial. En comparación con el PIB Nacional, para 2015, el crecimie</w:t>
      </w:r>
      <w:r w:rsidR="00294C88">
        <w:rPr>
          <w:rFonts w:ascii="Arial" w:eastAsia="Times New Roman" w:hAnsi="Arial" w:cs="Arial"/>
          <w:sz w:val="24"/>
          <w:szCs w:val="24"/>
        </w:rPr>
        <w:t xml:space="preserve">nto del PIB local fue menor en </w:t>
      </w:r>
      <w:r w:rsidRPr="00276E88">
        <w:rPr>
          <w:rFonts w:ascii="Arial" w:eastAsia="Times New Roman" w:hAnsi="Arial" w:cs="Arial"/>
          <w:sz w:val="24"/>
          <w:szCs w:val="24"/>
        </w:rPr>
        <w:t xml:space="preserve">0.19 puntos porcentuales. </w:t>
      </w:r>
    </w:p>
    <w:p w:rsidR="00276E88" w:rsidRPr="00276E88" w:rsidRDefault="00276E88" w:rsidP="00276E88">
      <w:pPr>
        <w:spacing w:after="0" w:line="240" w:lineRule="auto"/>
        <w:jc w:val="both"/>
        <w:rPr>
          <w:rFonts w:ascii="Arial" w:eastAsia="Times New Roman" w:hAnsi="Arial" w:cs="Arial"/>
          <w:sz w:val="24"/>
          <w:szCs w:val="24"/>
        </w:rPr>
      </w:pPr>
    </w:p>
    <w:p w:rsidR="007C2295" w:rsidRPr="00276E88" w:rsidRDefault="007C2295" w:rsidP="00276E88">
      <w:pPr>
        <w:spacing w:after="0" w:line="240" w:lineRule="auto"/>
        <w:jc w:val="both"/>
        <w:rPr>
          <w:rFonts w:ascii="Arial" w:eastAsia="Times New Roman" w:hAnsi="Arial" w:cs="Arial"/>
          <w:sz w:val="24"/>
          <w:szCs w:val="24"/>
        </w:rPr>
      </w:pPr>
      <w:r w:rsidRPr="00276E88">
        <w:rPr>
          <w:rFonts w:ascii="Arial" w:eastAsia="Times New Roman" w:hAnsi="Arial" w:cs="Arial"/>
          <w:sz w:val="24"/>
          <w:szCs w:val="24"/>
        </w:rPr>
        <w:t xml:space="preserve">Sin embargo, según datos del Indicador Trimestral de la Actividad Económica Estatal (ITAEE), que considera los mismos principios y normas contables del cálculo del Producto Interno Bruto por Entidad Federativa por lo cual puede ser considerado como un cálculo adelantado de éste, indica que </w:t>
      </w:r>
      <w:r w:rsidR="00DC72E7">
        <w:rPr>
          <w:rFonts w:ascii="Arial" w:eastAsia="Times New Roman" w:hAnsi="Arial" w:cs="Arial"/>
          <w:sz w:val="24"/>
          <w:szCs w:val="24"/>
        </w:rPr>
        <w:t>para el primer trimestre de 2017 la economía colimense presentó una variación positiva de 3.2 por ciento respecto al igual trimestre pero del año 201</w:t>
      </w:r>
      <w:r w:rsidR="00DC72E7" w:rsidRPr="00DC72E7">
        <w:rPr>
          <w:rFonts w:ascii="Arial" w:eastAsia="Times New Roman" w:hAnsi="Arial" w:cs="Arial"/>
          <w:sz w:val="24"/>
          <w:szCs w:val="24"/>
        </w:rPr>
        <w:t xml:space="preserve">6. </w:t>
      </w:r>
      <w:r w:rsidRPr="00DC72E7">
        <w:rPr>
          <w:rFonts w:ascii="Arial" w:eastAsia="Times New Roman" w:hAnsi="Arial" w:cs="Arial"/>
          <w:sz w:val="24"/>
          <w:szCs w:val="24"/>
        </w:rPr>
        <w:t xml:space="preserve">Corrigiendo así su tasa de </w:t>
      </w:r>
      <w:r w:rsidR="00DC72E7" w:rsidRPr="00DC72E7">
        <w:rPr>
          <w:rFonts w:ascii="Arial" w:eastAsia="Times New Roman" w:hAnsi="Arial" w:cs="Arial"/>
          <w:sz w:val="24"/>
          <w:szCs w:val="24"/>
        </w:rPr>
        <w:t>incremento</w:t>
      </w:r>
      <w:r w:rsidRPr="00DC72E7">
        <w:rPr>
          <w:rFonts w:ascii="Arial" w:eastAsia="Times New Roman" w:hAnsi="Arial" w:cs="Arial"/>
          <w:sz w:val="24"/>
          <w:szCs w:val="24"/>
        </w:rPr>
        <w:t xml:space="preserve"> posicionándose nuevamente por encima de</w:t>
      </w:r>
      <w:r w:rsidR="00DC72E7">
        <w:rPr>
          <w:rFonts w:ascii="Arial" w:eastAsia="Times New Roman" w:hAnsi="Arial" w:cs="Arial"/>
          <w:sz w:val="24"/>
          <w:szCs w:val="24"/>
        </w:rPr>
        <w:t xml:space="preserve"> la tasa de crecimiento promedio nacional.</w:t>
      </w:r>
    </w:p>
    <w:p w:rsidR="007C2295" w:rsidRDefault="007C2295" w:rsidP="007C2295">
      <w:pPr>
        <w:jc w:val="both"/>
        <w:rPr>
          <w:rFonts w:ascii="Arial" w:eastAsia="Times New Roman" w:hAnsi="Arial" w:cs="Arial"/>
          <w:color w:val="000000"/>
          <w:sz w:val="24"/>
          <w:szCs w:val="24"/>
          <w:highlight w:val="cyan"/>
        </w:rPr>
      </w:pPr>
    </w:p>
    <w:p w:rsidR="0016401D" w:rsidRDefault="0016401D" w:rsidP="0016401D">
      <w:pPr>
        <w:jc w:val="center"/>
        <w:rPr>
          <w:rFonts w:ascii="Arial" w:eastAsia="Times New Roman" w:hAnsi="Arial" w:cs="Arial"/>
          <w:color w:val="000000"/>
          <w:sz w:val="24"/>
          <w:szCs w:val="24"/>
        </w:rPr>
      </w:pPr>
    </w:p>
    <w:p w:rsidR="0016401D" w:rsidRDefault="0016401D" w:rsidP="0016401D">
      <w:pPr>
        <w:jc w:val="center"/>
        <w:rPr>
          <w:rFonts w:ascii="Arial" w:eastAsia="Times New Roman" w:hAnsi="Arial" w:cs="Arial"/>
          <w:color w:val="000000"/>
          <w:sz w:val="24"/>
          <w:szCs w:val="24"/>
        </w:rPr>
      </w:pPr>
    </w:p>
    <w:p w:rsidR="0016401D" w:rsidRPr="00BC47B1" w:rsidRDefault="0016401D" w:rsidP="0016401D">
      <w:pPr>
        <w:jc w:val="center"/>
        <w:rPr>
          <w:rFonts w:ascii="Arial" w:eastAsia="Times New Roman" w:hAnsi="Arial" w:cs="Arial"/>
          <w:color w:val="000000"/>
          <w:sz w:val="24"/>
          <w:szCs w:val="24"/>
          <w:highlight w:val="cyan"/>
        </w:rPr>
      </w:pPr>
      <w:r w:rsidRPr="0016401D">
        <w:rPr>
          <w:noProof/>
          <w:lang w:val="es-ES" w:eastAsia="es-ES"/>
        </w:rPr>
        <w:lastRenderedPageBreak/>
        <w:drawing>
          <wp:inline distT="0" distB="0" distL="0" distR="0">
            <wp:extent cx="5612130" cy="2521519"/>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521519"/>
                    </a:xfrm>
                    <a:prstGeom prst="rect">
                      <a:avLst/>
                    </a:prstGeom>
                    <a:noFill/>
                    <a:ln>
                      <a:noFill/>
                    </a:ln>
                  </pic:spPr>
                </pic:pic>
              </a:graphicData>
            </a:graphic>
          </wp:inline>
        </w:drawing>
      </w:r>
    </w:p>
    <w:p w:rsidR="007C2295" w:rsidRDefault="007C2295" w:rsidP="00276E88">
      <w:pPr>
        <w:spacing w:after="0" w:line="240" w:lineRule="auto"/>
        <w:jc w:val="both"/>
        <w:rPr>
          <w:rFonts w:ascii="Arial" w:eastAsia="Times New Roman" w:hAnsi="Arial" w:cs="Arial"/>
          <w:sz w:val="24"/>
          <w:szCs w:val="24"/>
        </w:rPr>
      </w:pPr>
      <w:r w:rsidRPr="00DD35D1">
        <w:rPr>
          <w:rFonts w:ascii="Arial" w:eastAsia="Times New Roman" w:hAnsi="Arial" w:cs="Arial"/>
          <w:color w:val="000000"/>
          <w:sz w:val="24"/>
          <w:szCs w:val="24"/>
        </w:rPr>
        <w:t xml:space="preserve">Según datos del Directorio Estadístico Nacional de Unidades Económicas (DENUE), el </w:t>
      </w:r>
      <w:r w:rsidR="00245EB5">
        <w:rPr>
          <w:rFonts w:ascii="Arial" w:eastAsia="Times New Roman" w:hAnsi="Arial" w:cs="Arial"/>
          <w:color w:val="000000"/>
          <w:sz w:val="24"/>
          <w:szCs w:val="24"/>
        </w:rPr>
        <w:t>Estado de Colima</w:t>
      </w:r>
      <w:r w:rsidRPr="00DD35D1">
        <w:rPr>
          <w:rFonts w:ascii="Arial" w:eastAsia="Times New Roman" w:hAnsi="Arial" w:cs="Arial"/>
          <w:color w:val="000000"/>
          <w:sz w:val="24"/>
          <w:szCs w:val="24"/>
        </w:rPr>
        <w:t xml:space="preserve"> cuenta con 35,640 unidades económicas, en 2017, las cuales representan el 0.71 por ciento del total nacional. En lo que respecta a su posición, Colima se ubica en el penúltimo lugar en cuanto a este indicador, sólo superando a Baja California Sur con 0.68 por ciento y antecediéndole Campeche representando 0.80 por ciento, la entidad ha mantenido su posición a pesar de haber aumentado el número de Unidades Económicas en un 21.75</w:t>
      </w:r>
      <w:r w:rsidRPr="00DD35D1">
        <w:rPr>
          <w:rFonts w:ascii="Arial" w:eastAsia="Times New Roman" w:hAnsi="Arial" w:cs="Arial"/>
          <w:sz w:val="24"/>
          <w:szCs w:val="24"/>
        </w:rPr>
        <w:t xml:space="preserve"> por ciento respecto a 2013. </w:t>
      </w:r>
    </w:p>
    <w:p w:rsidR="00276E88" w:rsidRPr="00DD35D1" w:rsidRDefault="00276E88" w:rsidP="00276E88">
      <w:pPr>
        <w:spacing w:after="0" w:line="240" w:lineRule="auto"/>
        <w:jc w:val="both"/>
        <w:rPr>
          <w:rFonts w:ascii="Arial" w:eastAsia="Times New Roman" w:hAnsi="Arial" w:cs="Arial"/>
          <w:color w:val="000000"/>
          <w:sz w:val="24"/>
          <w:szCs w:val="24"/>
        </w:rPr>
      </w:pPr>
    </w:p>
    <w:p w:rsidR="007C2295" w:rsidRDefault="007C2295" w:rsidP="00276E88">
      <w:pPr>
        <w:spacing w:after="0" w:line="240" w:lineRule="auto"/>
        <w:jc w:val="both"/>
        <w:rPr>
          <w:rFonts w:ascii="Arial" w:eastAsia="Times New Roman" w:hAnsi="Arial" w:cs="Arial"/>
          <w:color w:val="000000"/>
          <w:sz w:val="24"/>
          <w:szCs w:val="24"/>
        </w:rPr>
      </w:pPr>
      <w:r w:rsidRPr="00DD35D1">
        <w:rPr>
          <w:rFonts w:ascii="Arial" w:eastAsia="Times New Roman" w:hAnsi="Arial" w:cs="Arial"/>
          <w:color w:val="000000"/>
          <w:sz w:val="24"/>
          <w:szCs w:val="24"/>
        </w:rPr>
        <w:t xml:space="preserve">En </w:t>
      </w:r>
      <w:r w:rsidRPr="00DD35D1">
        <w:rPr>
          <w:rFonts w:ascii="Arial" w:eastAsia="Times New Roman" w:hAnsi="Arial" w:cs="Arial"/>
          <w:sz w:val="24"/>
          <w:szCs w:val="24"/>
        </w:rPr>
        <w:t xml:space="preserve">2013, el </w:t>
      </w:r>
      <w:r w:rsidR="00245EB5">
        <w:rPr>
          <w:rFonts w:ascii="Arial" w:eastAsia="Times New Roman" w:hAnsi="Arial" w:cs="Arial"/>
          <w:color w:val="000000"/>
          <w:sz w:val="24"/>
          <w:szCs w:val="24"/>
        </w:rPr>
        <w:t>Estado de Colima</w:t>
      </w:r>
      <w:r w:rsidRPr="00DD35D1">
        <w:rPr>
          <w:rFonts w:ascii="Arial" w:eastAsia="Times New Roman" w:hAnsi="Arial" w:cs="Arial"/>
          <w:color w:val="000000"/>
          <w:sz w:val="24"/>
          <w:szCs w:val="24"/>
        </w:rPr>
        <w:t xml:space="preserve"> contó con 29,273 unidades económicas que representaban 0.69 por ciento del total nacional. Según el Censo Económico 2014, dichas unidades generaron una Producción Bruta Total (PBT) de 40,858.58 MDP, 0.29 por ciento del total nacional. </w:t>
      </w:r>
    </w:p>
    <w:p w:rsidR="00276E88" w:rsidRPr="00DD35D1" w:rsidRDefault="00276E88" w:rsidP="00276E88">
      <w:pPr>
        <w:spacing w:after="0" w:line="240" w:lineRule="auto"/>
        <w:jc w:val="both"/>
        <w:rPr>
          <w:rFonts w:ascii="Arial" w:eastAsia="Times New Roman" w:hAnsi="Arial" w:cs="Arial"/>
          <w:color w:val="000000"/>
          <w:sz w:val="24"/>
          <w:szCs w:val="24"/>
        </w:rPr>
      </w:pPr>
    </w:p>
    <w:p w:rsidR="007C2295" w:rsidRPr="00276E88" w:rsidRDefault="007C2295" w:rsidP="00276E88">
      <w:pPr>
        <w:spacing w:after="0"/>
        <w:jc w:val="both"/>
        <w:rPr>
          <w:rFonts w:ascii="Arial" w:eastAsia="Times New Roman" w:hAnsi="Arial" w:cs="Arial"/>
          <w:b/>
          <w:color w:val="000000"/>
          <w:sz w:val="24"/>
          <w:szCs w:val="24"/>
        </w:rPr>
      </w:pPr>
      <w:r w:rsidRPr="00276E88">
        <w:rPr>
          <w:rFonts w:ascii="Arial" w:eastAsia="Times New Roman" w:hAnsi="Arial" w:cs="Arial"/>
          <w:b/>
          <w:color w:val="000000"/>
          <w:sz w:val="24"/>
          <w:szCs w:val="24"/>
        </w:rPr>
        <w:t>El</w:t>
      </w:r>
      <w:r w:rsidR="00226821">
        <w:rPr>
          <w:rFonts w:ascii="Arial" w:eastAsia="Times New Roman" w:hAnsi="Arial" w:cs="Arial"/>
          <w:b/>
          <w:color w:val="000000"/>
          <w:sz w:val="24"/>
          <w:szCs w:val="24"/>
        </w:rPr>
        <w:t xml:space="preserve"> S</w:t>
      </w:r>
      <w:r w:rsidRPr="00276E88">
        <w:rPr>
          <w:rFonts w:ascii="Arial" w:eastAsia="Times New Roman" w:hAnsi="Arial" w:cs="Arial"/>
          <w:b/>
          <w:color w:val="000000"/>
          <w:sz w:val="24"/>
          <w:szCs w:val="24"/>
        </w:rPr>
        <w:t xml:space="preserve">ector Primario </w:t>
      </w:r>
    </w:p>
    <w:p w:rsidR="00276E88" w:rsidRPr="00DD35D1" w:rsidRDefault="00276E88" w:rsidP="00276E88">
      <w:pPr>
        <w:spacing w:after="0"/>
        <w:jc w:val="both"/>
        <w:rPr>
          <w:rFonts w:ascii="Arial" w:eastAsia="Times New Roman" w:hAnsi="Arial" w:cs="Arial"/>
          <w:color w:val="000000"/>
          <w:sz w:val="24"/>
          <w:szCs w:val="24"/>
        </w:rPr>
      </w:pPr>
    </w:p>
    <w:p w:rsidR="007C2295" w:rsidRPr="00DD35D1" w:rsidRDefault="007C2295" w:rsidP="00276E88">
      <w:pPr>
        <w:spacing w:after="0"/>
        <w:jc w:val="both"/>
        <w:rPr>
          <w:rFonts w:ascii="Arial" w:eastAsia="Times New Roman" w:hAnsi="Arial" w:cs="Arial"/>
          <w:color w:val="000000"/>
          <w:sz w:val="24"/>
          <w:szCs w:val="24"/>
        </w:rPr>
      </w:pPr>
      <w:r w:rsidRPr="00DD35D1">
        <w:rPr>
          <w:rFonts w:ascii="Arial" w:eastAsia="Times New Roman" w:hAnsi="Arial" w:cs="Arial"/>
          <w:color w:val="000000"/>
          <w:sz w:val="24"/>
          <w:szCs w:val="24"/>
        </w:rPr>
        <w:t xml:space="preserve">Por lo menos en la última década, el sector primario ha mostrado una tendencia a la baja en su contribución al PIB estatal, ésta pérdida de relevancia muestra que la participación de dicho sector paso de 6.72 por ciento en 2003 a 4.13 por ciento en 2015, es decir 2.59 puntos porcentuales menos. </w:t>
      </w:r>
    </w:p>
    <w:p w:rsidR="005A5B17" w:rsidRDefault="005A5B17" w:rsidP="00276E88">
      <w:pPr>
        <w:spacing w:after="0" w:line="240" w:lineRule="auto"/>
        <w:jc w:val="both"/>
        <w:rPr>
          <w:rFonts w:ascii="Arial" w:eastAsia="Times New Roman" w:hAnsi="Arial" w:cs="Arial"/>
          <w:color w:val="000000"/>
          <w:sz w:val="24"/>
          <w:szCs w:val="24"/>
        </w:rPr>
      </w:pPr>
    </w:p>
    <w:p w:rsidR="00DC72E7" w:rsidRDefault="00DC72E7" w:rsidP="00276E88">
      <w:pPr>
        <w:spacing w:after="0" w:line="240" w:lineRule="auto"/>
        <w:jc w:val="both"/>
        <w:rPr>
          <w:rFonts w:ascii="Arial" w:eastAsia="Times New Roman" w:hAnsi="Arial" w:cs="Arial"/>
          <w:b/>
          <w:color w:val="000000"/>
          <w:sz w:val="24"/>
          <w:szCs w:val="24"/>
        </w:rPr>
      </w:pPr>
    </w:p>
    <w:p w:rsidR="00DC72E7" w:rsidRDefault="00DC72E7" w:rsidP="00276E88">
      <w:pPr>
        <w:spacing w:after="0" w:line="240" w:lineRule="auto"/>
        <w:jc w:val="both"/>
        <w:rPr>
          <w:rFonts w:ascii="Arial" w:eastAsia="Times New Roman" w:hAnsi="Arial" w:cs="Arial"/>
          <w:b/>
          <w:color w:val="000000"/>
          <w:sz w:val="24"/>
          <w:szCs w:val="24"/>
        </w:rPr>
      </w:pPr>
    </w:p>
    <w:p w:rsidR="00DC72E7" w:rsidRDefault="00DC72E7" w:rsidP="00276E88">
      <w:pPr>
        <w:spacing w:after="0" w:line="240" w:lineRule="auto"/>
        <w:jc w:val="both"/>
        <w:rPr>
          <w:rFonts w:ascii="Arial" w:eastAsia="Times New Roman" w:hAnsi="Arial" w:cs="Arial"/>
          <w:b/>
          <w:color w:val="000000"/>
          <w:sz w:val="24"/>
          <w:szCs w:val="24"/>
        </w:rPr>
      </w:pPr>
    </w:p>
    <w:p w:rsidR="007C2295" w:rsidRDefault="007C2295" w:rsidP="00276E88">
      <w:pPr>
        <w:spacing w:after="0" w:line="240" w:lineRule="auto"/>
        <w:jc w:val="both"/>
        <w:rPr>
          <w:rFonts w:ascii="Arial" w:eastAsia="Times New Roman" w:hAnsi="Arial" w:cs="Arial"/>
          <w:b/>
          <w:color w:val="000000"/>
          <w:sz w:val="24"/>
          <w:szCs w:val="24"/>
        </w:rPr>
      </w:pPr>
      <w:r w:rsidRPr="00276E88">
        <w:rPr>
          <w:rFonts w:ascii="Arial" w:eastAsia="Times New Roman" w:hAnsi="Arial" w:cs="Arial"/>
          <w:b/>
          <w:color w:val="000000"/>
          <w:sz w:val="24"/>
          <w:szCs w:val="24"/>
        </w:rPr>
        <w:lastRenderedPageBreak/>
        <w:t xml:space="preserve">El Sector Secundario </w:t>
      </w:r>
    </w:p>
    <w:p w:rsidR="00276E88" w:rsidRPr="00276E88" w:rsidRDefault="00276E88" w:rsidP="00276E88">
      <w:pPr>
        <w:spacing w:after="0" w:line="240" w:lineRule="auto"/>
        <w:jc w:val="both"/>
        <w:rPr>
          <w:rFonts w:ascii="Arial" w:eastAsia="Times New Roman" w:hAnsi="Arial" w:cs="Arial"/>
          <w:b/>
          <w:color w:val="000000"/>
          <w:sz w:val="24"/>
          <w:szCs w:val="24"/>
        </w:rPr>
      </w:pPr>
    </w:p>
    <w:p w:rsidR="007C2295" w:rsidRDefault="007C2295" w:rsidP="00276E88">
      <w:pPr>
        <w:spacing w:after="0" w:line="240" w:lineRule="auto"/>
        <w:jc w:val="both"/>
        <w:rPr>
          <w:rFonts w:ascii="Arial" w:eastAsia="Times New Roman" w:hAnsi="Arial" w:cs="Arial"/>
          <w:color w:val="000000"/>
          <w:sz w:val="24"/>
          <w:szCs w:val="24"/>
        </w:rPr>
      </w:pPr>
      <w:r w:rsidRPr="00DD35D1">
        <w:rPr>
          <w:rFonts w:ascii="Arial" w:eastAsia="Times New Roman" w:hAnsi="Arial" w:cs="Arial"/>
          <w:color w:val="000000"/>
          <w:sz w:val="24"/>
          <w:szCs w:val="24"/>
        </w:rPr>
        <w:t xml:space="preserve">La industria en el </w:t>
      </w:r>
      <w:r w:rsidR="00245EB5">
        <w:rPr>
          <w:rFonts w:ascii="Arial" w:eastAsia="Times New Roman" w:hAnsi="Arial" w:cs="Arial"/>
          <w:color w:val="000000"/>
          <w:sz w:val="24"/>
          <w:szCs w:val="24"/>
        </w:rPr>
        <w:t>Estado de Colima</w:t>
      </w:r>
      <w:r w:rsidRPr="00DD35D1">
        <w:rPr>
          <w:rFonts w:ascii="Arial" w:eastAsia="Times New Roman" w:hAnsi="Arial" w:cs="Arial"/>
          <w:color w:val="000000"/>
          <w:sz w:val="24"/>
          <w:szCs w:val="24"/>
        </w:rPr>
        <w:t xml:space="preserve"> al igual que el sector primario ha perdido relevancia, su participación al PIB estatal pasó de 32.27 por ciento en 2003 al 28.32 por ciento en el 2015, una reducción de 3.95 puntos porcentuales; no obstante, ésta resulta todavía ser significativa al total de la producción.</w:t>
      </w:r>
    </w:p>
    <w:p w:rsidR="00276E88" w:rsidRPr="00DD35D1" w:rsidRDefault="00276E88" w:rsidP="00276E88">
      <w:pPr>
        <w:spacing w:after="0" w:line="240" w:lineRule="auto"/>
        <w:jc w:val="both"/>
        <w:rPr>
          <w:rFonts w:ascii="Arial" w:eastAsia="Times New Roman" w:hAnsi="Arial" w:cs="Arial"/>
          <w:color w:val="000000"/>
          <w:sz w:val="24"/>
          <w:szCs w:val="24"/>
        </w:rPr>
      </w:pPr>
    </w:p>
    <w:p w:rsidR="007C2295" w:rsidRDefault="007C2295" w:rsidP="00276E88">
      <w:pPr>
        <w:spacing w:after="0" w:line="240" w:lineRule="auto"/>
        <w:jc w:val="both"/>
        <w:rPr>
          <w:rFonts w:ascii="Arial" w:eastAsia="Times New Roman" w:hAnsi="Arial" w:cs="Arial"/>
          <w:color w:val="000000"/>
          <w:sz w:val="24"/>
          <w:szCs w:val="24"/>
        </w:rPr>
      </w:pPr>
      <w:r w:rsidRPr="00DD35D1">
        <w:rPr>
          <w:rFonts w:ascii="Arial" w:eastAsia="Times New Roman" w:hAnsi="Arial" w:cs="Arial"/>
          <w:color w:val="000000"/>
          <w:sz w:val="24"/>
          <w:szCs w:val="24"/>
        </w:rPr>
        <w:t>El sector secundario de la economía colimense se desagrega de la siguiente manera para 2015: 40 por ciento</w:t>
      </w:r>
      <w:r w:rsidR="00137536">
        <w:rPr>
          <w:rFonts w:ascii="Arial" w:eastAsia="Times New Roman" w:hAnsi="Arial" w:cs="Arial"/>
          <w:color w:val="000000"/>
          <w:sz w:val="24"/>
          <w:szCs w:val="24"/>
        </w:rPr>
        <w:t xml:space="preserve"> corresponde a la construcción,</w:t>
      </w:r>
      <w:r w:rsidRPr="00DD35D1">
        <w:rPr>
          <w:rFonts w:ascii="Arial" w:eastAsia="Times New Roman" w:hAnsi="Arial" w:cs="Arial"/>
          <w:color w:val="000000"/>
          <w:sz w:val="24"/>
          <w:szCs w:val="24"/>
        </w:rPr>
        <w:t xml:space="preserve"> 36 por ciento representa la generación, transmisión y distribución de energía eléctrica, suministro de agua y de gas por ductos al consumidor final, 22 por ciento se atribuye a las industrias manufactureras y el restante 2 por ciento pertenece a la minería. </w:t>
      </w:r>
    </w:p>
    <w:p w:rsidR="00276E88" w:rsidRPr="00DD35D1" w:rsidRDefault="00276E88" w:rsidP="00276E88">
      <w:pPr>
        <w:spacing w:after="0" w:line="240" w:lineRule="auto"/>
        <w:jc w:val="both"/>
        <w:rPr>
          <w:rFonts w:ascii="Arial" w:eastAsia="Times New Roman" w:hAnsi="Arial" w:cs="Arial"/>
          <w:color w:val="000000"/>
          <w:sz w:val="24"/>
          <w:szCs w:val="24"/>
        </w:rPr>
      </w:pPr>
    </w:p>
    <w:p w:rsidR="007C2295" w:rsidRDefault="007C2295" w:rsidP="00276E88">
      <w:pPr>
        <w:spacing w:after="0" w:line="240" w:lineRule="auto"/>
        <w:jc w:val="both"/>
        <w:rPr>
          <w:rFonts w:ascii="Arial" w:eastAsia="Times New Roman" w:hAnsi="Arial" w:cs="Arial"/>
          <w:color w:val="000000"/>
          <w:sz w:val="24"/>
          <w:szCs w:val="24"/>
        </w:rPr>
      </w:pPr>
      <w:r w:rsidRPr="00DD35D1">
        <w:rPr>
          <w:rFonts w:ascii="Arial" w:eastAsia="Times New Roman" w:hAnsi="Arial" w:cs="Arial"/>
          <w:color w:val="000000"/>
          <w:sz w:val="24"/>
          <w:szCs w:val="24"/>
        </w:rPr>
        <w:t>Respecto al 2014, se observa una disminución en la participación de la actividad económica construcción, seguido por un aumento en la contribución a este sector secundario de la generación, transmisión y distribución de energía eléctrica, suministro de agua y de gas por ductos al consumidor final e industrias manufactureras, mientras que la minería redujo su aportación porcentual.</w:t>
      </w:r>
    </w:p>
    <w:p w:rsidR="0016401D" w:rsidRDefault="0016401D" w:rsidP="00DC72E7">
      <w:pPr>
        <w:spacing w:after="0"/>
        <w:rPr>
          <w:rFonts w:ascii="Arial" w:eastAsia="Times New Roman" w:hAnsi="Arial" w:cs="Arial"/>
          <w:color w:val="000000"/>
          <w:sz w:val="24"/>
          <w:szCs w:val="24"/>
          <w:highlight w:val="cyan"/>
        </w:rPr>
      </w:pPr>
    </w:p>
    <w:p w:rsidR="0063067B" w:rsidRPr="00BF1E08" w:rsidRDefault="0063067B" w:rsidP="00F12D29">
      <w:pPr>
        <w:jc w:val="center"/>
        <w:rPr>
          <w:rFonts w:ascii="Arial" w:eastAsia="Times New Roman" w:hAnsi="Arial" w:cs="Arial"/>
          <w:color w:val="000000"/>
          <w:sz w:val="24"/>
          <w:szCs w:val="24"/>
          <w:highlight w:val="cyan"/>
        </w:rPr>
      </w:pPr>
      <w:r w:rsidRPr="0063067B">
        <w:rPr>
          <w:noProof/>
          <w:lang w:val="es-ES" w:eastAsia="es-ES"/>
        </w:rPr>
        <w:drawing>
          <wp:inline distT="0" distB="0" distL="0" distR="0">
            <wp:extent cx="4610100" cy="34194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3419475"/>
                    </a:xfrm>
                    <a:prstGeom prst="rect">
                      <a:avLst/>
                    </a:prstGeom>
                    <a:noFill/>
                    <a:ln>
                      <a:noFill/>
                    </a:ln>
                  </pic:spPr>
                </pic:pic>
              </a:graphicData>
            </a:graphic>
          </wp:inline>
        </w:drawing>
      </w:r>
    </w:p>
    <w:p w:rsidR="007C2295" w:rsidRDefault="007C2295" w:rsidP="00276E88">
      <w:pPr>
        <w:spacing w:after="0" w:line="240" w:lineRule="auto"/>
        <w:jc w:val="both"/>
        <w:rPr>
          <w:rFonts w:ascii="Arial" w:eastAsia="Times New Roman" w:hAnsi="Arial" w:cs="Arial"/>
          <w:color w:val="000000"/>
          <w:sz w:val="24"/>
          <w:szCs w:val="24"/>
        </w:rPr>
      </w:pPr>
      <w:r w:rsidRPr="00DD35D1">
        <w:rPr>
          <w:rFonts w:ascii="Arial" w:eastAsia="Times New Roman" w:hAnsi="Arial" w:cs="Arial"/>
          <w:color w:val="000000"/>
          <w:sz w:val="24"/>
          <w:szCs w:val="24"/>
        </w:rPr>
        <w:lastRenderedPageBreak/>
        <w:t xml:space="preserve">El </w:t>
      </w:r>
      <w:r w:rsidR="00245EB5">
        <w:rPr>
          <w:rFonts w:ascii="Arial" w:eastAsia="Times New Roman" w:hAnsi="Arial" w:cs="Arial"/>
          <w:color w:val="000000"/>
          <w:sz w:val="24"/>
          <w:szCs w:val="24"/>
        </w:rPr>
        <w:t>Estado de Colima</w:t>
      </w:r>
      <w:r w:rsidRPr="00DD35D1">
        <w:rPr>
          <w:rFonts w:ascii="Arial" w:eastAsia="Times New Roman" w:hAnsi="Arial" w:cs="Arial"/>
          <w:color w:val="000000"/>
          <w:sz w:val="24"/>
          <w:szCs w:val="24"/>
        </w:rPr>
        <w:t xml:space="preserve"> cuenta con una de las infraestructuras en el sector energético más importantes de México, con un alcance regional en el occidente del país, y que hacen del estado un atractivo polo de desarrollo industrial. </w:t>
      </w:r>
    </w:p>
    <w:p w:rsidR="00276E88" w:rsidRPr="00DD35D1" w:rsidRDefault="00276E88" w:rsidP="00276E88">
      <w:pPr>
        <w:spacing w:after="0" w:line="240" w:lineRule="auto"/>
        <w:jc w:val="both"/>
        <w:rPr>
          <w:rFonts w:ascii="Arial" w:eastAsia="Times New Roman" w:hAnsi="Arial" w:cs="Arial"/>
          <w:color w:val="000000"/>
          <w:sz w:val="24"/>
          <w:szCs w:val="24"/>
        </w:rPr>
      </w:pPr>
    </w:p>
    <w:p w:rsidR="007C2295" w:rsidRDefault="007C2295" w:rsidP="00276E88">
      <w:pPr>
        <w:spacing w:after="0" w:line="240" w:lineRule="auto"/>
        <w:jc w:val="both"/>
        <w:rPr>
          <w:rFonts w:ascii="Arial" w:eastAsia="Times New Roman" w:hAnsi="Arial" w:cs="Arial"/>
          <w:b/>
          <w:color w:val="000000"/>
          <w:sz w:val="24"/>
          <w:szCs w:val="24"/>
        </w:rPr>
      </w:pPr>
      <w:r w:rsidRPr="00276E88">
        <w:rPr>
          <w:rFonts w:ascii="Arial" w:eastAsia="Times New Roman" w:hAnsi="Arial" w:cs="Arial"/>
          <w:b/>
          <w:color w:val="000000"/>
          <w:sz w:val="24"/>
          <w:szCs w:val="24"/>
        </w:rPr>
        <w:t xml:space="preserve">El Sector Terciario </w:t>
      </w:r>
    </w:p>
    <w:p w:rsidR="00276E88" w:rsidRPr="00DC72E7" w:rsidRDefault="00276E88" w:rsidP="00276E88">
      <w:pPr>
        <w:spacing w:after="0" w:line="240" w:lineRule="auto"/>
        <w:jc w:val="both"/>
        <w:rPr>
          <w:rFonts w:ascii="Arial" w:eastAsia="Times New Roman" w:hAnsi="Arial" w:cs="Arial"/>
          <w:color w:val="000000"/>
          <w:sz w:val="24"/>
          <w:szCs w:val="24"/>
        </w:rPr>
      </w:pPr>
    </w:p>
    <w:p w:rsidR="007C2295" w:rsidRPr="00276E88" w:rsidRDefault="007C2295" w:rsidP="00276E88">
      <w:pPr>
        <w:spacing w:after="0" w:line="240" w:lineRule="auto"/>
        <w:jc w:val="both"/>
        <w:rPr>
          <w:rFonts w:ascii="Arial" w:hAnsi="Arial" w:cs="Arial"/>
          <w:i/>
          <w:sz w:val="24"/>
        </w:rPr>
      </w:pPr>
      <w:r w:rsidRPr="00276E88">
        <w:rPr>
          <w:rFonts w:ascii="Arial" w:hAnsi="Arial" w:cs="Arial"/>
          <w:i/>
          <w:sz w:val="24"/>
        </w:rPr>
        <w:t xml:space="preserve">La dinámica de este sector se muestra al alza adquiriendo mayor relevancia. </w:t>
      </w:r>
    </w:p>
    <w:p w:rsidR="00276E88" w:rsidRPr="00DD35D1"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 xml:space="preserve">El Sector servicios reúne 32,117 unidades económicas, lo que representa el 90.11 por ciento del total para el estado en 2017. En 2014 el mismo sector agrupó 26,244 </w:t>
      </w:r>
      <w:r w:rsidR="005A5B17" w:rsidRPr="00DD35D1">
        <w:rPr>
          <w:rFonts w:ascii="Arial" w:hAnsi="Arial" w:cs="Arial"/>
          <w:sz w:val="24"/>
        </w:rPr>
        <w:t>unidades, representando</w:t>
      </w:r>
      <w:r w:rsidRPr="00DD35D1">
        <w:rPr>
          <w:rFonts w:ascii="Arial" w:hAnsi="Arial" w:cs="Arial"/>
          <w:sz w:val="24"/>
        </w:rPr>
        <w:t xml:space="preserve"> de 2014 a 2017 un crecimiento de 22.37 por ciento, éstas generaron una producción bruta total de 23,738 MDP correspondiente a 58.1 por ciento del total, y ocupan a 111,315 personas las cuales producen el 70.4 por ciento del Valor Agregado Censal Bruto del estado, equivalente a 13,293 MDP.</w:t>
      </w:r>
    </w:p>
    <w:p w:rsidR="00276E88" w:rsidRPr="00DD35D1"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Una vez más, la alta participación que muestra este sector en la economía del estado es producto de un creciente dinamismo y desarrollo del comercio, el transporte, co</w:t>
      </w:r>
      <w:r w:rsidR="00276E88">
        <w:rPr>
          <w:rFonts w:ascii="Arial" w:hAnsi="Arial" w:cs="Arial"/>
          <w:sz w:val="24"/>
        </w:rPr>
        <w:t xml:space="preserve">rreos y </w:t>
      </w:r>
      <w:r w:rsidRPr="00DD35D1">
        <w:rPr>
          <w:rFonts w:ascii="Arial" w:hAnsi="Arial" w:cs="Arial"/>
          <w:sz w:val="24"/>
        </w:rPr>
        <w:t xml:space="preserve">almacenamiento, los servicios inmobiliarios y de alquiler de bienes muebles e intangibles. Dichos subsectores constituyen 63 por ciento del PIB del sector en cuestión. </w:t>
      </w:r>
    </w:p>
    <w:p w:rsidR="00276E88" w:rsidRPr="00DD35D1" w:rsidRDefault="00276E88" w:rsidP="00276E88">
      <w:pPr>
        <w:spacing w:after="0" w:line="240" w:lineRule="auto"/>
        <w:jc w:val="both"/>
        <w:rPr>
          <w:rFonts w:ascii="Arial" w:hAnsi="Arial" w:cs="Arial"/>
          <w:sz w:val="24"/>
        </w:rPr>
      </w:pPr>
    </w:p>
    <w:p w:rsidR="00DD35D1" w:rsidRDefault="007C2295" w:rsidP="00276E88">
      <w:pPr>
        <w:spacing w:after="0" w:line="240" w:lineRule="auto"/>
        <w:jc w:val="both"/>
        <w:rPr>
          <w:rFonts w:ascii="Arial" w:hAnsi="Arial" w:cs="Arial"/>
          <w:sz w:val="24"/>
        </w:rPr>
      </w:pPr>
      <w:r w:rsidRPr="00DD35D1">
        <w:rPr>
          <w:rFonts w:ascii="Arial" w:hAnsi="Arial" w:cs="Arial"/>
          <w:sz w:val="24"/>
        </w:rPr>
        <w:t xml:space="preserve">El comercio ha incrementado significativamente su participación en el PIB estatal, al pasar de 7,706 a 14,085 MDP, en términos reales de 2003 a 2015, es decir, </w:t>
      </w:r>
      <w:r w:rsidR="005A5B17" w:rsidRPr="00DD35D1">
        <w:rPr>
          <w:rFonts w:ascii="Arial" w:hAnsi="Arial" w:cs="Arial"/>
          <w:sz w:val="24"/>
        </w:rPr>
        <w:t>13.28 a</w:t>
      </w:r>
      <w:r w:rsidRPr="00DD35D1">
        <w:rPr>
          <w:rFonts w:ascii="Arial" w:hAnsi="Arial" w:cs="Arial"/>
          <w:sz w:val="24"/>
        </w:rPr>
        <w:t xml:space="preserve"> 17.24 por ciento. La dinámica de los tres subsectores con mayor aportación de este sector muestra una tendencia al alza, el subsector comercio de 2003 al 2015 creció en 82.77 por ciento, los servicios inmobiliarios y de alquiler de bienes muebles e intangibles ascendieron en un 52.77 por ciento y los transportes, correos y almacenamiento por su parte en el mismo periodo de tiempo lo hicieron en un 89.24 en términos porcentuales. </w:t>
      </w:r>
    </w:p>
    <w:p w:rsidR="0016401D" w:rsidRDefault="0009039E" w:rsidP="0009039E">
      <w:pPr>
        <w:jc w:val="center"/>
        <w:rPr>
          <w:rFonts w:ascii="Arial" w:hAnsi="Arial" w:cs="Arial"/>
          <w:sz w:val="24"/>
        </w:rPr>
      </w:pPr>
      <w:r w:rsidRPr="0009039E">
        <w:rPr>
          <w:noProof/>
          <w:lang w:val="es-ES" w:eastAsia="es-ES"/>
        </w:rPr>
        <w:lastRenderedPageBreak/>
        <w:drawing>
          <wp:inline distT="0" distB="0" distL="0" distR="0">
            <wp:extent cx="4095750" cy="577321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7806" cy="5790212"/>
                    </a:xfrm>
                    <a:prstGeom prst="rect">
                      <a:avLst/>
                    </a:prstGeom>
                    <a:noFill/>
                    <a:ln>
                      <a:noFill/>
                    </a:ln>
                  </pic:spPr>
                </pic:pic>
              </a:graphicData>
            </a:graphic>
          </wp:inline>
        </w:drawing>
      </w:r>
    </w:p>
    <w:p w:rsidR="007C2295" w:rsidRDefault="007C2295" w:rsidP="00DC72E7">
      <w:pPr>
        <w:spacing w:after="0"/>
        <w:jc w:val="both"/>
        <w:rPr>
          <w:rFonts w:ascii="Arial" w:hAnsi="Arial" w:cs="Arial"/>
          <w:b/>
          <w:sz w:val="24"/>
        </w:rPr>
      </w:pPr>
      <w:r w:rsidRPr="00276E88">
        <w:rPr>
          <w:rFonts w:ascii="Arial" w:hAnsi="Arial" w:cs="Arial"/>
          <w:b/>
          <w:sz w:val="24"/>
        </w:rPr>
        <w:t>El Subsector Turismo</w:t>
      </w:r>
    </w:p>
    <w:p w:rsidR="00DC72E7" w:rsidRPr="00DC72E7" w:rsidRDefault="00DC72E7" w:rsidP="00DC72E7">
      <w:pPr>
        <w:spacing w:after="0"/>
        <w:jc w:val="both"/>
        <w:rPr>
          <w:rFonts w:ascii="Arial" w:hAnsi="Arial" w:cs="Arial"/>
          <w:sz w:val="24"/>
        </w:rPr>
      </w:pPr>
    </w:p>
    <w:p w:rsidR="007C2295" w:rsidRDefault="007C2295" w:rsidP="00DC72E7">
      <w:pPr>
        <w:spacing w:after="0" w:line="240" w:lineRule="auto"/>
        <w:jc w:val="both"/>
        <w:rPr>
          <w:rFonts w:ascii="Arial" w:hAnsi="Arial" w:cs="Arial"/>
          <w:sz w:val="24"/>
        </w:rPr>
      </w:pPr>
      <w:r w:rsidRPr="00DD35D1">
        <w:rPr>
          <w:rFonts w:ascii="Arial" w:hAnsi="Arial" w:cs="Arial"/>
          <w:sz w:val="24"/>
        </w:rPr>
        <w:t xml:space="preserve">Pese a la importancia del sector en la economía del estado, Colima no ha logrado consolidar su posición en el turismo nacional. </w:t>
      </w:r>
    </w:p>
    <w:p w:rsidR="00276E88" w:rsidRPr="00DD35D1"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lastRenderedPageBreak/>
        <w:t xml:space="preserve">El turismo se concentra en Manzanillo y Colima, según el número de habitaciones, los 208 hoteles que existen actualmente en el </w:t>
      </w:r>
      <w:r w:rsidR="00245EB5">
        <w:rPr>
          <w:rFonts w:ascii="Arial" w:hAnsi="Arial" w:cs="Arial"/>
          <w:sz w:val="24"/>
        </w:rPr>
        <w:t>Estado de Colima</w:t>
      </w:r>
      <w:r w:rsidRPr="00DD35D1">
        <w:rPr>
          <w:rFonts w:ascii="Arial" w:hAnsi="Arial" w:cs="Arial"/>
          <w:sz w:val="24"/>
        </w:rPr>
        <w:t xml:space="preserve"> suman 7,564 habitaciones</w:t>
      </w:r>
      <w:r w:rsidR="00641696">
        <w:rPr>
          <w:rStyle w:val="Refdenotaalpie"/>
          <w:rFonts w:ascii="Arial" w:hAnsi="Arial" w:cs="Arial"/>
          <w:sz w:val="24"/>
        </w:rPr>
        <w:footnoteReference w:id="2"/>
      </w:r>
      <w:r w:rsidRPr="00DD35D1">
        <w:rPr>
          <w:rFonts w:ascii="Arial" w:hAnsi="Arial" w:cs="Arial"/>
          <w:sz w:val="24"/>
        </w:rPr>
        <w:t xml:space="preserve">. Destacando así, los municipios antes mencionados con un 63.23 y 19.39 por ciento respectivamente. </w:t>
      </w:r>
    </w:p>
    <w:p w:rsidR="00276E88" w:rsidRPr="00DD35D1"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 xml:space="preserve">El porcentaje de ocupación promedio fue superior a 40 por ciento entre 2013 y 2015. La mayor parte del turismo receptivo es captado por el municipio de Manzanillo, con un porcentaje superior a 3 por ciento de ocupación. Lo anterior debido a que en dicho lugar se localiza el aeropuerto internacional de la entidad y el puerto. Dicha concentración manifiesta la poca movilidad del turismo internacional en el estado, a pesar de los diversos atractivos turísticos que Colima posee y que posibilitan la formación de rutas turísticas a lo largo de su territorio. </w:t>
      </w:r>
    </w:p>
    <w:p w:rsidR="00276E88" w:rsidRPr="00DD35D1"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b/>
          <w:sz w:val="24"/>
        </w:rPr>
      </w:pPr>
      <w:r w:rsidRPr="00276E88">
        <w:rPr>
          <w:rFonts w:ascii="Arial" w:hAnsi="Arial" w:cs="Arial"/>
          <w:b/>
          <w:sz w:val="24"/>
        </w:rPr>
        <w:t>Exportaciones</w:t>
      </w:r>
    </w:p>
    <w:p w:rsidR="00276E88" w:rsidRPr="00276E88" w:rsidRDefault="00276E88" w:rsidP="00276E88">
      <w:pPr>
        <w:spacing w:after="0" w:line="240" w:lineRule="auto"/>
        <w:jc w:val="both"/>
        <w:rPr>
          <w:rFonts w:ascii="Arial" w:hAnsi="Arial" w:cs="Arial"/>
          <w:b/>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 xml:space="preserve">La industria es la principal generadora de exportaciones en el </w:t>
      </w:r>
      <w:r w:rsidR="00245EB5">
        <w:rPr>
          <w:rFonts w:ascii="Arial" w:hAnsi="Arial" w:cs="Arial"/>
          <w:sz w:val="24"/>
        </w:rPr>
        <w:t>Estado de Colima</w:t>
      </w:r>
      <w:r w:rsidRPr="00DD35D1">
        <w:rPr>
          <w:rFonts w:ascii="Arial" w:hAnsi="Arial" w:cs="Arial"/>
          <w:sz w:val="24"/>
        </w:rPr>
        <w:t xml:space="preserve">, del total de las exportaciones colimenses, el 78 por ciento corresponde a la minería, la construcción y la industria manufactura. Secundado por el sector agropecuario que tiene una participación de 21 por ciento y el sector servicios con uno por ciento. </w:t>
      </w:r>
    </w:p>
    <w:p w:rsidR="00276E88" w:rsidRPr="00DD35D1"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Los principales destinos de las exportacione</w:t>
      </w:r>
      <w:r w:rsidR="00276E88">
        <w:rPr>
          <w:rFonts w:ascii="Arial" w:hAnsi="Arial" w:cs="Arial"/>
          <w:sz w:val="24"/>
        </w:rPr>
        <w:t>s del estado son Estados Unidos</w:t>
      </w:r>
      <w:r w:rsidRPr="00DD35D1">
        <w:rPr>
          <w:rFonts w:ascii="Arial" w:hAnsi="Arial" w:cs="Arial"/>
          <w:sz w:val="24"/>
        </w:rPr>
        <w:t xml:space="preserve">, Canadá, China, Japón, Corea del Sur, República Checa, Brasil, Países Bajos, Colombia, Ecuador y Perú. </w:t>
      </w:r>
    </w:p>
    <w:p w:rsidR="00276E88" w:rsidRPr="00DD35D1" w:rsidRDefault="00276E88" w:rsidP="00276E88">
      <w:pPr>
        <w:spacing w:after="0" w:line="240" w:lineRule="auto"/>
        <w:jc w:val="both"/>
        <w:rPr>
          <w:rFonts w:ascii="Arial" w:hAnsi="Arial" w:cs="Arial"/>
          <w:sz w:val="24"/>
        </w:rPr>
      </w:pPr>
    </w:p>
    <w:p w:rsidR="007C2295" w:rsidRPr="00402C8D" w:rsidRDefault="007C2295" w:rsidP="00276E88">
      <w:pPr>
        <w:spacing w:after="0" w:line="240" w:lineRule="auto"/>
        <w:jc w:val="both"/>
        <w:rPr>
          <w:rFonts w:ascii="Arial" w:hAnsi="Arial" w:cs="Arial"/>
          <w:b/>
          <w:sz w:val="24"/>
        </w:rPr>
      </w:pPr>
      <w:r w:rsidRPr="00402C8D">
        <w:rPr>
          <w:rFonts w:ascii="Arial" w:hAnsi="Arial" w:cs="Arial"/>
          <w:b/>
          <w:sz w:val="24"/>
        </w:rPr>
        <w:t>Ocupación y empleo</w:t>
      </w:r>
    </w:p>
    <w:p w:rsidR="00276E88" w:rsidRPr="00402C8D" w:rsidRDefault="00276E88" w:rsidP="00276E88">
      <w:pPr>
        <w:spacing w:after="0" w:line="240" w:lineRule="auto"/>
        <w:jc w:val="both"/>
        <w:rPr>
          <w:rFonts w:ascii="Arial" w:hAnsi="Arial" w:cs="Arial"/>
          <w:sz w:val="24"/>
        </w:rPr>
      </w:pPr>
    </w:p>
    <w:p w:rsidR="007C2295" w:rsidRPr="00402C8D" w:rsidRDefault="007C2295" w:rsidP="00276E88">
      <w:pPr>
        <w:spacing w:after="0" w:line="240" w:lineRule="auto"/>
        <w:jc w:val="both"/>
        <w:rPr>
          <w:rFonts w:ascii="Arial" w:hAnsi="Arial" w:cs="Arial"/>
          <w:sz w:val="24"/>
        </w:rPr>
      </w:pPr>
      <w:r w:rsidRPr="00402C8D">
        <w:rPr>
          <w:rFonts w:ascii="Arial" w:hAnsi="Arial" w:cs="Arial"/>
          <w:sz w:val="24"/>
        </w:rPr>
        <w:t xml:space="preserve">Colima mantiene una situación favorable laboral para sus habitantes. La Población Económicamente Activa (PEA) ocupada en el primer trimestre de 2017 es de 96.55 por ciento, el mismo indicador a nivel nacional muestra que existe una PEA ocupada de 96.60 por ciento. </w:t>
      </w:r>
    </w:p>
    <w:p w:rsidR="00276E88" w:rsidRPr="00402C8D" w:rsidRDefault="00276E88" w:rsidP="00276E88">
      <w:pPr>
        <w:spacing w:after="0" w:line="240" w:lineRule="auto"/>
        <w:jc w:val="both"/>
        <w:rPr>
          <w:rFonts w:ascii="Arial" w:hAnsi="Arial" w:cs="Arial"/>
          <w:sz w:val="24"/>
        </w:rPr>
      </w:pPr>
    </w:p>
    <w:p w:rsidR="007C2295" w:rsidRPr="0009039E" w:rsidRDefault="007C2295" w:rsidP="00276E88">
      <w:pPr>
        <w:spacing w:after="0" w:line="240" w:lineRule="auto"/>
        <w:jc w:val="both"/>
        <w:rPr>
          <w:rFonts w:ascii="Arial" w:eastAsia="Times New Roman" w:hAnsi="Arial" w:cs="Arial"/>
          <w:color w:val="000000"/>
          <w:sz w:val="24"/>
          <w:szCs w:val="24"/>
        </w:rPr>
      </w:pPr>
      <w:r w:rsidRPr="00402C8D">
        <w:rPr>
          <w:rFonts w:ascii="Arial" w:hAnsi="Arial" w:cs="Arial"/>
          <w:sz w:val="24"/>
        </w:rPr>
        <w:t>La tasa neta de participación laboral que mide la proporción entre la población económicamente activa y la población en edad de trabajar, muestra un porcentaje de 67.6 por ciento en el primer trimestre de 2017, 8.4 puntos porcentuales por encima de la media nacional. Además, la tasa de informalidad laboral es de 52.4 por ciento, 4.8 puntos porcentuales menor a la registrada en el país.</w:t>
      </w:r>
    </w:p>
    <w:p w:rsidR="0009039E" w:rsidRPr="00BF1E08" w:rsidRDefault="0009039E" w:rsidP="00BF1E08">
      <w:pPr>
        <w:jc w:val="center"/>
        <w:rPr>
          <w:rFonts w:ascii="Arial" w:hAnsi="Arial" w:cs="Arial"/>
          <w:sz w:val="24"/>
          <w:highlight w:val="cyan"/>
        </w:rPr>
      </w:pPr>
      <w:r w:rsidRPr="0009039E">
        <w:rPr>
          <w:noProof/>
          <w:lang w:val="es-ES" w:eastAsia="es-ES"/>
        </w:rPr>
        <w:lastRenderedPageBreak/>
        <w:drawing>
          <wp:inline distT="0" distB="0" distL="0" distR="0">
            <wp:extent cx="5029200" cy="310972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481" cy="3116079"/>
                    </a:xfrm>
                    <a:prstGeom prst="rect">
                      <a:avLst/>
                    </a:prstGeom>
                    <a:noFill/>
                    <a:ln>
                      <a:noFill/>
                    </a:ln>
                  </pic:spPr>
                </pic:pic>
              </a:graphicData>
            </a:graphic>
          </wp:inline>
        </w:drawing>
      </w:r>
    </w:p>
    <w:p w:rsidR="007C2295" w:rsidRDefault="007C2295" w:rsidP="00276E88">
      <w:pPr>
        <w:spacing w:after="0" w:line="240" w:lineRule="auto"/>
        <w:jc w:val="both"/>
        <w:rPr>
          <w:rFonts w:ascii="Arial" w:hAnsi="Arial" w:cs="Arial"/>
          <w:b/>
          <w:sz w:val="24"/>
        </w:rPr>
      </w:pPr>
      <w:r w:rsidRPr="00276E88">
        <w:rPr>
          <w:rFonts w:ascii="Arial" w:hAnsi="Arial" w:cs="Arial"/>
          <w:b/>
          <w:sz w:val="24"/>
        </w:rPr>
        <w:t>Competitividad</w:t>
      </w:r>
    </w:p>
    <w:p w:rsidR="00276E88" w:rsidRPr="00276E88" w:rsidRDefault="00276E88" w:rsidP="00276E88">
      <w:pPr>
        <w:spacing w:after="0" w:line="240" w:lineRule="auto"/>
        <w:jc w:val="both"/>
        <w:rPr>
          <w:rFonts w:ascii="Arial" w:hAnsi="Arial" w:cs="Arial"/>
          <w:b/>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Según el Índice de Competitividad Estatal 2016, publicado por Instituto Mexicano para la Competitividad (IMCO), Colima es el cuarto estado más competitivo debido a una adecuada administración de su gobierno, a la correcta provisión de servicios públicos básicos y a la estabilidad de su sistema político. En el 2014 el estado fue el primer lugar en registro de una propiedad y esfuerzos de mejora regulatoria, el segundo en apertura de una empresa y</w:t>
      </w:r>
      <w:r w:rsidR="0098241F">
        <w:rPr>
          <w:rFonts w:ascii="Arial" w:hAnsi="Arial" w:cs="Arial"/>
          <w:sz w:val="24"/>
        </w:rPr>
        <w:t xml:space="preserve"> para 2017</w:t>
      </w:r>
      <w:r w:rsidRPr="00DD35D1">
        <w:rPr>
          <w:rFonts w:ascii="Arial" w:hAnsi="Arial" w:cs="Arial"/>
          <w:sz w:val="24"/>
        </w:rPr>
        <w:t xml:space="preserve"> el </w:t>
      </w:r>
      <w:r w:rsidR="009E3483">
        <w:rPr>
          <w:rFonts w:ascii="Arial" w:hAnsi="Arial" w:cs="Arial"/>
          <w:sz w:val="24"/>
        </w:rPr>
        <w:t xml:space="preserve">Primer lugar Nacional </w:t>
      </w:r>
      <w:r w:rsidRPr="00DD35D1">
        <w:rPr>
          <w:rFonts w:ascii="Arial" w:hAnsi="Arial" w:cs="Arial"/>
          <w:sz w:val="24"/>
        </w:rPr>
        <w:t xml:space="preserve"> en el Índice de Información Presupuestal Estatal</w:t>
      </w:r>
      <w:r w:rsidR="0098241F">
        <w:rPr>
          <w:rFonts w:ascii="Arial" w:hAnsi="Arial" w:cs="Arial"/>
          <w:sz w:val="24"/>
        </w:rPr>
        <w:t xml:space="preserve"> (IIPE).</w:t>
      </w:r>
      <w:r w:rsidR="00106C2B">
        <w:rPr>
          <w:rFonts w:ascii="Arial" w:hAnsi="Arial" w:cs="Arial"/>
          <w:sz w:val="24"/>
        </w:rPr>
        <w:t xml:space="preserve"> </w:t>
      </w:r>
    </w:p>
    <w:p w:rsidR="00276E88" w:rsidRPr="00106C2B" w:rsidRDefault="00276E88" w:rsidP="00276E88">
      <w:pPr>
        <w:spacing w:after="0" w:line="240" w:lineRule="auto"/>
        <w:jc w:val="both"/>
        <w:rPr>
          <w:rFonts w:ascii="Arial" w:hAnsi="Arial" w:cs="Arial"/>
          <w:sz w:val="24"/>
        </w:rPr>
      </w:pPr>
    </w:p>
    <w:p w:rsidR="007C2295" w:rsidRDefault="007C2295" w:rsidP="00276E88">
      <w:pPr>
        <w:spacing w:after="0" w:line="240" w:lineRule="auto"/>
        <w:jc w:val="both"/>
        <w:rPr>
          <w:rFonts w:ascii="Arial" w:hAnsi="Arial" w:cs="Arial"/>
          <w:sz w:val="24"/>
        </w:rPr>
      </w:pPr>
      <w:r w:rsidRPr="00DD35D1">
        <w:rPr>
          <w:rFonts w:ascii="Arial" w:hAnsi="Arial" w:cs="Arial"/>
          <w:sz w:val="24"/>
        </w:rPr>
        <w:t xml:space="preserve">En 2016, según el ranking Doing Business en México, el </w:t>
      </w:r>
      <w:r w:rsidR="00245EB5">
        <w:rPr>
          <w:rFonts w:ascii="Arial" w:hAnsi="Arial" w:cs="Arial"/>
          <w:sz w:val="24"/>
        </w:rPr>
        <w:t>Estado de Colima</w:t>
      </w:r>
      <w:r w:rsidRPr="00DD35D1">
        <w:rPr>
          <w:rFonts w:ascii="Arial" w:hAnsi="Arial" w:cs="Arial"/>
          <w:sz w:val="24"/>
        </w:rPr>
        <w:t xml:space="preserve"> ocupa el lugar número tres en la clasificación agregada de los cuatro indicadores, con la novena posición en facilidad a la apertura de una empresa, primer lugar en obtención de permisos de construcción, cuarto en registro de la propiedad y doceavo en cumplimiento de contratos a nivel nacional.</w:t>
      </w:r>
    </w:p>
    <w:p w:rsidR="001876E4" w:rsidRDefault="001876E4" w:rsidP="00276E88">
      <w:pPr>
        <w:spacing w:after="0" w:line="240" w:lineRule="auto"/>
        <w:jc w:val="both"/>
        <w:rPr>
          <w:rFonts w:ascii="Arial" w:hAnsi="Arial" w:cs="Arial"/>
          <w:sz w:val="24"/>
        </w:rPr>
      </w:pPr>
    </w:p>
    <w:p w:rsidR="001876E4" w:rsidRDefault="001876E4" w:rsidP="00276E88">
      <w:pPr>
        <w:spacing w:after="0" w:line="240" w:lineRule="auto"/>
        <w:jc w:val="both"/>
        <w:rPr>
          <w:rFonts w:ascii="Arial" w:hAnsi="Arial" w:cs="Arial"/>
          <w:sz w:val="24"/>
        </w:rPr>
      </w:pPr>
    </w:p>
    <w:p w:rsidR="001876E4" w:rsidRDefault="001876E4" w:rsidP="00276E88">
      <w:pPr>
        <w:spacing w:after="0" w:line="240" w:lineRule="auto"/>
        <w:jc w:val="both"/>
        <w:rPr>
          <w:rFonts w:ascii="Arial" w:hAnsi="Arial" w:cs="Arial"/>
          <w:sz w:val="24"/>
        </w:rPr>
      </w:pPr>
    </w:p>
    <w:p w:rsidR="001876E4" w:rsidRDefault="001876E4" w:rsidP="00276E88">
      <w:pPr>
        <w:spacing w:after="0" w:line="240" w:lineRule="auto"/>
        <w:jc w:val="both"/>
        <w:rPr>
          <w:rFonts w:ascii="Arial" w:hAnsi="Arial" w:cs="Arial"/>
          <w:sz w:val="24"/>
        </w:rPr>
      </w:pPr>
    </w:p>
    <w:p w:rsidR="001876E4" w:rsidRDefault="001876E4" w:rsidP="00276E88">
      <w:pPr>
        <w:spacing w:after="0" w:line="240" w:lineRule="auto"/>
        <w:jc w:val="both"/>
        <w:rPr>
          <w:rFonts w:ascii="Arial" w:hAnsi="Arial" w:cs="Arial"/>
          <w:sz w:val="24"/>
        </w:rPr>
      </w:pPr>
    </w:p>
    <w:p w:rsidR="001876E4" w:rsidRDefault="001876E4" w:rsidP="00276E88">
      <w:pPr>
        <w:spacing w:after="0" w:line="240" w:lineRule="auto"/>
        <w:jc w:val="both"/>
        <w:rPr>
          <w:rFonts w:ascii="Arial" w:hAnsi="Arial" w:cs="Arial"/>
          <w:sz w:val="24"/>
        </w:rPr>
      </w:pPr>
    </w:p>
    <w:p w:rsidR="001876E4" w:rsidRDefault="001876E4" w:rsidP="00276E88">
      <w:pPr>
        <w:spacing w:after="0" w:line="240" w:lineRule="auto"/>
        <w:jc w:val="both"/>
        <w:rPr>
          <w:rFonts w:ascii="Arial" w:hAnsi="Arial" w:cs="Arial"/>
          <w:sz w:val="24"/>
        </w:rPr>
      </w:pPr>
    </w:p>
    <w:p w:rsidR="001876E4" w:rsidRPr="00F8671B" w:rsidRDefault="001876E4" w:rsidP="001876E4">
      <w:pPr>
        <w:rPr>
          <w:rFonts w:ascii="Arial" w:hAnsi="Arial" w:cs="Arial"/>
          <w:b/>
          <w:bCs/>
          <w:sz w:val="40"/>
          <w:szCs w:val="40"/>
          <w:highlight w:val="yellow"/>
        </w:rPr>
      </w:pPr>
    </w:p>
    <w:p w:rsidR="001876E4" w:rsidRDefault="001876E4" w:rsidP="001876E4">
      <w:pPr>
        <w:rPr>
          <w:rFonts w:ascii="Arial" w:hAnsi="Arial" w:cs="Arial"/>
          <w:b/>
          <w:bCs/>
          <w:sz w:val="40"/>
          <w:szCs w:val="40"/>
          <w:highlight w:val="yellow"/>
        </w:rPr>
      </w:pPr>
    </w:p>
    <w:p w:rsidR="001876E4" w:rsidRDefault="001876E4" w:rsidP="001876E4">
      <w:pPr>
        <w:rPr>
          <w:rFonts w:ascii="Arial" w:hAnsi="Arial" w:cs="Arial"/>
          <w:b/>
          <w:bCs/>
          <w:sz w:val="40"/>
          <w:szCs w:val="40"/>
          <w:highlight w:val="yellow"/>
        </w:rPr>
      </w:pPr>
    </w:p>
    <w:p w:rsidR="001876E4" w:rsidRDefault="001876E4" w:rsidP="001876E4">
      <w:pPr>
        <w:rPr>
          <w:rFonts w:ascii="Arial" w:hAnsi="Arial" w:cs="Arial"/>
          <w:b/>
          <w:bCs/>
          <w:sz w:val="40"/>
          <w:szCs w:val="40"/>
        </w:rPr>
      </w:pPr>
    </w:p>
    <w:p w:rsidR="001876E4" w:rsidRPr="005554FD" w:rsidRDefault="001876E4" w:rsidP="001876E4">
      <w:pPr>
        <w:rPr>
          <w:rFonts w:ascii="Arial" w:hAnsi="Arial" w:cs="Arial"/>
          <w:b/>
          <w:bCs/>
          <w:sz w:val="40"/>
          <w:szCs w:val="40"/>
        </w:rPr>
      </w:pPr>
    </w:p>
    <w:p w:rsidR="001876E4" w:rsidRPr="005554FD" w:rsidRDefault="001876E4" w:rsidP="001876E4">
      <w:pPr>
        <w:jc w:val="center"/>
        <w:rPr>
          <w:rFonts w:ascii="Arial" w:hAnsi="Arial" w:cs="Arial"/>
          <w:b/>
          <w:bCs/>
          <w:sz w:val="40"/>
          <w:szCs w:val="40"/>
        </w:rPr>
      </w:pPr>
      <w:r w:rsidRPr="005554FD">
        <w:rPr>
          <w:rFonts w:ascii="Arial" w:hAnsi="Arial" w:cs="Arial"/>
          <w:b/>
          <w:bCs/>
          <w:sz w:val="40"/>
          <w:szCs w:val="40"/>
        </w:rPr>
        <w:t>TOMO II. MARCO PLURIANUAL (MARCO FISCAL DE MEDIANO PLAZO).</w:t>
      </w:r>
    </w:p>
    <w:p w:rsidR="001876E4" w:rsidRPr="00F8671B" w:rsidRDefault="001876E4" w:rsidP="001876E4">
      <w:pPr>
        <w:jc w:val="center"/>
        <w:rPr>
          <w:rFonts w:ascii="Arial" w:hAnsi="Arial" w:cs="Arial"/>
          <w:b/>
          <w:bCs/>
          <w:sz w:val="40"/>
          <w:szCs w:val="40"/>
          <w:highlight w:val="yellow"/>
        </w:rPr>
      </w:pPr>
    </w:p>
    <w:p w:rsidR="001876E4" w:rsidRPr="00F8671B" w:rsidRDefault="001876E4" w:rsidP="001876E4">
      <w:pPr>
        <w:rPr>
          <w:rFonts w:ascii="Arial" w:hAnsi="Arial" w:cs="Arial"/>
          <w:b/>
          <w:bCs/>
          <w:sz w:val="40"/>
          <w:szCs w:val="40"/>
          <w:highlight w:val="yellow"/>
        </w:rPr>
      </w:pPr>
      <w:r w:rsidRPr="00F8671B">
        <w:rPr>
          <w:rFonts w:ascii="Arial" w:hAnsi="Arial" w:cs="Arial"/>
          <w:b/>
          <w:bCs/>
          <w:sz w:val="40"/>
          <w:szCs w:val="40"/>
          <w:highlight w:val="yellow"/>
        </w:rPr>
        <w:br w:type="page"/>
      </w:r>
    </w:p>
    <w:p w:rsidR="001876E4" w:rsidRDefault="001876E4" w:rsidP="001876E4">
      <w:pPr>
        <w:autoSpaceDE w:val="0"/>
        <w:autoSpaceDN w:val="0"/>
        <w:adjustRightInd w:val="0"/>
        <w:spacing w:after="0" w:line="240" w:lineRule="auto"/>
        <w:jc w:val="both"/>
        <w:rPr>
          <w:rFonts w:ascii="Arial" w:hAnsi="Arial" w:cs="Arial"/>
          <w:sz w:val="24"/>
          <w:szCs w:val="24"/>
        </w:rPr>
      </w:pPr>
      <w:r>
        <w:rPr>
          <w:rFonts w:ascii="Arial" w:hAnsi="Arial" w:cs="Arial"/>
          <w:b/>
          <w:sz w:val="28"/>
          <w:szCs w:val="28"/>
        </w:rPr>
        <w:lastRenderedPageBreak/>
        <w:t xml:space="preserve">2. </w:t>
      </w:r>
      <w:r w:rsidRPr="000F3C6A">
        <w:rPr>
          <w:rFonts w:ascii="Arial" w:hAnsi="Arial" w:cs="Arial"/>
          <w:b/>
          <w:sz w:val="28"/>
          <w:szCs w:val="28"/>
        </w:rPr>
        <w:t>MARCO PLURIANUAL (MARCO FISCAL DE MEDIANO PLAZO)</w:t>
      </w:r>
    </w:p>
    <w:p w:rsidR="001876E4" w:rsidRDefault="001876E4" w:rsidP="001876E4">
      <w:pPr>
        <w:autoSpaceDE w:val="0"/>
        <w:autoSpaceDN w:val="0"/>
        <w:adjustRightInd w:val="0"/>
        <w:spacing w:after="0" w:line="240" w:lineRule="auto"/>
        <w:jc w:val="both"/>
        <w:rPr>
          <w:rFonts w:ascii="Arial" w:hAnsi="Arial" w:cs="Arial"/>
          <w:sz w:val="24"/>
          <w:szCs w:val="24"/>
        </w:rPr>
      </w:pPr>
    </w:p>
    <w:p w:rsidR="001876E4" w:rsidRPr="000F3C6A" w:rsidRDefault="001876E4" w:rsidP="001876E4">
      <w:pPr>
        <w:autoSpaceDE w:val="0"/>
        <w:autoSpaceDN w:val="0"/>
        <w:adjustRightInd w:val="0"/>
        <w:spacing w:after="0" w:line="240" w:lineRule="auto"/>
        <w:jc w:val="both"/>
        <w:rPr>
          <w:rFonts w:ascii="Arial" w:hAnsi="Arial" w:cs="Arial"/>
          <w:sz w:val="24"/>
          <w:szCs w:val="24"/>
        </w:rPr>
      </w:pPr>
      <w:r w:rsidRPr="000F3C6A">
        <w:rPr>
          <w:rFonts w:ascii="Arial" w:hAnsi="Arial" w:cs="Arial"/>
          <w:sz w:val="24"/>
          <w:szCs w:val="24"/>
        </w:rPr>
        <w:t>La presente Iniciativa de Decreto de</w:t>
      </w:r>
      <w:r>
        <w:rPr>
          <w:rFonts w:ascii="Arial" w:hAnsi="Arial" w:cs="Arial"/>
          <w:sz w:val="24"/>
          <w:szCs w:val="24"/>
        </w:rPr>
        <w:t>l</w:t>
      </w:r>
      <w:r w:rsidRPr="000F3C6A">
        <w:rPr>
          <w:rFonts w:ascii="Arial" w:hAnsi="Arial" w:cs="Arial"/>
          <w:sz w:val="24"/>
          <w:szCs w:val="24"/>
        </w:rPr>
        <w:t xml:space="preserve"> Presupuesto de Egresos que se somete a la consideración de esta Soberanía, se integró tomando en consideración los postulados y reglas de disciplina financiera previstos en la propia Ley de Disciplina Financiera de las Entidades Federativas y los Municipios, los derivados de la Ley de Presupuesto y </w:t>
      </w:r>
      <w:r>
        <w:rPr>
          <w:rFonts w:ascii="Arial" w:hAnsi="Arial" w:cs="Arial"/>
          <w:sz w:val="24"/>
          <w:szCs w:val="24"/>
        </w:rPr>
        <w:t xml:space="preserve">Responsabilidad Hacendaria </w:t>
      </w:r>
      <w:r w:rsidRPr="000F3C6A">
        <w:rPr>
          <w:rFonts w:ascii="Arial" w:hAnsi="Arial" w:cs="Arial"/>
          <w:sz w:val="24"/>
          <w:szCs w:val="24"/>
        </w:rPr>
        <w:t xml:space="preserve">del </w:t>
      </w:r>
      <w:r>
        <w:rPr>
          <w:rFonts w:ascii="Arial" w:hAnsi="Arial" w:cs="Arial"/>
          <w:sz w:val="24"/>
          <w:szCs w:val="24"/>
        </w:rPr>
        <w:t>Estado de Colima</w:t>
      </w:r>
      <w:r w:rsidRPr="000F3C6A">
        <w:rPr>
          <w:rFonts w:ascii="Arial" w:hAnsi="Arial" w:cs="Arial"/>
          <w:sz w:val="24"/>
          <w:szCs w:val="24"/>
        </w:rPr>
        <w:t>, Ley General de Contabilidad Gubernamental, las normas emitidas por el CONAC y demás ordenamientos de la materia.</w:t>
      </w:r>
    </w:p>
    <w:p w:rsidR="001876E4" w:rsidRPr="000F3C6A" w:rsidRDefault="001876E4" w:rsidP="001876E4">
      <w:pPr>
        <w:autoSpaceDE w:val="0"/>
        <w:autoSpaceDN w:val="0"/>
        <w:adjustRightInd w:val="0"/>
        <w:spacing w:after="0" w:line="240" w:lineRule="auto"/>
        <w:jc w:val="both"/>
        <w:rPr>
          <w:rFonts w:ascii="Arial" w:hAnsi="Arial" w:cs="Arial"/>
          <w:sz w:val="24"/>
          <w:szCs w:val="24"/>
        </w:rPr>
      </w:pPr>
    </w:p>
    <w:p w:rsidR="001876E4" w:rsidRPr="000F3C6A" w:rsidRDefault="001876E4" w:rsidP="001876E4">
      <w:pPr>
        <w:autoSpaceDE w:val="0"/>
        <w:autoSpaceDN w:val="0"/>
        <w:adjustRightInd w:val="0"/>
        <w:spacing w:after="0" w:line="240" w:lineRule="auto"/>
        <w:jc w:val="both"/>
        <w:rPr>
          <w:rFonts w:ascii="Arial" w:hAnsi="Arial" w:cs="Arial"/>
          <w:sz w:val="24"/>
          <w:szCs w:val="24"/>
        </w:rPr>
      </w:pPr>
      <w:r w:rsidRPr="000F3C6A">
        <w:rPr>
          <w:rFonts w:ascii="Arial" w:hAnsi="Arial" w:cs="Arial"/>
          <w:sz w:val="24"/>
          <w:szCs w:val="24"/>
        </w:rPr>
        <w:t>En ese tenor se incorporan los siguientes elementos:</w:t>
      </w:r>
    </w:p>
    <w:p w:rsidR="001876E4" w:rsidRPr="000703F6" w:rsidRDefault="001876E4" w:rsidP="001876E4">
      <w:pPr>
        <w:pStyle w:val="Texto"/>
        <w:spacing w:after="0" w:line="240" w:lineRule="auto"/>
        <w:rPr>
          <w:color w:val="000000"/>
          <w:sz w:val="24"/>
          <w:szCs w:val="28"/>
          <w:lang w:val="es-MX"/>
        </w:rPr>
      </w:pPr>
    </w:p>
    <w:p w:rsidR="001876E4" w:rsidRPr="000F3C6A" w:rsidRDefault="001876E4" w:rsidP="00185BC9">
      <w:pPr>
        <w:pStyle w:val="Texto"/>
        <w:numPr>
          <w:ilvl w:val="0"/>
          <w:numId w:val="5"/>
        </w:numPr>
        <w:spacing w:after="0" w:line="240" w:lineRule="auto"/>
        <w:rPr>
          <w:color w:val="000000"/>
          <w:sz w:val="24"/>
          <w:szCs w:val="24"/>
        </w:rPr>
      </w:pPr>
      <w:r w:rsidRPr="000F3C6A">
        <w:rPr>
          <w:color w:val="000000"/>
          <w:sz w:val="24"/>
          <w:szCs w:val="24"/>
        </w:rPr>
        <w:t>Objetivos anuales, estrategias y metas;</w:t>
      </w:r>
    </w:p>
    <w:p w:rsidR="001876E4" w:rsidRPr="000F3C6A" w:rsidRDefault="001876E4" w:rsidP="001876E4">
      <w:pPr>
        <w:pStyle w:val="Texto"/>
        <w:spacing w:after="0" w:line="240" w:lineRule="auto"/>
        <w:ind w:left="288" w:firstLine="0"/>
        <w:rPr>
          <w:color w:val="000000"/>
          <w:sz w:val="24"/>
          <w:szCs w:val="24"/>
        </w:rPr>
      </w:pPr>
    </w:p>
    <w:p w:rsidR="001876E4" w:rsidRPr="000F3C6A" w:rsidRDefault="001876E4" w:rsidP="00185BC9">
      <w:pPr>
        <w:pStyle w:val="Texto"/>
        <w:numPr>
          <w:ilvl w:val="0"/>
          <w:numId w:val="5"/>
        </w:numPr>
        <w:spacing w:after="0" w:line="240" w:lineRule="auto"/>
        <w:rPr>
          <w:color w:val="000000"/>
          <w:sz w:val="24"/>
          <w:szCs w:val="24"/>
        </w:rPr>
      </w:pPr>
      <w:r w:rsidRPr="000F3C6A">
        <w:rPr>
          <w:color w:val="000000"/>
          <w:sz w:val="24"/>
          <w:szCs w:val="24"/>
        </w:rPr>
        <w:t xml:space="preserve">Proyecciones de finanzas públicas, considerando las premisas empleadas en los Criterios </w:t>
      </w:r>
      <w:r>
        <w:rPr>
          <w:color w:val="000000"/>
          <w:sz w:val="24"/>
          <w:szCs w:val="24"/>
        </w:rPr>
        <w:t>Generales de Política Económica;</w:t>
      </w:r>
      <w:r w:rsidRPr="000F3C6A">
        <w:rPr>
          <w:color w:val="000000"/>
          <w:sz w:val="24"/>
          <w:szCs w:val="24"/>
        </w:rPr>
        <w:t xml:space="preserve"> </w:t>
      </w:r>
    </w:p>
    <w:p w:rsidR="001876E4" w:rsidRPr="000F3C6A" w:rsidRDefault="001876E4" w:rsidP="001876E4">
      <w:pPr>
        <w:pStyle w:val="Texto"/>
        <w:spacing w:after="0" w:line="240" w:lineRule="auto"/>
        <w:ind w:firstLine="0"/>
        <w:rPr>
          <w:color w:val="000000"/>
          <w:sz w:val="24"/>
          <w:szCs w:val="24"/>
        </w:rPr>
      </w:pPr>
    </w:p>
    <w:p w:rsidR="001876E4" w:rsidRPr="000F3C6A" w:rsidRDefault="001876E4" w:rsidP="00185BC9">
      <w:pPr>
        <w:pStyle w:val="Texto"/>
        <w:numPr>
          <w:ilvl w:val="0"/>
          <w:numId w:val="5"/>
        </w:numPr>
        <w:spacing w:after="0" w:line="240" w:lineRule="auto"/>
        <w:rPr>
          <w:color w:val="000000"/>
          <w:sz w:val="24"/>
          <w:szCs w:val="24"/>
        </w:rPr>
      </w:pPr>
      <w:r w:rsidRPr="000F3C6A">
        <w:rPr>
          <w:color w:val="000000"/>
          <w:sz w:val="24"/>
          <w:szCs w:val="24"/>
        </w:rPr>
        <w:t>Descripción de los riesgos relevantes para las finanzas públicas, incluyendo los montos de Deuda Contingente, acompañados de propuestas de acción para enfrentarlos;</w:t>
      </w:r>
    </w:p>
    <w:p w:rsidR="001876E4" w:rsidRPr="000F3C6A" w:rsidRDefault="001876E4" w:rsidP="001876E4">
      <w:pPr>
        <w:pStyle w:val="Texto"/>
        <w:spacing w:after="0" w:line="240" w:lineRule="auto"/>
        <w:ind w:left="288" w:firstLine="0"/>
        <w:rPr>
          <w:color w:val="000000"/>
          <w:sz w:val="24"/>
          <w:szCs w:val="24"/>
        </w:rPr>
      </w:pPr>
    </w:p>
    <w:p w:rsidR="001876E4" w:rsidRPr="000F3C6A" w:rsidRDefault="001876E4" w:rsidP="00185BC9">
      <w:pPr>
        <w:pStyle w:val="Texto"/>
        <w:numPr>
          <w:ilvl w:val="0"/>
          <w:numId w:val="5"/>
        </w:numPr>
        <w:spacing w:after="0" w:line="240" w:lineRule="auto"/>
        <w:rPr>
          <w:color w:val="000000"/>
          <w:sz w:val="24"/>
          <w:szCs w:val="24"/>
        </w:rPr>
      </w:pPr>
      <w:r w:rsidRPr="000F3C6A">
        <w:rPr>
          <w:color w:val="000000"/>
          <w:sz w:val="24"/>
          <w:szCs w:val="24"/>
        </w:rPr>
        <w:t>Resultados de las finanzas públicas que abarcan un periodo de los cinco últimos años y el ejercicio fiscal en cuestión, de acuerdo con los formatos emitidos por el Consejo Nacional de Armo</w:t>
      </w:r>
      <w:r>
        <w:rPr>
          <w:color w:val="000000"/>
          <w:sz w:val="24"/>
          <w:szCs w:val="24"/>
        </w:rPr>
        <w:t>nización Contable para este fin;</w:t>
      </w:r>
    </w:p>
    <w:p w:rsidR="001876E4" w:rsidRPr="000703F6" w:rsidRDefault="001876E4" w:rsidP="001876E4">
      <w:pPr>
        <w:pStyle w:val="Texto"/>
        <w:spacing w:after="0" w:line="240" w:lineRule="auto"/>
        <w:ind w:left="288" w:firstLine="0"/>
        <w:rPr>
          <w:sz w:val="24"/>
          <w:szCs w:val="24"/>
        </w:rPr>
      </w:pPr>
    </w:p>
    <w:p w:rsidR="001876E4" w:rsidRPr="000F3C6A" w:rsidRDefault="001876E4" w:rsidP="00185BC9">
      <w:pPr>
        <w:pStyle w:val="Texto"/>
        <w:numPr>
          <w:ilvl w:val="0"/>
          <w:numId w:val="5"/>
        </w:numPr>
        <w:spacing w:after="0" w:line="240" w:lineRule="auto"/>
        <w:rPr>
          <w:color w:val="000000"/>
          <w:sz w:val="24"/>
          <w:szCs w:val="24"/>
        </w:rPr>
      </w:pPr>
      <w:r w:rsidRPr="000F3C6A">
        <w:rPr>
          <w:sz w:val="24"/>
          <w:szCs w:val="24"/>
        </w:rPr>
        <w:t>Resumen de estudio actuarial de la</w:t>
      </w:r>
      <w:r>
        <w:rPr>
          <w:sz w:val="24"/>
          <w:szCs w:val="24"/>
        </w:rPr>
        <w:t>s pensiones de los trabajadores;</w:t>
      </w:r>
      <w:r w:rsidRPr="000F3C6A">
        <w:rPr>
          <w:color w:val="FF0000"/>
          <w:sz w:val="24"/>
          <w:szCs w:val="24"/>
        </w:rPr>
        <w:t xml:space="preserve"> </w:t>
      </w:r>
    </w:p>
    <w:p w:rsidR="001876E4" w:rsidRPr="000F3C6A" w:rsidRDefault="001876E4" w:rsidP="001876E4">
      <w:pPr>
        <w:pStyle w:val="Texto"/>
        <w:spacing w:after="0" w:line="240" w:lineRule="auto"/>
        <w:ind w:left="720" w:firstLine="0"/>
        <w:rPr>
          <w:color w:val="000000"/>
          <w:sz w:val="24"/>
          <w:szCs w:val="24"/>
        </w:rPr>
      </w:pPr>
    </w:p>
    <w:p w:rsidR="001876E4" w:rsidRPr="000F3C6A" w:rsidRDefault="001876E4" w:rsidP="00185BC9">
      <w:pPr>
        <w:pStyle w:val="Texto"/>
        <w:numPr>
          <w:ilvl w:val="0"/>
          <w:numId w:val="5"/>
        </w:numPr>
        <w:spacing w:after="0" w:line="240" w:lineRule="auto"/>
        <w:rPr>
          <w:sz w:val="24"/>
          <w:szCs w:val="24"/>
        </w:rPr>
      </w:pPr>
      <w:r w:rsidRPr="000F3C6A">
        <w:rPr>
          <w:sz w:val="24"/>
          <w:szCs w:val="24"/>
        </w:rPr>
        <w:t>El balance pr</w:t>
      </w:r>
      <w:r>
        <w:rPr>
          <w:sz w:val="24"/>
          <w:szCs w:val="24"/>
        </w:rPr>
        <w:t>esupuestario y su justificación;</w:t>
      </w:r>
    </w:p>
    <w:p w:rsidR="001876E4" w:rsidRPr="000F3C6A" w:rsidRDefault="001876E4" w:rsidP="001876E4">
      <w:pPr>
        <w:pStyle w:val="Texto"/>
        <w:spacing w:after="0" w:line="240" w:lineRule="auto"/>
        <w:ind w:left="720" w:firstLine="0"/>
        <w:rPr>
          <w:sz w:val="24"/>
          <w:szCs w:val="24"/>
        </w:rPr>
      </w:pPr>
    </w:p>
    <w:p w:rsidR="001876E4" w:rsidRPr="000F3C6A" w:rsidRDefault="001876E4" w:rsidP="00185BC9">
      <w:pPr>
        <w:pStyle w:val="Texto"/>
        <w:numPr>
          <w:ilvl w:val="0"/>
          <w:numId w:val="5"/>
        </w:numPr>
        <w:spacing w:after="0" w:line="240" w:lineRule="auto"/>
        <w:rPr>
          <w:sz w:val="24"/>
          <w:szCs w:val="24"/>
        </w:rPr>
      </w:pPr>
      <w:r w:rsidRPr="000F3C6A">
        <w:rPr>
          <w:sz w:val="24"/>
          <w:szCs w:val="24"/>
        </w:rPr>
        <w:t>Previsión de recursos para el Fondo de Desastres Natur</w:t>
      </w:r>
      <w:r>
        <w:rPr>
          <w:sz w:val="24"/>
          <w:szCs w:val="24"/>
        </w:rPr>
        <w:t>ales;</w:t>
      </w:r>
    </w:p>
    <w:p w:rsidR="001876E4" w:rsidRPr="000F3C6A" w:rsidRDefault="001876E4" w:rsidP="001876E4">
      <w:pPr>
        <w:pStyle w:val="Texto"/>
        <w:spacing w:after="0" w:line="240" w:lineRule="auto"/>
        <w:ind w:left="720" w:firstLine="0"/>
        <w:rPr>
          <w:sz w:val="24"/>
          <w:szCs w:val="24"/>
        </w:rPr>
      </w:pPr>
    </w:p>
    <w:p w:rsidR="001876E4" w:rsidRPr="000F3C6A" w:rsidRDefault="001876E4" w:rsidP="00185BC9">
      <w:pPr>
        <w:pStyle w:val="Texto"/>
        <w:numPr>
          <w:ilvl w:val="0"/>
          <w:numId w:val="5"/>
        </w:numPr>
        <w:spacing w:after="0" w:line="240" w:lineRule="auto"/>
        <w:rPr>
          <w:sz w:val="24"/>
          <w:szCs w:val="24"/>
        </w:rPr>
      </w:pPr>
      <w:r w:rsidRPr="000F3C6A">
        <w:rPr>
          <w:sz w:val="24"/>
          <w:szCs w:val="24"/>
        </w:rPr>
        <w:t>Inclusión de una sección específica de las erogaciones correspondientes a</w:t>
      </w:r>
      <w:r>
        <w:rPr>
          <w:sz w:val="24"/>
          <w:szCs w:val="24"/>
        </w:rPr>
        <w:t>l gasto en servicios personales; y</w:t>
      </w:r>
    </w:p>
    <w:p w:rsidR="001876E4" w:rsidRPr="000F3C6A" w:rsidRDefault="001876E4" w:rsidP="001876E4">
      <w:pPr>
        <w:pStyle w:val="Texto"/>
        <w:spacing w:after="0" w:line="240" w:lineRule="auto"/>
        <w:ind w:left="720" w:firstLine="0"/>
        <w:rPr>
          <w:sz w:val="24"/>
          <w:szCs w:val="24"/>
        </w:rPr>
      </w:pPr>
    </w:p>
    <w:p w:rsidR="001876E4" w:rsidRPr="000F3C6A" w:rsidRDefault="001876E4" w:rsidP="00185BC9">
      <w:pPr>
        <w:pStyle w:val="Texto"/>
        <w:numPr>
          <w:ilvl w:val="0"/>
          <w:numId w:val="5"/>
        </w:numPr>
        <w:spacing w:after="0" w:line="240" w:lineRule="auto"/>
        <w:rPr>
          <w:sz w:val="24"/>
          <w:szCs w:val="24"/>
        </w:rPr>
      </w:pPr>
      <w:r w:rsidRPr="000F3C6A">
        <w:rPr>
          <w:sz w:val="24"/>
          <w:szCs w:val="24"/>
        </w:rPr>
        <w:t>Recursos para cubrir los adeudos del ejercicio fiscal anterior (2017)</w:t>
      </w:r>
      <w:r>
        <w:rPr>
          <w:sz w:val="24"/>
          <w:szCs w:val="24"/>
        </w:rPr>
        <w:t>.</w:t>
      </w:r>
    </w:p>
    <w:p w:rsidR="001876E4" w:rsidRPr="000F3C6A" w:rsidRDefault="001876E4" w:rsidP="001876E4">
      <w:pPr>
        <w:rPr>
          <w:lang w:val="es-ES"/>
        </w:rPr>
      </w:pPr>
    </w:p>
    <w:p w:rsidR="001876E4" w:rsidRPr="00BC47B1" w:rsidRDefault="001876E4" w:rsidP="001876E4">
      <w:pPr>
        <w:rPr>
          <w:sz w:val="24"/>
          <w:szCs w:val="24"/>
          <w:highlight w:val="cyan"/>
          <w:lang w:val="es-ES"/>
        </w:rPr>
      </w:pPr>
    </w:p>
    <w:p w:rsidR="001876E4" w:rsidRPr="00BC47B1" w:rsidRDefault="001876E4" w:rsidP="001876E4">
      <w:pPr>
        <w:rPr>
          <w:sz w:val="24"/>
          <w:szCs w:val="24"/>
          <w:highlight w:val="cyan"/>
          <w:lang w:val="es-ES"/>
        </w:rPr>
      </w:pPr>
    </w:p>
    <w:p w:rsidR="001876E4" w:rsidRPr="003D20BE" w:rsidRDefault="001876E4" w:rsidP="001876E4">
      <w:pPr>
        <w:autoSpaceDE w:val="0"/>
        <w:autoSpaceDN w:val="0"/>
        <w:adjustRightInd w:val="0"/>
        <w:spacing w:after="0" w:line="240" w:lineRule="auto"/>
        <w:rPr>
          <w:rFonts w:ascii="Arial" w:hAnsi="Arial" w:cs="Arial"/>
          <w:b/>
          <w:sz w:val="24"/>
          <w:szCs w:val="24"/>
        </w:rPr>
      </w:pPr>
      <w:r w:rsidRPr="003D20BE">
        <w:rPr>
          <w:rFonts w:ascii="Arial" w:eastAsia="Times New Roman" w:hAnsi="Arial" w:cs="Arial"/>
          <w:b/>
          <w:sz w:val="24"/>
          <w:szCs w:val="24"/>
          <w:lang w:val="es-ES" w:eastAsia="es-ES"/>
        </w:rPr>
        <w:lastRenderedPageBreak/>
        <w:t>2.1.</w:t>
      </w:r>
      <w:r w:rsidRPr="003D20BE">
        <w:rPr>
          <w:rFonts w:ascii="Arial" w:eastAsia="Times New Roman" w:hAnsi="Arial" w:cs="Arial"/>
          <w:sz w:val="24"/>
          <w:szCs w:val="24"/>
          <w:lang w:val="es-ES" w:eastAsia="es-ES"/>
        </w:rPr>
        <w:t xml:space="preserve"> </w:t>
      </w:r>
      <w:r w:rsidRPr="003D20BE">
        <w:rPr>
          <w:rFonts w:ascii="Arial" w:hAnsi="Arial" w:cs="Arial"/>
          <w:b/>
          <w:sz w:val="24"/>
          <w:szCs w:val="24"/>
        </w:rPr>
        <w:t>OBJETIVOS ANUALES, ESTRATEGIAS Y METAS.</w:t>
      </w:r>
    </w:p>
    <w:p w:rsidR="001876E4" w:rsidRPr="000703F6" w:rsidRDefault="001876E4" w:rsidP="001876E4">
      <w:pPr>
        <w:autoSpaceDE w:val="0"/>
        <w:autoSpaceDN w:val="0"/>
        <w:adjustRightInd w:val="0"/>
        <w:spacing w:after="0" w:line="240" w:lineRule="auto"/>
        <w:rPr>
          <w:rFonts w:ascii="Arial" w:hAnsi="Arial" w:cs="Arial"/>
          <w:sz w:val="24"/>
          <w:szCs w:val="24"/>
        </w:rPr>
      </w:pPr>
    </w:p>
    <w:p w:rsidR="001876E4" w:rsidRDefault="001876E4" w:rsidP="001876E4">
      <w:pPr>
        <w:autoSpaceDE w:val="0"/>
        <w:autoSpaceDN w:val="0"/>
        <w:adjustRightInd w:val="0"/>
        <w:spacing w:after="0" w:line="240" w:lineRule="auto"/>
        <w:ind w:left="3" w:firstLine="1"/>
        <w:rPr>
          <w:rFonts w:ascii="Arial" w:hAnsi="Arial" w:cs="Arial"/>
          <w:b/>
          <w:sz w:val="24"/>
          <w:szCs w:val="24"/>
        </w:rPr>
      </w:pPr>
      <w:r>
        <w:rPr>
          <w:rFonts w:ascii="Arial" w:hAnsi="Arial" w:cs="Arial"/>
          <w:b/>
          <w:sz w:val="24"/>
          <w:szCs w:val="24"/>
        </w:rPr>
        <w:t xml:space="preserve">      </w:t>
      </w:r>
      <w:r w:rsidRPr="009741F2">
        <w:rPr>
          <w:rFonts w:ascii="Arial" w:hAnsi="Arial" w:cs="Arial"/>
          <w:b/>
          <w:sz w:val="24"/>
          <w:szCs w:val="24"/>
        </w:rPr>
        <w:t xml:space="preserve">AGENDA 2030 </w:t>
      </w:r>
      <w:r>
        <w:rPr>
          <w:rFonts w:ascii="Arial" w:hAnsi="Arial" w:cs="Arial"/>
          <w:b/>
          <w:sz w:val="24"/>
          <w:szCs w:val="24"/>
        </w:rPr>
        <w:t>Y LOS OBJETIVOS DE DESARROLLO SOSTENIBLE</w:t>
      </w:r>
    </w:p>
    <w:p w:rsidR="001876E4" w:rsidRPr="009741F2" w:rsidRDefault="001876E4" w:rsidP="001876E4">
      <w:pPr>
        <w:autoSpaceDE w:val="0"/>
        <w:autoSpaceDN w:val="0"/>
        <w:adjustRightInd w:val="0"/>
        <w:spacing w:after="0" w:line="240" w:lineRule="auto"/>
        <w:rPr>
          <w:rFonts w:ascii="Arial" w:hAnsi="Arial" w:cs="Arial"/>
          <w:b/>
          <w:sz w:val="24"/>
          <w:szCs w:val="24"/>
        </w:rPr>
      </w:pPr>
    </w:p>
    <w:p w:rsidR="001876E4" w:rsidRDefault="001876E4" w:rsidP="001876E4">
      <w:pPr>
        <w:spacing w:after="0" w:line="240" w:lineRule="auto"/>
        <w:jc w:val="both"/>
        <w:rPr>
          <w:rFonts w:ascii="Arial" w:hAnsi="Arial" w:cs="Arial"/>
          <w:sz w:val="24"/>
        </w:rPr>
      </w:pPr>
      <w:r w:rsidRPr="009741F2">
        <w:rPr>
          <w:rFonts w:ascii="Arial" w:hAnsi="Arial" w:cs="Arial"/>
          <w:sz w:val="24"/>
        </w:rPr>
        <w:t xml:space="preserve">La Agenda 2030 </w:t>
      </w:r>
      <w:r>
        <w:rPr>
          <w:rFonts w:ascii="Arial" w:hAnsi="Arial" w:cs="Arial"/>
          <w:sz w:val="24"/>
        </w:rPr>
        <w:t>y los Objetivos de Desarrollo Sostenible</w:t>
      </w:r>
      <w:r w:rsidRPr="009741F2">
        <w:rPr>
          <w:rFonts w:ascii="Arial" w:hAnsi="Arial" w:cs="Arial"/>
          <w:sz w:val="24"/>
        </w:rPr>
        <w:t xml:space="preserve"> fue adoptada por la Asamblea General de la Organización de las Naciones Unidas en la Cumbre Mundial sobre el Desarrollo Sostenible, celebrada del 25 al 27 de septiembre de 2015, establece una visión transformadora hacia la sostenibilidad económica, social y ambiental de los 193 Estados miembros que la subscribieron</w:t>
      </w:r>
      <w:r>
        <w:rPr>
          <w:rFonts w:ascii="Arial" w:hAnsi="Arial" w:cs="Arial"/>
          <w:sz w:val="24"/>
        </w:rPr>
        <w:t>,</w:t>
      </w:r>
      <w:r w:rsidRPr="009741F2">
        <w:rPr>
          <w:rFonts w:ascii="Arial" w:hAnsi="Arial" w:cs="Arial"/>
          <w:sz w:val="24"/>
        </w:rPr>
        <w:t xml:space="preserve"> </w:t>
      </w:r>
      <w:r>
        <w:rPr>
          <w:rFonts w:ascii="Arial" w:hAnsi="Arial" w:cs="Arial"/>
          <w:sz w:val="24"/>
        </w:rPr>
        <w:t xml:space="preserve">entre ellos México </w:t>
      </w:r>
      <w:r w:rsidRPr="009741F2">
        <w:rPr>
          <w:rFonts w:ascii="Arial" w:hAnsi="Arial" w:cs="Arial"/>
          <w:sz w:val="24"/>
        </w:rPr>
        <w:t>y representan la segunda generación después de los Objetivos de Desarrollo del Milenio, los cuales ayudaron a que más de mil millones de personas escaparan de la pobreza extrema, a combatir el hambre, a facilitar que más niñas asistieran a la escuela que nunca antes, y a proteger nuestro planeta.</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szCs w:val="24"/>
        </w:rPr>
      </w:pPr>
      <w:r w:rsidRPr="00E151D3">
        <w:rPr>
          <w:rFonts w:ascii="Arial" w:hAnsi="Arial" w:cs="Arial"/>
          <w:sz w:val="24"/>
          <w:szCs w:val="24"/>
        </w:rPr>
        <w:t>La Agenda 2030 es un plan de acción a largo plazo a favor de las personas, el planeta y la prosperidad, en sus 17 objetivos y 169 metas de carácter integrado e indivisible se conjugan las tres dimensiones del desarrollo, además de que plantea la necesi</w:t>
      </w:r>
      <w:r>
        <w:rPr>
          <w:rFonts w:ascii="Arial" w:hAnsi="Arial" w:cs="Arial"/>
          <w:sz w:val="24"/>
          <w:szCs w:val="24"/>
        </w:rPr>
        <w:t>dad de fortalecer el Estado de D</w:t>
      </w:r>
      <w:r w:rsidRPr="00E151D3">
        <w:rPr>
          <w:rFonts w:ascii="Arial" w:hAnsi="Arial" w:cs="Arial"/>
          <w:sz w:val="24"/>
          <w:szCs w:val="24"/>
        </w:rPr>
        <w:t>erecho, la transparencia, la</w:t>
      </w:r>
      <w:r>
        <w:rPr>
          <w:rFonts w:ascii="Arial" w:hAnsi="Arial" w:cs="Arial"/>
          <w:sz w:val="24"/>
          <w:szCs w:val="24"/>
        </w:rPr>
        <w:t xml:space="preserve"> </w:t>
      </w:r>
      <w:r w:rsidRPr="00E151D3">
        <w:rPr>
          <w:rFonts w:ascii="Arial" w:hAnsi="Arial" w:cs="Arial"/>
          <w:sz w:val="24"/>
          <w:szCs w:val="24"/>
        </w:rPr>
        <w:t>rendición de cuentas y la participación social para promover el desarrollo de todas las personas.</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E151D3">
        <w:rPr>
          <w:rFonts w:ascii="Arial" w:hAnsi="Arial" w:cs="Arial"/>
          <w:sz w:val="24"/>
          <w:szCs w:val="24"/>
        </w:rPr>
        <w:t>El 19 de julio</w:t>
      </w:r>
      <w:r>
        <w:rPr>
          <w:rFonts w:ascii="Arial" w:hAnsi="Arial" w:cs="Arial"/>
          <w:sz w:val="24"/>
          <w:szCs w:val="24"/>
        </w:rPr>
        <w:t xml:space="preserve"> del presente año</w:t>
      </w:r>
      <w:r w:rsidRPr="00E151D3">
        <w:rPr>
          <w:rFonts w:ascii="Arial" w:hAnsi="Arial" w:cs="Arial"/>
          <w:sz w:val="24"/>
          <w:szCs w:val="24"/>
        </w:rPr>
        <w:t>, México realizó, en conjunto con 21 países, la Revisión Nacional Voluntaria en el marco del Foro Político de Alto Nivel, ocasión en la que se comprometió a establecer un Consejo de Alto Nivel para el cumplimiento de la Agenda 2030.</w:t>
      </w:r>
    </w:p>
    <w:p w:rsidR="001876E4" w:rsidRPr="00E151D3"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E151D3">
        <w:rPr>
          <w:rFonts w:ascii="Arial" w:hAnsi="Arial" w:cs="Arial"/>
          <w:sz w:val="24"/>
          <w:szCs w:val="24"/>
        </w:rPr>
        <w:t>La Conferencia Nacional de Gobernadores</w:t>
      </w:r>
      <w:r>
        <w:rPr>
          <w:rFonts w:ascii="Arial" w:hAnsi="Arial" w:cs="Arial"/>
          <w:sz w:val="24"/>
          <w:szCs w:val="24"/>
        </w:rPr>
        <w:t xml:space="preserve"> (CONAGO), aprobó el 18 de n</w:t>
      </w:r>
      <w:r w:rsidRPr="00E151D3">
        <w:rPr>
          <w:rFonts w:ascii="Arial" w:hAnsi="Arial" w:cs="Arial"/>
          <w:sz w:val="24"/>
          <w:szCs w:val="24"/>
        </w:rPr>
        <w:t>oviembre del 2016 la creación de la Comisión para el Cumplimiento de la Agenda 2030.</w:t>
      </w:r>
    </w:p>
    <w:p w:rsidR="001876E4" w:rsidRPr="00E151D3"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El</w:t>
      </w:r>
      <w:r w:rsidRPr="00E151D3">
        <w:rPr>
          <w:rFonts w:ascii="Arial" w:hAnsi="Arial" w:cs="Arial"/>
          <w:sz w:val="24"/>
          <w:szCs w:val="24"/>
        </w:rPr>
        <w:t xml:space="preserve"> 26 de abril de 2017, el Presidente de la Republica encabezó la Instalación del Consejo Nacional de la Agenda 2030 </w:t>
      </w:r>
      <w:r>
        <w:rPr>
          <w:rFonts w:ascii="Arial" w:hAnsi="Arial" w:cs="Arial"/>
          <w:sz w:val="24"/>
          <w:szCs w:val="24"/>
        </w:rPr>
        <w:t>y los Objetivos de Desarrollo S</w:t>
      </w:r>
      <w:r w:rsidRPr="00E151D3">
        <w:rPr>
          <w:rFonts w:ascii="Arial" w:hAnsi="Arial" w:cs="Arial"/>
          <w:sz w:val="24"/>
          <w:szCs w:val="24"/>
        </w:rPr>
        <w:t xml:space="preserve">ostenible al más alto nivel, y se puso en marcha la primera fase de la Plataforma Nacional de Seguimiento de los Objetivos de Desarrollo Sostenible, que permitirá verificar cómo se avanza en el cumplimiento </w:t>
      </w:r>
      <w:r>
        <w:rPr>
          <w:rFonts w:ascii="Arial" w:hAnsi="Arial" w:cs="Arial"/>
          <w:sz w:val="24"/>
          <w:szCs w:val="24"/>
        </w:rPr>
        <w:t>de cada uno de los 17 objetivos.</w:t>
      </w:r>
    </w:p>
    <w:p w:rsidR="001876E4" w:rsidRDefault="001876E4" w:rsidP="001876E4">
      <w:pPr>
        <w:spacing w:after="0" w:line="240" w:lineRule="auto"/>
        <w:jc w:val="both"/>
        <w:rPr>
          <w:rFonts w:ascii="Arial" w:hAnsi="Arial" w:cs="Arial"/>
          <w:sz w:val="24"/>
          <w:szCs w:val="24"/>
        </w:rPr>
      </w:pPr>
    </w:p>
    <w:p w:rsidR="001876E4" w:rsidRPr="00F35E17" w:rsidRDefault="001876E4" w:rsidP="001876E4">
      <w:pPr>
        <w:spacing w:after="0" w:line="240" w:lineRule="auto"/>
        <w:jc w:val="both"/>
        <w:rPr>
          <w:rFonts w:ascii="Arial" w:hAnsi="Arial" w:cs="Arial"/>
          <w:sz w:val="24"/>
          <w:szCs w:val="24"/>
        </w:rPr>
      </w:pPr>
      <w:r w:rsidRPr="00F35E17">
        <w:rPr>
          <w:rFonts w:ascii="Arial" w:hAnsi="Arial" w:cs="Arial"/>
          <w:sz w:val="24"/>
          <w:szCs w:val="24"/>
        </w:rPr>
        <w:t xml:space="preserve">La Agenda implica un compromiso común y universal, no obstante, puesto que cada país enfrenta retos específicos en su búsqueda del desarrollo sostenible, los Estados tienen soberanía plena sobre su riqueza, recursos y actividad económica, y cada uno fijará sus propias metas nacionales, apegándose a los Objetivos de Desarrollo Sostenible (ODS) que a continuación se </w:t>
      </w:r>
      <w:r>
        <w:rPr>
          <w:rFonts w:ascii="Arial" w:hAnsi="Arial" w:cs="Arial"/>
          <w:sz w:val="24"/>
          <w:szCs w:val="24"/>
        </w:rPr>
        <w:t>presentan</w:t>
      </w:r>
      <w:r w:rsidRPr="00F35E17">
        <w:rPr>
          <w:rFonts w:ascii="Arial" w:hAnsi="Arial" w:cs="Arial"/>
          <w:sz w:val="24"/>
          <w:szCs w:val="24"/>
        </w:rPr>
        <w:t>:</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center"/>
        <w:rPr>
          <w:rFonts w:ascii="Arial" w:hAnsi="Arial" w:cs="Arial"/>
          <w:sz w:val="24"/>
        </w:rPr>
      </w:pPr>
      <w:r>
        <w:rPr>
          <w:rFonts w:ascii="Arial" w:hAnsi="Arial" w:cs="Arial"/>
          <w:noProof/>
          <w:sz w:val="24"/>
          <w:lang w:val="es-ES" w:eastAsia="es-ES"/>
        </w:rPr>
        <w:lastRenderedPageBreak/>
        <w:drawing>
          <wp:inline distT="0" distB="0" distL="0" distR="0" wp14:anchorId="67BD1901" wp14:editId="5C753425">
            <wp:extent cx="5713814" cy="338137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294" cy="3385210"/>
                    </a:xfrm>
                    <a:prstGeom prst="rect">
                      <a:avLst/>
                    </a:prstGeom>
                    <a:noFill/>
                  </pic:spPr>
                </pic:pic>
              </a:graphicData>
            </a:graphic>
          </wp:inline>
        </w:drawing>
      </w:r>
    </w:p>
    <w:p w:rsidR="001876E4" w:rsidRDefault="001876E4" w:rsidP="001876E4">
      <w:pPr>
        <w:spacing w:after="0" w:line="240" w:lineRule="auto"/>
        <w:jc w:val="both"/>
        <w:rPr>
          <w:rFonts w:ascii="Arial" w:hAnsi="Arial" w:cs="Arial"/>
          <w:sz w:val="24"/>
        </w:rPr>
      </w:pPr>
    </w:p>
    <w:p w:rsidR="001876E4" w:rsidRPr="002A0EE8" w:rsidRDefault="001876E4" w:rsidP="001876E4">
      <w:pPr>
        <w:spacing w:after="0" w:line="240" w:lineRule="auto"/>
        <w:jc w:val="both"/>
        <w:rPr>
          <w:rFonts w:ascii="Arial" w:hAnsi="Arial" w:cs="Arial"/>
          <w:b/>
          <w:sz w:val="24"/>
        </w:rPr>
      </w:pPr>
      <w:r w:rsidRPr="002A0EE8">
        <w:rPr>
          <w:rFonts w:ascii="Arial" w:hAnsi="Arial" w:cs="Arial"/>
          <w:b/>
          <w:sz w:val="24"/>
        </w:rPr>
        <w:t>Para la implementación de la Agenda 2030 Colima fue elegida por la Presidencia de la República para establecer el programa piloto en el ámbito nacional, el cual tiene como objetivo diseñar las bases normativas y metodológicas para el establecimiento del programa de implementación de los ODS.</w:t>
      </w:r>
    </w:p>
    <w:p w:rsidR="001876E4" w:rsidRDefault="001876E4" w:rsidP="001876E4">
      <w:pPr>
        <w:spacing w:after="0" w:line="240" w:lineRule="auto"/>
        <w:jc w:val="both"/>
        <w:rPr>
          <w:rFonts w:ascii="Arial" w:hAnsi="Arial" w:cs="Arial"/>
          <w:sz w:val="24"/>
        </w:rPr>
      </w:pPr>
    </w:p>
    <w:p w:rsidR="001876E4" w:rsidRPr="00AB1C57" w:rsidRDefault="001876E4" w:rsidP="001876E4">
      <w:pPr>
        <w:spacing w:after="0" w:line="240" w:lineRule="auto"/>
        <w:jc w:val="both"/>
        <w:rPr>
          <w:rFonts w:ascii="Arial" w:hAnsi="Arial" w:cs="Arial"/>
          <w:sz w:val="24"/>
        </w:rPr>
      </w:pPr>
      <w:r w:rsidRPr="002A0EE8">
        <w:rPr>
          <w:rFonts w:ascii="Arial" w:hAnsi="Arial" w:cs="Arial"/>
          <w:sz w:val="24"/>
        </w:rPr>
        <w:t>A través de la Conferencia Nac</w:t>
      </w:r>
      <w:r>
        <w:rPr>
          <w:rFonts w:ascii="Arial" w:hAnsi="Arial" w:cs="Arial"/>
          <w:sz w:val="24"/>
        </w:rPr>
        <w:t xml:space="preserve">ional de Gobernadores (CONAGO), </w:t>
      </w:r>
      <w:r w:rsidRPr="002A0EE8">
        <w:rPr>
          <w:rFonts w:ascii="Arial" w:hAnsi="Arial" w:cs="Arial"/>
          <w:b/>
          <w:sz w:val="24"/>
        </w:rPr>
        <w:t>el Gobernador de Colima fue nombrado Coordinador General de la Comisión para el Cumplimiento de la Agenda 2030</w:t>
      </w:r>
      <w:r w:rsidRPr="002A0EE8">
        <w:rPr>
          <w:rFonts w:ascii="Arial" w:hAnsi="Arial" w:cs="Arial"/>
          <w:sz w:val="24"/>
        </w:rPr>
        <w:t xml:space="preserve">, en la reunión ordinaria celebrada el 18 de </w:t>
      </w:r>
      <w:r w:rsidRPr="00AB1C57">
        <w:rPr>
          <w:rFonts w:ascii="Arial" w:hAnsi="Arial" w:cs="Arial"/>
          <w:sz w:val="24"/>
        </w:rPr>
        <w:t>noviembre de 2016. Esto implica impulsar los trabajos correspondientes en el resto de las entidades federativas. La formación de esa significativa Comisión derivó en la solicitud de enlaces a cada uno de los gobierno estatales, contando actualmente con el 100 por ciento de éstos asignados, quienes fueron capacitados y se encuentran trabajando en la Agenda 2030 con base al modelo desarrollado en Colima, es así que cobra relevancia el actuar de la Administración Pública para lograr lo confiado.</w:t>
      </w:r>
    </w:p>
    <w:p w:rsidR="001876E4" w:rsidRPr="00AB1C57"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sidRPr="00AB1C57">
        <w:rPr>
          <w:rFonts w:ascii="Arial" w:hAnsi="Arial" w:cs="Arial"/>
          <w:sz w:val="24"/>
        </w:rPr>
        <w:t>Colima es pionero en la instalación de la Comisión Estatal para el S</w:t>
      </w:r>
      <w:r w:rsidRPr="00AB1C57">
        <w:rPr>
          <w:rFonts w:ascii="Arial" w:eastAsia="Times New Roman" w:hAnsi="Arial" w:cs="Arial"/>
          <w:sz w:val="24"/>
          <w:szCs w:val="24"/>
          <w:lang w:val="es-ES_tradnl" w:eastAsia="es-ES"/>
        </w:rPr>
        <w:t xml:space="preserve">eguimiento e Implementación para el cumplimiento de la Agenda 2030, al igual que el estado de Nuevo León y se han sumado los estados de </w:t>
      </w:r>
      <w:r w:rsidRPr="00AB1C57">
        <w:rPr>
          <w:rFonts w:ascii="Arial" w:hAnsi="Arial" w:cs="Arial"/>
          <w:sz w:val="24"/>
        </w:rPr>
        <w:t xml:space="preserve">Chiapas, y Sinaloa, debido a que la </w:t>
      </w:r>
      <w:r w:rsidRPr="00AB1C57">
        <w:rPr>
          <w:rFonts w:ascii="Arial" w:hAnsi="Arial" w:cs="Arial"/>
          <w:sz w:val="24"/>
        </w:rPr>
        <w:lastRenderedPageBreak/>
        <w:t>apropiación de dicha Agenda involucra a todos los actores como lo son la Academia, el Gobierno, la Sociedad y el Sector Privado, desde sus respectivos ámbitos de competencia.</w:t>
      </w:r>
    </w:p>
    <w:p w:rsidR="001876E4" w:rsidRPr="00AB1C57" w:rsidRDefault="001876E4" w:rsidP="001876E4">
      <w:pPr>
        <w:spacing w:after="0" w:line="240" w:lineRule="auto"/>
        <w:jc w:val="both"/>
        <w:rPr>
          <w:rFonts w:ascii="Arial" w:hAnsi="Arial" w:cs="Arial"/>
          <w:sz w:val="24"/>
        </w:rPr>
      </w:pPr>
    </w:p>
    <w:p w:rsidR="001876E4" w:rsidRPr="00E56F59" w:rsidRDefault="001876E4" w:rsidP="001876E4">
      <w:pPr>
        <w:spacing w:after="0" w:line="240" w:lineRule="auto"/>
        <w:jc w:val="both"/>
        <w:rPr>
          <w:rFonts w:ascii="Arial" w:hAnsi="Arial" w:cs="Arial"/>
          <w:sz w:val="24"/>
        </w:rPr>
      </w:pPr>
      <w:r w:rsidRPr="00E56F59">
        <w:rPr>
          <w:rFonts w:ascii="Arial" w:hAnsi="Arial" w:cs="Arial"/>
          <w:sz w:val="24"/>
        </w:rPr>
        <w:t>Para la ejecución del citado programa piloto se instaló el Subcomité Especial para la Puest</w:t>
      </w:r>
      <w:r>
        <w:rPr>
          <w:rFonts w:ascii="Arial" w:hAnsi="Arial" w:cs="Arial"/>
          <w:sz w:val="24"/>
        </w:rPr>
        <w:t>a en Marcha de la Agenda 2030 y los Objetivos</w:t>
      </w:r>
      <w:r w:rsidRPr="00E56F59">
        <w:rPr>
          <w:rFonts w:ascii="Arial" w:hAnsi="Arial" w:cs="Arial"/>
          <w:sz w:val="24"/>
        </w:rPr>
        <w:t xml:space="preserve"> Desarrollo Sostenible en el Estado de Colima, el 15 de marzo, con la participación de 77 dependencias (33 federales, 25 estatales y 19 municipales). Con dichos enlaces, a quienes se les capacitó para los trabajos relacionados en la implementación de la Agenda 2030, se está trabajando de manera coordinada para construir el programa de implementación</w:t>
      </w:r>
      <w:r>
        <w:rPr>
          <w:rFonts w:ascii="Arial" w:hAnsi="Arial" w:cs="Arial"/>
          <w:sz w:val="24"/>
        </w:rPr>
        <w:t>.</w:t>
      </w:r>
    </w:p>
    <w:p w:rsidR="001876E4" w:rsidRDefault="001876E4" w:rsidP="001876E4">
      <w:pPr>
        <w:spacing w:after="0" w:line="240" w:lineRule="auto"/>
        <w:jc w:val="both"/>
        <w:rPr>
          <w:rFonts w:ascii="Arial" w:hAnsi="Arial" w:cs="Arial"/>
          <w:strike/>
          <w:sz w:val="24"/>
        </w:rPr>
      </w:pPr>
    </w:p>
    <w:p w:rsidR="001876E4" w:rsidRDefault="001876E4" w:rsidP="001876E4">
      <w:pPr>
        <w:spacing w:after="0" w:line="240" w:lineRule="auto"/>
        <w:jc w:val="both"/>
        <w:rPr>
          <w:rFonts w:ascii="Arial" w:hAnsi="Arial" w:cs="Arial"/>
          <w:sz w:val="24"/>
          <w:szCs w:val="24"/>
        </w:rPr>
      </w:pPr>
      <w:r w:rsidRPr="002528F1">
        <w:rPr>
          <w:rFonts w:ascii="Arial" w:hAnsi="Arial" w:cs="Arial"/>
          <w:sz w:val="24"/>
          <w:szCs w:val="24"/>
        </w:rPr>
        <w:t xml:space="preserve">En </w:t>
      </w:r>
      <w:r>
        <w:rPr>
          <w:rFonts w:ascii="Arial" w:hAnsi="Arial" w:cs="Arial"/>
          <w:sz w:val="24"/>
          <w:szCs w:val="24"/>
        </w:rPr>
        <w:t xml:space="preserve">congruencia con lo anterior, para la integración del </w:t>
      </w:r>
      <w:r w:rsidRPr="002528F1">
        <w:rPr>
          <w:rFonts w:ascii="Arial" w:hAnsi="Arial" w:cs="Arial"/>
          <w:sz w:val="24"/>
          <w:szCs w:val="24"/>
        </w:rPr>
        <w:t xml:space="preserve">presente Proyecto, </w:t>
      </w:r>
      <w:r>
        <w:rPr>
          <w:rFonts w:ascii="Arial" w:hAnsi="Arial" w:cs="Arial"/>
          <w:sz w:val="24"/>
          <w:szCs w:val="24"/>
        </w:rPr>
        <w:t>se definieron</w:t>
      </w:r>
      <w:r w:rsidRPr="002528F1">
        <w:rPr>
          <w:rFonts w:ascii="Arial" w:hAnsi="Arial" w:cs="Arial"/>
          <w:sz w:val="24"/>
          <w:szCs w:val="24"/>
        </w:rPr>
        <w:t xml:space="preserve"> elementos programáticos para alinear las asignaciones presupuestarias de las distintas Dependencias y Entidades a la Agenda 2030</w:t>
      </w:r>
      <w:r>
        <w:rPr>
          <w:rFonts w:ascii="Arial" w:hAnsi="Arial" w:cs="Arial"/>
          <w:sz w:val="24"/>
          <w:szCs w:val="24"/>
        </w:rPr>
        <w:t xml:space="preserve"> y los</w:t>
      </w:r>
      <w:r w:rsidRPr="002528F1">
        <w:rPr>
          <w:rFonts w:ascii="Arial" w:hAnsi="Arial" w:cs="Arial"/>
          <w:sz w:val="24"/>
          <w:szCs w:val="24"/>
        </w:rPr>
        <w:t xml:space="preserve"> Objetivos de</w:t>
      </w:r>
      <w:r>
        <w:rPr>
          <w:rFonts w:ascii="Arial" w:hAnsi="Arial" w:cs="Arial"/>
          <w:sz w:val="24"/>
          <w:szCs w:val="24"/>
        </w:rPr>
        <w:t xml:space="preserve"> Desarrollo Sostenible, ello permitirá avanzar con pasos firmes en la implementación de la Gestión para Resultados del Desarrollo, para incidir en la calidad de vida de los colimenses y en el bienestar en general. </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 xml:space="preserve">Para el cumplimiento de la Agenda, se adoptaron medidas para destinar recursos orientados a atender esta obligación. </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En línea con lo anterior, para el ejercicio fiscal 2018 se destinan 5,933.6 millones de pesos</w:t>
      </w:r>
      <w:r w:rsidRPr="002B0585">
        <w:rPr>
          <w:rFonts w:ascii="Arial" w:hAnsi="Arial" w:cs="Arial"/>
          <w:sz w:val="24"/>
          <w:szCs w:val="24"/>
        </w:rPr>
        <w:t xml:space="preserve"> </w:t>
      </w:r>
      <w:r>
        <w:rPr>
          <w:rFonts w:ascii="Arial" w:hAnsi="Arial" w:cs="Arial"/>
          <w:sz w:val="24"/>
          <w:szCs w:val="24"/>
        </w:rPr>
        <w:t xml:space="preserve">que se desagregan por cada uno de los objetivos de la precitada Agenda en la tabla 76 del Tomo III del presente documento, denominado Iniciativa de Decreto del Presupuesto de Egresos del Estado de Colima para el Ejercicio Fiscal 2018. </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ind w:left="708"/>
        <w:jc w:val="both"/>
        <w:rPr>
          <w:rFonts w:ascii="Arial" w:hAnsi="Arial" w:cs="Arial"/>
          <w:b/>
          <w:sz w:val="24"/>
        </w:rPr>
      </w:pPr>
      <w:r w:rsidRPr="0005686D">
        <w:rPr>
          <w:rFonts w:ascii="Arial" w:hAnsi="Arial" w:cs="Arial"/>
          <w:b/>
          <w:sz w:val="24"/>
        </w:rPr>
        <w:t>VINCULACIÓN DE LOS ODS CON LA PLANEACIÓN, PROGRAMACIÓN Y PRESUPUESTACIÓN ESTATAL.</w:t>
      </w:r>
    </w:p>
    <w:p w:rsidR="001876E4" w:rsidRPr="00B87D15" w:rsidRDefault="001876E4" w:rsidP="001876E4">
      <w:pPr>
        <w:spacing w:after="0" w:line="240" w:lineRule="auto"/>
        <w:jc w:val="both"/>
        <w:rPr>
          <w:rFonts w:ascii="Arial" w:hAnsi="Arial" w:cs="Arial"/>
          <w:strike/>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Los ODS se relacionan con los cinco ejes del Plan Nacional de Desarrollo vigente, un claro ejemplo es el eje “México Incluyente” en el que presenta cinco objetivos: 1. Garantizar el ejercicio de los derechos sociales para toda la población, 2. Transitar hacia una sociedad equitativa e incluyente, 3. Asegurar el acceso a los servicios de salud, 4. Ampliar el acceso a la seguridad social y, 5. Promover un entorno adecuado para el desarrollo de una vida digna.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De la misma manera y siguiendo la lógica de alcance, se parte de un Plan Nacional de Desarrollo hasta un documento a nivel estatal del mismo tipo; el Plan Estatal de Desarrollo 2016 – 2021 abarca seis áreas clave para el desarrollo del Estado, dichas </w:t>
      </w:r>
      <w:r>
        <w:rPr>
          <w:rFonts w:ascii="Arial" w:hAnsi="Arial" w:cs="Arial"/>
          <w:sz w:val="24"/>
        </w:rPr>
        <w:lastRenderedPageBreak/>
        <w:t xml:space="preserve">áreas se conforman por tres ejes estratégicos y se complementan con los tres ejes transversales restantes.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El Plan Estatal de Desarrollo 2016-2021 se sujeta en su totalidad con la Agenda 2030 y los Objetivos de Desarrollo Sostenible, debido a que dentro de sus ejes atienden temas de especial prioridad como: crecimiento económico y competitividad, pobreza en todas sus dimensiones y alimentación, seguridad pública, y transversalmente, transparencia y buen gobierno, igualdad de género, educación, medio ambiente y movilidad, aspectos que se lograrán mediante 34 metas estratégicas que a su vez se fragmentan para su cumplimiento en 508 líneas de acción.</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Así mismo, los tres planes rectores mencionados anteriormente se encuentran alineados en sus contenidos y por tanto también lo hacen en los fines que persiguen con la diferencia de su alcance temporal, entendiendo que tanto el Plan Nacional como el Estatal de Desarrollo, son documentos acción de mediano plazo y por su parte la Agenda 2030 y los Objetivos de Desarrollo Sostenible plasma un ejercicio de planeación de largo plazo.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A nivel estatal, por primera vez, se creó un documento de planeación con amplio alcance temporal, que preparará un escenario de crecimiento económico necesario en las próximas décadas, para con ello incrementar el bienestar social y mejorar la calidad de vida de los colimenses, es así, que el Plan de Gran Visión Colima 2040, se compone de cinco sistemas: el económico, de infraestructura, de calidad de vida, la Gobernanza y el medio ambiente sustentable. Ello partiendo de la lógica del pensamiento sistémico donde el Estado de Colima es el sistema principal.</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Dicho documento de Planeación Estratégica conformado por cinco sistemas separados en 21 objetivos y 119 metas, mismas que se atan con los que contiene la Agenda 2030, y el Plan Estatal de Desarrollo 2016-2021, conforma un todo que guiará el desarrollo del Estado de Colima en los próximos 22 años.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En congruencia con lo establecido en la Constitución Política del Estado Libre y Soberano de Colima, la Ley de Planeación Democrática para el Desarrollo del Estado de Colima y el Plan Estatal de Desarrollo 2016-2021, se consideran en éste último seis ejes estratégicos enfocados a garantizar el desarrollo integral y sostenible del Estado, mediante el fomento al crecimiento económico y social en pro de una mayor calidad de vida y bienestar de las familias colimenses.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lastRenderedPageBreak/>
        <w:t>En este tenor, el Plan Estatal de Desarrollo para su ejecución se instrumenta mediante los Programas Sectoriales, Especiales y Regionales, mismos que derivan de dicho documento rector según el artículo 51 de la Ley de Planeación Democrática para el Desarrollo del Estado de Colima, estos programas, mantienen una alineación desde los ejes del Plan Nacional de Desarrollo 2013-2018 hasta los objetivos del PED 2016-2021, por su parte los Programas Regionales se alinean a los tres polos de desarrollo económico, mismos a los que se enfoca el Plan de Gran Visión Colima 2040.</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Los 13 Programas Sectoriales que se formularon en el estado se orientan a atender un sector relevante de la actividad económica, social, política o cultural, y para su ejecución se encuentran bajo la responsabilidad de la Dependencia coordinadora del sector correspondiente, estos se dividen en subprogramas que abarcan en su totalidad temas de gran relevancia, como el desarrollo social y económico, salud, educación, seguridad pública, entre otros, los cuales se alinean a la Agenda 2030.</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Por su parte, los ocho Programas Especiales se ocupan de atender los aspectos prioritarios establecidos en el PED 2016-2021, y por su importancia estratégica requieren de un tratamiento diferenciado y tienen incidencia en el desarrollo integral del estado. Estos programas, tocan temas transversales como el deporte, la equidad de género, juventud, asistencia social, desarrollo sustentable, entre otros, complementando así a los Sectoriales.</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En el mínimo nivel de desagregación para la ejecución de los grandes planes enunciados, se encuentran los Programas Institucionales, estos corresponden a la actividad de cada una de las Dependencias y Entidades de la Administración Pública Estatal, relativos a los objetivos, prioridades, proyectos y acciones que en el ejercicio de sus funciones deben realizar y al cual el presupuesto se encuentra vinculado directamente.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center"/>
        <w:rPr>
          <w:rFonts w:ascii="Arial" w:hAnsi="Arial" w:cs="Arial"/>
          <w:sz w:val="24"/>
        </w:rPr>
      </w:pPr>
      <w:r>
        <w:rPr>
          <w:noProof/>
          <w:lang w:val="es-ES" w:eastAsia="es-ES"/>
        </w:rPr>
        <w:lastRenderedPageBreak/>
        <w:drawing>
          <wp:inline distT="0" distB="0" distL="0" distR="0" wp14:anchorId="175E6827" wp14:editId="1BCE6B8C">
            <wp:extent cx="4630118" cy="4152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3345" cy="4155795"/>
                    </a:xfrm>
                    <a:prstGeom prst="rect">
                      <a:avLst/>
                    </a:prstGeom>
                    <a:noFill/>
                    <a:ln>
                      <a:noFill/>
                    </a:ln>
                  </pic:spPr>
                </pic:pic>
              </a:graphicData>
            </a:graphic>
          </wp:inline>
        </w:drawing>
      </w:r>
    </w:p>
    <w:p w:rsidR="001876E4" w:rsidRPr="00BC0010" w:rsidRDefault="001876E4" w:rsidP="001876E4">
      <w:pPr>
        <w:spacing w:after="0" w:line="240" w:lineRule="auto"/>
        <w:jc w:val="center"/>
        <w:rPr>
          <w:rFonts w:ascii="Arial" w:hAnsi="Arial" w:cs="Arial"/>
          <w:sz w:val="24"/>
        </w:rPr>
      </w:pPr>
    </w:p>
    <w:p w:rsidR="001876E4" w:rsidRDefault="001876E4" w:rsidP="001876E4">
      <w:pPr>
        <w:spacing w:after="0" w:line="240" w:lineRule="auto"/>
        <w:jc w:val="both"/>
        <w:rPr>
          <w:rFonts w:ascii="Arial" w:hAnsi="Arial" w:cs="Arial"/>
          <w:sz w:val="24"/>
        </w:rPr>
      </w:pPr>
      <w:r w:rsidRPr="00007197">
        <w:rPr>
          <w:rFonts w:ascii="Arial" w:hAnsi="Arial" w:cs="Arial"/>
          <w:sz w:val="24"/>
        </w:rPr>
        <w:t xml:space="preserve">De esta manera y fundado en las premisas de la Ley de Planeación Democrática para el Desarrollo del </w:t>
      </w:r>
      <w:r>
        <w:rPr>
          <w:rFonts w:ascii="Arial" w:hAnsi="Arial" w:cs="Arial"/>
          <w:sz w:val="24"/>
        </w:rPr>
        <w:t>Estado de Colima</w:t>
      </w:r>
      <w:r w:rsidRPr="00007197">
        <w:rPr>
          <w:rFonts w:ascii="Arial" w:hAnsi="Arial" w:cs="Arial"/>
          <w:sz w:val="24"/>
        </w:rPr>
        <w:t xml:space="preserve">, en los programas derivados de esta, así como en los documentos que marcan el rumbo del </w:t>
      </w:r>
      <w:r>
        <w:rPr>
          <w:rFonts w:ascii="Arial" w:hAnsi="Arial" w:cs="Arial"/>
          <w:sz w:val="24"/>
        </w:rPr>
        <w:t>Estado de Colima</w:t>
      </w:r>
      <w:r w:rsidRPr="00007197">
        <w:rPr>
          <w:rFonts w:ascii="Arial" w:hAnsi="Arial" w:cs="Arial"/>
          <w:sz w:val="24"/>
        </w:rPr>
        <w:t xml:space="preserve"> en el largo p</w:t>
      </w:r>
      <w:r>
        <w:rPr>
          <w:rFonts w:ascii="Arial" w:hAnsi="Arial" w:cs="Arial"/>
          <w:sz w:val="24"/>
        </w:rPr>
        <w:t>lazo, como lo es la Agenda 2030 y los</w:t>
      </w:r>
      <w:r w:rsidRPr="00007197">
        <w:rPr>
          <w:rFonts w:ascii="Arial" w:hAnsi="Arial" w:cs="Arial"/>
          <w:sz w:val="24"/>
        </w:rPr>
        <w:t xml:space="preserve"> Objetivos de Desarrollo Sostenible, así como el Plan de Gran Visión Colima 2040, y en la Ley de Disciplina Financiera para Entidades Federativas y Municipios, el proyecto en cuestión retoma los siguientes principios y postulados: </w:t>
      </w:r>
    </w:p>
    <w:p w:rsidR="001876E4" w:rsidRPr="00007197" w:rsidRDefault="001876E4" w:rsidP="001876E4">
      <w:pPr>
        <w:spacing w:after="0" w:line="240" w:lineRule="auto"/>
        <w:jc w:val="both"/>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La igualdad de derechos y oportunidades sustentables en la atención de las necesidades prioritarias de la población, la mejora de la calidad de vida de las personas y el abatimiento de la pobreza para lograr una sociedad más igualitaria y justa; </w:t>
      </w:r>
    </w:p>
    <w:p w:rsidR="001876E4" w:rsidRPr="00007197" w:rsidRDefault="001876E4" w:rsidP="001876E4">
      <w:pPr>
        <w:pStyle w:val="Prrafodelista"/>
        <w:spacing w:line="240" w:lineRule="auto"/>
        <w:jc w:val="both"/>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La sustentabilidad en el desarrollo, la preservación del equilibrio ecológico y la protección al ambiente; </w:t>
      </w:r>
    </w:p>
    <w:p w:rsidR="001876E4" w:rsidRPr="000703F6" w:rsidRDefault="001876E4" w:rsidP="001876E4">
      <w:pPr>
        <w:pStyle w:val="Prrafodelista"/>
        <w:spacing w:line="240" w:lineRule="auto"/>
        <w:jc w:val="both"/>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lastRenderedPageBreak/>
        <w:t>El respeto irrestricto a los derechos humanos consagrados en la Constitución Política de los Estados Unidos Mexicanos, los tratados internacionales en la materia y en la Constitución del Estado;</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La perspectiva de género para garantizar la igualdad de oportunidades;</w:t>
      </w:r>
    </w:p>
    <w:p w:rsidR="001876E4" w:rsidRPr="004A7B76" w:rsidRDefault="001876E4" w:rsidP="001876E4">
      <w:pPr>
        <w:pStyle w:val="Prrafodelista"/>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La promoción y fomento del crecimiento, y el desarrollo económico, así como del empleo; </w:t>
      </w:r>
    </w:p>
    <w:p w:rsidR="001876E4" w:rsidRPr="00007197" w:rsidRDefault="001876E4" w:rsidP="001876E4">
      <w:pPr>
        <w:pStyle w:val="Prrafodelista"/>
        <w:spacing w:line="240" w:lineRule="auto"/>
        <w:jc w:val="both"/>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El ejercicio honesto, eficaz, eficiente, racional, austero y transparente apegado a la legalidad, y con rendición de cuentas, de los recursos públicos a cargo de los servidores públicos; </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El aprovechamiento de la ubicación estratégica del Estado y de sus Fortalezas, para lograr una mejor integración nacional e internacional; </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La elevación del nivel de vida de la población a través de un desarrollo económico, social, político y cultural adecuado;</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La preservación de la seguridad, el orden público y la paz social; </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El enfoque de gestión para resultados la cual articula los procesos de planeación, programación, presupuestal, evaluación y rendición de cuentas con lo que se avanza hacia la confirmación del Presupuesto Basado en Resultados (PbR), el cual permite que la asignación presupuestal para cada ámbito del desarrollo esté garantizado y orientada a la atención de las necesidades sociales; y en el mediano plazo contribuirá a mejora</w:t>
      </w:r>
      <w:r>
        <w:rPr>
          <w:rFonts w:ascii="Arial" w:hAnsi="Arial" w:cs="Arial"/>
          <w:sz w:val="24"/>
        </w:rPr>
        <w:t>r la calidad del gasto público;</w:t>
      </w:r>
    </w:p>
    <w:p w:rsidR="001876E4" w:rsidRPr="004A7B76" w:rsidRDefault="001876E4" w:rsidP="001876E4">
      <w:pPr>
        <w:pStyle w:val="Prrafodelista"/>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Racionalidad, austeridad y equilibrio presupuestal para lograr un manejo sostenible de las finanzas públicas; </w:t>
      </w:r>
    </w:p>
    <w:p w:rsidR="001876E4" w:rsidRPr="003D0F87" w:rsidRDefault="001876E4" w:rsidP="001876E4">
      <w:pPr>
        <w:pStyle w:val="Prrafodelista"/>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Disciplina financiera para la observancia de los principios y las disposiciones en materia de responsabilidad hacendaria y financiera, la aplicación de reglas y criterios en el manejo de recursos y contratación de obligaciones, que aseguren una gestión responsable y sostenible de las finanzas públicas, generando condiciones favorables para el cre</w:t>
      </w:r>
      <w:r>
        <w:rPr>
          <w:rFonts w:ascii="Arial" w:hAnsi="Arial" w:cs="Arial"/>
          <w:sz w:val="24"/>
        </w:rPr>
        <w:t>cimiento económico y el empleo;</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lastRenderedPageBreak/>
        <w:t xml:space="preserve">Disciplina presupuestal como directriz del gasto que obliga a las dependencias y entidades del sector público estatal a ejercer los recursos en los montos, estructuras y plazos previamente fijados por la programación del presupuesto con pleno apego a la normatividad; </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sidRPr="00007197">
        <w:rPr>
          <w:rFonts w:ascii="Arial" w:hAnsi="Arial" w:cs="Arial"/>
          <w:sz w:val="24"/>
        </w:rPr>
        <w:t xml:space="preserve">Privilegio del gasto social mediante programas dirigidos a la prestación de bienes y servicios que sirvan para consolidar el desarrollo humano sustentable, particularmente de los grupos de población más desfavorecidos socialmente; y </w:t>
      </w:r>
    </w:p>
    <w:p w:rsidR="001876E4" w:rsidRPr="000703F6" w:rsidRDefault="001876E4" w:rsidP="001876E4">
      <w:pPr>
        <w:pStyle w:val="Prrafodelista"/>
        <w:spacing w:line="240" w:lineRule="auto"/>
        <w:rPr>
          <w:rFonts w:ascii="Arial" w:hAnsi="Arial" w:cs="Arial"/>
          <w:sz w:val="24"/>
        </w:rPr>
      </w:pPr>
    </w:p>
    <w:p w:rsidR="001876E4" w:rsidRDefault="001876E4" w:rsidP="00185BC9">
      <w:pPr>
        <w:pStyle w:val="Prrafodelista"/>
        <w:numPr>
          <w:ilvl w:val="0"/>
          <w:numId w:val="8"/>
        </w:numPr>
        <w:spacing w:line="240" w:lineRule="auto"/>
        <w:jc w:val="both"/>
        <w:rPr>
          <w:rFonts w:ascii="Arial" w:hAnsi="Arial" w:cs="Arial"/>
          <w:sz w:val="24"/>
        </w:rPr>
      </w:pPr>
      <w:r>
        <w:rPr>
          <w:rFonts w:ascii="Arial" w:hAnsi="Arial" w:cs="Arial"/>
          <w:sz w:val="24"/>
        </w:rPr>
        <w:t>Cero tolerancia</w:t>
      </w:r>
      <w:r w:rsidRPr="00007197">
        <w:rPr>
          <w:rFonts w:ascii="Arial" w:hAnsi="Arial" w:cs="Arial"/>
          <w:sz w:val="24"/>
        </w:rPr>
        <w:t xml:space="preserve"> en materia de corrupción.</w:t>
      </w:r>
    </w:p>
    <w:p w:rsidR="001876E4" w:rsidRPr="000703F6" w:rsidRDefault="001876E4" w:rsidP="001876E4">
      <w:pPr>
        <w:pStyle w:val="Prrafodelista"/>
        <w:spacing w:after="0"/>
        <w:rPr>
          <w:rFonts w:ascii="Arial" w:hAnsi="Arial" w:cs="Arial"/>
          <w:sz w:val="24"/>
        </w:rPr>
      </w:pPr>
    </w:p>
    <w:p w:rsidR="001876E4" w:rsidRDefault="001876E4" w:rsidP="001876E4">
      <w:pPr>
        <w:spacing w:after="0" w:line="240" w:lineRule="auto"/>
        <w:jc w:val="both"/>
        <w:rPr>
          <w:rFonts w:ascii="Arial" w:hAnsi="Arial" w:cs="Arial"/>
          <w:sz w:val="24"/>
        </w:rPr>
      </w:pPr>
      <w:r w:rsidRPr="00007197">
        <w:rPr>
          <w:rFonts w:ascii="Arial" w:hAnsi="Arial" w:cs="Arial"/>
          <w:sz w:val="24"/>
        </w:rPr>
        <w:t xml:space="preserve">En un panorama de limitada disponibilidad de recursos, el Gobierno del Estado enfrenta el reto de priorizar objetivos entre un gran conjunto de necesidades diversas, captadas a lo largo de la campaña político-electoral y en los diversos foros de consulta popular realizados para potenciar la participación de la sociedad civil en el diseño, implementación, seguimiento y evaluación de las políticas públicas, cuya expresión quedó plasmada en el Plan Estatal de Desarrollo (PED 2016-2021), documento rector y carta de navegación del rumbo que ha de tomar el desarrollo de </w:t>
      </w:r>
      <w:r w:rsidRPr="000703F6">
        <w:rPr>
          <w:rFonts w:ascii="Arial" w:hAnsi="Arial" w:cs="Arial"/>
          <w:sz w:val="24"/>
        </w:rPr>
        <w:t xml:space="preserve">la entidad en el mediano y largo plazo. </w:t>
      </w:r>
    </w:p>
    <w:p w:rsidR="001876E4" w:rsidRPr="000703F6"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sidRPr="000703F6">
        <w:rPr>
          <w:rFonts w:ascii="Arial" w:hAnsi="Arial" w:cs="Arial"/>
          <w:sz w:val="24"/>
        </w:rPr>
        <w:t>El Proyecto de Presupuesto 2018 incorpora prioridades de desarrollo vinculados con los siguientes Ejes Estratégicos, Líneas de Política y Objetivos:</w:t>
      </w:r>
    </w:p>
    <w:p w:rsidR="001876E4" w:rsidRPr="000703F6" w:rsidRDefault="001876E4" w:rsidP="001876E4">
      <w:pPr>
        <w:spacing w:after="0"/>
        <w:jc w:val="both"/>
        <w:rPr>
          <w:rFonts w:ascii="Arial" w:hAnsi="Arial" w:cs="Arial"/>
          <w:sz w:val="24"/>
        </w:rPr>
      </w:pPr>
    </w:p>
    <w:p w:rsidR="001876E4" w:rsidRDefault="001876E4" w:rsidP="001876E4">
      <w:pPr>
        <w:spacing w:after="0"/>
        <w:jc w:val="center"/>
        <w:rPr>
          <w:rFonts w:ascii="Arial" w:hAnsi="Arial" w:cs="Arial"/>
          <w:sz w:val="24"/>
        </w:rPr>
      </w:pPr>
      <w:r w:rsidRPr="009B5524">
        <w:rPr>
          <w:noProof/>
          <w:lang w:val="es-ES" w:eastAsia="es-ES"/>
        </w:rPr>
        <w:drawing>
          <wp:inline distT="0" distB="0" distL="0" distR="0" wp14:anchorId="5900A95B" wp14:editId="096DFD8D">
            <wp:extent cx="4944241" cy="16058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9937" cy="1614236"/>
                    </a:xfrm>
                    <a:prstGeom prst="rect">
                      <a:avLst/>
                    </a:prstGeom>
                    <a:noFill/>
                    <a:ln>
                      <a:noFill/>
                    </a:ln>
                  </pic:spPr>
                </pic:pic>
              </a:graphicData>
            </a:graphic>
          </wp:inline>
        </w:drawing>
      </w:r>
    </w:p>
    <w:p w:rsidR="001876E4" w:rsidRDefault="001876E4" w:rsidP="001876E4">
      <w:pPr>
        <w:spacing w:after="0"/>
        <w:jc w:val="center"/>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A continuación, se presentan las Metas del PED 2016-2021, a las cuales está alineada la presupuestación anual con visión de mediano plazo para avanzar en el cumplimiento de las líneas de política y objetivos: </w:t>
      </w:r>
    </w:p>
    <w:p w:rsidR="001876E4" w:rsidRDefault="001876E4" w:rsidP="001876E4">
      <w:pPr>
        <w:jc w:val="center"/>
        <w:rPr>
          <w:rFonts w:ascii="Arial" w:hAnsi="Arial" w:cs="Arial"/>
          <w:sz w:val="24"/>
        </w:rPr>
      </w:pPr>
      <w:r w:rsidRPr="009B5524">
        <w:rPr>
          <w:noProof/>
          <w:lang w:val="es-ES" w:eastAsia="es-ES"/>
        </w:rPr>
        <w:lastRenderedPageBreak/>
        <w:drawing>
          <wp:inline distT="0" distB="0" distL="0" distR="0" wp14:anchorId="5BA4B681" wp14:editId="58FA5A1D">
            <wp:extent cx="5529268" cy="546265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5533" cy="5478719"/>
                    </a:xfrm>
                    <a:prstGeom prst="rect">
                      <a:avLst/>
                    </a:prstGeom>
                    <a:noFill/>
                    <a:ln>
                      <a:noFill/>
                    </a:ln>
                  </pic:spPr>
                </pic:pic>
              </a:graphicData>
            </a:graphic>
          </wp:inline>
        </w:drawing>
      </w:r>
    </w:p>
    <w:p w:rsidR="001876E4" w:rsidRDefault="001876E4" w:rsidP="001876E4">
      <w:pPr>
        <w:jc w:val="center"/>
        <w:rPr>
          <w:rFonts w:ascii="Arial" w:hAnsi="Arial" w:cs="Arial"/>
          <w:sz w:val="24"/>
        </w:rPr>
      </w:pPr>
    </w:p>
    <w:p w:rsidR="001876E4" w:rsidRDefault="001876E4" w:rsidP="001876E4">
      <w:pPr>
        <w:jc w:val="center"/>
        <w:rPr>
          <w:noProof/>
          <w:lang w:val="es-ES" w:eastAsia="es-ES"/>
        </w:rPr>
      </w:pPr>
    </w:p>
    <w:p w:rsidR="001876E4" w:rsidRDefault="001876E4" w:rsidP="001876E4">
      <w:pPr>
        <w:jc w:val="center"/>
        <w:rPr>
          <w:noProof/>
          <w:lang w:val="es-ES" w:eastAsia="es-ES"/>
        </w:rPr>
      </w:pPr>
    </w:p>
    <w:p w:rsidR="001876E4" w:rsidRDefault="001876E4" w:rsidP="001876E4">
      <w:pPr>
        <w:jc w:val="center"/>
        <w:rPr>
          <w:rFonts w:ascii="Arial" w:hAnsi="Arial" w:cs="Arial"/>
          <w:sz w:val="24"/>
        </w:rPr>
      </w:pPr>
      <w:r w:rsidRPr="00D9693A">
        <w:rPr>
          <w:noProof/>
          <w:lang w:val="es-ES" w:eastAsia="es-ES"/>
        </w:rPr>
        <w:lastRenderedPageBreak/>
        <w:drawing>
          <wp:inline distT="0" distB="0" distL="0" distR="0" wp14:anchorId="175FEFEA" wp14:editId="5683B4A1">
            <wp:extent cx="5612130" cy="5485452"/>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485452"/>
                    </a:xfrm>
                    <a:prstGeom prst="rect">
                      <a:avLst/>
                    </a:prstGeom>
                    <a:noFill/>
                    <a:ln>
                      <a:noFill/>
                    </a:ln>
                  </pic:spPr>
                </pic:pic>
              </a:graphicData>
            </a:graphic>
          </wp:inline>
        </w:drawing>
      </w:r>
    </w:p>
    <w:p w:rsidR="001876E4" w:rsidRDefault="001876E4" w:rsidP="001876E4">
      <w:pPr>
        <w:tabs>
          <w:tab w:val="left" w:pos="2227"/>
        </w:tabs>
        <w:spacing w:line="240" w:lineRule="auto"/>
        <w:jc w:val="both"/>
        <w:rPr>
          <w:rFonts w:ascii="Arial" w:hAnsi="Arial" w:cs="Arial"/>
          <w:sz w:val="24"/>
        </w:rPr>
      </w:pPr>
      <w:r w:rsidRPr="00007197">
        <w:rPr>
          <w:rFonts w:ascii="Arial" w:hAnsi="Arial" w:cs="Arial"/>
          <w:sz w:val="24"/>
        </w:rPr>
        <w:t xml:space="preserve">Las Líneas de Política y los Objetivos del PED 2016-2021 que se enlistan a continuación, marcan las acciones que se deben seguir para dar cumplimiento a las 34 metas estratégicas planteadas, con ello se traza el rumbo del quehacer del Gobierno del </w:t>
      </w:r>
      <w:r>
        <w:rPr>
          <w:rFonts w:ascii="Arial" w:hAnsi="Arial" w:cs="Arial"/>
          <w:sz w:val="24"/>
        </w:rPr>
        <w:t>Estado de Colima</w:t>
      </w:r>
      <w:r w:rsidRPr="00007197">
        <w:rPr>
          <w:rFonts w:ascii="Arial" w:hAnsi="Arial" w:cs="Arial"/>
          <w:sz w:val="24"/>
        </w:rPr>
        <w:t xml:space="preserve"> en el mediano plazo.</w:t>
      </w:r>
      <w:r>
        <w:rPr>
          <w:rFonts w:ascii="Arial" w:hAnsi="Arial" w:cs="Arial"/>
          <w:sz w:val="24"/>
        </w:rPr>
        <w:t xml:space="preserve"> </w:t>
      </w:r>
    </w:p>
    <w:p w:rsidR="001876E4" w:rsidRDefault="001876E4" w:rsidP="001876E4">
      <w:pPr>
        <w:tabs>
          <w:tab w:val="left" w:pos="2227"/>
        </w:tabs>
        <w:rPr>
          <w:rFonts w:ascii="Arial" w:hAnsi="Arial" w:cs="Arial"/>
          <w:sz w:val="24"/>
        </w:rPr>
      </w:pPr>
      <w:r w:rsidRPr="009B5524">
        <w:rPr>
          <w:noProof/>
          <w:lang w:val="es-ES" w:eastAsia="es-ES"/>
        </w:rPr>
        <w:lastRenderedPageBreak/>
        <w:drawing>
          <wp:inline distT="0" distB="0" distL="0" distR="0" wp14:anchorId="15B56F6A" wp14:editId="6C7FF0B3">
            <wp:extent cx="5612130" cy="688149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6881495"/>
                    </a:xfrm>
                    <a:prstGeom prst="rect">
                      <a:avLst/>
                    </a:prstGeom>
                    <a:noFill/>
                    <a:ln>
                      <a:noFill/>
                    </a:ln>
                  </pic:spPr>
                </pic:pic>
              </a:graphicData>
            </a:graphic>
          </wp:inline>
        </w:drawing>
      </w:r>
    </w:p>
    <w:p w:rsidR="001876E4" w:rsidRDefault="001876E4" w:rsidP="001876E4">
      <w:pPr>
        <w:jc w:val="both"/>
        <w:rPr>
          <w:rFonts w:ascii="Arial" w:hAnsi="Arial" w:cs="Arial"/>
          <w:sz w:val="24"/>
        </w:rPr>
      </w:pPr>
      <w:r w:rsidRPr="009B5524">
        <w:rPr>
          <w:noProof/>
          <w:lang w:val="es-ES" w:eastAsia="es-ES"/>
        </w:rPr>
        <w:lastRenderedPageBreak/>
        <w:drawing>
          <wp:inline distT="0" distB="0" distL="0" distR="0" wp14:anchorId="0341EFE7" wp14:editId="139D218D">
            <wp:extent cx="5612130" cy="185737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1857375"/>
                    </a:xfrm>
                    <a:prstGeom prst="rect">
                      <a:avLst/>
                    </a:prstGeom>
                    <a:noFill/>
                    <a:ln>
                      <a:noFill/>
                    </a:ln>
                  </pic:spPr>
                </pic:pic>
              </a:graphicData>
            </a:graphic>
          </wp:inline>
        </w:drawing>
      </w:r>
    </w:p>
    <w:p w:rsidR="001876E4" w:rsidRDefault="001876E4" w:rsidP="001876E4">
      <w:pPr>
        <w:jc w:val="center"/>
        <w:rPr>
          <w:rFonts w:ascii="Arial" w:hAnsi="Arial" w:cs="Arial"/>
          <w:sz w:val="24"/>
        </w:rPr>
      </w:pPr>
      <w:r w:rsidRPr="009B5524">
        <w:rPr>
          <w:noProof/>
          <w:lang w:val="es-ES" w:eastAsia="es-ES"/>
        </w:rPr>
        <w:drawing>
          <wp:inline distT="0" distB="0" distL="0" distR="0" wp14:anchorId="0E1CCD49" wp14:editId="01FC1056">
            <wp:extent cx="5612130" cy="389509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895090"/>
                    </a:xfrm>
                    <a:prstGeom prst="rect">
                      <a:avLst/>
                    </a:prstGeom>
                    <a:noFill/>
                    <a:ln>
                      <a:noFill/>
                    </a:ln>
                  </pic:spPr>
                </pic:pic>
              </a:graphicData>
            </a:graphic>
          </wp:inline>
        </w:drawing>
      </w:r>
    </w:p>
    <w:p w:rsidR="001876E4" w:rsidRDefault="001876E4" w:rsidP="001876E4">
      <w:pPr>
        <w:jc w:val="both"/>
        <w:rPr>
          <w:rFonts w:ascii="Arial" w:hAnsi="Arial" w:cs="Arial"/>
          <w:sz w:val="24"/>
        </w:rPr>
      </w:pPr>
      <w:r w:rsidRPr="009B5524">
        <w:rPr>
          <w:noProof/>
          <w:lang w:val="es-ES" w:eastAsia="es-ES"/>
        </w:rPr>
        <w:lastRenderedPageBreak/>
        <w:drawing>
          <wp:inline distT="0" distB="0" distL="0" distR="0" wp14:anchorId="3E0B6A2A" wp14:editId="56F4AC91">
            <wp:extent cx="5612130" cy="6891655"/>
            <wp:effectExtent l="0" t="0" r="762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6891655"/>
                    </a:xfrm>
                    <a:prstGeom prst="rect">
                      <a:avLst/>
                    </a:prstGeom>
                    <a:noFill/>
                    <a:ln>
                      <a:noFill/>
                    </a:ln>
                  </pic:spPr>
                </pic:pic>
              </a:graphicData>
            </a:graphic>
          </wp:inline>
        </w:drawing>
      </w:r>
    </w:p>
    <w:p w:rsidR="001876E4" w:rsidRDefault="001876E4" w:rsidP="001876E4">
      <w:pPr>
        <w:jc w:val="both"/>
        <w:rPr>
          <w:rFonts w:ascii="Arial" w:hAnsi="Arial" w:cs="Arial"/>
          <w:sz w:val="24"/>
        </w:rPr>
      </w:pPr>
      <w:r w:rsidRPr="009B5524">
        <w:rPr>
          <w:noProof/>
          <w:lang w:val="es-ES" w:eastAsia="es-ES"/>
        </w:rPr>
        <w:lastRenderedPageBreak/>
        <w:drawing>
          <wp:inline distT="0" distB="0" distL="0" distR="0" wp14:anchorId="038D2952" wp14:editId="5976DED1">
            <wp:extent cx="5515610" cy="712470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7831" cy="7127569"/>
                    </a:xfrm>
                    <a:prstGeom prst="rect">
                      <a:avLst/>
                    </a:prstGeom>
                    <a:noFill/>
                    <a:ln>
                      <a:noFill/>
                    </a:ln>
                  </pic:spPr>
                </pic:pic>
              </a:graphicData>
            </a:graphic>
          </wp:inline>
        </w:drawing>
      </w:r>
    </w:p>
    <w:p w:rsidR="001876E4" w:rsidRPr="00534B93" w:rsidRDefault="001876E4" w:rsidP="001876E4">
      <w:pPr>
        <w:jc w:val="center"/>
        <w:rPr>
          <w:rFonts w:ascii="Arial" w:hAnsi="Arial" w:cs="Arial"/>
          <w:sz w:val="24"/>
        </w:rPr>
      </w:pPr>
      <w:r w:rsidRPr="00F12D29">
        <w:rPr>
          <w:noProof/>
          <w:lang w:val="es-ES" w:eastAsia="es-ES"/>
        </w:rPr>
        <w:lastRenderedPageBreak/>
        <w:drawing>
          <wp:inline distT="0" distB="0" distL="0" distR="0" wp14:anchorId="404EE253" wp14:editId="2D4D614C">
            <wp:extent cx="5611495" cy="68389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5372" cy="6855863"/>
                    </a:xfrm>
                    <a:prstGeom prst="rect">
                      <a:avLst/>
                    </a:prstGeom>
                    <a:noFill/>
                    <a:ln>
                      <a:noFill/>
                    </a:ln>
                  </pic:spPr>
                </pic:pic>
              </a:graphicData>
            </a:graphic>
          </wp:inline>
        </w:drawing>
      </w:r>
    </w:p>
    <w:p w:rsidR="001876E4" w:rsidRPr="00B720E7" w:rsidRDefault="001876E4" w:rsidP="001876E4">
      <w:pPr>
        <w:autoSpaceDE w:val="0"/>
        <w:autoSpaceDN w:val="0"/>
        <w:adjustRightInd w:val="0"/>
        <w:spacing w:after="0" w:line="240" w:lineRule="auto"/>
        <w:jc w:val="both"/>
        <w:rPr>
          <w:rFonts w:ascii="Arial" w:hAnsi="Arial" w:cs="Arial"/>
          <w:b/>
          <w:sz w:val="24"/>
          <w:szCs w:val="24"/>
        </w:rPr>
      </w:pPr>
      <w:r w:rsidRPr="00B720E7">
        <w:rPr>
          <w:rFonts w:ascii="Arial" w:hAnsi="Arial" w:cs="Arial"/>
          <w:sz w:val="24"/>
          <w:szCs w:val="24"/>
        </w:rPr>
        <w:lastRenderedPageBreak/>
        <w:t>Tomando en consideración los postulados del PED como instrumento que se constituye como la carta de navegación de la presente administración, se definieron las siguientes prioridades estatales y se perfiló la presupuestación 2018, a través de los siguientes Ejes Generales y Transversales.</w:t>
      </w:r>
    </w:p>
    <w:p w:rsidR="001876E4" w:rsidRPr="000703F6" w:rsidRDefault="001876E4" w:rsidP="001876E4">
      <w:pPr>
        <w:autoSpaceDE w:val="0"/>
        <w:autoSpaceDN w:val="0"/>
        <w:adjustRightInd w:val="0"/>
        <w:spacing w:after="0" w:line="240" w:lineRule="auto"/>
        <w:jc w:val="both"/>
        <w:rPr>
          <w:rFonts w:ascii="Arial" w:hAnsi="Arial" w:cs="Arial"/>
          <w:sz w:val="24"/>
          <w:szCs w:val="24"/>
        </w:rPr>
      </w:pPr>
    </w:p>
    <w:p w:rsidR="001876E4" w:rsidRPr="00B720E7" w:rsidRDefault="001876E4" w:rsidP="001876E4">
      <w:pPr>
        <w:autoSpaceDE w:val="0"/>
        <w:autoSpaceDN w:val="0"/>
        <w:adjustRightInd w:val="0"/>
        <w:spacing w:after="0" w:line="240" w:lineRule="auto"/>
        <w:jc w:val="both"/>
        <w:rPr>
          <w:rFonts w:ascii="Arial" w:hAnsi="Arial" w:cs="Arial"/>
          <w:sz w:val="24"/>
          <w:szCs w:val="24"/>
        </w:rPr>
      </w:pPr>
      <w:r w:rsidRPr="00B720E7">
        <w:rPr>
          <w:rFonts w:ascii="Arial" w:hAnsi="Arial" w:cs="Arial"/>
          <w:b/>
          <w:sz w:val="24"/>
          <w:szCs w:val="24"/>
        </w:rPr>
        <w:t>2.1.1. Ejes Generales y Transversales en Materia de Presupuestación:</w:t>
      </w:r>
    </w:p>
    <w:p w:rsidR="001876E4" w:rsidRPr="000703F6" w:rsidRDefault="001876E4" w:rsidP="001876E4">
      <w:pPr>
        <w:autoSpaceDE w:val="0"/>
        <w:autoSpaceDN w:val="0"/>
        <w:adjustRightInd w:val="0"/>
        <w:spacing w:after="0" w:line="240" w:lineRule="auto"/>
        <w:jc w:val="both"/>
        <w:rPr>
          <w:rFonts w:ascii="Arial" w:hAnsi="Arial" w:cs="Arial"/>
          <w:strike/>
          <w:sz w:val="24"/>
          <w:szCs w:val="24"/>
          <w:highlight w:val="yellow"/>
        </w:rPr>
      </w:pPr>
    </w:p>
    <w:p w:rsidR="001876E4" w:rsidRPr="00007197"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 xml:space="preserve">Ante el entorno económico externo complejo y volátil y el comportamiento de las finanzas públicas internacionales y nacionales, el Gobierno del </w:t>
      </w:r>
      <w:r>
        <w:rPr>
          <w:rFonts w:ascii="Arial" w:hAnsi="Arial" w:cs="Arial"/>
          <w:sz w:val="24"/>
          <w:szCs w:val="24"/>
        </w:rPr>
        <w:t>Estado de Colima</w:t>
      </w:r>
      <w:r w:rsidRPr="00007197">
        <w:rPr>
          <w:rFonts w:ascii="Arial" w:hAnsi="Arial" w:cs="Arial"/>
          <w:sz w:val="24"/>
          <w:szCs w:val="24"/>
        </w:rPr>
        <w:t>, se compromete a seguir impulsando la calidad y eficiencia en el ejercicio de los recursos públicos.</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En esa tesitura, la propuesta de presupuesto que se somete a consideración de esa Soberanía, considera un enfoque Base Cero y el fortalecimiento del Presupuesto basado en Resultados PbR, así como el Sistema de Evaluación del Desempeño SED, a partir de los siguientes</w:t>
      </w:r>
      <w:r>
        <w:rPr>
          <w:rFonts w:ascii="Arial" w:hAnsi="Arial" w:cs="Arial"/>
          <w:sz w:val="24"/>
          <w:szCs w:val="24"/>
        </w:rPr>
        <w:t xml:space="preserve"> Ejes Generales y Transversales</w:t>
      </w:r>
      <w:r w:rsidRPr="00007197">
        <w:rPr>
          <w:rFonts w:ascii="Arial" w:hAnsi="Arial" w:cs="Arial"/>
          <w:sz w:val="24"/>
          <w:szCs w:val="24"/>
        </w:rPr>
        <w:t>:</w:t>
      </w:r>
    </w:p>
    <w:p w:rsidR="001876E4" w:rsidRPr="003A5B11"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jc w:val="center"/>
        <w:rPr>
          <w:highlight w:val="yellow"/>
        </w:rPr>
      </w:pPr>
      <w:r w:rsidRPr="009B5524">
        <w:rPr>
          <w:noProof/>
          <w:lang w:val="es-ES" w:eastAsia="es-ES"/>
        </w:rPr>
        <w:drawing>
          <wp:inline distT="0" distB="0" distL="0" distR="0" wp14:anchorId="0C9A5D9B" wp14:editId="1905B13E">
            <wp:extent cx="4572000" cy="324026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5933" cy="3243054"/>
                    </a:xfrm>
                    <a:prstGeom prst="rect">
                      <a:avLst/>
                    </a:prstGeom>
                    <a:noFill/>
                    <a:ln>
                      <a:noFill/>
                    </a:ln>
                  </pic:spPr>
                </pic:pic>
              </a:graphicData>
            </a:graphic>
          </wp:inline>
        </w:drawing>
      </w:r>
    </w:p>
    <w:p w:rsidR="001876E4" w:rsidRPr="00F8671B" w:rsidRDefault="001876E4" w:rsidP="001876E4">
      <w:pPr>
        <w:jc w:val="center"/>
        <w:rPr>
          <w:highlight w:val="yellow"/>
        </w:rPr>
      </w:pPr>
    </w:p>
    <w:p w:rsidR="001876E4" w:rsidRDefault="001876E4" w:rsidP="001876E4">
      <w:pPr>
        <w:autoSpaceDE w:val="0"/>
        <w:autoSpaceDN w:val="0"/>
        <w:adjustRightInd w:val="0"/>
        <w:spacing w:after="0" w:line="240" w:lineRule="auto"/>
        <w:jc w:val="both"/>
        <w:rPr>
          <w:rFonts w:ascii="Arial" w:hAnsi="Arial" w:cs="Arial"/>
          <w:b/>
          <w:i/>
          <w:sz w:val="24"/>
          <w:szCs w:val="24"/>
        </w:rPr>
      </w:pPr>
      <w:r w:rsidRPr="00007197">
        <w:rPr>
          <w:rFonts w:ascii="Arial" w:hAnsi="Arial" w:cs="Arial"/>
          <w:b/>
          <w:sz w:val="24"/>
          <w:szCs w:val="24"/>
          <w:u w:val="single"/>
        </w:rPr>
        <w:lastRenderedPageBreak/>
        <w:t>EJE 1.</w:t>
      </w:r>
      <w:r w:rsidRPr="00007197">
        <w:rPr>
          <w:rFonts w:ascii="Arial" w:hAnsi="Arial" w:cs="Arial"/>
          <w:b/>
          <w:sz w:val="24"/>
          <w:szCs w:val="24"/>
        </w:rPr>
        <w:t xml:space="preserve"> </w:t>
      </w:r>
      <w:r w:rsidRPr="00007197">
        <w:rPr>
          <w:rFonts w:ascii="Arial" w:hAnsi="Arial" w:cs="Arial"/>
          <w:b/>
          <w:i/>
          <w:sz w:val="24"/>
          <w:szCs w:val="24"/>
        </w:rPr>
        <w:t>Generación de la nueva Estructura Programática 2018 que agrupa los Programas Presupuestarios y Proyectos de Inversión e Infraestructura alineados al Plan Estatal de Desarrollo 2016-2021.</w:t>
      </w:r>
    </w:p>
    <w:p w:rsidR="001876E4" w:rsidRPr="000703F6"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Para efectuar dichas acciones se realizó un análisis minucioso de los objetivos, estrategias, líneas de acción y metas del PED, de sus prioridades de corto, mediano y largo plazo y apoyados en el SED, se revisaron complementariedades, similitudes y duplicidades de programas y proyectos para realizar fusiones y en su caso eliminaciones que se ven reflejadas en la nueva estructura programática 2018. Asimismo, se consideraron los objetivos y metas previstos en los Programas Sectoriales. Regionales, Especiales e Institucionales que formularon las Dependencias y Organismos.</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Con ello, se focalizan las políticas públicas y se reorientan los objetivos para generar acciones que generen valor público en favor de la población.</w:t>
      </w:r>
    </w:p>
    <w:p w:rsidR="001876E4"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Para el efecto se hizo necesario, además, reestructurar las Matrices de Indicadores para Resultados, para alinear los indicadores y los resultados con base en la carta de navegación que constituye el PED.</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 xml:space="preserve">Asimismo, en la configuración de la nueva estructura programática, se tomó en consideración la nueva estructura orgánica establecida en la nueva </w:t>
      </w:r>
      <w:r w:rsidRPr="00007197">
        <w:rPr>
          <w:rFonts w:ascii="Arial" w:hAnsi="Arial" w:cs="Arial"/>
          <w:bCs/>
          <w:sz w:val="24"/>
          <w:szCs w:val="24"/>
        </w:rPr>
        <w:t xml:space="preserve">Ley Orgánica de la Administración Pública del </w:t>
      </w:r>
      <w:r>
        <w:rPr>
          <w:rFonts w:ascii="Arial" w:hAnsi="Arial" w:cs="Arial"/>
          <w:bCs/>
          <w:sz w:val="24"/>
          <w:szCs w:val="24"/>
        </w:rPr>
        <w:t>Estado de Colima</w:t>
      </w:r>
      <w:r w:rsidRPr="00007197">
        <w:rPr>
          <w:rFonts w:ascii="Arial" w:hAnsi="Arial" w:cs="Arial"/>
          <w:bCs/>
          <w:sz w:val="24"/>
          <w:szCs w:val="24"/>
        </w:rPr>
        <w:t xml:space="preserve"> que entró</w:t>
      </w:r>
      <w:r w:rsidRPr="00007197">
        <w:rPr>
          <w:rFonts w:ascii="Arial" w:hAnsi="Arial" w:cs="Arial"/>
          <w:b/>
          <w:bCs/>
          <w:sz w:val="24"/>
          <w:szCs w:val="24"/>
        </w:rPr>
        <w:t xml:space="preserve"> </w:t>
      </w:r>
      <w:r w:rsidRPr="00007197">
        <w:rPr>
          <w:rFonts w:ascii="Arial" w:hAnsi="Arial" w:cs="Arial"/>
          <w:sz w:val="24"/>
          <w:szCs w:val="24"/>
        </w:rPr>
        <w:t>en vigor el día 1º de noviembre del año 2015.</w:t>
      </w:r>
    </w:p>
    <w:p w:rsidR="001876E4"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Default="001876E4" w:rsidP="001876E4">
      <w:pPr>
        <w:autoSpaceDE w:val="0"/>
        <w:autoSpaceDN w:val="0"/>
        <w:adjustRightInd w:val="0"/>
        <w:spacing w:after="0" w:line="240" w:lineRule="auto"/>
        <w:jc w:val="both"/>
        <w:rPr>
          <w:rFonts w:ascii="Arial" w:hAnsi="Arial" w:cs="Arial"/>
          <w:strike/>
          <w:sz w:val="24"/>
          <w:szCs w:val="24"/>
          <w:highlight w:val="red"/>
        </w:rPr>
      </w:pPr>
      <w:r w:rsidRPr="0021005D">
        <w:rPr>
          <w:rFonts w:ascii="Arial" w:hAnsi="Arial" w:cs="Arial"/>
          <w:sz w:val="24"/>
          <w:szCs w:val="24"/>
        </w:rPr>
        <w:t xml:space="preserve">Adicionalmente, se tomaron en consideración las reformas al entramado legal que dieron origen a la creación </w:t>
      </w:r>
      <w:r>
        <w:rPr>
          <w:rFonts w:ascii="Arial" w:hAnsi="Arial" w:cs="Arial"/>
          <w:sz w:val="24"/>
          <w:szCs w:val="24"/>
        </w:rPr>
        <w:t>de la</w:t>
      </w:r>
      <w:r w:rsidRPr="00236271">
        <w:rPr>
          <w:rFonts w:ascii="Arial" w:eastAsia="Times New Roman" w:hAnsi="Arial" w:cs="Arial"/>
          <w:sz w:val="24"/>
          <w:szCs w:val="24"/>
          <w:lang w:eastAsia="es-ES"/>
        </w:rPr>
        <w:t xml:space="preserve"> Secretaría Ejecutiva del Sistema Estatal Anticorrupción</w:t>
      </w:r>
      <w:r>
        <w:rPr>
          <w:rFonts w:ascii="Arial" w:eastAsia="Times New Roman" w:hAnsi="Arial" w:cs="Arial"/>
          <w:sz w:val="24"/>
          <w:szCs w:val="24"/>
          <w:lang w:eastAsia="es-ES"/>
        </w:rPr>
        <w:t xml:space="preserve"> y el </w:t>
      </w:r>
      <w:r w:rsidRPr="0021005D">
        <w:rPr>
          <w:rFonts w:ascii="Arial" w:hAnsi="Arial" w:cs="Arial"/>
          <w:sz w:val="24"/>
          <w:szCs w:val="24"/>
        </w:rPr>
        <w:t>Órgano</w:t>
      </w:r>
      <w:r w:rsidRPr="005F0706">
        <w:rPr>
          <w:rFonts w:ascii="Arial" w:hAnsi="Arial" w:cs="Arial"/>
          <w:sz w:val="24"/>
          <w:szCs w:val="24"/>
        </w:rPr>
        <w:t xml:space="preserve"> de Gestión y Control del Patrimonio Inmobiliario del </w:t>
      </w:r>
      <w:r>
        <w:rPr>
          <w:rFonts w:ascii="Arial" w:hAnsi="Arial" w:cs="Arial"/>
          <w:sz w:val="24"/>
          <w:szCs w:val="24"/>
        </w:rPr>
        <w:t>Estado de Colima</w:t>
      </w:r>
    </w:p>
    <w:p w:rsidR="001876E4" w:rsidRDefault="001876E4" w:rsidP="001876E4">
      <w:pPr>
        <w:spacing w:after="0" w:line="240" w:lineRule="auto"/>
        <w:jc w:val="both"/>
        <w:rPr>
          <w:rFonts w:ascii="Arial" w:eastAsia="Times New Roman" w:hAnsi="Arial" w:cs="Arial"/>
          <w:sz w:val="24"/>
          <w:szCs w:val="24"/>
          <w:lang w:eastAsia="es-ES"/>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Se mejoró y se adecuó la Clave Presupuestaria que operará en 2018, para fortalecer la vinculación con el PED, eficientar la gestión financiera e identificar de mejor manera los programas presupuestarios y los proyectos, para efectos de un monitoreo eficaz y seguimiento en su ejecución, especialmente de los proyectos de inversión que generan mayor  valor público en beneficio directo de la población, lo cual contribuirá no solo a fortalecer la evaluación y el impacto de los  resultados, sino en la rendición de cuentas a la sociedad.</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 xml:space="preserve">Un aspecto fundamental que motivo la reformulación de la Clave Presupuestaria, fue el de la necesidad de incorporar en la misma, los elementos correspondientes </w:t>
      </w:r>
      <w:r w:rsidRPr="00007197">
        <w:rPr>
          <w:rFonts w:ascii="Arial" w:hAnsi="Arial" w:cs="Arial"/>
          <w:sz w:val="24"/>
          <w:szCs w:val="24"/>
        </w:rPr>
        <w:lastRenderedPageBreak/>
        <w:t>al Gasto Etiquetado y Gasto No Etiquetado que se originan a partir de la norma emitida por el Consejo Nacional de Armonización Contable en materia de Fuentes de Financiamiento.</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highlight w:val="yellow"/>
        </w:rPr>
      </w:pPr>
      <w:r w:rsidRPr="00F12D29">
        <w:rPr>
          <w:noProof/>
          <w:lang w:val="es-ES" w:eastAsia="es-ES"/>
        </w:rPr>
        <w:drawing>
          <wp:inline distT="0" distB="0" distL="0" distR="0" wp14:anchorId="0A6D5844" wp14:editId="1FDFD9C9">
            <wp:extent cx="5612130" cy="2599055"/>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2599055"/>
                    </a:xfrm>
                    <a:prstGeom prst="rect">
                      <a:avLst/>
                    </a:prstGeom>
                    <a:noFill/>
                    <a:ln>
                      <a:noFill/>
                    </a:ln>
                  </pic:spPr>
                </pic:pic>
              </a:graphicData>
            </a:graphic>
          </wp:inline>
        </w:drawing>
      </w:r>
    </w:p>
    <w:p w:rsidR="001876E4" w:rsidRPr="00EF3BFB" w:rsidRDefault="001876E4" w:rsidP="001876E4">
      <w:pPr>
        <w:spacing w:after="0" w:line="240" w:lineRule="auto"/>
        <w:jc w:val="both"/>
        <w:rPr>
          <w:rFonts w:ascii="Arial" w:hAnsi="Arial" w:cs="Arial"/>
          <w:sz w:val="24"/>
          <w:highlight w:val="yellow"/>
        </w:rPr>
      </w:pPr>
    </w:p>
    <w:p w:rsidR="001876E4" w:rsidRDefault="001876E4" w:rsidP="001876E4">
      <w:pPr>
        <w:autoSpaceDE w:val="0"/>
        <w:autoSpaceDN w:val="0"/>
        <w:adjustRightInd w:val="0"/>
        <w:spacing w:after="0" w:line="240" w:lineRule="auto"/>
        <w:jc w:val="both"/>
        <w:rPr>
          <w:rFonts w:ascii="Arial" w:hAnsi="Arial" w:cs="Arial"/>
          <w:b/>
          <w:i/>
          <w:sz w:val="24"/>
          <w:szCs w:val="24"/>
        </w:rPr>
      </w:pPr>
      <w:r w:rsidRPr="00007197">
        <w:rPr>
          <w:rFonts w:ascii="Arial" w:hAnsi="Arial" w:cs="Arial"/>
          <w:b/>
          <w:sz w:val="24"/>
          <w:szCs w:val="24"/>
          <w:u w:val="single"/>
        </w:rPr>
        <w:t>Eje 2.</w:t>
      </w:r>
      <w:r w:rsidRPr="00007197">
        <w:rPr>
          <w:rFonts w:ascii="Arial" w:hAnsi="Arial" w:cs="Arial"/>
          <w:b/>
          <w:sz w:val="24"/>
          <w:szCs w:val="24"/>
        </w:rPr>
        <w:t xml:space="preserve"> </w:t>
      </w:r>
      <w:r w:rsidRPr="00007197">
        <w:rPr>
          <w:rFonts w:ascii="Arial" w:hAnsi="Arial" w:cs="Arial"/>
          <w:b/>
          <w:i/>
          <w:sz w:val="24"/>
          <w:szCs w:val="24"/>
        </w:rPr>
        <w:t>Análisis del Capítulo 10000 Servicios Personales y estructuras orgánicas para una mejor planificación, reorientación, contención y reducción del gasto en la materia, a partir de diversas estrategias:</w:t>
      </w:r>
    </w:p>
    <w:p w:rsidR="001876E4" w:rsidRPr="00007197" w:rsidRDefault="001876E4" w:rsidP="001876E4">
      <w:pPr>
        <w:autoSpaceDE w:val="0"/>
        <w:autoSpaceDN w:val="0"/>
        <w:adjustRightInd w:val="0"/>
        <w:spacing w:after="0" w:line="240" w:lineRule="auto"/>
        <w:jc w:val="both"/>
        <w:rPr>
          <w:rFonts w:ascii="Arial" w:hAnsi="Arial" w:cs="Arial"/>
          <w:b/>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En este rubro, se realizó una reorganización de áreas y redefinición de funciones, con el fin de contar con una estructura organizacional más eficiente.</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 xml:space="preserve">Adelgazamiento del Capítulo 10000 Servicios Personales, atendiendo los postulados de las políticas públicas transversales relativas a: 1.- Colima con un Gobierno Moderno, Efectivo y Transparente.  2.- Colima por la Igualdad 3.- Colima Sustentable </w:t>
      </w:r>
      <w:r w:rsidRPr="00007197">
        <w:rPr>
          <w:rFonts w:ascii="Arial" w:eastAsia="Times New Roman" w:hAnsi="Arial" w:cs="Arial"/>
          <w:bCs/>
          <w:sz w:val="24"/>
          <w:szCs w:val="24"/>
        </w:rPr>
        <w:t xml:space="preserve">insertas en el PED, así como postulados derivados de la </w:t>
      </w:r>
      <w:r w:rsidRPr="00007197">
        <w:rPr>
          <w:rFonts w:ascii="Arial" w:hAnsi="Arial" w:cs="Arial"/>
          <w:sz w:val="24"/>
          <w:szCs w:val="24"/>
        </w:rPr>
        <w:t>Ley de Disciplina Financiera de las Entidades Federativas y los Municipios, observándose lo siguiente:</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703F6">
        <w:rPr>
          <w:rFonts w:ascii="Arial" w:hAnsi="Arial" w:cs="Arial"/>
          <w:sz w:val="24"/>
          <w:szCs w:val="24"/>
        </w:rPr>
        <w:t>Al presupuestar el Capítulo de Servicios Personales en este segundo ejercicio presupuestal del sexenio, se fortalecen las bases para acotar el notorio incremento que en el pasado significó este capítulo de gasto en la estructura general del presupuesto, ello con el propósito de que en futuros ejercicios se posibilite equilibrar su tasa de crecimiento a los niveles previstos en la Ley de Disciplina Financiera para Entidades Federativas y los Municipios, la cual prevé que para el 2018:</w:t>
      </w:r>
    </w:p>
    <w:p w:rsidR="001876E4" w:rsidRPr="00007197" w:rsidRDefault="001876E4" w:rsidP="001876E4">
      <w:pPr>
        <w:autoSpaceDE w:val="0"/>
        <w:autoSpaceDN w:val="0"/>
        <w:adjustRightInd w:val="0"/>
        <w:spacing w:after="0" w:line="240" w:lineRule="auto"/>
        <w:jc w:val="both"/>
        <w:rPr>
          <w:rFonts w:ascii="Arial" w:hAnsi="Arial" w:cs="Arial"/>
          <w:i/>
          <w:sz w:val="24"/>
          <w:szCs w:val="24"/>
        </w:rPr>
      </w:pPr>
      <w:r w:rsidRPr="00007197">
        <w:rPr>
          <w:rFonts w:ascii="Arial" w:hAnsi="Arial" w:cs="Arial"/>
          <w:i/>
          <w:sz w:val="24"/>
          <w:szCs w:val="24"/>
        </w:rPr>
        <w:lastRenderedPageBreak/>
        <w:t>“La asignación global de recursos para servicios personales, tendrá como límite, el producto que resulte de aplicar al monto aprobado en el Presupuesto de Egresos del ejercicio inmediato anterior, una tasa de crecimiento equivalente al valor que resulte menor entre:</w:t>
      </w:r>
    </w:p>
    <w:p w:rsidR="001876E4" w:rsidRPr="000703F6"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ind w:left="709" w:firstLine="1"/>
        <w:jc w:val="both"/>
        <w:rPr>
          <w:rFonts w:ascii="Arial" w:hAnsi="Arial" w:cs="Arial"/>
          <w:i/>
          <w:sz w:val="24"/>
          <w:szCs w:val="24"/>
        </w:rPr>
      </w:pPr>
      <w:r w:rsidRPr="00007197">
        <w:rPr>
          <w:rFonts w:ascii="Arial" w:hAnsi="Arial" w:cs="Arial"/>
          <w:i/>
          <w:sz w:val="24"/>
          <w:szCs w:val="24"/>
        </w:rPr>
        <w:t>a) El 3 por ciento de crecimiento real, y</w:t>
      </w:r>
    </w:p>
    <w:p w:rsidR="001876E4" w:rsidRPr="000703F6" w:rsidRDefault="001876E4" w:rsidP="001876E4">
      <w:pPr>
        <w:autoSpaceDE w:val="0"/>
        <w:autoSpaceDN w:val="0"/>
        <w:adjustRightInd w:val="0"/>
        <w:spacing w:after="0" w:line="240" w:lineRule="auto"/>
        <w:ind w:left="709"/>
        <w:jc w:val="both"/>
        <w:rPr>
          <w:rFonts w:ascii="Arial" w:hAnsi="Arial" w:cs="Arial"/>
          <w:sz w:val="24"/>
          <w:szCs w:val="24"/>
        </w:rPr>
      </w:pPr>
    </w:p>
    <w:p w:rsidR="001876E4" w:rsidRPr="00007197" w:rsidRDefault="001876E4" w:rsidP="001876E4">
      <w:pPr>
        <w:autoSpaceDE w:val="0"/>
        <w:autoSpaceDN w:val="0"/>
        <w:adjustRightInd w:val="0"/>
        <w:spacing w:after="0" w:line="240" w:lineRule="auto"/>
        <w:ind w:left="709"/>
        <w:jc w:val="both"/>
        <w:rPr>
          <w:rFonts w:ascii="Arial" w:hAnsi="Arial" w:cs="Arial"/>
          <w:i/>
          <w:sz w:val="24"/>
          <w:szCs w:val="24"/>
        </w:rPr>
      </w:pPr>
      <w:r w:rsidRPr="00007197">
        <w:rPr>
          <w:rFonts w:ascii="Arial" w:hAnsi="Arial" w:cs="Arial"/>
          <w:i/>
          <w:sz w:val="24"/>
          <w:szCs w:val="24"/>
        </w:rPr>
        <w:t>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Es pertinente precisar que la ley precitada exceptúa de tales postulados, el monto erogado por sentencias laborales definitivas emitidas por la autoridad competente.</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Pr="00007197"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En el proyecto de Presupuesto de Egresos, se incluye una sección específica con las erogaciones correspondientes al gasto en servicios personales, la cual comprende:</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Pr="001A75DE" w:rsidRDefault="001876E4" w:rsidP="00185BC9">
      <w:pPr>
        <w:pStyle w:val="Prrafodelista"/>
        <w:numPr>
          <w:ilvl w:val="0"/>
          <w:numId w:val="14"/>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Las remuneraciones de los servidores públicos, desglosando las percepciones ordinarias y extraordinarias, e incluyendo las erogaciones por concepto de obligaciones de carácter fiscal y de seguridad social inherentes a dichas remuneraciones; y</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Pr="001A75DE" w:rsidRDefault="001876E4" w:rsidP="00185BC9">
      <w:pPr>
        <w:pStyle w:val="Prrafodelista"/>
        <w:numPr>
          <w:ilvl w:val="0"/>
          <w:numId w:val="14"/>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Las previsiones salariales y económicas para cubrir los incrementos salariales, la creación de plazas y otras medidas económicas de índole laboral.</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En congruencia con la política de austeridad que impulsa la presente administración, se formuló y se puso en vigor el Plan de Austeridad (Reglas</w:t>
      </w:r>
      <w:r w:rsidRPr="00007197">
        <w:rPr>
          <w:rFonts w:ascii="Arial" w:hAnsi="Arial" w:cs="Arial"/>
          <w:bCs/>
          <w:sz w:val="24"/>
          <w:szCs w:val="24"/>
        </w:rPr>
        <w:t xml:space="preserve"> de Austeridad, Racionalidad y Disciplina del Gasto Público Estatal)</w:t>
      </w:r>
      <w:r w:rsidRPr="00007197">
        <w:rPr>
          <w:rFonts w:ascii="Arial" w:hAnsi="Arial" w:cs="Arial"/>
          <w:b/>
          <w:bCs/>
          <w:sz w:val="24"/>
          <w:szCs w:val="24"/>
        </w:rPr>
        <w:t xml:space="preserve"> </w:t>
      </w:r>
      <w:r w:rsidRPr="00007197">
        <w:rPr>
          <w:rFonts w:ascii="Arial" w:hAnsi="Arial" w:cs="Arial"/>
          <w:sz w:val="24"/>
          <w:szCs w:val="24"/>
        </w:rPr>
        <w:t>el cual será fortalecido para el ejercicio fiscal 2018, se aplicarán las siguientes acciones:</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Pr="00007197" w:rsidRDefault="001876E4" w:rsidP="001876E4">
      <w:pPr>
        <w:autoSpaceDE w:val="0"/>
        <w:autoSpaceDN w:val="0"/>
        <w:adjustRightInd w:val="0"/>
        <w:spacing w:after="0" w:line="240" w:lineRule="auto"/>
        <w:jc w:val="both"/>
        <w:rPr>
          <w:rFonts w:ascii="Arial" w:hAnsi="Arial" w:cs="Arial"/>
          <w:color w:val="000000" w:themeColor="text1"/>
          <w:sz w:val="24"/>
          <w:szCs w:val="24"/>
          <w:shd w:val="clear" w:color="auto" w:fill="FEFEFE"/>
        </w:rPr>
      </w:pPr>
      <w:r w:rsidRPr="00007197">
        <w:rPr>
          <w:rFonts w:ascii="Arial" w:hAnsi="Arial" w:cs="Arial"/>
          <w:color w:val="000000" w:themeColor="text1"/>
          <w:sz w:val="24"/>
          <w:szCs w:val="24"/>
          <w:shd w:val="clear" w:color="auto" w:fill="FEFEFE"/>
        </w:rPr>
        <w:t>Cancelación del pago de honorarios asimilables a salarios para todas las actividades que sean consideradas regulares.</w:t>
      </w:r>
    </w:p>
    <w:p w:rsidR="001876E4" w:rsidRPr="00007197" w:rsidRDefault="001876E4" w:rsidP="001876E4">
      <w:pPr>
        <w:pStyle w:val="CuerpoB"/>
        <w:jc w:val="both"/>
        <w:rPr>
          <w:rFonts w:ascii="Arial" w:eastAsia="Arial" w:hAnsi="Arial" w:cs="Arial"/>
          <w:shd w:val="clear" w:color="auto" w:fill="FEFEFE"/>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Se elimina la figura de personal comisionado.</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lastRenderedPageBreak/>
        <w:t>Las Dependencias y Entidades realizaron, un análisis del marco jurídico administrativo que regula sus estructuras organizacionales, con el propósito de identificar y evitar duplicidades de funciones, así como para incrementar la eficiencia en el desempeño de sus funciones, mediante una reingeniería del personal de confianza y supernumerario.</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pStyle w:val="CuerpoA"/>
        <w:widowControl w:val="0"/>
        <w:spacing w:after="0" w:line="240" w:lineRule="auto"/>
        <w:jc w:val="both"/>
        <w:rPr>
          <w:rFonts w:ascii="Arial" w:hAnsi="Arial" w:cs="Arial"/>
          <w:sz w:val="24"/>
          <w:szCs w:val="24"/>
        </w:rPr>
      </w:pPr>
      <w:r w:rsidRPr="00007197">
        <w:rPr>
          <w:rFonts w:ascii="Arial" w:hAnsi="Arial" w:cs="Arial"/>
          <w:sz w:val="24"/>
          <w:szCs w:val="24"/>
          <w:lang w:val="it-IT"/>
        </w:rPr>
        <w:t>Se</w:t>
      </w:r>
      <w:r w:rsidRPr="00007197">
        <w:rPr>
          <w:rFonts w:ascii="Arial" w:hAnsi="Arial" w:cs="Arial"/>
          <w:color w:val="auto"/>
          <w:sz w:val="24"/>
          <w:szCs w:val="24"/>
          <w:lang w:val="it-IT"/>
        </w:rPr>
        <w:t xml:space="preserve"> continuarán </w:t>
      </w:r>
      <w:r w:rsidRPr="00007197">
        <w:rPr>
          <w:rFonts w:ascii="Arial" w:hAnsi="Arial" w:cs="Arial"/>
          <w:sz w:val="24"/>
          <w:szCs w:val="24"/>
          <w:lang w:val="it-IT"/>
        </w:rPr>
        <w:t>aplicando</w:t>
      </w:r>
      <w:r w:rsidRPr="00007197">
        <w:rPr>
          <w:rFonts w:ascii="Arial" w:hAnsi="Arial" w:cs="Arial"/>
          <w:sz w:val="24"/>
          <w:szCs w:val="24"/>
        </w:rPr>
        <w:t xml:space="preserve"> estudios de análisis ocupacional con la finalidad de determinar la suficiencia o exceso de personal en las Dependencias y Entidades, con la finalidad de tomar las medidas correctivas necesarias.</w:t>
      </w:r>
    </w:p>
    <w:p w:rsidR="001876E4" w:rsidRPr="00007197" w:rsidRDefault="001876E4" w:rsidP="001876E4">
      <w:pPr>
        <w:pStyle w:val="CuerpoA"/>
        <w:widowControl w:val="0"/>
        <w:spacing w:after="0" w:line="240" w:lineRule="auto"/>
        <w:jc w:val="both"/>
        <w:rPr>
          <w:rFonts w:ascii="Arial" w:eastAsia="Arial" w:hAnsi="Arial" w:cs="Arial"/>
          <w:sz w:val="24"/>
          <w:szCs w:val="24"/>
        </w:rPr>
      </w:pPr>
    </w:p>
    <w:p w:rsidR="001876E4" w:rsidRDefault="001876E4" w:rsidP="001876E4">
      <w:pPr>
        <w:spacing w:after="0" w:line="240" w:lineRule="auto"/>
        <w:jc w:val="both"/>
        <w:rPr>
          <w:rFonts w:ascii="Arial" w:hAnsi="Arial" w:cs="Arial"/>
          <w:color w:val="000000" w:themeColor="text1"/>
          <w:sz w:val="24"/>
          <w:szCs w:val="24"/>
        </w:rPr>
      </w:pPr>
      <w:r w:rsidRPr="00007197">
        <w:rPr>
          <w:rFonts w:ascii="Arial" w:hAnsi="Arial" w:cs="Arial"/>
          <w:color w:val="000000" w:themeColor="text1"/>
          <w:sz w:val="24"/>
          <w:szCs w:val="24"/>
        </w:rPr>
        <w:t>Asimismo, se continuará trabajando en estudios de percepciones salariales para proponer un tabulador que estandarice los sueldos de los mandos medios y superiores.</w:t>
      </w:r>
    </w:p>
    <w:p w:rsidR="001876E4" w:rsidRPr="00007197" w:rsidRDefault="001876E4" w:rsidP="001876E4">
      <w:pPr>
        <w:spacing w:after="0" w:line="240" w:lineRule="auto"/>
        <w:jc w:val="both"/>
        <w:rPr>
          <w:rFonts w:ascii="Arial" w:hAnsi="Arial" w:cs="Arial"/>
          <w:color w:val="000000" w:themeColor="text1"/>
          <w:sz w:val="24"/>
          <w:szCs w:val="24"/>
        </w:rPr>
      </w:pPr>
    </w:p>
    <w:p w:rsidR="001876E4" w:rsidRPr="00007197" w:rsidRDefault="001876E4" w:rsidP="001876E4">
      <w:pPr>
        <w:autoSpaceDE w:val="0"/>
        <w:autoSpaceDN w:val="0"/>
        <w:adjustRightInd w:val="0"/>
        <w:spacing w:after="0" w:line="240" w:lineRule="auto"/>
        <w:jc w:val="both"/>
        <w:rPr>
          <w:rFonts w:ascii="Arial" w:hAnsi="Arial" w:cs="Arial"/>
          <w:b/>
          <w:i/>
          <w:sz w:val="24"/>
          <w:szCs w:val="24"/>
        </w:rPr>
      </w:pPr>
      <w:r w:rsidRPr="00007197">
        <w:rPr>
          <w:rFonts w:ascii="Arial" w:hAnsi="Arial" w:cs="Arial"/>
          <w:b/>
          <w:sz w:val="24"/>
          <w:szCs w:val="24"/>
          <w:u w:val="single"/>
        </w:rPr>
        <w:t>Eje 3</w:t>
      </w:r>
      <w:r w:rsidRPr="00007197">
        <w:rPr>
          <w:rFonts w:ascii="Arial" w:hAnsi="Arial" w:cs="Arial"/>
          <w:b/>
          <w:sz w:val="24"/>
          <w:szCs w:val="24"/>
        </w:rPr>
        <w:t xml:space="preserve">. </w:t>
      </w:r>
      <w:r w:rsidRPr="00007197">
        <w:rPr>
          <w:rFonts w:ascii="Arial" w:hAnsi="Arial" w:cs="Arial"/>
          <w:b/>
          <w:i/>
          <w:sz w:val="24"/>
          <w:szCs w:val="24"/>
        </w:rPr>
        <w:t>Análisis integral de los gastos de operación de las Dependencias y Entidades, en el contexto del Plan de Austeridad y Eficiencia en el Gasto.</w:t>
      </w:r>
    </w:p>
    <w:p w:rsidR="001876E4" w:rsidRPr="004C50F4" w:rsidRDefault="001876E4" w:rsidP="001876E4">
      <w:pPr>
        <w:autoSpaceDE w:val="0"/>
        <w:autoSpaceDN w:val="0"/>
        <w:adjustRightInd w:val="0"/>
        <w:spacing w:after="0" w:line="240" w:lineRule="auto"/>
        <w:jc w:val="both"/>
        <w:rPr>
          <w:rFonts w:ascii="Arial" w:hAnsi="Arial" w:cs="Arial"/>
          <w:sz w:val="24"/>
          <w:szCs w:val="24"/>
        </w:rPr>
      </w:pPr>
    </w:p>
    <w:p w:rsidR="001876E4" w:rsidRPr="00007197"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Se efectuó un minucioso análisis del gasto de operación de las distintas Dependencias y Entidades, con el propósito de optimizar los recursos destinados a este rubro, para disponer de una línea base que permita demostrar de manera objetiva, consistente y sostenida su reducción, con un horizonte de corto y mediano plazo, sin afectar los niveles de operación de los programas y proyectos prioritarios a cargo de las diferentes instancias.</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Pr="00007197"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 xml:space="preserve">Los conceptos sujetos a dicho análisis corresponden a los gastos alineados a las partidas específicas de los capítulos 20000 y 30000, correspondientes a Materiales y Suministros y Servicios Generales, respectivamente. </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Pr="00007197"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Asimismo, se procedió a realizar el análisis del gasto corriente</w:t>
      </w:r>
      <w:r>
        <w:rPr>
          <w:rFonts w:ascii="Arial" w:hAnsi="Arial" w:cs="Arial"/>
          <w:sz w:val="24"/>
          <w:szCs w:val="24"/>
        </w:rPr>
        <w:t xml:space="preserve"> de las Entidades Paraestatales </w:t>
      </w:r>
      <w:r w:rsidRPr="00007197">
        <w:rPr>
          <w:rFonts w:ascii="Arial" w:hAnsi="Arial" w:cs="Arial"/>
          <w:sz w:val="24"/>
          <w:szCs w:val="24"/>
        </w:rPr>
        <w:t>desconcentradas y descentralizadas cuya asignación presupuestaria se presenta en el Proyecto de Presupuesto, a nivel agregado en partidas específicas, en el capítulo 40000 correspondiente a Transferencias, Asignaciones Subsidios y Otras Ayudas.</w:t>
      </w: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007197">
        <w:rPr>
          <w:rFonts w:ascii="Arial" w:hAnsi="Arial" w:cs="Arial"/>
          <w:sz w:val="24"/>
          <w:szCs w:val="24"/>
        </w:rPr>
        <w:t>En congruencia con la política de austeridad que impulsa la presente administración, se formuló y se puso en vigor el Plan de Austeridad (Reglas</w:t>
      </w:r>
      <w:r w:rsidRPr="00007197">
        <w:rPr>
          <w:rFonts w:ascii="Arial" w:hAnsi="Arial" w:cs="Arial"/>
          <w:bCs/>
          <w:sz w:val="24"/>
          <w:szCs w:val="24"/>
        </w:rPr>
        <w:t xml:space="preserve"> de Austeridad, Racionalidad y Disciplina del Gasto Público Estatal)</w:t>
      </w:r>
      <w:r w:rsidRPr="00007197">
        <w:rPr>
          <w:rFonts w:ascii="Arial" w:hAnsi="Arial" w:cs="Arial"/>
          <w:b/>
          <w:bCs/>
          <w:sz w:val="24"/>
          <w:szCs w:val="24"/>
        </w:rPr>
        <w:t xml:space="preserve"> </w:t>
      </w:r>
      <w:r w:rsidRPr="00007197">
        <w:rPr>
          <w:rFonts w:ascii="Arial" w:hAnsi="Arial" w:cs="Arial"/>
          <w:sz w:val="24"/>
          <w:szCs w:val="24"/>
        </w:rPr>
        <w:t>el cual será fortalecido para el ejercicio fiscal 2018, cuyo objeto es el de implementar el uso eficiente, transparente y eficaz de los recursos públicos, y las acciones de disciplina presupuestaria en el ejercicio del gasto público, siendo de observancia obligatoria para los servidores</w:t>
      </w:r>
      <w:r>
        <w:rPr>
          <w:rFonts w:ascii="Arial" w:hAnsi="Arial" w:cs="Arial"/>
          <w:sz w:val="24"/>
          <w:szCs w:val="24"/>
        </w:rPr>
        <w:t xml:space="preserve"> </w:t>
      </w:r>
      <w:r>
        <w:rPr>
          <w:rFonts w:ascii="Arial" w:hAnsi="Arial" w:cs="Arial"/>
          <w:sz w:val="24"/>
          <w:szCs w:val="24"/>
        </w:rPr>
        <w:lastRenderedPageBreak/>
        <w:t>públicos de las Dependencias y</w:t>
      </w:r>
      <w:r w:rsidRPr="00007197">
        <w:rPr>
          <w:rFonts w:ascii="Arial" w:hAnsi="Arial" w:cs="Arial"/>
          <w:sz w:val="24"/>
          <w:szCs w:val="24"/>
        </w:rPr>
        <w:t xml:space="preserve"> Entidades del Poder Ejecutivo del </w:t>
      </w:r>
      <w:r>
        <w:rPr>
          <w:rFonts w:ascii="Arial" w:hAnsi="Arial" w:cs="Arial"/>
          <w:sz w:val="24"/>
          <w:szCs w:val="24"/>
        </w:rPr>
        <w:t>Estado de Colima</w:t>
      </w:r>
      <w:r w:rsidRPr="00007197">
        <w:rPr>
          <w:rFonts w:ascii="Arial" w:hAnsi="Arial" w:cs="Arial"/>
          <w:sz w:val="24"/>
          <w:szCs w:val="24"/>
        </w:rPr>
        <w:t>.</w:t>
      </w:r>
    </w:p>
    <w:p w:rsidR="001876E4" w:rsidRPr="00007197"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Las Dependencias y Entidades, tendrán como eje rector del gasto público, la austeridad, racionalidad y disciplina en el ejercicio del mismo, por lo que establecerán compromisos específicos de metas de ahorro y economías presupuestarios en los diversos rubros de gasto, para lograr como gobierno un decremento del gasto corriente, reorientando los ahorros y economías al gasto social y a las actividades sustantivas de la administración.</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 xml:space="preserve">Se </w:t>
      </w:r>
      <w:r>
        <w:rPr>
          <w:rFonts w:ascii="Arial" w:hAnsi="Arial" w:cs="Arial"/>
          <w:sz w:val="24"/>
          <w:szCs w:val="24"/>
        </w:rPr>
        <w:t>fortalece la regulación de</w:t>
      </w:r>
      <w:r w:rsidRPr="00007197">
        <w:rPr>
          <w:rFonts w:ascii="Arial" w:hAnsi="Arial" w:cs="Arial"/>
          <w:sz w:val="24"/>
          <w:szCs w:val="24"/>
        </w:rPr>
        <w:t xml:space="preserve"> los procesos de compra de bienes, arrendamientos y servicios, cuyo espíritu será centralizar la totalidad de compras de las Dependencias y Entidades del Ejecutivo Estatal, como una herramienta que permita garantizar la absoluta transparencia de los procesos de contratación así como la administración de los recursos económicos de los que dispone el Poder Ejecutivo, con eficiencia, eficacia, economía, transparencia y honradez, para satisfacer los objetivos a los que están destinados.</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Se reducen al mínimo indispensable el número de vehículos con que cuentan las Dependencias y Entidades, quedando prohibida la adquisición de vehículos de lujo o gama alta, y su asignación para uso personal y exclusivo de un funcionario público, exceptuando a aquellos destinados al servicio de seguridad pública.</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Se restringe el gasto en arrendamiento de inmuebles (renta de oficinas) se implementará una estrategia de centralización de oficinas para disminuir gasto en rentas.</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007197">
        <w:rPr>
          <w:rFonts w:ascii="Arial" w:hAnsi="Arial" w:cs="Arial"/>
          <w:sz w:val="24"/>
          <w:szCs w:val="24"/>
        </w:rPr>
        <w:t xml:space="preserve">En materia de comunicación social debe racionalizarse al máximo el gasto con una adecuada coordinación y programación del mismo, con la participación que corresponda en las materias de seguridad, procuración de justicia, salud, educación y demás que sean necesarias para mantener a la población informada de eventos extraordinarios como desastres naturales o programas emergentes de atención a la población, así como aquellas excepciones que se consideren necesarias o estratégicas. </w:t>
      </w:r>
    </w:p>
    <w:p w:rsidR="001876E4" w:rsidRPr="00007197"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highlight w:val="yellow"/>
        </w:rPr>
      </w:pPr>
      <w:r w:rsidRPr="00B62502">
        <w:rPr>
          <w:rFonts w:ascii="Arial" w:hAnsi="Arial" w:cs="Arial"/>
          <w:sz w:val="24"/>
          <w:szCs w:val="24"/>
        </w:rPr>
        <w:t>Asimismo, por medio de la política de austeridad se busca hacer más eficiente la organización interna, mediante el uso de las tecnologías de la información y comunicación para mejorar la capacidad de entrega y la calidad de los servicios públicos para generar ahorros.</w:t>
      </w:r>
      <w:r w:rsidRPr="00F8671B">
        <w:rPr>
          <w:rFonts w:ascii="Arial" w:hAnsi="Arial" w:cs="Arial"/>
          <w:sz w:val="24"/>
          <w:szCs w:val="24"/>
          <w:highlight w:val="yellow"/>
        </w:rPr>
        <w:t xml:space="preserve"> </w:t>
      </w:r>
    </w:p>
    <w:p w:rsidR="001876E4" w:rsidRDefault="001876E4" w:rsidP="001876E4">
      <w:pPr>
        <w:spacing w:after="0" w:line="240" w:lineRule="auto"/>
        <w:jc w:val="both"/>
        <w:rPr>
          <w:rFonts w:ascii="Arial" w:hAnsi="Arial" w:cs="Arial"/>
          <w:sz w:val="24"/>
          <w:szCs w:val="24"/>
          <w:highlight w:val="yellow"/>
        </w:rPr>
      </w:pPr>
    </w:p>
    <w:p w:rsidR="001876E4" w:rsidRDefault="001876E4" w:rsidP="001876E4">
      <w:pPr>
        <w:spacing w:after="0" w:line="240" w:lineRule="auto"/>
        <w:jc w:val="both"/>
        <w:rPr>
          <w:rFonts w:ascii="Arial" w:hAnsi="Arial" w:cs="Arial"/>
          <w:sz w:val="24"/>
          <w:szCs w:val="24"/>
        </w:rPr>
      </w:pPr>
      <w:r w:rsidRPr="00B62502">
        <w:rPr>
          <w:rFonts w:ascii="Arial" w:hAnsi="Arial" w:cs="Arial"/>
          <w:sz w:val="24"/>
          <w:szCs w:val="24"/>
        </w:rPr>
        <w:lastRenderedPageBreak/>
        <w:t>El propósito es el contener y disminuir el gasto corriente en los siguientes aspectos generales:</w:t>
      </w:r>
    </w:p>
    <w:p w:rsidR="001876E4" w:rsidRDefault="001876E4" w:rsidP="001876E4">
      <w:pPr>
        <w:spacing w:after="0" w:line="240" w:lineRule="auto"/>
        <w:jc w:val="both"/>
        <w:rPr>
          <w:rFonts w:ascii="Arial" w:hAnsi="Arial" w:cs="Arial"/>
          <w:sz w:val="24"/>
          <w:szCs w:val="24"/>
        </w:rPr>
      </w:pPr>
    </w:p>
    <w:p w:rsidR="001876E4" w:rsidRDefault="001876E4" w:rsidP="001876E4">
      <w:pPr>
        <w:spacing w:line="240" w:lineRule="auto"/>
        <w:jc w:val="center"/>
        <w:rPr>
          <w:rFonts w:ascii="Arial" w:hAnsi="Arial" w:cs="Arial"/>
          <w:b/>
          <w:sz w:val="24"/>
          <w:szCs w:val="24"/>
          <w:highlight w:val="yellow"/>
        </w:rPr>
      </w:pPr>
      <w:r w:rsidRPr="009B5524">
        <w:rPr>
          <w:noProof/>
          <w:lang w:val="es-ES" w:eastAsia="es-ES"/>
        </w:rPr>
        <w:drawing>
          <wp:inline distT="0" distB="0" distL="0" distR="0" wp14:anchorId="69B2A685" wp14:editId="05AB267E">
            <wp:extent cx="4410075" cy="383621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16208" cy="3841549"/>
                    </a:xfrm>
                    <a:prstGeom prst="rect">
                      <a:avLst/>
                    </a:prstGeom>
                    <a:noFill/>
                    <a:ln>
                      <a:noFill/>
                    </a:ln>
                  </pic:spPr>
                </pic:pic>
              </a:graphicData>
            </a:graphic>
          </wp:inline>
        </w:drawing>
      </w:r>
    </w:p>
    <w:p w:rsidR="001876E4" w:rsidRPr="00271356" w:rsidRDefault="001876E4" w:rsidP="001876E4">
      <w:pPr>
        <w:spacing w:after="0" w:line="240" w:lineRule="auto"/>
        <w:jc w:val="center"/>
        <w:rPr>
          <w:rFonts w:ascii="Arial" w:hAnsi="Arial" w:cs="Arial"/>
          <w:b/>
          <w:sz w:val="24"/>
          <w:szCs w:val="24"/>
          <w:highlight w:val="yellow"/>
        </w:rPr>
      </w:pPr>
    </w:p>
    <w:p w:rsidR="001876E4" w:rsidRPr="00B62502" w:rsidRDefault="001876E4" w:rsidP="001876E4">
      <w:pPr>
        <w:tabs>
          <w:tab w:val="left" w:pos="2977"/>
        </w:tabs>
        <w:autoSpaceDE w:val="0"/>
        <w:autoSpaceDN w:val="0"/>
        <w:adjustRightInd w:val="0"/>
        <w:spacing w:after="0" w:line="240" w:lineRule="auto"/>
        <w:jc w:val="both"/>
        <w:rPr>
          <w:rFonts w:ascii="Arial" w:hAnsi="Arial" w:cs="Arial"/>
          <w:b/>
          <w:sz w:val="24"/>
          <w:szCs w:val="24"/>
        </w:rPr>
      </w:pPr>
      <w:r w:rsidRPr="00B62502">
        <w:rPr>
          <w:rFonts w:ascii="Arial" w:hAnsi="Arial" w:cs="Arial"/>
          <w:b/>
          <w:sz w:val="24"/>
          <w:szCs w:val="24"/>
        </w:rPr>
        <w:t>Gastos de Operación</w:t>
      </w:r>
    </w:p>
    <w:p w:rsidR="001876E4" w:rsidRPr="00B62502" w:rsidRDefault="001876E4" w:rsidP="001876E4">
      <w:pPr>
        <w:tabs>
          <w:tab w:val="left" w:pos="2977"/>
        </w:tabs>
        <w:autoSpaceDE w:val="0"/>
        <w:autoSpaceDN w:val="0"/>
        <w:adjustRightInd w:val="0"/>
        <w:spacing w:after="0" w:line="240" w:lineRule="auto"/>
        <w:jc w:val="both"/>
        <w:rPr>
          <w:rFonts w:ascii="Arial" w:hAnsi="Arial" w:cs="Arial"/>
          <w:b/>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rPr>
      </w:pPr>
      <w:r w:rsidRPr="00B62502">
        <w:rPr>
          <w:rFonts w:ascii="Arial" w:hAnsi="Arial" w:cs="Arial"/>
          <w:sz w:val="24"/>
          <w:szCs w:val="24"/>
        </w:rPr>
        <w:t xml:space="preserve">El gasto público constituye un instrumento determinante para la política económica. En la definición de las directrices en materia presupuestaria, compatibles con los objetivos de desarrollo económico y social, resultan fundamentales la determinación del nivel óptimo de gasto, así como su adecuada asignación. En lo que se refiere a su nivel, una política de gasto acertadamente definida se basa en la disponibilidad de recursos y en su contribución al logro de la meta de balance financiero. </w:t>
      </w:r>
    </w:p>
    <w:p w:rsidR="001876E4" w:rsidRPr="00B62502" w:rsidRDefault="001876E4" w:rsidP="001876E4">
      <w:pPr>
        <w:autoSpaceDE w:val="0"/>
        <w:autoSpaceDN w:val="0"/>
        <w:adjustRightInd w:val="0"/>
        <w:spacing w:after="0" w:line="240" w:lineRule="auto"/>
        <w:jc w:val="both"/>
        <w:rPr>
          <w:rFonts w:ascii="Arial" w:hAnsi="Arial" w:cs="Arial"/>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rPr>
      </w:pPr>
      <w:r w:rsidRPr="00B62502">
        <w:rPr>
          <w:rFonts w:ascii="Arial" w:hAnsi="Arial" w:cs="Arial"/>
          <w:sz w:val="24"/>
          <w:szCs w:val="24"/>
        </w:rPr>
        <w:t xml:space="preserve">Por lo que respecta a la orientación de las erogaciones, adquiere relevancia el impulso de los programas que fomentan el crecimiento económico y garantizan el acceso de la población a los bienes y servicios que genera el sector público, particularmente aquellos que se asocian con las necesidades de los grupos de población más vulnerables, o bien los que se relacionan con las acciones de </w:t>
      </w:r>
      <w:r w:rsidRPr="00B62502">
        <w:rPr>
          <w:rFonts w:ascii="Arial" w:hAnsi="Arial" w:cs="Arial"/>
          <w:sz w:val="24"/>
          <w:szCs w:val="24"/>
        </w:rPr>
        <w:lastRenderedPageBreak/>
        <w:t xml:space="preserve">gobierno altamente sensibles y prioritarias como la seguridad pública, la salud y la educación. </w:t>
      </w:r>
    </w:p>
    <w:p w:rsidR="001876E4" w:rsidRPr="00B62502" w:rsidRDefault="001876E4" w:rsidP="001876E4">
      <w:pPr>
        <w:autoSpaceDE w:val="0"/>
        <w:autoSpaceDN w:val="0"/>
        <w:adjustRightInd w:val="0"/>
        <w:spacing w:after="0" w:line="240" w:lineRule="auto"/>
        <w:jc w:val="both"/>
        <w:rPr>
          <w:rFonts w:ascii="Arial" w:hAnsi="Arial" w:cs="Arial"/>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rPr>
      </w:pPr>
      <w:r w:rsidRPr="00B62502">
        <w:rPr>
          <w:rFonts w:ascii="Arial" w:hAnsi="Arial" w:cs="Arial"/>
          <w:sz w:val="24"/>
          <w:szCs w:val="24"/>
        </w:rPr>
        <w:t>El manejo de una política de gasto orientada a resultados busca elevar la eficiencia en la ejecución de los recursos, con independencia de su naturaleza económica. Por lo regular, la sociedad mantiene una expectativa elevada de un gasto público intensivo en la creación o incremento de activos (inversión en infraestructura, por ejemplo), en lugar de un gasto concentrado en destinos de naturaleza corriente, principalmente en lo que respecta a gastos de operación.</w:t>
      </w:r>
    </w:p>
    <w:p w:rsidR="001876E4" w:rsidRPr="00B62502" w:rsidRDefault="001876E4" w:rsidP="001876E4">
      <w:pPr>
        <w:autoSpaceDE w:val="0"/>
        <w:autoSpaceDN w:val="0"/>
        <w:adjustRightInd w:val="0"/>
        <w:spacing w:after="0" w:line="240" w:lineRule="auto"/>
        <w:jc w:val="both"/>
        <w:rPr>
          <w:rFonts w:ascii="Arial" w:hAnsi="Arial" w:cs="Arial"/>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rPr>
      </w:pPr>
      <w:r w:rsidRPr="00B62502">
        <w:rPr>
          <w:rFonts w:ascii="Arial" w:hAnsi="Arial" w:cs="Arial"/>
          <w:sz w:val="24"/>
          <w:szCs w:val="24"/>
        </w:rPr>
        <w:t>En este sentido, si bien es deseable fomentar la existencia de coeficientes altos de participación del gasto de capital dentro del total programable, es indispensable establecer que el gasto de operación de las instituciones permite el desempeño gubernamental, lo cual incluye la entrega de bienes y servicios que la población demanda. Lo anterior sin olvidar que dichos recursos deben ser ejercidos bajo los criterios de legalidad, honestidad, eficiencia, eficacia, economía, racionalidad, austeridad, transparencia, control y rendición de cuentas.</w:t>
      </w:r>
    </w:p>
    <w:p w:rsidR="001876E4" w:rsidRPr="00B62502" w:rsidRDefault="001876E4" w:rsidP="001876E4">
      <w:pPr>
        <w:autoSpaceDE w:val="0"/>
        <w:autoSpaceDN w:val="0"/>
        <w:adjustRightInd w:val="0"/>
        <w:spacing w:after="0" w:line="240" w:lineRule="auto"/>
        <w:jc w:val="both"/>
        <w:rPr>
          <w:rFonts w:ascii="Arial" w:hAnsi="Arial" w:cs="Arial"/>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rPr>
      </w:pPr>
      <w:r w:rsidRPr="00B62502">
        <w:rPr>
          <w:rFonts w:ascii="Arial" w:hAnsi="Arial" w:cs="Arial"/>
          <w:sz w:val="24"/>
          <w:szCs w:val="24"/>
        </w:rPr>
        <w:t xml:space="preserve">El gasto de operación incluye, entre otros, los recursos destinados a la adquisición de los materiales y suministros que significan insumos para la generación de procesos, tales como pago de electricidad de hospitales, vestuario de fuerzas de seguridad, uniformes para enfermeras y doctores, material de laboratorio y gastos para la entrega de subsidios. </w:t>
      </w:r>
    </w:p>
    <w:p w:rsidR="001876E4" w:rsidRPr="00B62502" w:rsidRDefault="001876E4" w:rsidP="001876E4">
      <w:pPr>
        <w:autoSpaceDE w:val="0"/>
        <w:autoSpaceDN w:val="0"/>
        <w:adjustRightInd w:val="0"/>
        <w:spacing w:after="0" w:line="240" w:lineRule="auto"/>
        <w:jc w:val="both"/>
        <w:rPr>
          <w:rFonts w:ascii="Arial" w:hAnsi="Arial" w:cs="Arial"/>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lang w:val="es-ES"/>
        </w:rPr>
      </w:pPr>
      <w:r w:rsidRPr="00B62502">
        <w:rPr>
          <w:rFonts w:ascii="Arial" w:hAnsi="Arial" w:cs="Arial"/>
          <w:sz w:val="24"/>
          <w:szCs w:val="24"/>
        </w:rPr>
        <w:t>Asimismo, dicho gasto de operación integra recursos para el pago del consumo eléctrico y de telefonía; arrendamiento de edificios; mantenimiento; servicios de telecomunicación, de traslado y viáticos; congresos y convenciones; servicios de consultoría y asesoría, entre otros</w:t>
      </w:r>
      <w:r>
        <w:rPr>
          <w:rFonts w:ascii="Arial" w:hAnsi="Arial" w:cs="Arial"/>
          <w:sz w:val="24"/>
          <w:szCs w:val="24"/>
        </w:rPr>
        <w:t>.</w:t>
      </w:r>
    </w:p>
    <w:p w:rsidR="001876E4" w:rsidRPr="00B62502" w:rsidRDefault="001876E4" w:rsidP="001876E4">
      <w:pPr>
        <w:pStyle w:val="Texto"/>
        <w:spacing w:after="0" w:line="240" w:lineRule="auto"/>
        <w:ind w:firstLine="0"/>
        <w:rPr>
          <w:rFonts w:eastAsiaTheme="minorHAnsi"/>
          <w:sz w:val="24"/>
          <w:szCs w:val="24"/>
          <w:lang w:eastAsia="en-US"/>
        </w:rPr>
      </w:pPr>
    </w:p>
    <w:p w:rsidR="001876E4" w:rsidRPr="00B62502" w:rsidRDefault="001876E4" w:rsidP="001876E4">
      <w:pPr>
        <w:pStyle w:val="Texto"/>
        <w:spacing w:after="0" w:line="240" w:lineRule="auto"/>
        <w:ind w:firstLine="0"/>
        <w:rPr>
          <w:sz w:val="24"/>
          <w:szCs w:val="24"/>
        </w:rPr>
      </w:pPr>
      <w:r w:rsidRPr="00B62502">
        <w:rPr>
          <w:sz w:val="24"/>
          <w:szCs w:val="24"/>
        </w:rPr>
        <w:t xml:space="preserve">El gasto de operación se concentra en áreas que atienden temas altamente sensibles para la población, como la seguridad, o que apoyan la entrega de bienes y servicios como la educación y la salud. </w:t>
      </w:r>
    </w:p>
    <w:p w:rsidR="001876E4" w:rsidRPr="00B62502" w:rsidRDefault="001876E4" w:rsidP="001876E4">
      <w:pPr>
        <w:pStyle w:val="Texto"/>
        <w:spacing w:after="0" w:line="240" w:lineRule="auto"/>
        <w:ind w:firstLine="0"/>
        <w:rPr>
          <w:sz w:val="24"/>
          <w:szCs w:val="24"/>
        </w:rPr>
      </w:pPr>
    </w:p>
    <w:p w:rsidR="001876E4" w:rsidRPr="00B62502" w:rsidRDefault="001876E4" w:rsidP="001876E4">
      <w:pPr>
        <w:pStyle w:val="Texto"/>
        <w:spacing w:after="0" w:line="240" w:lineRule="auto"/>
        <w:ind w:firstLine="0"/>
        <w:rPr>
          <w:sz w:val="24"/>
          <w:szCs w:val="24"/>
        </w:rPr>
      </w:pPr>
      <w:r w:rsidRPr="00B62502">
        <w:rPr>
          <w:sz w:val="24"/>
          <w:szCs w:val="24"/>
        </w:rPr>
        <w:t>Es por ello que, sin menoscabo de lo dispuesto en las leyes y considerando la necesidad creciente de generar activos, resulta importante establecer que el gasto de operación cumple con un propósito que obedece al marco institucional aplicable.</w:t>
      </w:r>
    </w:p>
    <w:p w:rsidR="001876E4" w:rsidRPr="00B62502" w:rsidRDefault="001876E4" w:rsidP="001876E4">
      <w:pPr>
        <w:pStyle w:val="Texto"/>
        <w:spacing w:after="0" w:line="240" w:lineRule="auto"/>
        <w:ind w:firstLine="0"/>
        <w:rPr>
          <w:sz w:val="24"/>
          <w:szCs w:val="24"/>
        </w:rPr>
      </w:pPr>
    </w:p>
    <w:p w:rsidR="001876E4" w:rsidRPr="00B62502" w:rsidRDefault="001876E4" w:rsidP="001876E4">
      <w:pPr>
        <w:pStyle w:val="Texto"/>
        <w:spacing w:after="0" w:line="240" w:lineRule="auto"/>
        <w:ind w:firstLine="0"/>
        <w:rPr>
          <w:sz w:val="24"/>
          <w:szCs w:val="24"/>
        </w:rPr>
      </w:pPr>
      <w:r w:rsidRPr="00B62502">
        <w:rPr>
          <w:sz w:val="24"/>
          <w:szCs w:val="24"/>
        </w:rPr>
        <w:t xml:space="preserve">No obstante, el Gobierno del Estado, consciente de las prioridades en materia de provisión de bienes y servicios públicos, así como de generación de ahorros, busca establecer y ejecutar una política de gasto que racionalice el gasto de operación, en </w:t>
      </w:r>
      <w:r w:rsidRPr="00B62502">
        <w:rPr>
          <w:sz w:val="24"/>
          <w:szCs w:val="24"/>
        </w:rPr>
        <w:lastRenderedPageBreak/>
        <w:t>favor de la reasignación de los recursos presupuestarios disponibles hacia programas sustantivos, sin afectar el cumplimiento de las metas institucionales establecidas y especialmente los programas sociales, especialmente los enfocados a la ate</w:t>
      </w:r>
      <w:r>
        <w:rPr>
          <w:sz w:val="24"/>
          <w:szCs w:val="24"/>
        </w:rPr>
        <w:t>nción de los grupos vulnerables.</w:t>
      </w:r>
    </w:p>
    <w:p w:rsidR="001876E4" w:rsidRDefault="001876E4" w:rsidP="001876E4">
      <w:pPr>
        <w:pStyle w:val="Texto"/>
        <w:spacing w:after="0" w:line="240" w:lineRule="auto"/>
        <w:ind w:firstLine="0"/>
        <w:rPr>
          <w:sz w:val="24"/>
          <w:szCs w:val="24"/>
          <w:highlight w:val="yellow"/>
        </w:rPr>
      </w:pPr>
    </w:p>
    <w:p w:rsidR="001876E4" w:rsidRPr="00B62502" w:rsidRDefault="001876E4" w:rsidP="001876E4">
      <w:pPr>
        <w:pStyle w:val="Texto"/>
        <w:spacing w:after="0" w:line="240" w:lineRule="auto"/>
        <w:ind w:firstLine="0"/>
        <w:rPr>
          <w:sz w:val="24"/>
          <w:szCs w:val="24"/>
        </w:rPr>
      </w:pPr>
      <w:r w:rsidRPr="00B62502">
        <w:rPr>
          <w:sz w:val="24"/>
          <w:szCs w:val="24"/>
        </w:rPr>
        <w:t xml:space="preserve">La presente Administración Estatal ha impulsado una reforma integral, armónica y congruente en materia de presupuesto, gasto y responsabilidad hacendaria, en ese tenor, se turnó al H. Congreso y fue aprobada por esta soberanía la </w:t>
      </w:r>
      <w:r w:rsidRPr="00B62502">
        <w:rPr>
          <w:b/>
          <w:sz w:val="24"/>
          <w:szCs w:val="24"/>
        </w:rPr>
        <w:t xml:space="preserve">Ley de Presupuesto y Responsabilidad Hacendaria del </w:t>
      </w:r>
      <w:r>
        <w:rPr>
          <w:b/>
          <w:sz w:val="24"/>
          <w:szCs w:val="24"/>
        </w:rPr>
        <w:t>Estado de Colima</w:t>
      </w:r>
      <w:r w:rsidRPr="00B62502">
        <w:rPr>
          <w:b/>
          <w:sz w:val="24"/>
          <w:szCs w:val="24"/>
        </w:rPr>
        <w:t>,</w:t>
      </w:r>
      <w:r w:rsidRPr="00B62502">
        <w:rPr>
          <w:sz w:val="24"/>
          <w:szCs w:val="24"/>
        </w:rPr>
        <w:t xml:space="preserve"> por medio de la cual se armoniza la legislación de la materia, con la Ley de Disciplina Financiera de las Entidades Federativas y los Municipios.</w:t>
      </w:r>
    </w:p>
    <w:p w:rsidR="001876E4" w:rsidRPr="00F8671B" w:rsidRDefault="001876E4" w:rsidP="001876E4">
      <w:pPr>
        <w:pStyle w:val="Texto"/>
        <w:spacing w:after="0" w:line="240" w:lineRule="auto"/>
        <w:ind w:firstLine="0"/>
        <w:rPr>
          <w:sz w:val="24"/>
          <w:szCs w:val="24"/>
          <w:highlight w:val="yellow"/>
        </w:rPr>
      </w:pPr>
    </w:p>
    <w:p w:rsidR="001876E4" w:rsidRPr="00B62502" w:rsidRDefault="001876E4" w:rsidP="001876E4">
      <w:pPr>
        <w:pStyle w:val="Texto"/>
        <w:spacing w:after="0" w:line="240" w:lineRule="auto"/>
        <w:ind w:firstLine="0"/>
        <w:rPr>
          <w:sz w:val="24"/>
          <w:szCs w:val="24"/>
        </w:rPr>
      </w:pPr>
      <w:r w:rsidRPr="00B62502">
        <w:rPr>
          <w:sz w:val="24"/>
          <w:szCs w:val="24"/>
        </w:rPr>
        <w:t>La política de austeridad en materia de gastos de operación se ha fortalecido y se continuará fortal</w:t>
      </w:r>
      <w:r>
        <w:rPr>
          <w:sz w:val="24"/>
          <w:szCs w:val="24"/>
        </w:rPr>
        <w:t>eciendo mediante lo siguiente:</w:t>
      </w:r>
    </w:p>
    <w:p w:rsidR="001876E4" w:rsidRPr="00B62502" w:rsidRDefault="001876E4" w:rsidP="001876E4">
      <w:pPr>
        <w:pStyle w:val="Texto"/>
        <w:spacing w:after="0" w:line="240" w:lineRule="auto"/>
        <w:ind w:firstLine="0"/>
        <w:rPr>
          <w:sz w:val="24"/>
          <w:szCs w:val="24"/>
        </w:rPr>
      </w:pPr>
    </w:p>
    <w:p w:rsidR="001876E4" w:rsidRPr="00B62502" w:rsidRDefault="001876E4" w:rsidP="001876E4">
      <w:pPr>
        <w:autoSpaceDE w:val="0"/>
        <w:autoSpaceDN w:val="0"/>
        <w:adjustRightInd w:val="0"/>
        <w:spacing w:after="0" w:line="240" w:lineRule="auto"/>
        <w:jc w:val="both"/>
        <w:rPr>
          <w:rFonts w:ascii="Arial" w:hAnsi="Arial" w:cs="Arial"/>
          <w:sz w:val="24"/>
          <w:szCs w:val="24"/>
        </w:rPr>
      </w:pPr>
      <w:r w:rsidRPr="00B62502">
        <w:rPr>
          <w:rFonts w:ascii="Arial" w:hAnsi="Arial" w:cs="Arial"/>
          <w:sz w:val="24"/>
          <w:szCs w:val="24"/>
        </w:rPr>
        <w:t xml:space="preserve">Formulación, publicación y aplicación del Decreto relativo a las </w:t>
      </w:r>
      <w:r w:rsidRPr="00B62502">
        <w:rPr>
          <w:rFonts w:ascii="Arial" w:hAnsi="Arial" w:cs="Arial"/>
          <w:b/>
          <w:bCs/>
          <w:sz w:val="24"/>
          <w:szCs w:val="24"/>
        </w:rPr>
        <w:t>Reglas de Austeridad, Racionalidad y Disciplina del Gasto Público Estatal</w:t>
      </w:r>
      <w:r w:rsidRPr="00B62502">
        <w:rPr>
          <w:rFonts w:ascii="Arial" w:hAnsi="Arial" w:cs="Arial"/>
          <w:sz w:val="24"/>
          <w:szCs w:val="24"/>
        </w:rPr>
        <w:t xml:space="preserve"> que establece las medidas para el uso eficiente, transparente y eficaz de los recursos públicos, y las acciones de disciplina presupuestaria en el ejercicio del gasto público.</w:t>
      </w:r>
    </w:p>
    <w:p w:rsidR="001876E4" w:rsidRPr="00B62502" w:rsidRDefault="001876E4" w:rsidP="001876E4">
      <w:pPr>
        <w:autoSpaceDE w:val="0"/>
        <w:autoSpaceDN w:val="0"/>
        <w:adjustRightInd w:val="0"/>
        <w:spacing w:after="0" w:line="240" w:lineRule="auto"/>
        <w:jc w:val="both"/>
        <w:rPr>
          <w:rFonts w:ascii="Arial" w:hAnsi="Arial" w:cs="Arial"/>
          <w:sz w:val="24"/>
          <w:szCs w:val="24"/>
        </w:rPr>
      </w:pPr>
    </w:p>
    <w:p w:rsidR="001876E4" w:rsidRPr="00B62502" w:rsidRDefault="001876E4" w:rsidP="001876E4">
      <w:pPr>
        <w:pStyle w:val="Texto"/>
        <w:spacing w:after="0" w:line="240" w:lineRule="auto"/>
        <w:ind w:firstLine="0"/>
        <w:rPr>
          <w:sz w:val="24"/>
          <w:szCs w:val="24"/>
        </w:rPr>
      </w:pPr>
      <w:r w:rsidRPr="00B62502">
        <w:rPr>
          <w:bCs/>
          <w:sz w:val="24"/>
          <w:szCs w:val="24"/>
          <w:lang w:val="es-MX"/>
        </w:rPr>
        <w:t xml:space="preserve">En complemento a lo anterior, </w:t>
      </w:r>
      <w:r w:rsidRPr="00B62502">
        <w:rPr>
          <w:bCs/>
          <w:sz w:val="24"/>
          <w:szCs w:val="24"/>
        </w:rPr>
        <w:t xml:space="preserve">previa Iniciativa de Ley con Proyecto de Decreto del Ejecutivo Estatal y mediante aprobación del Congreso del Estado, se abroga la Ley de Adquisiciones, Servicios y Arrendamientos del Sector Público en el </w:t>
      </w:r>
      <w:r>
        <w:rPr>
          <w:bCs/>
          <w:sz w:val="24"/>
          <w:szCs w:val="24"/>
        </w:rPr>
        <w:t>Estado de Colima</w:t>
      </w:r>
      <w:r w:rsidRPr="00B62502">
        <w:rPr>
          <w:bCs/>
          <w:sz w:val="24"/>
          <w:szCs w:val="24"/>
        </w:rPr>
        <w:t xml:space="preserve">, del 15 de junio del 2002 y se aprobó la nueva </w:t>
      </w:r>
      <w:r w:rsidRPr="00B62502">
        <w:rPr>
          <w:b/>
          <w:sz w:val="24"/>
          <w:szCs w:val="24"/>
        </w:rPr>
        <w:t xml:space="preserve">Ley de Adquisiciones, Arrendamientos y Servicios del Sector Público del </w:t>
      </w:r>
      <w:r>
        <w:rPr>
          <w:b/>
          <w:sz w:val="24"/>
          <w:szCs w:val="24"/>
        </w:rPr>
        <w:t>Estado de Colima</w:t>
      </w:r>
      <w:r w:rsidRPr="00B62502">
        <w:rPr>
          <w:sz w:val="24"/>
          <w:szCs w:val="24"/>
        </w:rPr>
        <w:t xml:space="preserve">, publicada en el Periódico Oficial” El </w:t>
      </w:r>
      <w:r>
        <w:rPr>
          <w:sz w:val="24"/>
          <w:szCs w:val="24"/>
        </w:rPr>
        <w:t>Estado de Colima”, el</w:t>
      </w:r>
      <w:r w:rsidRPr="00B62502">
        <w:rPr>
          <w:sz w:val="24"/>
          <w:szCs w:val="24"/>
        </w:rPr>
        <w:t xml:space="preserve"> 10 de septiembre de 2016 mediante Decreto  No. 150 , con dicha acción se fortalecen  las reglas relativas al adecuado manejo de los recursos públicos que se emplean en las contrataciones públicas.</w:t>
      </w:r>
    </w:p>
    <w:p w:rsidR="001876E4" w:rsidRPr="00F8671B" w:rsidRDefault="001876E4" w:rsidP="001876E4">
      <w:pPr>
        <w:pStyle w:val="Texto"/>
        <w:spacing w:after="0" w:line="240" w:lineRule="auto"/>
        <w:ind w:firstLine="0"/>
        <w:rPr>
          <w:sz w:val="24"/>
          <w:szCs w:val="24"/>
          <w:highlight w:val="yellow"/>
        </w:rPr>
      </w:pPr>
    </w:p>
    <w:p w:rsidR="001876E4" w:rsidRPr="00B62502" w:rsidRDefault="001876E4" w:rsidP="001876E4">
      <w:pPr>
        <w:pStyle w:val="Texto"/>
        <w:spacing w:after="0" w:line="240" w:lineRule="auto"/>
        <w:ind w:firstLine="0"/>
        <w:rPr>
          <w:i/>
          <w:sz w:val="24"/>
          <w:szCs w:val="24"/>
        </w:rPr>
      </w:pPr>
      <w:r w:rsidRPr="00B62502">
        <w:rPr>
          <w:sz w:val="24"/>
          <w:szCs w:val="24"/>
          <w:lang w:val="es-MX"/>
        </w:rPr>
        <w:t>Por otra parte, se tomaron en consideración las políticas</w:t>
      </w:r>
      <w:r w:rsidRPr="00B62502">
        <w:rPr>
          <w:sz w:val="24"/>
          <w:szCs w:val="24"/>
        </w:rPr>
        <w:t xml:space="preserve"> de finanzas públicas contenidas en el Eje Transversal </w:t>
      </w:r>
      <w:r w:rsidRPr="00B62502">
        <w:rPr>
          <w:i/>
          <w:sz w:val="24"/>
          <w:szCs w:val="24"/>
        </w:rPr>
        <w:t>“Colima con un Gobierno Moderno, Efectivo y Transparente” del PED.</w:t>
      </w:r>
    </w:p>
    <w:p w:rsidR="001876E4" w:rsidRPr="00F8671B" w:rsidRDefault="001876E4" w:rsidP="001876E4">
      <w:pPr>
        <w:pStyle w:val="Texto"/>
        <w:spacing w:after="0" w:line="240" w:lineRule="auto"/>
        <w:ind w:firstLine="0"/>
        <w:rPr>
          <w:sz w:val="24"/>
          <w:szCs w:val="24"/>
          <w:highlight w:val="yellow"/>
        </w:rPr>
      </w:pPr>
    </w:p>
    <w:p w:rsidR="001876E4" w:rsidRPr="00300D23" w:rsidRDefault="001876E4" w:rsidP="001876E4">
      <w:pPr>
        <w:pStyle w:val="Texto"/>
        <w:spacing w:after="0" w:line="240" w:lineRule="auto"/>
        <w:ind w:firstLine="0"/>
        <w:rPr>
          <w:sz w:val="24"/>
          <w:szCs w:val="24"/>
        </w:rPr>
      </w:pPr>
      <w:r w:rsidRPr="00300D23">
        <w:rPr>
          <w:sz w:val="24"/>
          <w:szCs w:val="24"/>
        </w:rPr>
        <w:t>Para el 2018, se continuará impulsando la optimización en el uso de los recursos públicos, en particular, para fortalecer la estrategia de contención al gasto en servicios personales y gasto de operación. En forma periódica, se evaluará el logro de las acciones gubernamentales en esta materia, con base en la evolución de los indicadores establecidos para tal propósito.</w:t>
      </w:r>
    </w:p>
    <w:p w:rsidR="001876E4" w:rsidRPr="00F8671B" w:rsidRDefault="001876E4" w:rsidP="001876E4">
      <w:pPr>
        <w:pStyle w:val="Texto"/>
        <w:spacing w:after="0" w:line="240" w:lineRule="auto"/>
        <w:ind w:firstLine="0"/>
        <w:rPr>
          <w:sz w:val="24"/>
          <w:szCs w:val="24"/>
          <w:highlight w:val="yellow"/>
        </w:rPr>
      </w:pPr>
    </w:p>
    <w:p w:rsidR="001876E4" w:rsidRPr="00906279" w:rsidRDefault="001876E4" w:rsidP="001876E4">
      <w:pPr>
        <w:pStyle w:val="Texto"/>
        <w:spacing w:after="0" w:line="240" w:lineRule="auto"/>
        <w:ind w:firstLine="0"/>
        <w:rPr>
          <w:sz w:val="24"/>
          <w:szCs w:val="24"/>
        </w:rPr>
      </w:pPr>
      <w:r w:rsidRPr="00906279">
        <w:rPr>
          <w:rStyle w:val="Textoennegrita"/>
          <w:b w:val="0"/>
          <w:sz w:val="24"/>
          <w:szCs w:val="24"/>
        </w:rPr>
        <w:lastRenderedPageBreak/>
        <w:t>La presente</w:t>
      </w:r>
      <w:r w:rsidRPr="00906279">
        <w:rPr>
          <w:rStyle w:val="Textoennegrita"/>
          <w:sz w:val="24"/>
          <w:szCs w:val="24"/>
        </w:rPr>
        <w:t xml:space="preserve"> </w:t>
      </w:r>
      <w:r w:rsidRPr="00906279">
        <w:rPr>
          <w:sz w:val="24"/>
          <w:szCs w:val="24"/>
        </w:rPr>
        <w:t>administración continuará siendo muy enfática respecto a la</w:t>
      </w:r>
      <w:r>
        <w:rPr>
          <w:rStyle w:val="apple-converted-space"/>
          <w:sz w:val="24"/>
          <w:szCs w:val="24"/>
        </w:rPr>
        <w:t xml:space="preserve"> cero tolerancia </w:t>
      </w:r>
      <w:r w:rsidRPr="00906279">
        <w:rPr>
          <w:sz w:val="24"/>
          <w:szCs w:val="24"/>
        </w:rPr>
        <w:t>en materia de corrupción.</w:t>
      </w:r>
    </w:p>
    <w:p w:rsidR="001876E4" w:rsidRPr="00F8671B" w:rsidRDefault="001876E4" w:rsidP="001876E4">
      <w:pPr>
        <w:pStyle w:val="Texto"/>
        <w:spacing w:after="0" w:line="240" w:lineRule="auto"/>
        <w:ind w:firstLine="0"/>
        <w:rPr>
          <w:strike/>
          <w:sz w:val="24"/>
          <w:szCs w:val="24"/>
          <w:highlight w:val="yellow"/>
          <w:lang w:val="es-MX"/>
        </w:rPr>
      </w:pPr>
    </w:p>
    <w:p w:rsidR="001876E4" w:rsidRPr="00BA296D" w:rsidRDefault="001876E4" w:rsidP="001876E4">
      <w:pPr>
        <w:autoSpaceDE w:val="0"/>
        <w:autoSpaceDN w:val="0"/>
        <w:adjustRightInd w:val="0"/>
        <w:spacing w:after="0" w:line="240" w:lineRule="auto"/>
        <w:jc w:val="both"/>
        <w:rPr>
          <w:rFonts w:ascii="Arial" w:hAnsi="Arial" w:cs="Arial"/>
          <w:sz w:val="24"/>
          <w:szCs w:val="24"/>
        </w:rPr>
      </w:pPr>
      <w:r w:rsidRPr="00BA296D">
        <w:rPr>
          <w:rFonts w:ascii="Arial" w:hAnsi="Arial" w:cs="Arial"/>
          <w:sz w:val="24"/>
          <w:szCs w:val="24"/>
        </w:rPr>
        <w:t xml:space="preserve">El 31 de enero de 2017, se publicaron en el Periódico Oficial “El </w:t>
      </w:r>
      <w:r>
        <w:rPr>
          <w:rFonts w:ascii="Arial" w:hAnsi="Arial" w:cs="Arial"/>
          <w:sz w:val="24"/>
          <w:szCs w:val="24"/>
        </w:rPr>
        <w:t>Estado de Colima</w:t>
      </w:r>
      <w:r w:rsidRPr="00BA296D">
        <w:rPr>
          <w:rFonts w:ascii="Arial" w:hAnsi="Arial" w:cs="Arial"/>
          <w:sz w:val="24"/>
          <w:szCs w:val="24"/>
        </w:rPr>
        <w:t xml:space="preserve">” las </w:t>
      </w:r>
      <w:r w:rsidRPr="00BA296D">
        <w:rPr>
          <w:rFonts w:ascii="Arial" w:hAnsi="Arial" w:cs="Arial"/>
          <w:b/>
          <w:sz w:val="24"/>
          <w:szCs w:val="24"/>
        </w:rPr>
        <w:t>Reglas de Austeridad, Racionalidad y Disciplina del Gasto Público Estatal</w:t>
      </w:r>
      <w:r w:rsidRPr="00BA296D">
        <w:rPr>
          <w:rFonts w:ascii="Arial" w:hAnsi="Arial" w:cs="Arial"/>
          <w:sz w:val="24"/>
          <w:szCs w:val="24"/>
        </w:rPr>
        <w:t>, cumpliendo con el compromiso de iniciar uno de los planes más ambiciosos en la historia de Colima en materia de ahorro, eficiencia del gasto público y disciplina financiera. Estas reglas fueron adicionadas mediante reforma publicada en el Periódico Oficial el 22 de marzo de 2017.</w:t>
      </w: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4A60BA" w:rsidRDefault="001876E4" w:rsidP="001876E4">
      <w:pPr>
        <w:autoSpaceDE w:val="0"/>
        <w:autoSpaceDN w:val="0"/>
        <w:adjustRightInd w:val="0"/>
        <w:spacing w:after="0" w:line="240" w:lineRule="auto"/>
        <w:jc w:val="both"/>
        <w:rPr>
          <w:rFonts w:ascii="Arial" w:hAnsi="Arial" w:cs="Arial"/>
          <w:sz w:val="24"/>
          <w:szCs w:val="24"/>
        </w:rPr>
      </w:pPr>
      <w:r w:rsidRPr="004A60BA">
        <w:rPr>
          <w:rFonts w:ascii="Arial" w:hAnsi="Arial" w:cs="Arial"/>
          <w:sz w:val="24"/>
          <w:szCs w:val="24"/>
        </w:rPr>
        <w:t>Este plan de austeridad elimina gastos no esenciales y reorienta los recursos hacia inversiones en programas sociales y actividades sustantivas de la administración.</w:t>
      </w:r>
    </w:p>
    <w:p w:rsidR="001876E4" w:rsidRPr="004A60BA" w:rsidRDefault="001876E4" w:rsidP="001876E4">
      <w:pPr>
        <w:autoSpaceDE w:val="0"/>
        <w:autoSpaceDN w:val="0"/>
        <w:adjustRightInd w:val="0"/>
        <w:spacing w:after="0" w:line="240" w:lineRule="auto"/>
        <w:jc w:val="both"/>
        <w:rPr>
          <w:rFonts w:ascii="Arial" w:hAnsi="Arial" w:cs="Arial"/>
          <w:sz w:val="24"/>
          <w:szCs w:val="24"/>
        </w:rPr>
      </w:pPr>
    </w:p>
    <w:p w:rsidR="001876E4" w:rsidRPr="004A60BA" w:rsidRDefault="001876E4" w:rsidP="001876E4">
      <w:pPr>
        <w:autoSpaceDE w:val="0"/>
        <w:autoSpaceDN w:val="0"/>
        <w:adjustRightInd w:val="0"/>
        <w:spacing w:after="0" w:line="240" w:lineRule="auto"/>
        <w:jc w:val="both"/>
        <w:rPr>
          <w:rFonts w:ascii="Arial" w:hAnsi="Arial" w:cs="Arial"/>
          <w:sz w:val="24"/>
          <w:szCs w:val="24"/>
        </w:rPr>
      </w:pPr>
      <w:r w:rsidRPr="004A60BA">
        <w:rPr>
          <w:rFonts w:ascii="Arial" w:hAnsi="Arial" w:cs="Arial"/>
          <w:sz w:val="24"/>
          <w:szCs w:val="24"/>
        </w:rPr>
        <w:t xml:space="preserve">Estas medidas además de coadyuvar en el saneamiento y la estabilización de las finanzas públicas, </w:t>
      </w:r>
      <w:r>
        <w:rPr>
          <w:rFonts w:ascii="Arial" w:hAnsi="Arial" w:cs="Arial"/>
          <w:sz w:val="24"/>
          <w:szCs w:val="24"/>
        </w:rPr>
        <w:t>permitirán</w:t>
      </w:r>
      <w:r w:rsidRPr="004A60BA">
        <w:rPr>
          <w:rFonts w:ascii="Arial" w:hAnsi="Arial" w:cs="Arial"/>
          <w:sz w:val="24"/>
          <w:szCs w:val="24"/>
        </w:rPr>
        <w:t xml:space="preserve"> reorientar los recursos hacia los temas de más sensibilidad y necesidad social, contribuyendo al mejoramiento del bienestar de las familias colimenses.</w:t>
      </w:r>
    </w:p>
    <w:p w:rsidR="001876E4" w:rsidRPr="00EF3BFB" w:rsidRDefault="001876E4" w:rsidP="001876E4">
      <w:pPr>
        <w:pStyle w:val="Texto"/>
        <w:spacing w:after="0" w:line="240" w:lineRule="auto"/>
        <w:ind w:firstLine="0"/>
        <w:rPr>
          <w:sz w:val="24"/>
          <w:szCs w:val="24"/>
          <w:highlight w:val="yellow"/>
        </w:rPr>
      </w:pPr>
    </w:p>
    <w:p w:rsidR="001876E4" w:rsidRPr="00403649" w:rsidRDefault="001876E4" w:rsidP="001876E4">
      <w:pPr>
        <w:autoSpaceDE w:val="0"/>
        <w:autoSpaceDN w:val="0"/>
        <w:adjustRightInd w:val="0"/>
        <w:spacing w:after="0" w:line="240" w:lineRule="auto"/>
        <w:jc w:val="both"/>
        <w:rPr>
          <w:rFonts w:ascii="Arial" w:hAnsi="Arial" w:cs="Arial"/>
          <w:b/>
          <w:sz w:val="24"/>
          <w:szCs w:val="24"/>
        </w:rPr>
      </w:pPr>
      <w:r w:rsidRPr="00403649">
        <w:rPr>
          <w:rFonts w:ascii="Arial" w:hAnsi="Arial" w:cs="Arial"/>
          <w:b/>
          <w:sz w:val="24"/>
          <w:szCs w:val="24"/>
          <w:u w:val="single"/>
        </w:rPr>
        <w:t>Eje 4.</w:t>
      </w:r>
      <w:r w:rsidRPr="00403649">
        <w:rPr>
          <w:rFonts w:ascii="Arial" w:hAnsi="Arial" w:cs="Arial"/>
          <w:b/>
          <w:i/>
          <w:sz w:val="24"/>
          <w:szCs w:val="24"/>
        </w:rPr>
        <w:t xml:space="preserve"> Mejora en la asignación de recursos destinados a programas y proyectos de Inversión.</w:t>
      </w:r>
    </w:p>
    <w:p w:rsidR="001876E4" w:rsidRPr="004C50F4" w:rsidRDefault="001876E4" w:rsidP="001876E4">
      <w:pPr>
        <w:autoSpaceDE w:val="0"/>
        <w:autoSpaceDN w:val="0"/>
        <w:adjustRightInd w:val="0"/>
        <w:spacing w:after="0" w:line="240" w:lineRule="auto"/>
        <w:jc w:val="both"/>
        <w:rPr>
          <w:rFonts w:ascii="Arial" w:hAnsi="Arial" w:cs="Arial"/>
          <w:sz w:val="24"/>
          <w:szCs w:val="24"/>
        </w:rPr>
      </w:pPr>
    </w:p>
    <w:p w:rsidR="001876E4" w:rsidRPr="00BC0010" w:rsidRDefault="001876E4" w:rsidP="001876E4">
      <w:p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Con base en la definición de las prioridades estatales plasmadas en el PED derivadas del consenso ciudadano por medio de la planeación participativa, en el marco de la Gestión para Resultados, se fortalecieron las acciones con el propósito de mejorar la asignación de recursos a los programas y proyectos de inversión,  a partir del análisis de costo-beneficio, a fin de priorizar los de mayor p</w:t>
      </w:r>
      <w:r>
        <w:rPr>
          <w:rFonts w:ascii="Arial" w:hAnsi="Arial" w:cs="Arial"/>
          <w:sz w:val="24"/>
          <w:szCs w:val="24"/>
        </w:rPr>
        <w:t>otencial y rentabilidad social,</w:t>
      </w:r>
      <w:r w:rsidRPr="00403649">
        <w:rPr>
          <w:rFonts w:ascii="Arial" w:hAnsi="Arial" w:cs="Arial"/>
          <w:sz w:val="24"/>
          <w:szCs w:val="24"/>
        </w:rPr>
        <w:t xml:space="preserve"> generadores de valor público, para incidir en el crecimiento y desarrollo económico, para apuntalar el cumplimiento de los objetivos y metas planteadas en el Plan Estatal de Desarrollo 2016-2021, así como de los Programas Sectoriales, Especiales, Regionales </w:t>
      </w:r>
      <w:r w:rsidRPr="00BC0010">
        <w:rPr>
          <w:rFonts w:ascii="Arial" w:hAnsi="Arial" w:cs="Arial"/>
          <w:sz w:val="24"/>
          <w:szCs w:val="24"/>
        </w:rPr>
        <w:t>e Institucionales que de él emanan.</w:t>
      </w:r>
    </w:p>
    <w:p w:rsidR="001876E4" w:rsidRPr="00BC0010"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403649" w:rsidRDefault="001876E4" w:rsidP="001876E4">
      <w:p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Se identificaron y se priorizaron los proyectos de inversión que generan mayores beneficios a la población y atienden las problemáticas sociales sentidas por la ciudadanía.</w:t>
      </w:r>
    </w:p>
    <w:p w:rsidR="001876E4" w:rsidRPr="004C50F4" w:rsidRDefault="001876E4" w:rsidP="001876E4">
      <w:pPr>
        <w:spacing w:after="0" w:line="240" w:lineRule="auto"/>
        <w:jc w:val="both"/>
        <w:rPr>
          <w:rFonts w:ascii="Arial" w:hAnsi="Arial" w:cs="Arial"/>
          <w:sz w:val="24"/>
          <w:szCs w:val="24"/>
        </w:rPr>
      </w:pPr>
    </w:p>
    <w:p w:rsidR="001876E4" w:rsidRPr="00403649" w:rsidRDefault="001876E4" w:rsidP="001876E4">
      <w:pPr>
        <w:spacing w:after="0" w:line="240" w:lineRule="auto"/>
        <w:jc w:val="both"/>
        <w:rPr>
          <w:rFonts w:ascii="Arial" w:eastAsia="Times New Roman" w:hAnsi="Arial" w:cs="Arial"/>
          <w:sz w:val="24"/>
          <w:szCs w:val="24"/>
          <w:lang w:val="es-ES" w:eastAsia="es-ES"/>
        </w:rPr>
      </w:pPr>
      <w:r w:rsidRPr="00403649">
        <w:rPr>
          <w:rFonts w:ascii="Arial" w:eastAsia="Times New Roman" w:hAnsi="Arial" w:cs="Arial"/>
          <w:sz w:val="24"/>
          <w:szCs w:val="24"/>
          <w:lang w:val="es-ES" w:eastAsia="es-ES"/>
        </w:rPr>
        <w:t>En el mediano plazo, se implementarán acciones para avanzar en los siguientes aspectos:</w:t>
      </w:r>
    </w:p>
    <w:p w:rsidR="001876E4" w:rsidRPr="00403649" w:rsidRDefault="001876E4" w:rsidP="001876E4">
      <w:pPr>
        <w:spacing w:after="0" w:line="240" w:lineRule="auto"/>
        <w:jc w:val="both"/>
        <w:rPr>
          <w:rFonts w:ascii="Arial" w:eastAsia="Times New Roman" w:hAnsi="Arial" w:cs="Arial"/>
          <w:sz w:val="24"/>
          <w:szCs w:val="24"/>
          <w:lang w:val="es-ES" w:eastAsia="es-ES"/>
        </w:rPr>
      </w:pPr>
    </w:p>
    <w:p w:rsidR="001876E4" w:rsidRPr="00403649" w:rsidRDefault="001876E4" w:rsidP="001876E4">
      <w:pPr>
        <w:spacing w:after="0" w:line="240" w:lineRule="auto"/>
        <w:jc w:val="both"/>
        <w:rPr>
          <w:rFonts w:ascii="Arial" w:eastAsia="Times New Roman" w:hAnsi="Arial" w:cs="Arial"/>
          <w:sz w:val="24"/>
          <w:szCs w:val="24"/>
          <w:lang w:val="es-ES" w:eastAsia="es-ES"/>
        </w:rPr>
      </w:pPr>
      <w:r w:rsidRPr="00403649">
        <w:rPr>
          <w:rFonts w:ascii="Arial" w:eastAsia="Times New Roman" w:hAnsi="Arial" w:cs="Arial"/>
          <w:sz w:val="24"/>
          <w:szCs w:val="24"/>
          <w:lang w:val="es-ES" w:eastAsia="es-ES"/>
        </w:rPr>
        <w:t xml:space="preserve">Con anterioridad al ejercicio o contratación de cualquier programa o proyecto de inversión cuyo monto rebase el equivalente a 10 millones de Unidades de Inversión, </w:t>
      </w:r>
      <w:r w:rsidRPr="00403649">
        <w:rPr>
          <w:rFonts w:ascii="Arial" w:eastAsia="Times New Roman" w:hAnsi="Arial" w:cs="Arial"/>
          <w:sz w:val="24"/>
          <w:szCs w:val="24"/>
          <w:lang w:val="es-ES" w:eastAsia="es-ES"/>
        </w:rPr>
        <w:lastRenderedPageBreak/>
        <w:t>se realizará un análisis costo y beneficio, en donde se muestre que dichos programas y proyectos son susceptibles de generar, en cada caso, un beneficio social neto bajo supuestos razonables. Dicho análisis no se requerirá en el caso del gasto de inversión que se destine a la atención prioritaria de desastres naturales declarados en los términos de la Ley General de Protección Civil.</w:t>
      </w:r>
    </w:p>
    <w:p w:rsidR="001876E4" w:rsidRPr="00403649" w:rsidRDefault="001876E4" w:rsidP="001876E4">
      <w:pPr>
        <w:spacing w:after="0" w:line="240" w:lineRule="auto"/>
        <w:jc w:val="both"/>
        <w:rPr>
          <w:rFonts w:ascii="Arial" w:eastAsia="Times New Roman" w:hAnsi="Arial" w:cs="Arial"/>
          <w:sz w:val="24"/>
          <w:szCs w:val="24"/>
          <w:lang w:val="es-ES" w:eastAsia="es-ES"/>
        </w:rPr>
      </w:pPr>
    </w:p>
    <w:p w:rsidR="001876E4" w:rsidRPr="00403649" w:rsidRDefault="001876E4" w:rsidP="001876E4">
      <w:pPr>
        <w:spacing w:after="0" w:line="240" w:lineRule="auto"/>
        <w:jc w:val="both"/>
        <w:rPr>
          <w:rFonts w:ascii="Arial" w:eastAsia="Times New Roman" w:hAnsi="Arial" w:cs="Arial"/>
          <w:sz w:val="24"/>
          <w:szCs w:val="24"/>
          <w:lang w:val="es-ES" w:eastAsia="es-ES"/>
        </w:rPr>
      </w:pPr>
      <w:r w:rsidRPr="00403649">
        <w:rPr>
          <w:rFonts w:ascii="Arial" w:eastAsia="Times New Roman" w:hAnsi="Arial" w:cs="Arial"/>
          <w:sz w:val="24"/>
          <w:szCs w:val="24"/>
          <w:lang w:val="es-ES" w:eastAsia="es-ES"/>
        </w:rPr>
        <w:t>Para los propósitos señalados se contará con un área encargada de evaluar el análisis socioeconómico, conforme a los requisitos que, en su caso, se determinen para tales efectos; así como de integrar y administrar el registro de proyectos de inversión pública productiva.</w:t>
      </w:r>
    </w:p>
    <w:p w:rsidR="001876E4" w:rsidRPr="00F8671B" w:rsidRDefault="001876E4" w:rsidP="001876E4">
      <w:pPr>
        <w:spacing w:after="0" w:line="240" w:lineRule="auto"/>
        <w:jc w:val="both"/>
        <w:rPr>
          <w:rFonts w:ascii="Arial" w:eastAsia="Times New Roman" w:hAnsi="Arial" w:cs="Arial"/>
          <w:sz w:val="24"/>
          <w:szCs w:val="24"/>
          <w:highlight w:val="yellow"/>
          <w:lang w:val="es-ES" w:eastAsia="es-ES"/>
        </w:rPr>
      </w:pPr>
    </w:p>
    <w:p w:rsidR="001876E4" w:rsidRPr="00403649" w:rsidRDefault="001876E4" w:rsidP="001876E4">
      <w:pPr>
        <w:spacing w:after="0" w:line="240" w:lineRule="auto"/>
        <w:jc w:val="both"/>
        <w:rPr>
          <w:rFonts w:ascii="Arial" w:hAnsi="Arial" w:cs="Arial"/>
          <w:sz w:val="24"/>
          <w:szCs w:val="24"/>
        </w:rPr>
      </w:pPr>
      <w:r w:rsidRPr="00403649">
        <w:rPr>
          <w:rFonts w:ascii="Arial" w:eastAsia="Times New Roman" w:hAnsi="Arial" w:cs="Arial"/>
          <w:sz w:val="24"/>
          <w:szCs w:val="24"/>
          <w:lang w:val="es-ES" w:eastAsia="es-ES"/>
        </w:rPr>
        <w:t>En materia de proyectos de inversión pública productiva que se pretendan contratar bajo un esquema de Asociación Público-Privada, se deberá acreditar, por lo menos, un análisis de conveniencia para llevar a cabo el proyecto a través de dicho esquema, en comparación con un mecanismo de obra pública tradicional y un análisis de transferencia de riesgos al sector privado. Dichas evaluaciones serán públicas.</w:t>
      </w:r>
      <w:r w:rsidRPr="00403649">
        <w:rPr>
          <w:rFonts w:ascii="Arial" w:eastAsia="Times New Roman" w:hAnsi="Arial" w:cs="Arial"/>
          <w:color w:val="000000" w:themeColor="text1"/>
          <w:sz w:val="24"/>
          <w:szCs w:val="24"/>
          <w:lang w:val="es-ES" w:eastAsia="es-ES"/>
        </w:rPr>
        <w:t xml:space="preserve"> Ello en acatamiento a lo previsto en la Ley de Asociaciones Público Privadas del </w:t>
      </w:r>
      <w:r>
        <w:rPr>
          <w:rFonts w:ascii="Arial" w:eastAsia="Times New Roman" w:hAnsi="Arial" w:cs="Arial"/>
          <w:color w:val="000000" w:themeColor="text1"/>
          <w:sz w:val="24"/>
          <w:szCs w:val="24"/>
          <w:lang w:val="es-ES" w:eastAsia="es-ES"/>
        </w:rPr>
        <w:t>Estado de Colima</w:t>
      </w:r>
      <w:r w:rsidRPr="00403649">
        <w:rPr>
          <w:rFonts w:ascii="Arial" w:eastAsia="Times New Roman" w:hAnsi="Arial" w:cs="Arial"/>
          <w:color w:val="000000" w:themeColor="text1"/>
          <w:sz w:val="24"/>
          <w:szCs w:val="24"/>
          <w:lang w:val="es-ES" w:eastAsia="es-ES"/>
        </w:rPr>
        <w:t xml:space="preserve"> aprobada por el H. Congreso del Estado, mediante Decreto Número</w:t>
      </w:r>
      <w:r w:rsidRPr="00403649">
        <w:rPr>
          <w:rFonts w:ascii="Arial" w:eastAsia="Times New Roman" w:hAnsi="Arial" w:cs="Arial"/>
          <w:color w:val="C00000"/>
          <w:sz w:val="24"/>
          <w:szCs w:val="24"/>
          <w:lang w:val="es-ES" w:eastAsia="es-ES"/>
        </w:rPr>
        <w:t xml:space="preserve"> </w:t>
      </w:r>
      <w:r w:rsidRPr="00403649">
        <w:rPr>
          <w:rFonts w:ascii="Arial" w:hAnsi="Arial" w:cs="Arial"/>
          <w:sz w:val="24"/>
          <w:szCs w:val="24"/>
        </w:rPr>
        <w:t>156, de fecha 15 de septiembre de 2016.</w:t>
      </w:r>
    </w:p>
    <w:p w:rsidR="001876E4" w:rsidRDefault="001876E4" w:rsidP="001876E4">
      <w:pPr>
        <w:autoSpaceDE w:val="0"/>
        <w:autoSpaceDN w:val="0"/>
        <w:adjustRightInd w:val="0"/>
        <w:spacing w:after="0" w:line="240" w:lineRule="auto"/>
        <w:jc w:val="both"/>
        <w:rPr>
          <w:rFonts w:ascii="Arial" w:hAnsi="Arial" w:cs="Arial"/>
          <w:b/>
          <w:sz w:val="24"/>
          <w:szCs w:val="24"/>
          <w:u w:val="single"/>
        </w:rPr>
      </w:pPr>
    </w:p>
    <w:p w:rsidR="001876E4" w:rsidRPr="00403649" w:rsidRDefault="001876E4" w:rsidP="001876E4">
      <w:pPr>
        <w:autoSpaceDE w:val="0"/>
        <w:autoSpaceDN w:val="0"/>
        <w:adjustRightInd w:val="0"/>
        <w:spacing w:after="0" w:line="240" w:lineRule="auto"/>
        <w:jc w:val="both"/>
        <w:rPr>
          <w:rFonts w:ascii="Arial" w:hAnsi="Arial" w:cs="Arial"/>
          <w:b/>
          <w:strike/>
          <w:sz w:val="24"/>
          <w:szCs w:val="24"/>
        </w:rPr>
      </w:pPr>
      <w:r w:rsidRPr="00403649">
        <w:rPr>
          <w:rFonts w:ascii="Arial" w:hAnsi="Arial" w:cs="Arial"/>
          <w:b/>
          <w:sz w:val="24"/>
          <w:szCs w:val="24"/>
          <w:u w:val="single"/>
        </w:rPr>
        <w:t>Eje 5</w:t>
      </w:r>
      <w:r w:rsidRPr="00403649">
        <w:rPr>
          <w:rFonts w:ascii="Arial" w:hAnsi="Arial" w:cs="Arial"/>
          <w:b/>
          <w:sz w:val="24"/>
          <w:szCs w:val="24"/>
        </w:rPr>
        <w:t xml:space="preserve">. </w:t>
      </w:r>
      <w:r w:rsidRPr="00403649">
        <w:rPr>
          <w:rFonts w:ascii="Arial" w:hAnsi="Arial" w:cs="Arial"/>
          <w:b/>
          <w:i/>
          <w:sz w:val="24"/>
          <w:szCs w:val="24"/>
        </w:rPr>
        <w:t>Ejes transversales y estrategias complementarias</w:t>
      </w:r>
      <w:r w:rsidRPr="00403649">
        <w:rPr>
          <w:rFonts w:ascii="Arial" w:hAnsi="Arial" w:cs="Arial"/>
          <w:b/>
          <w:sz w:val="24"/>
          <w:szCs w:val="24"/>
        </w:rPr>
        <w:t>.</w:t>
      </w:r>
    </w:p>
    <w:p w:rsidR="001876E4" w:rsidRPr="004C50F4" w:rsidRDefault="001876E4" w:rsidP="001876E4">
      <w:pPr>
        <w:autoSpaceDE w:val="0"/>
        <w:autoSpaceDN w:val="0"/>
        <w:adjustRightInd w:val="0"/>
        <w:spacing w:after="0" w:line="240" w:lineRule="auto"/>
        <w:jc w:val="both"/>
        <w:rPr>
          <w:rFonts w:ascii="Arial" w:hAnsi="Arial" w:cs="Arial"/>
          <w:sz w:val="24"/>
          <w:szCs w:val="24"/>
        </w:rPr>
      </w:pPr>
    </w:p>
    <w:p w:rsidR="001876E4" w:rsidRPr="00403649" w:rsidRDefault="001876E4" w:rsidP="001876E4">
      <w:pPr>
        <w:autoSpaceDE w:val="0"/>
        <w:autoSpaceDN w:val="0"/>
        <w:adjustRightInd w:val="0"/>
        <w:spacing w:after="0" w:line="240" w:lineRule="auto"/>
        <w:jc w:val="both"/>
        <w:rPr>
          <w:rFonts w:ascii="Arial" w:hAnsi="Arial" w:cs="Arial"/>
          <w:b/>
          <w:color w:val="000000" w:themeColor="text1"/>
          <w:sz w:val="24"/>
          <w:szCs w:val="24"/>
        </w:rPr>
      </w:pPr>
      <w:r w:rsidRPr="00403649">
        <w:rPr>
          <w:rFonts w:ascii="Arial" w:hAnsi="Arial" w:cs="Arial"/>
          <w:b/>
          <w:color w:val="000000" w:themeColor="text1"/>
          <w:sz w:val="24"/>
          <w:szCs w:val="24"/>
        </w:rPr>
        <w:t>V.1 Ejes Transversales:</w:t>
      </w:r>
    </w:p>
    <w:p w:rsidR="001876E4" w:rsidRPr="004C50F4" w:rsidRDefault="001876E4" w:rsidP="001876E4">
      <w:pPr>
        <w:pStyle w:val="Prrafodelista"/>
        <w:autoSpaceDE w:val="0"/>
        <w:autoSpaceDN w:val="0"/>
        <w:adjustRightInd w:val="0"/>
        <w:spacing w:after="0" w:line="240" w:lineRule="auto"/>
        <w:jc w:val="both"/>
        <w:rPr>
          <w:rFonts w:ascii="Arial" w:hAnsi="Arial" w:cs="Arial"/>
          <w:color w:val="000000" w:themeColor="text1"/>
          <w:sz w:val="24"/>
          <w:szCs w:val="24"/>
        </w:rPr>
      </w:pPr>
    </w:p>
    <w:p w:rsidR="001876E4" w:rsidRPr="00403649" w:rsidRDefault="001876E4" w:rsidP="00185BC9">
      <w:pPr>
        <w:pStyle w:val="Prrafodelista"/>
        <w:numPr>
          <w:ilvl w:val="0"/>
          <w:numId w:val="15"/>
        </w:numPr>
        <w:autoSpaceDE w:val="0"/>
        <w:autoSpaceDN w:val="0"/>
        <w:adjustRightInd w:val="0"/>
        <w:spacing w:after="0" w:line="240" w:lineRule="auto"/>
        <w:jc w:val="both"/>
        <w:rPr>
          <w:rFonts w:ascii="Arial" w:hAnsi="Arial" w:cs="Arial"/>
          <w:color w:val="000000" w:themeColor="text1"/>
          <w:sz w:val="24"/>
          <w:szCs w:val="24"/>
        </w:rPr>
      </w:pPr>
      <w:r w:rsidRPr="00403649">
        <w:rPr>
          <w:rFonts w:ascii="Arial" w:hAnsi="Arial" w:cs="Arial"/>
          <w:color w:val="000000" w:themeColor="text1"/>
          <w:sz w:val="24"/>
          <w:szCs w:val="24"/>
        </w:rPr>
        <w:t xml:space="preserve">Colima con un Gobierno Moderno, Efectivo y Transparente. </w:t>
      </w:r>
    </w:p>
    <w:p w:rsidR="001876E4" w:rsidRPr="00403649" w:rsidRDefault="001876E4" w:rsidP="00185BC9">
      <w:pPr>
        <w:pStyle w:val="Prrafodelista"/>
        <w:numPr>
          <w:ilvl w:val="0"/>
          <w:numId w:val="15"/>
        </w:numPr>
        <w:autoSpaceDE w:val="0"/>
        <w:autoSpaceDN w:val="0"/>
        <w:adjustRightInd w:val="0"/>
        <w:spacing w:after="0" w:line="240" w:lineRule="auto"/>
        <w:jc w:val="both"/>
        <w:rPr>
          <w:rFonts w:ascii="Arial" w:hAnsi="Arial" w:cs="Arial"/>
          <w:color w:val="000000" w:themeColor="text1"/>
          <w:sz w:val="24"/>
          <w:szCs w:val="24"/>
        </w:rPr>
      </w:pPr>
      <w:r w:rsidRPr="00403649">
        <w:rPr>
          <w:rFonts w:ascii="Arial" w:hAnsi="Arial" w:cs="Arial"/>
          <w:color w:val="000000" w:themeColor="text1"/>
          <w:sz w:val="24"/>
          <w:szCs w:val="24"/>
        </w:rPr>
        <w:t>Colima por la Igualdad.</w:t>
      </w:r>
    </w:p>
    <w:p w:rsidR="001876E4" w:rsidRPr="00403649" w:rsidRDefault="001876E4" w:rsidP="00185BC9">
      <w:pPr>
        <w:pStyle w:val="Prrafodelista"/>
        <w:numPr>
          <w:ilvl w:val="0"/>
          <w:numId w:val="15"/>
        </w:numPr>
        <w:autoSpaceDE w:val="0"/>
        <w:autoSpaceDN w:val="0"/>
        <w:adjustRightInd w:val="0"/>
        <w:spacing w:after="0" w:line="240" w:lineRule="auto"/>
        <w:jc w:val="both"/>
        <w:rPr>
          <w:rFonts w:ascii="Arial" w:hAnsi="Arial" w:cs="Arial"/>
          <w:b/>
          <w:color w:val="000000" w:themeColor="text1"/>
          <w:sz w:val="24"/>
          <w:szCs w:val="24"/>
        </w:rPr>
      </w:pPr>
      <w:r w:rsidRPr="00403649">
        <w:rPr>
          <w:rFonts w:ascii="Arial" w:hAnsi="Arial" w:cs="Arial"/>
          <w:color w:val="000000" w:themeColor="text1"/>
          <w:sz w:val="24"/>
          <w:szCs w:val="24"/>
        </w:rPr>
        <w:t>Colima Sustentable.</w:t>
      </w:r>
    </w:p>
    <w:p w:rsidR="001876E4" w:rsidRPr="004C50F4" w:rsidRDefault="001876E4" w:rsidP="001876E4">
      <w:pPr>
        <w:autoSpaceDE w:val="0"/>
        <w:autoSpaceDN w:val="0"/>
        <w:adjustRightInd w:val="0"/>
        <w:spacing w:after="0" w:line="240" w:lineRule="auto"/>
        <w:jc w:val="both"/>
        <w:rPr>
          <w:rFonts w:ascii="Arial" w:hAnsi="Arial" w:cs="Arial"/>
          <w:strike/>
          <w:color w:val="000000" w:themeColor="text1"/>
          <w:sz w:val="24"/>
          <w:szCs w:val="24"/>
        </w:rPr>
      </w:pPr>
    </w:p>
    <w:p w:rsidR="001876E4" w:rsidRPr="00403649" w:rsidRDefault="001876E4" w:rsidP="001876E4">
      <w:pPr>
        <w:autoSpaceDE w:val="0"/>
        <w:autoSpaceDN w:val="0"/>
        <w:adjustRightInd w:val="0"/>
        <w:spacing w:after="0" w:line="240" w:lineRule="auto"/>
        <w:jc w:val="both"/>
        <w:rPr>
          <w:rFonts w:ascii="Arial" w:hAnsi="Arial" w:cs="Arial"/>
          <w:b/>
          <w:color w:val="000000" w:themeColor="text1"/>
          <w:sz w:val="24"/>
          <w:szCs w:val="24"/>
        </w:rPr>
      </w:pPr>
      <w:r w:rsidRPr="00403649">
        <w:rPr>
          <w:rFonts w:ascii="Arial" w:hAnsi="Arial" w:cs="Arial"/>
          <w:b/>
          <w:color w:val="000000" w:themeColor="text1"/>
          <w:sz w:val="24"/>
          <w:szCs w:val="24"/>
        </w:rPr>
        <w:t>V.2 Estrategias Complementarias:</w:t>
      </w:r>
    </w:p>
    <w:p w:rsidR="001876E4" w:rsidRPr="004C50F4" w:rsidRDefault="001876E4" w:rsidP="001876E4">
      <w:pPr>
        <w:autoSpaceDE w:val="0"/>
        <w:autoSpaceDN w:val="0"/>
        <w:adjustRightInd w:val="0"/>
        <w:spacing w:after="0" w:line="240" w:lineRule="auto"/>
        <w:jc w:val="both"/>
        <w:rPr>
          <w:rFonts w:ascii="Arial" w:hAnsi="Arial" w:cs="Arial"/>
          <w:color w:val="000000" w:themeColor="text1"/>
          <w:sz w:val="24"/>
          <w:szCs w:val="24"/>
          <w:highlight w:val="yellow"/>
        </w:rPr>
      </w:pPr>
    </w:p>
    <w:p w:rsidR="001876E4" w:rsidRPr="00403649" w:rsidRDefault="001876E4" w:rsidP="001876E4">
      <w:pPr>
        <w:autoSpaceDE w:val="0"/>
        <w:autoSpaceDN w:val="0"/>
        <w:adjustRightInd w:val="0"/>
        <w:spacing w:after="0" w:line="240" w:lineRule="auto"/>
        <w:jc w:val="both"/>
        <w:rPr>
          <w:rFonts w:ascii="Arial" w:hAnsi="Arial" w:cs="Arial"/>
          <w:color w:val="000000" w:themeColor="text1"/>
          <w:sz w:val="24"/>
          <w:szCs w:val="24"/>
        </w:rPr>
      </w:pPr>
      <w:r w:rsidRPr="00403649">
        <w:rPr>
          <w:rFonts w:ascii="Arial" w:hAnsi="Arial" w:cs="Arial"/>
          <w:color w:val="000000" w:themeColor="text1"/>
          <w:sz w:val="24"/>
          <w:szCs w:val="24"/>
        </w:rPr>
        <w:t>Enfoque Base Cero, Presupuesto basado en Resultados (PbR) y Sistema de</w:t>
      </w:r>
      <w:r>
        <w:rPr>
          <w:rFonts w:ascii="Arial" w:hAnsi="Arial" w:cs="Arial"/>
          <w:color w:val="000000" w:themeColor="text1"/>
          <w:sz w:val="24"/>
          <w:szCs w:val="24"/>
        </w:rPr>
        <w:t xml:space="preserve"> </w:t>
      </w:r>
      <w:r w:rsidRPr="00403649">
        <w:rPr>
          <w:rFonts w:ascii="Arial" w:hAnsi="Arial" w:cs="Arial"/>
          <w:color w:val="000000" w:themeColor="text1"/>
          <w:sz w:val="24"/>
          <w:szCs w:val="24"/>
        </w:rPr>
        <w:t>Evaluación del Desempeño (SED).</w:t>
      </w:r>
    </w:p>
    <w:p w:rsidR="001876E4" w:rsidRPr="004C50F4" w:rsidRDefault="001876E4" w:rsidP="001876E4">
      <w:pPr>
        <w:autoSpaceDE w:val="0"/>
        <w:autoSpaceDN w:val="0"/>
        <w:adjustRightInd w:val="0"/>
        <w:spacing w:after="0" w:line="240" w:lineRule="auto"/>
        <w:jc w:val="both"/>
        <w:rPr>
          <w:rFonts w:ascii="Arial" w:hAnsi="Arial" w:cs="Arial"/>
          <w:color w:val="000000" w:themeColor="text1"/>
          <w:sz w:val="24"/>
          <w:szCs w:val="24"/>
        </w:rPr>
      </w:pPr>
    </w:p>
    <w:p w:rsidR="001876E4" w:rsidRPr="00403649" w:rsidRDefault="001876E4" w:rsidP="001876E4">
      <w:pPr>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V.1 Ejes transversales- Líneas de P</w:t>
      </w:r>
      <w:r w:rsidRPr="00403649">
        <w:rPr>
          <w:rFonts w:ascii="Arial" w:hAnsi="Arial" w:cs="Arial"/>
          <w:b/>
          <w:color w:val="000000" w:themeColor="text1"/>
          <w:sz w:val="24"/>
          <w:szCs w:val="24"/>
        </w:rPr>
        <w:t>olítica:</w:t>
      </w:r>
    </w:p>
    <w:p w:rsidR="001876E4" w:rsidRPr="004C50F4" w:rsidRDefault="001876E4" w:rsidP="001876E4">
      <w:pPr>
        <w:pStyle w:val="Prrafodelista"/>
        <w:autoSpaceDE w:val="0"/>
        <w:autoSpaceDN w:val="0"/>
        <w:adjustRightInd w:val="0"/>
        <w:spacing w:after="0" w:line="240" w:lineRule="auto"/>
        <w:jc w:val="both"/>
        <w:rPr>
          <w:rFonts w:ascii="Arial" w:hAnsi="Arial" w:cs="Arial"/>
          <w:color w:val="000000" w:themeColor="text1"/>
          <w:sz w:val="24"/>
          <w:szCs w:val="24"/>
        </w:rPr>
      </w:pPr>
    </w:p>
    <w:p w:rsidR="001876E4" w:rsidRPr="00403649" w:rsidRDefault="001876E4" w:rsidP="00185BC9">
      <w:pPr>
        <w:pStyle w:val="Prrafodelista"/>
        <w:numPr>
          <w:ilvl w:val="0"/>
          <w:numId w:val="1"/>
        </w:num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Colima con un Gobierno Moderno, Efectivo y Transparente.</w:t>
      </w:r>
    </w:p>
    <w:p w:rsidR="001876E4" w:rsidRPr="004C50F4" w:rsidRDefault="001876E4" w:rsidP="001876E4">
      <w:pPr>
        <w:pStyle w:val="Prrafodelista"/>
        <w:autoSpaceDE w:val="0"/>
        <w:autoSpaceDN w:val="0"/>
        <w:adjustRightInd w:val="0"/>
        <w:spacing w:after="0" w:line="240" w:lineRule="auto"/>
        <w:jc w:val="both"/>
        <w:rPr>
          <w:rFonts w:ascii="Arial" w:hAnsi="Arial" w:cs="Arial"/>
          <w:sz w:val="24"/>
          <w:szCs w:val="24"/>
        </w:rPr>
      </w:pP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r w:rsidRPr="00403649">
        <w:rPr>
          <w:rFonts w:ascii="Arial" w:eastAsia="Times New Roman" w:hAnsi="Arial" w:cs="Arial"/>
          <w:sz w:val="24"/>
          <w:szCs w:val="24"/>
          <w:lang w:val="es-ES" w:eastAsia="es-ES"/>
        </w:rPr>
        <w:t>Fortalecer las finanzas públicas del estado mediante la revisión de las políticas de ingresos, egresos y deuda pública.</w:t>
      </w: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r w:rsidRPr="00403649">
        <w:rPr>
          <w:rFonts w:ascii="Arial" w:eastAsia="Times New Roman" w:hAnsi="Arial" w:cs="Arial"/>
          <w:sz w:val="24"/>
          <w:szCs w:val="24"/>
          <w:lang w:val="es-ES" w:eastAsia="es-ES"/>
        </w:rPr>
        <w:lastRenderedPageBreak/>
        <w:t xml:space="preserve">Modernizar la gestión pública mediante la actualización del marco normativo, la implementación de mejoras regulatorias, la simplificación de trámites, la reducción de costos y la capacitación de servidores públicos. </w:t>
      </w: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r w:rsidRPr="00403649">
        <w:rPr>
          <w:rFonts w:ascii="Arial" w:eastAsia="Times New Roman" w:hAnsi="Arial" w:cs="Arial"/>
          <w:sz w:val="24"/>
          <w:szCs w:val="24"/>
          <w:lang w:val="es-ES" w:eastAsia="es-ES"/>
        </w:rPr>
        <w:t>Reducir la corrupción mediante mayor transparencia, rendición de cuentas, mecanismos de monitoreo y evaluación y el uso de las tecnologías de la información y comunicación.</w:t>
      </w:r>
    </w:p>
    <w:p w:rsidR="001876E4" w:rsidRPr="00403649" w:rsidRDefault="001876E4" w:rsidP="001876E4">
      <w:pPr>
        <w:spacing w:after="0" w:line="240" w:lineRule="auto"/>
        <w:jc w:val="both"/>
        <w:rPr>
          <w:rFonts w:ascii="Arial" w:eastAsia="Times New Roman" w:hAnsi="Arial" w:cs="Arial"/>
          <w:sz w:val="24"/>
          <w:szCs w:val="24"/>
          <w:lang w:val="es-ES" w:eastAsia="es-ES"/>
        </w:rPr>
      </w:pPr>
    </w:p>
    <w:p w:rsidR="001876E4" w:rsidRPr="00403649" w:rsidRDefault="001876E4" w:rsidP="00185BC9">
      <w:pPr>
        <w:pStyle w:val="Prrafodelista"/>
        <w:numPr>
          <w:ilvl w:val="0"/>
          <w:numId w:val="1"/>
        </w:num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Colima por la Igualdad.</w:t>
      </w:r>
    </w:p>
    <w:p w:rsidR="001876E4" w:rsidRPr="00403649" w:rsidRDefault="001876E4" w:rsidP="001876E4">
      <w:pPr>
        <w:pStyle w:val="Prrafodelista"/>
        <w:autoSpaceDE w:val="0"/>
        <w:autoSpaceDN w:val="0"/>
        <w:adjustRightInd w:val="0"/>
        <w:spacing w:after="0" w:line="240" w:lineRule="auto"/>
        <w:jc w:val="both"/>
        <w:rPr>
          <w:rFonts w:ascii="Arial" w:hAnsi="Arial" w:cs="Arial"/>
          <w:sz w:val="24"/>
          <w:szCs w:val="24"/>
        </w:rPr>
      </w:pPr>
    </w:p>
    <w:p w:rsidR="001876E4" w:rsidRPr="002A5D0F" w:rsidRDefault="001876E4" w:rsidP="00185BC9">
      <w:pPr>
        <w:pStyle w:val="Prrafodelista"/>
        <w:numPr>
          <w:ilvl w:val="0"/>
          <w:numId w:val="10"/>
        </w:numPr>
        <w:spacing w:after="0" w:line="240" w:lineRule="auto"/>
        <w:jc w:val="both"/>
        <w:rPr>
          <w:rFonts w:ascii="Arial" w:eastAsia="Times New Roman" w:hAnsi="Arial" w:cs="Arial"/>
          <w:sz w:val="24"/>
          <w:szCs w:val="24"/>
          <w:lang w:val="es-ES" w:eastAsia="es-ES"/>
        </w:rPr>
      </w:pPr>
      <w:r w:rsidRPr="002A5D0F">
        <w:rPr>
          <w:rFonts w:ascii="Arial" w:eastAsia="Times New Roman" w:hAnsi="Arial" w:cs="Arial"/>
          <w:sz w:val="24"/>
          <w:szCs w:val="24"/>
          <w:lang w:val="es-ES" w:eastAsia="es-ES"/>
        </w:rPr>
        <w:t>Impulsar la equidad en el ámbito laboral.</w:t>
      </w: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p>
    <w:p w:rsidR="001876E4" w:rsidRPr="002A5D0F" w:rsidRDefault="001876E4" w:rsidP="00185BC9">
      <w:pPr>
        <w:pStyle w:val="Prrafodelista"/>
        <w:numPr>
          <w:ilvl w:val="0"/>
          <w:numId w:val="10"/>
        </w:numPr>
        <w:spacing w:after="0" w:line="240" w:lineRule="auto"/>
        <w:jc w:val="both"/>
        <w:rPr>
          <w:rFonts w:ascii="Arial" w:eastAsia="Times New Roman" w:hAnsi="Arial" w:cs="Arial"/>
          <w:sz w:val="24"/>
          <w:szCs w:val="24"/>
          <w:lang w:val="es-ES" w:eastAsia="es-ES"/>
        </w:rPr>
      </w:pPr>
      <w:r w:rsidRPr="002A5D0F">
        <w:rPr>
          <w:rFonts w:ascii="Arial" w:eastAsia="Times New Roman" w:hAnsi="Arial" w:cs="Arial"/>
          <w:sz w:val="24"/>
          <w:szCs w:val="24"/>
          <w:lang w:val="es-ES" w:eastAsia="es-ES"/>
        </w:rPr>
        <w:t>Impulsar la equidad en el ámbito educativo.</w:t>
      </w: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p>
    <w:p w:rsidR="001876E4" w:rsidRPr="002A5D0F" w:rsidRDefault="001876E4" w:rsidP="00185BC9">
      <w:pPr>
        <w:pStyle w:val="Prrafodelista"/>
        <w:numPr>
          <w:ilvl w:val="0"/>
          <w:numId w:val="10"/>
        </w:numPr>
        <w:spacing w:after="0" w:line="240" w:lineRule="auto"/>
        <w:jc w:val="both"/>
        <w:rPr>
          <w:rFonts w:ascii="Arial" w:eastAsia="Times New Roman" w:hAnsi="Arial" w:cs="Arial"/>
          <w:sz w:val="24"/>
          <w:szCs w:val="24"/>
          <w:lang w:val="es-ES" w:eastAsia="es-ES"/>
        </w:rPr>
      </w:pPr>
      <w:r w:rsidRPr="002A5D0F">
        <w:rPr>
          <w:rFonts w:ascii="Arial" w:eastAsia="Times New Roman" w:hAnsi="Arial" w:cs="Arial"/>
          <w:sz w:val="24"/>
          <w:szCs w:val="24"/>
          <w:lang w:val="es-ES" w:eastAsia="es-ES"/>
        </w:rPr>
        <w:t>Fortalecer la inclusión de las mujeres y las personas con discapacidad.</w:t>
      </w: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p>
    <w:p w:rsidR="001876E4" w:rsidRPr="002A5D0F" w:rsidRDefault="001876E4" w:rsidP="00185BC9">
      <w:pPr>
        <w:pStyle w:val="Prrafodelista"/>
        <w:numPr>
          <w:ilvl w:val="0"/>
          <w:numId w:val="10"/>
        </w:numPr>
        <w:spacing w:after="0" w:line="240" w:lineRule="auto"/>
        <w:jc w:val="both"/>
        <w:rPr>
          <w:rFonts w:ascii="Arial" w:eastAsia="Times New Roman" w:hAnsi="Arial" w:cs="Arial"/>
          <w:sz w:val="24"/>
          <w:szCs w:val="24"/>
          <w:lang w:val="es-ES" w:eastAsia="es-ES"/>
        </w:rPr>
      </w:pPr>
      <w:r w:rsidRPr="002A5D0F">
        <w:rPr>
          <w:rFonts w:ascii="Arial" w:eastAsia="Times New Roman" w:hAnsi="Arial" w:cs="Arial"/>
          <w:sz w:val="24"/>
          <w:szCs w:val="24"/>
          <w:lang w:val="es-ES" w:eastAsia="es-ES"/>
        </w:rPr>
        <w:t>Fortalecer la prevención y la atención a las víctimas de violencia de género.</w:t>
      </w:r>
    </w:p>
    <w:p w:rsidR="001876E4" w:rsidRPr="00403649" w:rsidRDefault="001876E4" w:rsidP="001876E4">
      <w:pPr>
        <w:spacing w:after="0" w:line="240" w:lineRule="auto"/>
        <w:jc w:val="both"/>
        <w:rPr>
          <w:rFonts w:ascii="Arial" w:eastAsia="Times New Roman" w:hAnsi="Arial" w:cs="Arial"/>
          <w:sz w:val="24"/>
          <w:szCs w:val="24"/>
          <w:lang w:val="es-ES" w:eastAsia="es-ES"/>
        </w:rPr>
      </w:pPr>
    </w:p>
    <w:p w:rsidR="001876E4" w:rsidRPr="00403649" w:rsidRDefault="001876E4" w:rsidP="00185BC9">
      <w:pPr>
        <w:pStyle w:val="Prrafodelista"/>
        <w:numPr>
          <w:ilvl w:val="0"/>
          <w:numId w:val="1"/>
        </w:num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Colima Sustentable.</w:t>
      </w:r>
    </w:p>
    <w:p w:rsidR="001876E4" w:rsidRPr="00403649" w:rsidRDefault="001876E4" w:rsidP="001876E4">
      <w:pPr>
        <w:autoSpaceDE w:val="0"/>
        <w:autoSpaceDN w:val="0"/>
        <w:adjustRightInd w:val="0"/>
        <w:spacing w:after="0" w:line="240" w:lineRule="auto"/>
        <w:jc w:val="both"/>
        <w:rPr>
          <w:rFonts w:ascii="Arial" w:hAnsi="Arial" w:cs="Arial"/>
          <w:b/>
          <w:strike/>
          <w:sz w:val="24"/>
          <w:szCs w:val="24"/>
        </w:rPr>
      </w:pPr>
    </w:p>
    <w:p w:rsidR="001876E4" w:rsidRPr="002A5D0F" w:rsidRDefault="001876E4" w:rsidP="00185BC9">
      <w:pPr>
        <w:pStyle w:val="Prrafodelista"/>
        <w:numPr>
          <w:ilvl w:val="0"/>
          <w:numId w:val="11"/>
        </w:numPr>
        <w:spacing w:after="0" w:line="240" w:lineRule="auto"/>
        <w:jc w:val="both"/>
        <w:rPr>
          <w:rFonts w:ascii="Arial" w:eastAsia="Times New Roman" w:hAnsi="Arial" w:cs="Arial"/>
          <w:sz w:val="24"/>
          <w:szCs w:val="24"/>
          <w:lang w:val="es-ES" w:eastAsia="es-ES"/>
        </w:rPr>
      </w:pPr>
      <w:r w:rsidRPr="002A5D0F">
        <w:rPr>
          <w:rFonts w:ascii="Arial" w:eastAsia="Times New Roman" w:hAnsi="Arial" w:cs="Arial"/>
          <w:sz w:val="24"/>
          <w:szCs w:val="24"/>
          <w:lang w:val="es-ES" w:eastAsia="es-ES"/>
        </w:rPr>
        <w:t>Asegurar que las políticas de desarrollo económico y social del estado sean sustentables y que brinden oportunidades a las comunidades más vulnerables.</w:t>
      </w:r>
    </w:p>
    <w:p w:rsidR="001876E4" w:rsidRPr="00403649" w:rsidRDefault="001876E4" w:rsidP="001876E4">
      <w:pPr>
        <w:spacing w:after="0" w:line="240" w:lineRule="auto"/>
        <w:ind w:left="426"/>
        <w:jc w:val="both"/>
        <w:rPr>
          <w:rFonts w:ascii="Arial" w:eastAsia="Times New Roman" w:hAnsi="Arial" w:cs="Arial"/>
          <w:sz w:val="24"/>
          <w:szCs w:val="24"/>
          <w:lang w:val="es-ES" w:eastAsia="es-ES"/>
        </w:rPr>
      </w:pPr>
    </w:p>
    <w:p w:rsidR="001876E4" w:rsidRPr="002A5D0F" w:rsidRDefault="001876E4" w:rsidP="00185BC9">
      <w:pPr>
        <w:pStyle w:val="Prrafodelista"/>
        <w:numPr>
          <w:ilvl w:val="0"/>
          <w:numId w:val="11"/>
        </w:numPr>
        <w:spacing w:after="0" w:line="240" w:lineRule="auto"/>
        <w:jc w:val="both"/>
        <w:rPr>
          <w:rFonts w:ascii="Arial" w:eastAsia="Times New Roman" w:hAnsi="Arial" w:cs="Arial"/>
          <w:sz w:val="24"/>
          <w:szCs w:val="24"/>
          <w:lang w:val="es-ES" w:eastAsia="es-ES"/>
        </w:rPr>
      </w:pPr>
      <w:r w:rsidRPr="002A5D0F">
        <w:rPr>
          <w:rFonts w:ascii="Arial" w:eastAsia="Times New Roman" w:hAnsi="Arial" w:cs="Arial"/>
          <w:sz w:val="24"/>
          <w:szCs w:val="24"/>
          <w:lang w:val="es-ES" w:eastAsia="es-ES"/>
        </w:rPr>
        <w:t>Garantizar el manejo sustentable de los recursos naturales del estado.</w:t>
      </w:r>
    </w:p>
    <w:p w:rsidR="001876E4" w:rsidRPr="00403649" w:rsidRDefault="001876E4" w:rsidP="001876E4">
      <w:pPr>
        <w:autoSpaceDE w:val="0"/>
        <w:autoSpaceDN w:val="0"/>
        <w:adjustRightInd w:val="0"/>
        <w:spacing w:after="0" w:line="240" w:lineRule="auto"/>
        <w:ind w:left="426"/>
        <w:jc w:val="both"/>
        <w:rPr>
          <w:rFonts w:ascii="Arial" w:hAnsi="Arial" w:cs="Arial"/>
          <w:sz w:val="24"/>
          <w:szCs w:val="24"/>
        </w:rPr>
      </w:pPr>
    </w:p>
    <w:p w:rsidR="001876E4" w:rsidRPr="002A5D0F" w:rsidRDefault="001876E4" w:rsidP="00185BC9">
      <w:pPr>
        <w:pStyle w:val="Prrafodelista"/>
        <w:numPr>
          <w:ilvl w:val="0"/>
          <w:numId w:val="11"/>
        </w:numPr>
        <w:autoSpaceDE w:val="0"/>
        <w:autoSpaceDN w:val="0"/>
        <w:adjustRightInd w:val="0"/>
        <w:spacing w:after="0" w:line="240" w:lineRule="auto"/>
        <w:jc w:val="both"/>
        <w:rPr>
          <w:rFonts w:ascii="Arial" w:hAnsi="Arial" w:cs="Arial"/>
          <w:sz w:val="24"/>
          <w:szCs w:val="24"/>
        </w:rPr>
      </w:pPr>
      <w:r w:rsidRPr="002A5D0F">
        <w:rPr>
          <w:rFonts w:ascii="Arial" w:hAnsi="Arial" w:cs="Arial"/>
          <w:sz w:val="24"/>
          <w:szCs w:val="24"/>
        </w:rPr>
        <w:t>Diseñar e implementar programas de mitigación del cambio climático.</w:t>
      </w:r>
      <w:r w:rsidRPr="002A5D0F">
        <w:rPr>
          <w:sz w:val="24"/>
          <w:szCs w:val="24"/>
        </w:rPr>
        <w:t xml:space="preserve"> </w:t>
      </w:r>
      <w:r w:rsidRPr="002A5D0F">
        <w:rPr>
          <w:rFonts w:ascii="Arial" w:hAnsi="Arial" w:cs="Arial"/>
          <w:sz w:val="24"/>
          <w:szCs w:val="24"/>
        </w:rPr>
        <w:t>Mejorar la educación ambiental de los colimenses.</w:t>
      </w:r>
    </w:p>
    <w:p w:rsidR="001876E4" w:rsidRPr="00403649" w:rsidRDefault="001876E4" w:rsidP="001876E4">
      <w:pPr>
        <w:autoSpaceDE w:val="0"/>
        <w:autoSpaceDN w:val="0"/>
        <w:adjustRightInd w:val="0"/>
        <w:spacing w:after="0" w:line="240" w:lineRule="auto"/>
        <w:ind w:left="426"/>
        <w:jc w:val="both"/>
        <w:rPr>
          <w:rFonts w:ascii="Arial" w:hAnsi="Arial" w:cs="Arial"/>
          <w:sz w:val="24"/>
          <w:szCs w:val="24"/>
        </w:rPr>
      </w:pPr>
    </w:p>
    <w:p w:rsidR="001876E4" w:rsidRPr="002A5D0F" w:rsidRDefault="001876E4" w:rsidP="00185BC9">
      <w:pPr>
        <w:pStyle w:val="Prrafodelista"/>
        <w:numPr>
          <w:ilvl w:val="0"/>
          <w:numId w:val="11"/>
        </w:numPr>
        <w:spacing w:after="0" w:line="240" w:lineRule="auto"/>
        <w:jc w:val="both"/>
        <w:rPr>
          <w:rFonts w:ascii="Arial" w:eastAsia="Times New Roman" w:hAnsi="Arial" w:cs="Arial"/>
          <w:sz w:val="24"/>
          <w:szCs w:val="24"/>
          <w:lang w:val="es-ES" w:eastAsia="es-ES"/>
        </w:rPr>
      </w:pPr>
      <w:r w:rsidRPr="002A5D0F">
        <w:rPr>
          <w:rFonts w:ascii="Arial" w:hAnsi="Arial" w:cs="Arial"/>
          <w:sz w:val="24"/>
          <w:szCs w:val="24"/>
        </w:rPr>
        <w:t>Garantizar la disponibilidad de sistemas de movilidad sustentable en todo el estado.</w:t>
      </w:r>
    </w:p>
    <w:p w:rsidR="001876E4" w:rsidRPr="004C50F4" w:rsidRDefault="001876E4" w:rsidP="001876E4">
      <w:pPr>
        <w:spacing w:after="0" w:line="240" w:lineRule="auto"/>
        <w:jc w:val="both"/>
        <w:rPr>
          <w:rFonts w:ascii="Arial" w:hAnsi="Arial" w:cs="Arial"/>
          <w:sz w:val="24"/>
          <w:highlight w:val="yellow"/>
          <w:lang w:val="es-ES"/>
        </w:rPr>
      </w:pPr>
    </w:p>
    <w:p w:rsidR="001876E4" w:rsidRPr="00403649" w:rsidRDefault="001876E4" w:rsidP="001876E4">
      <w:pPr>
        <w:autoSpaceDE w:val="0"/>
        <w:autoSpaceDN w:val="0"/>
        <w:adjustRightInd w:val="0"/>
        <w:spacing w:after="0" w:line="240" w:lineRule="auto"/>
        <w:ind w:left="360"/>
        <w:jc w:val="both"/>
        <w:rPr>
          <w:rFonts w:ascii="Arial" w:hAnsi="Arial" w:cs="Arial"/>
          <w:b/>
          <w:sz w:val="24"/>
          <w:szCs w:val="24"/>
        </w:rPr>
      </w:pPr>
      <w:r w:rsidRPr="00403649">
        <w:rPr>
          <w:rFonts w:ascii="Arial" w:hAnsi="Arial" w:cs="Arial"/>
          <w:b/>
          <w:sz w:val="24"/>
          <w:szCs w:val="24"/>
        </w:rPr>
        <w:t>V.2</w:t>
      </w:r>
      <w:r w:rsidRPr="00403649">
        <w:rPr>
          <w:rFonts w:ascii="Arial" w:hAnsi="Arial" w:cs="Arial"/>
          <w:b/>
          <w:color w:val="FF0000"/>
          <w:sz w:val="24"/>
          <w:szCs w:val="24"/>
        </w:rPr>
        <w:t xml:space="preserve"> </w:t>
      </w:r>
      <w:r w:rsidRPr="00403649">
        <w:rPr>
          <w:rFonts w:ascii="Arial" w:hAnsi="Arial" w:cs="Arial"/>
          <w:b/>
          <w:sz w:val="24"/>
          <w:szCs w:val="24"/>
        </w:rPr>
        <w:t>Estrategias Complementarias:</w:t>
      </w:r>
    </w:p>
    <w:p w:rsidR="001876E4" w:rsidRPr="00403649" w:rsidRDefault="001876E4" w:rsidP="001876E4">
      <w:pPr>
        <w:autoSpaceDE w:val="0"/>
        <w:autoSpaceDN w:val="0"/>
        <w:adjustRightInd w:val="0"/>
        <w:spacing w:after="0" w:line="240" w:lineRule="auto"/>
        <w:jc w:val="both"/>
        <w:rPr>
          <w:rFonts w:ascii="Arial" w:hAnsi="Arial" w:cs="Arial"/>
          <w:b/>
          <w:sz w:val="24"/>
          <w:szCs w:val="24"/>
        </w:rPr>
      </w:pPr>
    </w:p>
    <w:p w:rsidR="001876E4" w:rsidRPr="00403649" w:rsidRDefault="001876E4" w:rsidP="001876E4">
      <w:pPr>
        <w:autoSpaceDE w:val="0"/>
        <w:autoSpaceDN w:val="0"/>
        <w:adjustRightInd w:val="0"/>
        <w:spacing w:after="0" w:line="240" w:lineRule="auto"/>
        <w:ind w:left="426"/>
        <w:jc w:val="both"/>
        <w:rPr>
          <w:rFonts w:ascii="Arial" w:hAnsi="Arial" w:cs="Arial"/>
          <w:b/>
          <w:bCs/>
          <w:sz w:val="24"/>
          <w:szCs w:val="24"/>
        </w:rPr>
      </w:pPr>
      <w:r w:rsidRPr="00403649">
        <w:rPr>
          <w:rFonts w:ascii="Arial" w:hAnsi="Arial" w:cs="Arial"/>
          <w:b/>
          <w:sz w:val="24"/>
          <w:szCs w:val="24"/>
        </w:rPr>
        <w:t>Enfoque Base Cero</w:t>
      </w:r>
      <w:r w:rsidRPr="00403649">
        <w:rPr>
          <w:rFonts w:ascii="Arial" w:hAnsi="Arial" w:cs="Arial"/>
          <w:b/>
          <w:bCs/>
          <w:sz w:val="24"/>
          <w:szCs w:val="24"/>
        </w:rPr>
        <w:t xml:space="preserve">, Presupuesto basado en Resultados (PbR) </w:t>
      </w:r>
      <w:r w:rsidRPr="00403649">
        <w:rPr>
          <w:rFonts w:ascii="Arial" w:hAnsi="Arial" w:cs="Arial"/>
          <w:bCs/>
          <w:sz w:val="24"/>
          <w:szCs w:val="24"/>
        </w:rPr>
        <w:t>y el</w:t>
      </w:r>
      <w:r w:rsidRPr="00403649">
        <w:rPr>
          <w:rFonts w:ascii="Arial" w:hAnsi="Arial" w:cs="Arial"/>
          <w:b/>
          <w:bCs/>
          <w:sz w:val="24"/>
          <w:szCs w:val="24"/>
        </w:rPr>
        <w:t xml:space="preserve"> Sistema de Evaluación del Desempeño (SED).</w:t>
      </w:r>
    </w:p>
    <w:p w:rsidR="001876E4" w:rsidRPr="004C50F4" w:rsidRDefault="001876E4" w:rsidP="001876E4">
      <w:pPr>
        <w:autoSpaceDE w:val="0"/>
        <w:autoSpaceDN w:val="0"/>
        <w:adjustRightInd w:val="0"/>
        <w:spacing w:after="0" w:line="240" w:lineRule="auto"/>
        <w:ind w:left="426"/>
        <w:jc w:val="both"/>
        <w:rPr>
          <w:rFonts w:ascii="Arial" w:hAnsi="Arial" w:cs="Arial"/>
          <w:sz w:val="24"/>
          <w:szCs w:val="24"/>
        </w:rPr>
      </w:pPr>
    </w:p>
    <w:p w:rsidR="001876E4" w:rsidRPr="00403649" w:rsidRDefault="001876E4" w:rsidP="001876E4">
      <w:p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lastRenderedPageBreak/>
        <w:t>El Presupuesto de Egresos del Gobierno del Estado, constituye uno de los principales instrumentos de política de que dispone el propio gobierno, para alcanzar los objetivos plasmados en el Plan Estatal de Desarrollo 2016-2021.</w:t>
      </w:r>
    </w:p>
    <w:p w:rsidR="001876E4" w:rsidRPr="00403649" w:rsidRDefault="001876E4" w:rsidP="001876E4">
      <w:pPr>
        <w:autoSpaceDE w:val="0"/>
        <w:autoSpaceDN w:val="0"/>
        <w:adjustRightInd w:val="0"/>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Lo anterior implicó la necesidad de analizar la evolución del gasto público e identificar aquellos componentes que contribuyen a la consecución de las prioridades.</w:t>
      </w:r>
    </w:p>
    <w:p w:rsidR="001876E4" w:rsidRPr="00403649" w:rsidRDefault="001876E4" w:rsidP="001876E4">
      <w:pPr>
        <w:autoSpaceDE w:val="0"/>
        <w:autoSpaceDN w:val="0"/>
        <w:adjustRightInd w:val="0"/>
        <w:spacing w:after="0" w:line="240" w:lineRule="auto"/>
        <w:ind w:left="426"/>
        <w:jc w:val="both"/>
        <w:rPr>
          <w:rFonts w:ascii="Arial" w:hAnsi="Arial" w:cs="Arial"/>
          <w:sz w:val="24"/>
          <w:szCs w:val="24"/>
        </w:rPr>
      </w:pPr>
    </w:p>
    <w:p w:rsidR="001876E4" w:rsidRPr="00403649" w:rsidRDefault="001876E4" w:rsidP="001876E4">
      <w:p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 xml:space="preserve">El uso del </w:t>
      </w:r>
      <w:r w:rsidRPr="00403649">
        <w:rPr>
          <w:rFonts w:ascii="Arial" w:hAnsi="Arial" w:cs="Arial"/>
          <w:b/>
          <w:sz w:val="24"/>
          <w:szCs w:val="24"/>
        </w:rPr>
        <w:t>enfoque Base Cero</w:t>
      </w:r>
      <w:r w:rsidRPr="00403649">
        <w:rPr>
          <w:rFonts w:ascii="Arial" w:hAnsi="Arial" w:cs="Arial"/>
          <w:sz w:val="24"/>
          <w:szCs w:val="24"/>
        </w:rPr>
        <w:t xml:space="preserve"> significa llevar a cabo un análisis y reorganización de los diferentes componentes del gasto: programas, estructuras organizacionales, gastos de operación, y la forma en que se determinaron las asignaciones, privilegiando la determinación de un nivel óptimo de recursos para cada programa, con base en su potencial para cumplir la atención de las prioridades estatales</w:t>
      </w:r>
      <w:r>
        <w:rPr>
          <w:rFonts w:ascii="Arial" w:hAnsi="Arial" w:cs="Arial"/>
          <w:sz w:val="24"/>
          <w:szCs w:val="24"/>
        </w:rPr>
        <w:t>, rompiendo inercias</w:t>
      </w:r>
      <w:r w:rsidRPr="00403649">
        <w:rPr>
          <w:rFonts w:ascii="Arial" w:hAnsi="Arial" w:cs="Arial"/>
          <w:sz w:val="24"/>
          <w:szCs w:val="24"/>
        </w:rPr>
        <w:t xml:space="preserve"> incrementalistas de asignación de recursos, a partir de presupuestos de años previos.</w:t>
      </w:r>
    </w:p>
    <w:p w:rsidR="001876E4" w:rsidRPr="00403649" w:rsidRDefault="001876E4" w:rsidP="001876E4">
      <w:pPr>
        <w:autoSpaceDE w:val="0"/>
        <w:autoSpaceDN w:val="0"/>
        <w:adjustRightInd w:val="0"/>
        <w:spacing w:after="0" w:line="240" w:lineRule="auto"/>
        <w:jc w:val="both"/>
        <w:rPr>
          <w:rFonts w:ascii="Arial" w:hAnsi="Arial" w:cs="Arial"/>
          <w:sz w:val="24"/>
          <w:szCs w:val="24"/>
        </w:rPr>
      </w:pPr>
    </w:p>
    <w:p w:rsidR="001876E4" w:rsidRPr="00403649" w:rsidRDefault="001876E4" w:rsidP="001876E4">
      <w:pPr>
        <w:autoSpaceDE w:val="0"/>
        <w:autoSpaceDN w:val="0"/>
        <w:adjustRightInd w:val="0"/>
        <w:spacing w:after="0" w:line="240" w:lineRule="auto"/>
        <w:jc w:val="both"/>
        <w:rPr>
          <w:rFonts w:ascii="Arial" w:hAnsi="Arial" w:cs="Arial"/>
          <w:bCs/>
          <w:color w:val="000000" w:themeColor="text1"/>
          <w:sz w:val="24"/>
          <w:szCs w:val="24"/>
        </w:rPr>
      </w:pPr>
      <w:r w:rsidRPr="00403649">
        <w:rPr>
          <w:rFonts w:ascii="Arial" w:hAnsi="Arial" w:cs="Arial"/>
          <w:sz w:val="24"/>
          <w:szCs w:val="24"/>
        </w:rPr>
        <w:t xml:space="preserve">De esta manera, en la presupuestación 2018 se utilizaron metodologías como el </w:t>
      </w:r>
      <w:r w:rsidRPr="00403649">
        <w:rPr>
          <w:rFonts w:ascii="Arial" w:hAnsi="Arial" w:cs="Arial"/>
          <w:b/>
          <w:sz w:val="24"/>
          <w:szCs w:val="24"/>
        </w:rPr>
        <w:t>enfoque Base Cero</w:t>
      </w:r>
      <w:r w:rsidRPr="00403649">
        <w:rPr>
          <w:rFonts w:ascii="Arial" w:hAnsi="Arial" w:cs="Arial"/>
          <w:sz w:val="24"/>
          <w:szCs w:val="24"/>
        </w:rPr>
        <w:t xml:space="preserve">, el </w:t>
      </w:r>
      <w:r w:rsidRPr="00403649">
        <w:rPr>
          <w:rFonts w:ascii="Arial" w:hAnsi="Arial" w:cs="Arial"/>
          <w:b/>
          <w:bCs/>
          <w:sz w:val="24"/>
          <w:szCs w:val="24"/>
        </w:rPr>
        <w:t xml:space="preserve">Presupuesto basado en Resultados (PbR) </w:t>
      </w:r>
      <w:r w:rsidRPr="00403649">
        <w:rPr>
          <w:rFonts w:ascii="Arial" w:hAnsi="Arial" w:cs="Arial"/>
          <w:bCs/>
          <w:sz w:val="24"/>
          <w:szCs w:val="24"/>
        </w:rPr>
        <w:t>y el</w:t>
      </w:r>
      <w:r w:rsidRPr="00403649">
        <w:rPr>
          <w:rFonts w:ascii="Arial" w:hAnsi="Arial" w:cs="Arial"/>
          <w:b/>
          <w:bCs/>
          <w:sz w:val="24"/>
          <w:szCs w:val="24"/>
        </w:rPr>
        <w:t xml:space="preserve"> Sistema de Evaluación del Desempeño (SED)</w:t>
      </w:r>
      <w:r w:rsidRPr="00403649">
        <w:rPr>
          <w:rFonts w:ascii="Arial" w:hAnsi="Arial" w:cs="Arial"/>
          <w:bCs/>
          <w:sz w:val="24"/>
          <w:szCs w:val="24"/>
        </w:rPr>
        <w:t>;</w:t>
      </w:r>
      <w:r w:rsidRPr="00403649">
        <w:rPr>
          <w:rFonts w:ascii="Arial" w:hAnsi="Arial" w:cs="Arial"/>
          <w:bCs/>
        </w:rPr>
        <w:t xml:space="preserve"> El</w:t>
      </w:r>
      <w:r w:rsidRPr="00403649">
        <w:rPr>
          <w:rFonts w:ascii="Arial" w:hAnsi="Arial" w:cs="Arial"/>
          <w:sz w:val="24"/>
          <w:szCs w:val="24"/>
        </w:rPr>
        <w:t xml:space="preserve"> primero como </w:t>
      </w:r>
      <w:r w:rsidRPr="00403649">
        <w:rPr>
          <w:rFonts w:ascii="Arial" w:hAnsi="Arial" w:cs="Arial"/>
          <w:bCs/>
          <w:sz w:val="24"/>
          <w:szCs w:val="24"/>
        </w:rPr>
        <w:t xml:space="preserve">instrumento metodológico y el modelo de cultura organizacional, cuyo objetivo es que los recursos públicos se asignen prioritariamente a los programas que generan más beneficios a la población y que se corrija el diseño de </w:t>
      </w:r>
      <w:r w:rsidRPr="00403649">
        <w:rPr>
          <w:rFonts w:ascii="Arial" w:hAnsi="Arial" w:cs="Arial"/>
          <w:bCs/>
          <w:color w:val="000000" w:themeColor="text1"/>
          <w:sz w:val="24"/>
          <w:szCs w:val="24"/>
        </w:rPr>
        <w:t xml:space="preserve">aquellos que no están funcionando correctamente. </w:t>
      </w:r>
    </w:p>
    <w:p w:rsidR="001876E4" w:rsidRPr="004C50F4" w:rsidRDefault="001876E4" w:rsidP="001876E4">
      <w:pPr>
        <w:autoSpaceDE w:val="0"/>
        <w:autoSpaceDN w:val="0"/>
        <w:adjustRightInd w:val="0"/>
        <w:spacing w:after="0" w:line="240" w:lineRule="auto"/>
        <w:jc w:val="both"/>
        <w:rPr>
          <w:rFonts w:ascii="Arial" w:hAnsi="Arial" w:cs="Arial"/>
          <w:bCs/>
          <w:color w:val="000000" w:themeColor="text1"/>
          <w:sz w:val="24"/>
        </w:rPr>
      </w:pPr>
    </w:p>
    <w:p w:rsidR="001876E4" w:rsidRPr="00403649" w:rsidRDefault="001876E4" w:rsidP="001876E4">
      <w:pPr>
        <w:autoSpaceDE w:val="0"/>
        <w:autoSpaceDN w:val="0"/>
        <w:adjustRightInd w:val="0"/>
        <w:spacing w:after="0" w:line="240" w:lineRule="auto"/>
        <w:jc w:val="both"/>
        <w:rPr>
          <w:rFonts w:ascii="Arial" w:hAnsi="Arial" w:cs="Arial"/>
          <w:bCs/>
          <w:sz w:val="24"/>
          <w:szCs w:val="24"/>
        </w:rPr>
      </w:pPr>
      <w:r w:rsidRPr="00403649">
        <w:rPr>
          <w:rFonts w:ascii="Arial" w:hAnsi="Arial" w:cs="Arial"/>
          <w:bCs/>
          <w:color w:val="000000" w:themeColor="text1"/>
          <w:sz w:val="24"/>
          <w:szCs w:val="24"/>
        </w:rPr>
        <w:t>Un presupuesto con enfoque en el logro</w:t>
      </w:r>
      <w:r w:rsidRPr="00403649">
        <w:rPr>
          <w:rFonts w:ascii="Arial" w:hAnsi="Arial" w:cs="Arial"/>
          <w:bCs/>
          <w:sz w:val="24"/>
          <w:szCs w:val="24"/>
        </w:rPr>
        <w:t xml:space="preserve"> de resultados se utiliza con el propósito de que los órganos públicos establezcan de manera puntual los objetivos que se alcanzarán con los recursos que se asignen a sus respectivos programas y que el grado de consecución de dichos objetivos pueda ser efectivamente confirmado mediante el Sistema de Evaluación del Desempeño (SED). </w:t>
      </w:r>
    </w:p>
    <w:p w:rsidR="001876E4" w:rsidRPr="00403649" w:rsidRDefault="001876E4" w:rsidP="001876E4">
      <w:pPr>
        <w:autoSpaceDE w:val="0"/>
        <w:autoSpaceDN w:val="0"/>
        <w:adjustRightInd w:val="0"/>
        <w:spacing w:after="0" w:line="240" w:lineRule="auto"/>
        <w:jc w:val="both"/>
        <w:rPr>
          <w:rFonts w:ascii="Arial" w:hAnsi="Arial" w:cs="Arial"/>
          <w:sz w:val="24"/>
          <w:szCs w:val="24"/>
        </w:rPr>
      </w:pPr>
    </w:p>
    <w:p w:rsidR="001876E4" w:rsidRPr="00403649" w:rsidRDefault="001876E4" w:rsidP="001876E4">
      <w:pPr>
        <w:autoSpaceDE w:val="0"/>
        <w:autoSpaceDN w:val="0"/>
        <w:adjustRightInd w:val="0"/>
        <w:spacing w:after="0" w:line="240" w:lineRule="auto"/>
        <w:jc w:val="both"/>
        <w:rPr>
          <w:rFonts w:ascii="Arial" w:hAnsi="Arial" w:cs="Arial"/>
          <w:sz w:val="24"/>
          <w:szCs w:val="24"/>
        </w:rPr>
      </w:pPr>
      <w:r w:rsidRPr="00403649">
        <w:rPr>
          <w:rFonts w:ascii="Arial" w:hAnsi="Arial" w:cs="Arial"/>
          <w:sz w:val="24"/>
          <w:szCs w:val="24"/>
        </w:rPr>
        <w:t>Además, para potenciar el monitoreo del presupuesto, se aplicaron una variedad de instrumentos con diferentes alcances y profundidad metodológica, con el objeto de obtener información de desempeño, entendido como la actuación o el funcionamiento en las acciones públicas, entre los que destacan: matrices de marco lógico, matrices de indicadores, indicadores de desempeño, con ello se fortalecen las bases para futuros monitoreo y evaluacion</w:t>
      </w:r>
      <w:r>
        <w:rPr>
          <w:rFonts w:ascii="Arial" w:hAnsi="Arial" w:cs="Arial"/>
          <w:sz w:val="24"/>
          <w:szCs w:val="24"/>
        </w:rPr>
        <w:t>es de programas, de proyectos y</w:t>
      </w:r>
      <w:r w:rsidRPr="00403649">
        <w:rPr>
          <w:rFonts w:ascii="Arial" w:hAnsi="Arial" w:cs="Arial"/>
          <w:sz w:val="24"/>
          <w:szCs w:val="24"/>
        </w:rPr>
        <w:t xml:space="preserve"> revisiones de gasto.</w:t>
      </w:r>
    </w:p>
    <w:p w:rsidR="001876E4" w:rsidRPr="004C50F4" w:rsidRDefault="001876E4" w:rsidP="001876E4">
      <w:pPr>
        <w:autoSpaceDE w:val="0"/>
        <w:autoSpaceDN w:val="0"/>
        <w:adjustRightInd w:val="0"/>
        <w:spacing w:after="0" w:line="240" w:lineRule="auto"/>
        <w:jc w:val="both"/>
        <w:rPr>
          <w:rFonts w:ascii="Arial" w:hAnsi="Arial" w:cs="Arial"/>
          <w:sz w:val="24"/>
          <w:highlight w:val="red"/>
        </w:rPr>
      </w:pPr>
    </w:p>
    <w:p w:rsidR="001876E4" w:rsidRPr="00DD0112" w:rsidRDefault="001876E4" w:rsidP="001876E4">
      <w:pPr>
        <w:autoSpaceDE w:val="0"/>
        <w:autoSpaceDN w:val="0"/>
        <w:adjustRightInd w:val="0"/>
        <w:spacing w:after="0" w:line="240" w:lineRule="auto"/>
        <w:jc w:val="both"/>
        <w:rPr>
          <w:rFonts w:ascii="Arial" w:hAnsi="Arial" w:cs="Arial"/>
          <w:color w:val="000000"/>
          <w:sz w:val="24"/>
          <w:szCs w:val="24"/>
        </w:rPr>
      </w:pPr>
      <w:r w:rsidRPr="00DD0112">
        <w:rPr>
          <w:rFonts w:ascii="Arial" w:hAnsi="Arial" w:cs="Arial"/>
          <w:color w:val="000000"/>
          <w:sz w:val="24"/>
          <w:szCs w:val="24"/>
        </w:rPr>
        <w:t xml:space="preserve">En el presente proyecto, se tiene claro que los resultados finales o impactos (fin superior de las políticas públicas) en general, ocurren en horizontes de tiempo </w:t>
      </w:r>
      <w:r w:rsidRPr="00DD0112">
        <w:rPr>
          <w:rFonts w:ascii="Arial" w:hAnsi="Arial" w:cs="Arial"/>
          <w:color w:val="000000"/>
          <w:sz w:val="24"/>
          <w:szCs w:val="24"/>
        </w:rPr>
        <w:lastRenderedPageBreak/>
        <w:t>mayores al período anual de un presupuesto, por ello se perfila el ejercicio anual, con un horizonte de mediano plazo.</w:t>
      </w:r>
    </w:p>
    <w:p w:rsidR="001876E4" w:rsidRPr="004C50F4" w:rsidRDefault="001876E4" w:rsidP="001876E4">
      <w:pPr>
        <w:autoSpaceDE w:val="0"/>
        <w:autoSpaceDN w:val="0"/>
        <w:adjustRightInd w:val="0"/>
        <w:spacing w:after="0" w:line="240" w:lineRule="auto"/>
        <w:jc w:val="both"/>
        <w:rPr>
          <w:rFonts w:ascii="Arial" w:hAnsi="Arial" w:cs="Arial"/>
          <w:color w:val="000000"/>
          <w:sz w:val="24"/>
          <w:szCs w:val="26"/>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DD0112">
        <w:rPr>
          <w:rFonts w:ascii="Arial" w:hAnsi="Arial" w:cs="Arial"/>
          <w:sz w:val="24"/>
          <w:szCs w:val="24"/>
        </w:rPr>
        <w:t xml:space="preserve">Los referidos Cinco </w:t>
      </w:r>
      <w:r w:rsidRPr="00DD0112">
        <w:rPr>
          <w:rFonts w:ascii="Arial" w:hAnsi="Arial" w:cs="Arial"/>
          <w:b/>
          <w:sz w:val="24"/>
          <w:szCs w:val="24"/>
        </w:rPr>
        <w:t xml:space="preserve">Ejes Generales y Transversales </w:t>
      </w:r>
      <w:r w:rsidRPr="00DD0112">
        <w:rPr>
          <w:rFonts w:ascii="Arial" w:hAnsi="Arial" w:cs="Arial"/>
          <w:sz w:val="24"/>
          <w:szCs w:val="24"/>
        </w:rPr>
        <w:t>tratados en este apartado contribuyen a articular el compromiso de alcanzar la estabilidad fiscal y financiera, el equilibrio presupuestario y financiero, en beneficio del desarrollo integral del estado.</w:t>
      </w:r>
    </w:p>
    <w:p w:rsidR="001876E4" w:rsidRPr="00DD0112" w:rsidRDefault="001876E4" w:rsidP="001876E4">
      <w:pPr>
        <w:autoSpaceDE w:val="0"/>
        <w:autoSpaceDN w:val="0"/>
        <w:adjustRightInd w:val="0"/>
        <w:spacing w:after="0" w:line="240" w:lineRule="auto"/>
        <w:jc w:val="both"/>
        <w:rPr>
          <w:rFonts w:ascii="Arial" w:hAnsi="Arial" w:cs="Arial"/>
          <w:sz w:val="24"/>
          <w:szCs w:val="24"/>
        </w:rPr>
      </w:pPr>
    </w:p>
    <w:p w:rsidR="001876E4" w:rsidRPr="00B539B7" w:rsidRDefault="001876E4" w:rsidP="001876E4">
      <w:pPr>
        <w:autoSpaceDE w:val="0"/>
        <w:autoSpaceDN w:val="0"/>
        <w:adjustRightInd w:val="0"/>
        <w:spacing w:after="0" w:line="240" w:lineRule="auto"/>
        <w:jc w:val="center"/>
        <w:rPr>
          <w:rFonts w:ascii="Arial" w:hAnsi="Arial" w:cs="Arial"/>
          <w:sz w:val="24"/>
          <w:szCs w:val="24"/>
        </w:rPr>
      </w:pPr>
      <w:r w:rsidRPr="00640CBD">
        <w:rPr>
          <w:noProof/>
          <w:lang w:val="es-ES" w:eastAsia="es-ES"/>
        </w:rPr>
        <w:drawing>
          <wp:inline distT="0" distB="0" distL="0" distR="0" wp14:anchorId="11F07203" wp14:editId="5052A672">
            <wp:extent cx="4687323" cy="4415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3658" cy="4421122"/>
                    </a:xfrm>
                    <a:prstGeom prst="rect">
                      <a:avLst/>
                    </a:prstGeom>
                    <a:noFill/>
                    <a:ln>
                      <a:noFill/>
                    </a:ln>
                  </pic:spPr>
                </pic:pic>
              </a:graphicData>
            </a:graphic>
          </wp:inline>
        </w:drawing>
      </w:r>
    </w:p>
    <w:p w:rsidR="001876E4" w:rsidRPr="00640CBD" w:rsidRDefault="001876E4" w:rsidP="001876E4">
      <w:pPr>
        <w:autoSpaceDE w:val="0"/>
        <w:autoSpaceDN w:val="0"/>
        <w:adjustRightInd w:val="0"/>
        <w:spacing w:after="0" w:line="240" w:lineRule="auto"/>
        <w:jc w:val="both"/>
        <w:rPr>
          <w:rFonts w:ascii="Arial" w:hAnsi="Arial" w:cs="Arial"/>
          <w:sz w:val="20"/>
          <w:szCs w:val="20"/>
        </w:rPr>
      </w:pPr>
      <w:r w:rsidRPr="00640CBD">
        <w:rPr>
          <w:rFonts w:ascii="Arial" w:hAnsi="Arial" w:cs="Arial"/>
          <w:sz w:val="20"/>
          <w:szCs w:val="20"/>
        </w:rPr>
        <w:t xml:space="preserve">             Fuente: Elaboración Propia.</w:t>
      </w: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6A4B12" w:rsidRDefault="001876E4" w:rsidP="001876E4">
      <w:pPr>
        <w:autoSpaceDE w:val="0"/>
        <w:autoSpaceDN w:val="0"/>
        <w:adjustRightInd w:val="0"/>
        <w:spacing w:after="0" w:line="240" w:lineRule="auto"/>
        <w:jc w:val="both"/>
        <w:rPr>
          <w:rFonts w:ascii="Arial" w:hAnsi="Arial" w:cs="Arial"/>
          <w:b/>
          <w:strike/>
          <w:sz w:val="24"/>
          <w:szCs w:val="24"/>
        </w:rPr>
      </w:pPr>
      <w:r w:rsidRPr="00DD0112">
        <w:rPr>
          <w:rFonts w:ascii="Arial" w:hAnsi="Arial" w:cs="Arial"/>
          <w:sz w:val="24"/>
          <w:szCs w:val="24"/>
        </w:rPr>
        <w:t xml:space="preserve">Considerando que el presupuesto constituye la expresión financiera de las políticas públicas, en la administración actual se emprendieron acciones para lograr diversos objetivos con un presupuesto </w:t>
      </w:r>
      <w:r w:rsidRPr="006A4B12">
        <w:rPr>
          <w:rFonts w:ascii="Arial" w:hAnsi="Arial" w:cs="Arial"/>
          <w:sz w:val="24"/>
          <w:szCs w:val="24"/>
        </w:rPr>
        <w:t>mejor integrado:</w:t>
      </w:r>
    </w:p>
    <w:p w:rsidR="001876E4" w:rsidRPr="004C50F4" w:rsidRDefault="001876E4" w:rsidP="001876E4">
      <w:pPr>
        <w:autoSpaceDE w:val="0"/>
        <w:autoSpaceDN w:val="0"/>
        <w:adjustRightInd w:val="0"/>
        <w:spacing w:after="0" w:line="240" w:lineRule="auto"/>
        <w:jc w:val="both"/>
        <w:rPr>
          <w:rFonts w:ascii="Arial" w:hAnsi="Arial" w:cs="Arial"/>
          <w:strike/>
          <w:sz w:val="24"/>
          <w:szCs w:val="24"/>
        </w:rPr>
      </w:pPr>
    </w:p>
    <w:p w:rsidR="001876E4" w:rsidRPr="00DD0112" w:rsidRDefault="001876E4" w:rsidP="00185BC9">
      <w:pPr>
        <w:pStyle w:val="Prrafodelista"/>
        <w:numPr>
          <w:ilvl w:val="0"/>
          <w:numId w:val="2"/>
        </w:numPr>
        <w:autoSpaceDE w:val="0"/>
        <w:autoSpaceDN w:val="0"/>
        <w:adjustRightInd w:val="0"/>
        <w:spacing w:after="0" w:line="240" w:lineRule="auto"/>
        <w:jc w:val="both"/>
        <w:rPr>
          <w:rFonts w:ascii="Arial" w:hAnsi="Arial" w:cs="Arial"/>
          <w:sz w:val="24"/>
          <w:szCs w:val="24"/>
        </w:rPr>
      </w:pPr>
      <w:r w:rsidRPr="00DD0112">
        <w:rPr>
          <w:rFonts w:ascii="Arial" w:hAnsi="Arial" w:cs="Arial"/>
          <w:sz w:val="24"/>
          <w:szCs w:val="24"/>
        </w:rPr>
        <w:lastRenderedPageBreak/>
        <w:t xml:space="preserve">El primero es el de la disciplina fiscal, para el equilibrio entre los ingresos y los gastos públicos, para contribuir a la estabilidad fiscal en el tiempo. </w:t>
      </w:r>
    </w:p>
    <w:p w:rsidR="001876E4" w:rsidRPr="004C50F4" w:rsidRDefault="001876E4" w:rsidP="001876E4">
      <w:pPr>
        <w:autoSpaceDE w:val="0"/>
        <w:autoSpaceDN w:val="0"/>
        <w:adjustRightInd w:val="0"/>
        <w:spacing w:after="0" w:line="240" w:lineRule="auto"/>
        <w:jc w:val="both"/>
        <w:rPr>
          <w:rFonts w:ascii="Arial" w:hAnsi="Arial" w:cs="Arial"/>
          <w:b/>
          <w:sz w:val="24"/>
          <w:szCs w:val="24"/>
        </w:rPr>
      </w:pPr>
    </w:p>
    <w:p w:rsidR="001876E4" w:rsidRPr="00DD0112" w:rsidRDefault="001876E4" w:rsidP="00185BC9">
      <w:pPr>
        <w:pStyle w:val="Prrafodelista"/>
        <w:numPr>
          <w:ilvl w:val="0"/>
          <w:numId w:val="2"/>
        </w:numPr>
        <w:autoSpaceDE w:val="0"/>
        <w:autoSpaceDN w:val="0"/>
        <w:adjustRightInd w:val="0"/>
        <w:spacing w:after="0" w:line="240" w:lineRule="auto"/>
        <w:jc w:val="both"/>
        <w:rPr>
          <w:rFonts w:ascii="Arial" w:hAnsi="Arial" w:cs="Arial"/>
          <w:sz w:val="24"/>
          <w:szCs w:val="24"/>
        </w:rPr>
      </w:pPr>
      <w:r w:rsidRPr="00DD0112">
        <w:rPr>
          <w:rFonts w:ascii="Arial" w:hAnsi="Arial" w:cs="Arial"/>
          <w:sz w:val="24"/>
          <w:szCs w:val="24"/>
        </w:rPr>
        <w:t>El segundo objetivo, es el de la eficiencia en la asignación y se refiere a la capacidad del presupuesto para responder a las prioridades de gobierno, en la asignación de recursos públicos a aquellos proyectos, programas y acciones donde sea posible obtener los mejores desempeños, es decir, las mayores contribuciones a los objetivos de política.</w:t>
      </w:r>
    </w:p>
    <w:p w:rsidR="001876E4" w:rsidRPr="00DD0112" w:rsidRDefault="001876E4" w:rsidP="001876E4">
      <w:pPr>
        <w:spacing w:after="0" w:line="240" w:lineRule="auto"/>
        <w:jc w:val="both"/>
        <w:rPr>
          <w:rFonts w:ascii="Arial" w:hAnsi="Arial" w:cs="Arial"/>
          <w:sz w:val="24"/>
          <w:szCs w:val="24"/>
        </w:rPr>
      </w:pPr>
    </w:p>
    <w:p w:rsidR="001876E4" w:rsidRPr="00DD0112" w:rsidRDefault="001876E4" w:rsidP="00185BC9">
      <w:pPr>
        <w:pStyle w:val="Prrafodelista"/>
        <w:numPr>
          <w:ilvl w:val="0"/>
          <w:numId w:val="2"/>
        </w:numPr>
        <w:spacing w:after="0" w:line="240" w:lineRule="auto"/>
        <w:jc w:val="both"/>
        <w:rPr>
          <w:rFonts w:ascii="Arial" w:hAnsi="Arial" w:cs="Arial"/>
        </w:rPr>
      </w:pPr>
      <w:r w:rsidRPr="00DD0112">
        <w:rPr>
          <w:rFonts w:ascii="Arial" w:hAnsi="Arial" w:cs="Arial"/>
          <w:sz w:val="24"/>
          <w:szCs w:val="24"/>
        </w:rPr>
        <w:t>El tercer objetivo, es el de la eficiencia operacional, centrando su atención en el desempeño en la entrega de los bienes y los servicios. Esto ocurre en la etapa de ejecución del presupuesto por cada uno de los organismos o unidades ejecutoras de gasto que forman parte de dicho presupuesto.</w:t>
      </w:r>
    </w:p>
    <w:p w:rsidR="001876E4" w:rsidRPr="004C50F4" w:rsidRDefault="001876E4" w:rsidP="001876E4">
      <w:pPr>
        <w:pStyle w:val="Prrafodelista"/>
        <w:spacing w:after="0"/>
        <w:rPr>
          <w:rFonts w:ascii="Arial" w:hAnsi="Arial" w:cs="Arial"/>
          <w:sz w:val="24"/>
          <w:highlight w:val="yellow"/>
        </w:rPr>
      </w:pPr>
    </w:p>
    <w:p w:rsidR="001876E4" w:rsidRPr="00DD0112" w:rsidRDefault="001876E4" w:rsidP="001876E4">
      <w:pPr>
        <w:pStyle w:val="Texto"/>
        <w:spacing w:after="0" w:line="240" w:lineRule="auto"/>
        <w:ind w:firstLine="0"/>
        <w:rPr>
          <w:b/>
          <w:sz w:val="24"/>
          <w:szCs w:val="24"/>
        </w:rPr>
      </w:pPr>
      <w:r w:rsidRPr="00DD0112">
        <w:rPr>
          <w:b/>
          <w:sz w:val="24"/>
          <w:szCs w:val="24"/>
          <w:lang w:val="es-MX"/>
        </w:rPr>
        <w:t>2</w:t>
      </w:r>
      <w:r w:rsidRPr="00DD0112">
        <w:rPr>
          <w:b/>
          <w:sz w:val="24"/>
          <w:szCs w:val="24"/>
        </w:rPr>
        <w:t>.2. PROYECCIONES DE FINANZAS PÚBLICAS, CONSIDERANDO LAS PREMISAS EMPLEADAS EN LOS CRITERIOS GENERALES DE POLÍTICA ECONÓMICA.</w:t>
      </w:r>
    </w:p>
    <w:p w:rsidR="001876E4" w:rsidRPr="004C50F4" w:rsidRDefault="001876E4" w:rsidP="001876E4">
      <w:pPr>
        <w:spacing w:after="0" w:line="240" w:lineRule="auto"/>
        <w:jc w:val="both"/>
        <w:rPr>
          <w:rFonts w:ascii="Arial" w:hAnsi="Arial" w:cs="Arial"/>
          <w:sz w:val="24"/>
          <w:lang w:val="es-ES"/>
        </w:rPr>
      </w:pPr>
    </w:p>
    <w:p w:rsidR="001876E4" w:rsidRPr="00DD0112" w:rsidRDefault="001876E4" w:rsidP="001876E4">
      <w:pPr>
        <w:pStyle w:val="Texto"/>
        <w:spacing w:after="0" w:line="240" w:lineRule="auto"/>
        <w:ind w:firstLine="0"/>
        <w:rPr>
          <w:color w:val="000000"/>
          <w:sz w:val="24"/>
          <w:szCs w:val="24"/>
        </w:rPr>
      </w:pPr>
      <w:r w:rsidRPr="00DD0112">
        <w:rPr>
          <w:color w:val="000000"/>
          <w:sz w:val="24"/>
          <w:szCs w:val="24"/>
        </w:rPr>
        <w:t>Las proyecciones que más adelante se presentan, abarcan un periodo de cinco años en adición al ejercicio fiscal 2018 y se efectuaron con base en los formatos emitidos por el Consejo Nacional de Armonización Contable. Asimismo, se fundamentaron en los siguientes criterios:</w:t>
      </w:r>
    </w:p>
    <w:p w:rsidR="001876E4" w:rsidRPr="00DD0112" w:rsidRDefault="001876E4" w:rsidP="001876E4">
      <w:pPr>
        <w:pStyle w:val="Texto"/>
        <w:spacing w:after="0" w:line="240" w:lineRule="auto"/>
        <w:ind w:firstLine="0"/>
        <w:rPr>
          <w:color w:val="000000"/>
          <w:sz w:val="24"/>
          <w:szCs w:val="24"/>
        </w:rPr>
      </w:pPr>
    </w:p>
    <w:p w:rsidR="001876E4" w:rsidRPr="001A75DE" w:rsidRDefault="001876E4" w:rsidP="00185BC9">
      <w:pPr>
        <w:pStyle w:val="Prrafodelista"/>
        <w:numPr>
          <w:ilvl w:val="0"/>
          <w:numId w:val="16"/>
        </w:numPr>
        <w:spacing w:after="0" w:line="240" w:lineRule="auto"/>
        <w:jc w:val="both"/>
        <w:rPr>
          <w:rFonts w:ascii="Arial" w:hAnsi="Arial" w:cs="Arial"/>
          <w:sz w:val="24"/>
          <w:szCs w:val="24"/>
        </w:rPr>
      </w:pPr>
      <w:r w:rsidRPr="001A75DE">
        <w:rPr>
          <w:rFonts w:ascii="Arial" w:hAnsi="Arial" w:cs="Arial"/>
          <w:sz w:val="24"/>
          <w:szCs w:val="24"/>
        </w:rPr>
        <w:t>Premisas empleadas en los Criterios Generales de Política Económica a los que se refiere el artículo 2° fracción IV de la Ley de Disciplina Financiera de las Entidades Federativas y los Municipios.</w:t>
      </w:r>
    </w:p>
    <w:p w:rsidR="001876E4" w:rsidRPr="00DD0112"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6"/>
        </w:numPr>
        <w:spacing w:after="0" w:line="240" w:lineRule="auto"/>
        <w:jc w:val="both"/>
        <w:rPr>
          <w:rFonts w:ascii="Arial" w:hAnsi="Arial" w:cs="Arial"/>
          <w:sz w:val="24"/>
          <w:szCs w:val="24"/>
        </w:rPr>
      </w:pPr>
      <w:r w:rsidRPr="001A75DE">
        <w:rPr>
          <w:rFonts w:ascii="Arial" w:hAnsi="Arial" w:cs="Arial"/>
          <w:sz w:val="24"/>
          <w:szCs w:val="24"/>
        </w:rPr>
        <w:t>Postulados del Título Segundo, Reglas de Disciplina Financiera artículo. 5° fracción II de la Ley de Disciplina Financiera de las Entidades Federativas y los Municipios.</w:t>
      </w:r>
    </w:p>
    <w:p w:rsidR="001876E4" w:rsidRPr="00DD0112"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6"/>
        </w:numPr>
        <w:spacing w:after="0" w:line="240" w:lineRule="auto"/>
        <w:jc w:val="both"/>
        <w:rPr>
          <w:rFonts w:ascii="Arial" w:hAnsi="Arial" w:cs="Arial"/>
          <w:sz w:val="24"/>
          <w:szCs w:val="24"/>
        </w:rPr>
      </w:pPr>
      <w:r w:rsidRPr="001A75DE">
        <w:rPr>
          <w:rFonts w:ascii="Arial" w:hAnsi="Arial" w:cs="Arial"/>
          <w:sz w:val="24"/>
          <w:szCs w:val="24"/>
        </w:rPr>
        <w:t>Criterios para la elaboración y presentación homogénea de la información financiera y de los formatos a que hace referencia la Ley de Disciplina Financiera de las Entidades Federativas y los Municipios.</w:t>
      </w:r>
    </w:p>
    <w:p w:rsidR="001876E4" w:rsidRDefault="001876E4" w:rsidP="001876E4">
      <w:pPr>
        <w:spacing w:line="240" w:lineRule="auto"/>
        <w:jc w:val="center"/>
        <w:rPr>
          <w:noProof/>
        </w:rPr>
      </w:pPr>
    </w:p>
    <w:p w:rsidR="001876E4" w:rsidRDefault="001876E4" w:rsidP="001876E4">
      <w:pPr>
        <w:spacing w:line="240" w:lineRule="auto"/>
        <w:jc w:val="center"/>
        <w:rPr>
          <w:noProof/>
        </w:rPr>
      </w:pPr>
    </w:p>
    <w:p w:rsidR="001876E4" w:rsidRDefault="001876E4" w:rsidP="001876E4">
      <w:pPr>
        <w:spacing w:line="240" w:lineRule="auto"/>
        <w:jc w:val="center"/>
        <w:rPr>
          <w:rFonts w:ascii="Arial" w:hAnsi="Arial" w:cs="Arial"/>
          <w:b/>
          <w:sz w:val="24"/>
          <w:highlight w:val="yellow"/>
        </w:rPr>
      </w:pPr>
    </w:p>
    <w:p w:rsidR="001876E4" w:rsidRPr="00D02705" w:rsidRDefault="001876E4" w:rsidP="001876E4">
      <w:pPr>
        <w:spacing w:line="240" w:lineRule="auto"/>
        <w:jc w:val="center"/>
        <w:rPr>
          <w:rFonts w:ascii="Arial" w:hAnsi="Arial" w:cs="Arial"/>
          <w:b/>
          <w:sz w:val="24"/>
          <w:highlight w:val="yellow"/>
        </w:rPr>
      </w:pPr>
      <w:r w:rsidRPr="00961BB5">
        <w:rPr>
          <w:noProof/>
          <w:lang w:val="es-ES" w:eastAsia="es-ES"/>
        </w:rPr>
        <w:lastRenderedPageBreak/>
        <w:drawing>
          <wp:inline distT="0" distB="0" distL="0" distR="0" wp14:anchorId="0DC83696" wp14:editId="54E2E3CB">
            <wp:extent cx="5391150" cy="69723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6117" cy="6991657"/>
                    </a:xfrm>
                    <a:prstGeom prst="rect">
                      <a:avLst/>
                    </a:prstGeom>
                    <a:noFill/>
                    <a:ln>
                      <a:noFill/>
                    </a:ln>
                  </pic:spPr>
                </pic:pic>
              </a:graphicData>
            </a:graphic>
          </wp:inline>
        </w:drawing>
      </w:r>
    </w:p>
    <w:p w:rsidR="001876E4" w:rsidRPr="007B6FD8" w:rsidRDefault="001876E4" w:rsidP="001876E4">
      <w:pPr>
        <w:spacing w:line="240" w:lineRule="auto"/>
        <w:jc w:val="both"/>
        <w:rPr>
          <w:rFonts w:ascii="Arial" w:hAnsi="Arial" w:cs="Arial"/>
          <w:sz w:val="24"/>
          <w:szCs w:val="24"/>
        </w:rPr>
      </w:pPr>
      <w:r w:rsidRPr="007B6FD8">
        <w:rPr>
          <w:rFonts w:ascii="Arial" w:hAnsi="Arial" w:cs="Arial"/>
          <w:sz w:val="24"/>
          <w:szCs w:val="24"/>
        </w:rPr>
        <w:lastRenderedPageBreak/>
        <w:t>A continuación, se presentan las proyecciones de ingresos en el formato 7 a) emitido por el CONAC, así como las proyecciones de los egresos en el periodo 2018 – 2023 en el formato 7 b).</w:t>
      </w:r>
    </w:p>
    <w:p w:rsidR="001876E4" w:rsidRPr="00F8671B" w:rsidRDefault="001876E4" w:rsidP="001876E4">
      <w:pPr>
        <w:spacing w:line="240" w:lineRule="auto"/>
        <w:jc w:val="center"/>
        <w:rPr>
          <w:rFonts w:ascii="Arial" w:hAnsi="Arial" w:cs="Arial"/>
          <w:b/>
          <w:sz w:val="24"/>
          <w:highlight w:val="yellow"/>
        </w:rPr>
      </w:pPr>
      <w:r w:rsidRPr="00181DB2">
        <w:rPr>
          <w:noProof/>
          <w:lang w:val="es-ES" w:eastAsia="es-ES"/>
        </w:rPr>
        <w:drawing>
          <wp:inline distT="0" distB="0" distL="0" distR="0" wp14:anchorId="1F49D1A4" wp14:editId="6DFC53D2">
            <wp:extent cx="5611417" cy="6185140"/>
            <wp:effectExtent l="0" t="0" r="889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0493" cy="6195144"/>
                    </a:xfrm>
                    <a:prstGeom prst="rect">
                      <a:avLst/>
                    </a:prstGeom>
                    <a:noFill/>
                    <a:ln>
                      <a:noFill/>
                    </a:ln>
                  </pic:spPr>
                </pic:pic>
              </a:graphicData>
            </a:graphic>
          </wp:inline>
        </w:drawing>
      </w:r>
    </w:p>
    <w:p w:rsidR="001876E4" w:rsidRDefault="001876E4" w:rsidP="001876E4">
      <w:pPr>
        <w:spacing w:line="240" w:lineRule="auto"/>
        <w:jc w:val="center"/>
        <w:rPr>
          <w:rFonts w:ascii="Arial" w:hAnsi="Arial" w:cs="Arial"/>
          <w:b/>
          <w:sz w:val="24"/>
          <w:highlight w:val="yellow"/>
        </w:rPr>
      </w:pPr>
    </w:p>
    <w:p w:rsidR="001876E4" w:rsidRPr="00C65C88" w:rsidRDefault="001876E4" w:rsidP="001876E4">
      <w:pPr>
        <w:spacing w:after="0" w:line="240" w:lineRule="auto"/>
        <w:jc w:val="center"/>
        <w:rPr>
          <w:rFonts w:ascii="Arial" w:hAnsi="Arial" w:cs="Arial"/>
          <w:sz w:val="24"/>
          <w:highlight w:val="yellow"/>
        </w:rPr>
      </w:pPr>
      <w:r w:rsidRPr="006C2AFF">
        <w:rPr>
          <w:noProof/>
          <w:lang w:val="es-ES" w:eastAsia="es-ES"/>
        </w:rPr>
        <w:lastRenderedPageBreak/>
        <w:drawing>
          <wp:inline distT="0" distB="0" distL="0" distR="0" wp14:anchorId="042897ED" wp14:editId="245923A9">
            <wp:extent cx="5611495" cy="56197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0181" cy="5628449"/>
                    </a:xfrm>
                    <a:prstGeom prst="rect">
                      <a:avLst/>
                    </a:prstGeom>
                    <a:noFill/>
                    <a:ln>
                      <a:noFill/>
                    </a:ln>
                  </pic:spPr>
                </pic:pic>
              </a:graphicData>
            </a:graphic>
          </wp:inline>
        </w:drawing>
      </w: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p>
    <w:p w:rsidR="001876E4" w:rsidRDefault="001876E4" w:rsidP="001876E4">
      <w:pPr>
        <w:spacing w:after="0" w:line="240" w:lineRule="auto"/>
        <w:rPr>
          <w:rFonts w:ascii="Arial" w:hAnsi="Arial" w:cs="Arial"/>
          <w:b/>
          <w:sz w:val="24"/>
        </w:rPr>
      </w:pPr>
      <w:r w:rsidRPr="00BD416C">
        <w:rPr>
          <w:rFonts w:ascii="Arial" w:hAnsi="Arial" w:cs="Arial"/>
          <w:b/>
          <w:sz w:val="24"/>
        </w:rPr>
        <w:lastRenderedPageBreak/>
        <w:t>Proyectos de Inversión, Infraestructura y Prestación de Servicios</w:t>
      </w:r>
    </w:p>
    <w:p w:rsidR="001876E4" w:rsidRPr="00BD416C" w:rsidRDefault="001876E4" w:rsidP="001876E4">
      <w:pPr>
        <w:spacing w:after="0" w:line="240" w:lineRule="auto"/>
        <w:rPr>
          <w:rFonts w:ascii="Arial" w:hAnsi="Arial" w:cs="Arial"/>
          <w:b/>
          <w:sz w:val="24"/>
        </w:rPr>
      </w:pPr>
    </w:p>
    <w:p w:rsidR="001876E4" w:rsidRDefault="001876E4" w:rsidP="001876E4">
      <w:pPr>
        <w:spacing w:after="0" w:line="240" w:lineRule="auto"/>
        <w:jc w:val="both"/>
        <w:rPr>
          <w:rFonts w:ascii="Arial" w:hAnsi="Arial" w:cs="Arial"/>
          <w:color w:val="FF0000"/>
          <w:sz w:val="16"/>
          <w:szCs w:val="16"/>
        </w:rPr>
      </w:pPr>
      <w:r w:rsidRPr="00BD416C">
        <w:rPr>
          <w:rFonts w:ascii="Arial" w:hAnsi="Arial" w:cs="Arial"/>
          <w:sz w:val="24"/>
        </w:rPr>
        <w:t xml:space="preserve">Los </w:t>
      </w:r>
      <w:r>
        <w:rPr>
          <w:rFonts w:ascii="Arial" w:hAnsi="Arial" w:cs="Arial"/>
          <w:sz w:val="24"/>
        </w:rPr>
        <w:t>Proyectos P</w:t>
      </w:r>
      <w:r w:rsidRPr="00BD416C">
        <w:rPr>
          <w:rFonts w:ascii="Arial" w:hAnsi="Arial" w:cs="Arial"/>
          <w:sz w:val="24"/>
        </w:rPr>
        <w:t>resupuestarios que se proponen para ejecutarse en el ejercicio fiscal 2018, están alineados a</w:t>
      </w:r>
      <w:r w:rsidRPr="00BD416C">
        <w:rPr>
          <w:rFonts w:ascii="Arial" w:hAnsi="Arial" w:cs="Arial"/>
          <w:color w:val="FF0000"/>
          <w:sz w:val="24"/>
        </w:rPr>
        <w:t xml:space="preserve"> </w:t>
      </w:r>
      <w:r w:rsidRPr="008B1CAC">
        <w:rPr>
          <w:rFonts w:ascii="Arial" w:hAnsi="Arial" w:cs="Arial"/>
          <w:sz w:val="24"/>
        </w:rPr>
        <w:t xml:space="preserve">66 </w:t>
      </w:r>
      <w:r w:rsidRPr="005A3452">
        <w:rPr>
          <w:rFonts w:ascii="Arial" w:hAnsi="Arial" w:cs="Arial"/>
          <w:sz w:val="24"/>
        </w:rPr>
        <w:t xml:space="preserve">Programas </w:t>
      </w:r>
      <w:r>
        <w:rPr>
          <w:rFonts w:ascii="Arial" w:hAnsi="Arial" w:cs="Arial"/>
          <w:sz w:val="24"/>
        </w:rPr>
        <w:t>P</w:t>
      </w:r>
      <w:r w:rsidRPr="00BD416C">
        <w:rPr>
          <w:rFonts w:ascii="Arial" w:hAnsi="Arial" w:cs="Arial"/>
          <w:sz w:val="24"/>
        </w:rPr>
        <w:t>resupuestarios y se clasifican de la siguiente forma:</w:t>
      </w:r>
      <w:r>
        <w:rPr>
          <w:rFonts w:ascii="Arial" w:hAnsi="Arial" w:cs="Arial"/>
          <w:sz w:val="24"/>
        </w:rPr>
        <w:t xml:space="preserve"> </w:t>
      </w:r>
    </w:p>
    <w:p w:rsidR="001876E4" w:rsidRDefault="001876E4" w:rsidP="001876E4">
      <w:pPr>
        <w:spacing w:after="0" w:line="240" w:lineRule="auto"/>
        <w:rPr>
          <w:rFonts w:ascii="Arial" w:hAnsi="Arial" w:cs="Arial"/>
          <w:sz w:val="24"/>
          <w:highlight w:val="yellow"/>
        </w:rPr>
      </w:pPr>
    </w:p>
    <w:p w:rsidR="001876E4" w:rsidRDefault="001876E4" w:rsidP="001876E4">
      <w:pPr>
        <w:spacing w:after="0" w:line="240" w:lineRule="auto"/>
        <w:jc w:val="center"/>
        <w:rPr>
          <w:rFonts w:ascii="Arial" w:hAnsi="Arial" w:cs="Arial"/>
          <w:sz w:val="24"/>
          <w:highlight w:val="yellow"/>
        </w:rPr>
      </w:pPr>
      <w:r w:rsidRPr="00181DB2">
        <w:rPr>
          <w:noProof/>
          <w:lang w:val="es-ES" w:eastAsia="es-ES"/>
        </w:rPr>
        <w:drawing>
          <wp:inline distT="0" distB="0" distL="0" distR="0" wp14:anchorId="0AB9C597" wp14:editId="13DDF85E">
            <wp:extent cx="4075283" cy="1173708"/>
            <wp:effectExtent l="0" t="0" r="1905"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1921" cy="1184260"/>
                    </a:xfrm>
                    <a:prstGeom prst="rect">
                      <a:avLst/>
                    </a:prstGeom>
                    <a:noFill/>
                    <a:ln>
                      <a:noFill/>
                    </a:ln>
                  </pic:spPr>
                </pic:pic>
              </a:graphicData>
            </a:graphic>
          </wp:inline>
        </w:drawing>
      </w:r>
    </w:p>
    <w:p w:rsidR="001876E4" w:rsidRPr="00F8671B" w:rsidRDefault="001876E4" w:rsidP="001876E4">
      <w:pPr>
        <w:spacing w:after="0" w:line="240" w:lineRule="auto"/>
        <w:jc w:val="center"/>
        <w:rPr>
          <w:rFonts w:ascii="Arial" w:hAnsi="Arial" w:cs="Arial"/>
          <w:sz w:val="24"/>
          <w:highlight w:val="yellow"/>
        </w:rPr>
      </w:pPr>
    </w:p>
    <w:p w:rsidR="001876E4" w:rsidRDefault="001876E4" w:rsidP="001876E4">
      <w:pPr>
        <w:spacing w:after="0" w:line="240" w:lineRule="auto"/>
        <w:jc w:val="both"/>
        <w:rPr>
          <w:rFonts w:ascii="Arial" w:hAnsi="Arial" w:cs="Arial"/>
          <w:sz w:val="24"/>
        </w:rPr>
      </w:pPr>
      <w:r w:rsidRPr="00BD416C">
        <w:rPr>
          <w:rFonts w:ascii="Arial" w:hAnsi="Arial" w:cs="Arial"/>
          <w:sz w:val="24"/>
        </w:rPr>
        <w:t xml:space="preserve">Dichos proyectos se desglosan en el </w:t>
      </w:r>
      <w:r w:rsidRPr="00C65C88">
        <w:rPr>
          <w:rFonts w:ascii="Arial" w:hAnsi="Arial" w:cs="Arial"/>
          <w:b/>
          <w:sz w:val="24"/>
        </w:rPr>
        <w:t>Anexo 11</w:t>
      </w:r>
      <w:r w:rsidRPr="00C65C88">
        <w:rPr>
          <w:rFonts w:ascii="Arial" w:hAnsi="Arial" w:cs="Arial"/>
          <w:sz w:val="24"/>
        </w:rPr>
        <w:t xml:space="preserve"> </w:t>
      </w:r>
      <w:r w:rsidRPr="00BD416C">
        <w:rPr>
          <w:rFonts w:ascii="Arial" w:hAnsi="Arial" w:cs="Arial"/>
          <w:sz w:val="24"/>
        </w:rPr>
        <w:t>del Proyecto de Decreto del Presupuesto de Egresos 2018.</w:t>
      </w:r>
    </w:p>
    <w:p w:rsidR="001876E4" w:rsidRDefault="001876E4" w:rsidP="001876E4">
      <w:pPr>
        <w:spacing w:after="0" w:line="240" w:lineRule="auto"/>
        <w:jc w:val="both"/>
        <w:rPr>
          <w:rFonts w:ascii="Arial" w:hAnsi="Arial" w:cs="Arial"/>
          <w:sz w:val="24"/>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C20FAD">
        <w:rPr>
          <w:rFonts w:ascii="Arial" w:hAnsi="Arial" w:cs="Arial"/>
          <w:sz w:val="24"/>
          <w:szCs w:val="24"/>
        </w:rPr>
        <w:t xml:space="preserve">En congruencia con las prioridades contenidas en el Plan Estatal de Desarrollo 2016-2021, así como en lo previsto en el </w:t>
      </w:r>
      <w:r w:rsidRPr="00C20FAD">
        <w:rPr>
          <w:rFonts w:ascii="Arial" w:hAnsi="Arial" w:cs="Arial"/>
          <w:bCs/>
          <w:sz w:val="24"/>
          <w:szCs w:val="24"/>
        </w:rPr>
        <w:t xml:space="preserve">artículo 29, fracción VII de la Ley de Presupuesto y Responsabilidad Hacendaria del </w:t>
      </w:r>
      <w:r>
        <w:rPr>
          <w:rFonts w:ascii="Arial" w:hAnsi="Arial" w:cs="Arial"/>
          <w:bCs/>
          <w:sz w:val="24"/>
          <w:szCs w:val="24"/>
        </w:rPr>
        <w:t>Estado de Colima</w:t>
      </w:r>
      <w:r w:rsidRPr="00C20FAD">
        <w:rPr>
          <w:rFonts w:ascii="Arial" w:hAnsi="Arial" w:cs="Arial"/>
          <w:bCs/>
          <w:sz w:val="24"/>
          <w:szCs w:val="24"/>
        </w:rPr>
        <w:t xml:space="preserve"> mi</w:t>
      </w:r>
      <w:r>
        <w:rPr>
          <w:rFonts w:ascii="Arial" w:hAnsi="Arial" w:cs="Arial"/>
          <w:bCs/>
          <w:sz w:val="24"/>
          <w:szCs w:val="24"/>
        </w:rPr>
        <w:t>smo que prevé incorporar en el Presupuesto de E</w:t>
      </w:r>
      <w:r w:rsidRPr="00C20FAD">
        <w:rPr>
          <w:rFonts w:ascii="Arial" w:hAnsi="Arial" w:cs="Arial"/>
          <w:bCs/>
          <w:sz w:val="24"/>
          <w:szCs w:val="24"/>
        </w:rPr>
        <w:t>gresos “Las</w:t>
      </w:r>
      <w:r w:rsidRPr="00C20FAD">
        <w:rPr>
          <w:rFonts w:ascii="Arial" w:hAnsi="Arial" w:cs="Arial"/>
          <w:sz w:val="24"/>
          <w:szCs w:val="24"/>
        </w:rPr>
        <w:t xml:space="preserve"> obligaciones contractuales de inversión pública plurianuales de inversión en obra pública, adquisiciones, arrendamientos y servicios, así como las que rebasen el periodo constitucional;”</w:t>
      </w:r>
    </w:p>
    <w:p w:rsidR="001876E4" w:rsidRPr="00C20FAD" w:rsidRDefault="001876E4" w:rsidP="001876E4">
      <w:pPr>
        <w:autoSpaceDE w:val="0"/>
        <w:autoSpaceDN w:val="0"/>
        <w:adjustRightInd w:val="0"/>
        <w:spacing w:after="0" w:line="240" w:lineRule="auto"/>
        <w:jc w:val="both"/>
        <w:rPr>
          <w:rFonts w:ascii="Arial" w:hAnsi="Arial" w:cs="Arial"/>
          <w:bCs/>
          <w:sz w:val="24"/>
          <w:szCs w:val="24"/>
        </w:rPr>
      </w:pPr>
    </w:p>
    <w:p w:rsidR="001876E4" w:rsidRDefault="001876E4" w:rsidP="001876E4">
      <w:pPr>
        <w:spacing w:after="0" w:line="240" w:lineRule="auto"/>
        <w:jc w:val="both"/>
        <w:rPr>
          <w:rFonts w:ascii="Arial" w:hAnsi="Arial" w:cs="Arial"/>
          <w:bCs/>
          <w:sz w:val="24"/>
          <w:szCs w:val="24"/>
          <w:highlight w:val="cyan"/>
        </w:rPr>
      </w:pPr>
      <w:r>
        <w:rPr>
          <w:rFonts w:ascii="Arial" w:hAnsi="Arial" w:cs="Arial"/>
          <w:bCs/>
          <w:sz w:val="24"/>
          <w:szCs w:val="24"/>
        </w:rPr>
        <w:t>A</w:t>
      </w:r>
      <w:r w:rsidRPr="00C20FAD">
        <w:rPr>
          <w:rFonts w:ascii="Arial" w:hAnsi="Arial" w:cs="Arial"/>
          <w:bCs/>
          <w:sz w:val="24"/>
          <w:szCs w:val="24"/>
        </w:rPr>
        <w:t xml:space="preserve"> continuación, se incluyen los siguientes proyectos plurianuales:</w:t>
      </w:r>
    </w:p>
    <w:p w:rsidR="001876E4" w:rsidRDefault="001876E4" w:rsidP="001876E4">
      <w:pPr>
        <w:spacing w:after="0" w:line="240" w:lineRule="auto"/>
        <w:jc w:val="both"/>
        <w:rPr>
          <w:rFonts w:ascii="Arial" w:hAnsi="Arial" w:cs="Arial"/>
          <w:bCs/>
          <w:sz w:val="24"/>
          <w:szCs w:val="24"/>
          <w:highlight w:val="red"/>
        </w:rPr>
      </w:pPr>
    </w:p>
    <w:p w:rsidR="001876E4" w:rsidRDefault="001876E4" w:rsidP="001876E4">
      <w:pPr>
        <w:spacing w:after="0" w:line="240" w:lineRule="auto"/>
        <w:jc w:val="center"/>
        <w:rPr>
          <w:rFonts w:ascii="Arial" w:hAnsi="Arial" w:cs="Arial"/>
          <w:bCs/>
          <w:sz w:val="24"/>
          <w:szCs w:val="24"/>
          <w:highlight w:val="red"/>
        </w:rPr>
      </w:pPr>
      <w:r w:rsidRPr="00477E83">
        <w:rPr>
          <w:noProof/>
          <w:lang w:val="es-ES" w:eastAsia="es-ES"/>
        </w:rPr>
        <w:lastRenderedPageBreak/>
        <w:drawing>
          <wp:inline distT="0" distB="0" distL="0" distR="0" wp14:anchorId="458DDEB4" wp14:editId="6EA56DD7">
            <wp:extent cx="5478563" cy="6450796"/>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0436" cy="6453002"/>
                    </a:xfrm>
                    <a:prstGeom prst="rect">
                      <a:avLst/>
                    </a:prstGeom>
                    <a:noFill/>
                    <a:ln>
                      <a:noFill/>
                    </a:ln>
                  </pic:spPr>
                </pic:pic>
              </a:graphicData>
            </a:graphic>
          </wp:inline>
        </w:drawing>
      </w:r>
    </w:p>
    <w:p w:rsidR="001876E4" w:rsidRDefault="001876E4" w:rsidP="001876E4">
      <w:pPr>
        <w:spacing w:after="0" w:line="240" w:lineRule="auto"/>
        <w:jc w:val="both"/>
        <w:rPr>
          <w:rFonts w:ascii="Arial" w:hAnsi="Arial" w:cs="Arial"/>
          <w:bCs/>
          <w:sz w:val="24"/>
          <w:szCs w:val="24"/>
          <w:highlight w:val="red"/>
        </w:rPr>
      </w:pPr>
    </w:p>
    <w:p w:rsidR="001876E4" w:rsidRPr="002B7591" w:rsidRDefault="001876E4" w:rsidP="001876E4">
      <w:pPr>
        <w:spacing w:after="0" w:line="240" w:lineRule="auto"/>
        <w:jc w:val="both"/>
        <w:rPr>
          <w:rFonts w:ascii="Arial" w:hAnsi="Arial" w:cs="Arial"/>
          <w:sz w:val="24"/>
          <w:szCs w:val="24"/>
        </w:rPr>
      </w:pPr>
      <w:r w:rsidRPr="002B7591">
        <w:rPr>
          <w:rFonts w:ascii="Arial" w:hAnsi="Arial" w:cs="Arial"/>
          <w:sz w:val="24"/>
          <w:szCs w:val="24"/>
        </w:rPr>
        <w:t xml:space="preserve">En otro aspecto, a partir de la promulgación de la Ley de Asociaciones Público – Privadas del </w:t>
      </w:r>
      <w:r>
        <w:rPr>
          <w:rFonts w:ascii="Arial" w:hAnsi="Arial" w:cs="Arial"/>
          <w:sz w:val="24"/>
          <w:szCs w:val="24"/>
        </w:rPr>
        <w:t>Estado de Colima</w:t>
      </w:r>
      <w:r w:rsidRPr="002B7591">
        <w:rPr>
          <w:rFonts w:ascii="Arial" w:hAnsi="Arial" w:cs="Arial"/>
          <w:sz w:val="24"/>
          <w:szCs w:val="24"/>
        </w:rPr>
        <w:t xml:space="preserve">, aprobada por el H. Congreso del Estado y publicada </w:t>
      </w:r>
      <w:r w:rsidRPr="002B7591">
        <w:rPr>
          <w:rFonts w:ascii="Arial" w:hAnsi="Arial" w:cs="Arial"/>
          <w:sz w:val="24"/>
          <w:szCs w:val="24"/>
        </w:rPr>
        <w:lastRenderedPageBreak/>
        <w:t xml:space="preserve">en el Periódico Oficial “El </w:t>
      </w:r>
      <w:r>
        <w:rPr>
          <w:rFonts w:ascii="Arial" w:hAnsi="Arial" w:cs="Arial"/>
          <w:sz w:val="24"/>
          <w:szCs w:val="24"/>
        </w:rPr>
        <w:t>Estado de Colima</w:t>
      </w:r>
      <w:r w:rsidRPr="002B7591">
        <w:rPr>
          <w:rFonts w:ascii="Arial" w:hAnsi="Arial" w:cs="Arial"/>
          <w:sz w:val="24"/>
          <w:szCs w:val="24"/>
        </w:rPr>
        <w:t xml:space="preserve">” el 22 de noviembre de 2016, se establecen las bases legales para generar </w:t>
      </w:r>
      <w:r w:rsidRPr="002B7591">
        <w:rPr>
          <w:rFonts w:ascii="Arial" w:eastAsia="Times New Roman" w:hAnsi="Arial" w:cs="Arial"/>
          <w:sz w:val="24"/>
          <w:szCs w:val="24"/>
        </w:rPr>
        <w:t xml:space="preserve">proyectos de Asociación Público-Privada </w:t>
      </w:r>
      <w:r w:rsidRPr="002B7591">
        <w:rPr>
          <w:rFonts w:ascii="Arial" w:hAnsi="Arial" w:cs="Arial"/>
          <w:sz w:val="24"/>
          <w:szCs w:val="24"/>
        </w:rPr>
        <w:t>orientados a impulsar el desarrollo del Estado en función de las prioridades establecidas en el Plan Estatal de Desarrollo.</w:t>
      </w:r>
    </w:p>
    <w:p w:rsidR="001876E4" w:rsidRPr="002B7591" w:rsidRDefault="001876E4" w:rsidP="001876E4">
      <w:pPr>
        <w:spacing w:after="0" w:line="240" w:lineRule="auto"/>
        <w:jc w:val="both"/>
        <w:rPr>
          <w:rFonts w:ascii="Arial" w:hAnsi="Arial" w:cs="Arial"/>
          <w:sz w:val="24"/>
          <w:szCs w:val="24"/>
        </w:rPr>
      </w:pPr>
    </w:p>
    <w:p w:rsidR="001876E4" w:rsidRPr="002B7591" w:rsidRDefault="001876E4" w:rsidP="001876E4">
      <w:pPr>
        <w:spacing w:after="0" w:line="240" w:lineRule="auto"/>
        <w:jc w:val="both"/>
        <w:rPr>
          <w:rFonts w:ascii="Arial" w:eastAsia="Times New Roman" w:hAnsi="Arial" w:cs="Arial"/>
          <w:sz w:val="24"/>
          <w:szCs w:val="24"/>
        </w:rPr>
      </w:pPr>
      <w:r w:rsidRPr="002B7591">
        <w:rPr>
          <w:rFonts w:ascii="Arial" w:eastAsia="Times New Roman" w:hAnsi="Arial" w:cs="Arial"/>
          <w:sz w:val="24"/>
          <w:szCs w:val="24"/>
        </w:rPr>
        <w:t>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Estado y sus municipios.</w:t>
      </w:r>
    </w:p>
    <w:p w:rsidR="001876E4" w:rsidRPr="002B7591" w:rsidRDefault="001876E4" w:rsidP="001876E4">
      <w:pPr>
        <w:spacing w:after="0" w:line="240" w:lineRule="auto"/>
        <w:jc w:val="both"/>
        <w:rPr>
          <w:rFonts w:ascii="Arial" w:hAnsi="Arial" w:cs="Arial"/>
          <w:sz w:val="24"/>
          <w:szCs w:val="24"/>
        </w:rPr>
      </w:pPr>
    </w:p>
    <w:p w:rsidR="001876E4" w:rsidRPr="002B7591" w:rsidRDefault="001876E4" w:rsidP="001876E4">
      <w:pPr>
        <w:spacing w:after="0" w:line="240" w:lineRule="auto"/>
        <w:jc w:val="both"/>
        <w:rPr>
          <w:rFonts w:ascii="Arial" w:eastAsia="Times New Roman" w:hAnsi="Arial" w:cs="Arial"/>
          <w:sz w:val="24"/>
          <w:szCs w:val="24"/>
        </w:rPr>
      </w:pPr>
      <w:r w:rsidRPr="002B7591">
        <w:rPr>
          <w:rFonts w:ascii="Arial" w:eastAsia="Times New Roman" w:hAnsi="Arial" w:cs="Arial"/>
          <w:sz w:val="24"/>
          <w:szCs w:val="24"/>
        </w:rPr>
        <w:t>Dichos proyectos deberán estar plenamente justificados, especificar el beneficio social que se busca obtener y demostrar su ventaja financiera frente a otras formas de financiamiento y ser congruentes con los objetivos del Plan Estatal.</w:t>
      </w:r>
    </w:p>
    <w:p w:rsidR="001876E4" w:rsidRPr="002B7591" w:rsidRDefault="001876E4" w:rsidP="001876E4">
      <w:pPr>
        <w:spacing w:after="0" w:line="240" w:lineRule="auto"/>
        <w:jc w:val="both"/>
        <w:rPr>
          <w:rFonts w:ascii="Arial" w:hAnsi="Arial" w:cs="Arial"/>
          <w:sz w:val="24"/>
          <w:szCs w:val="24"/>
        </w:rPr>
      </w:pPr>
    </w:p>
    <w:p w:rsidR="001876E4" w:rsidRDefault="001876E4" w:rsidP="001876E4">
      <w:pPr>
        <w:pStyle w:val="xmsonormal"/>
        <w:shd w:val="clear" w:color="auto" w:fill="FFFFFF"/>
        <w:spacing w:before="0" w:beforeAutospacing="0" w:after="0" w:afterAutospacing="0"/>
        <w:jc w:val="both"/>
        <w:rPr>
          <w:rFonts w:ascii="Arial" w:hAnsi="Arial" w:cs="Arial"/>
          <w:color w:val="000000"/>
          <w:lang w:val="es-ES"/>
        </w:rPr>
      </w:pPr>
      <w:r>
        <w:rPr>
          <w:rFonts w:ascii="Arial" w:hAnsi="Arial" w:cs="Arial"/>
          <w:color w:val="000000"/>
          <w:lang w:val="es-ES"/>
        </w:rPr>
        <w:t>Para el ejercicio f</w:t>
      </w:r>
      <w:r w:rsidRPr="002B7591">
        <w:rPr>
          <w:rFonts w:ascii="Arial" w:hAnsi="Arial" w:cs="Arial"/>
          <w:color w:val="000000"/>
          <w:lang w:val="es-ES"/>
        </w:rPr>
        <w:t>iscal 2018, no hay asignación presupuestal para el financiamiento de proyectos de Asociación Público-Privada, suscritos entre instancias del Sector Público de Gobierno del Estado con el Sector Privado.</w:t>
      </w:r>
    </w:p>
    <w:p w:rsidR="001876E4" w:rsidRDefault="001876E4" w:rsidP="001876E4">
      <w:pPr>
        <w:pStyle w:val="xmsonormal"/>
        <w:shd w:val="clear" w:color="auto" w:fill="FFFFFF"/>
        <w:spacing w:before="0" w:beforeAutospacing="0" w:after="0" w:afterAutospacing="0"/>
        <w:jc w:val="both"/>
        <w:rPr>
          <w:rFonts w:ascii="Arial" w:hAnsi="Arial" w:cs="Arial"/>
          <w:color w:val="000000"/>
          <w:lang w:val="es-ES"/>
        </w:rPr>
      </w:pPr>
    </w:p>
    <w:p w:rsidR="001876E4" w:rsidRPr="00E91BDA" w:rsidRDefault="001876E4" w:rsidP="001876E4">
      <w:pPr>
        <w:pStyle w:val="Texto"/>
        <w:spacing w:after="0" w:line="240" w:lineRule="auto"/>
        <w:ind w:firstLine="0"/>
        <w:rPr>
          <w:b/>
          <w:color w:val="000000"/>
          <w:sz w:val="24"/>
          <w:szCs w:val="24"/>
        </w:rPr>
      </w:pPr>
      <w:r w:rsidRPr="00E91BDA">
        <w:rPr>
          <w:b/>
          <w:color w:val="000000"/>
          <w:sz w:val="24"/>
          <w:szCs w:val="24"/>
        </w:rPr>
        <w:t>2.3. DESCRIPCIÓN DE LOS RIESGOS RELEVANTES PARA LAS FINANZAS PÚBLICAS, INCLUYENDO LOS MONTOS DE DEUDA CONTINGENTE, ACOMPAÑADOS DE PROPUESTAS DE ACCIÓN PARA ENFRENTARLOS.</w:t>
      </w:r>
    </w:p>
    <w:p w:rsidR="001876E4" w:rsidRPr="00BA022A" w:rsidRDefault="001876E4" w:rsidP="001876E4">
      <w:pPr>
        <w:pStyle w:val="Texto"/>
        <w:spacing w:after="0" w:line="240" w:lineRule="auto"/>
        <w:ind w:firstLine="0"/>
        <w:rPr>
          <w:color w:val="000000"/>
          <w:sz w:val="24"/>
          <w:szCs w:val="28"/>
        </w:rPr>
      </w:pPr>
    </w:p>
    <w:p w:rsidR="001876E4" w:rsidRDefault="001876E4" w:rsidP="001876E4">
      <w:pPr>
        <w:spacing w:after="0" w:line="240" w:lineRule="auto"/>
        <w:jc w:val="both"/>
        <w:rPr>
          <w:b/>
          <w:color w:val="000000"/>
          <w:sz w:val="28"/>
          <w:szCs w:val="28"/>
        </w:rPr>
      </w:pPr>
      <w:r w:rsidRPr="00E91BDA">
        <w:rPr>
          <w:b/>
          <w:color w:val="000000"/>
          <w:sz w:val="28"/>
          <w:szCs w:val="28"/>
          <w:lang w:val="es-ES"/>
        </w:rPr>
        <w:t>2</w:t>
      </w:r>
      <w:r w:rsidRPr="00E91BDA">
        <w:rPr>
          <w:b/>
          <w:color w:val="000000"/>
          <w:sz w:val="28"/>
          <w:szCs w:val="28"/>
        </w:rPr>
        <w:t xml:space="preserve">.3.1. Riesgos Relevantes de las Finanzas Públicas a Nivel Nacional. </w:t>
      </w:r>
    </w:p>
    <w:p w:rsidR="001876E4" w:rsidRDefault="001876E4" w:rsidP="001876E4">
      <w:pPr>
        <w:spacing w:after="0" w:line="240" w:lineRule="auto"/>
        <w:jc w:val="both"/>
        <w:rPr>
          <w:color w:val="000000"/>
          <w:sz w:val="24"/>
          <w:szCs w:val="28"/>
        </w:rPr>
      </w:pPr>
    </w:p>
    <w:p w:rsidR="001876E4" w:rsidRPr="003233D8" w:rsidRDefault="001876E4" w:rsidP="001876E4">
      <w:pPr>
        <w:spacing w:after="0" w:line="240" w:lineRule="auto"/>
        <w:jc w:val="center"/>
        <w:rPr>
          <w:color w:val="000000"/>
          <w:sz w:val="24"/>
          <w:szCs w:val="28"/>
          <w:lang w:val="es-ES"/>
        </w:rPr>
      </w:pPr>
      <w:r w:rsidRPr="003233D8">
        <w:rPr>
          <w:noProof/>
          <w:lang w:val="es-ES" w:eastAsia="es-ES"/>
        </w:rPr>
        <w:drawing>
          <wp:inline distT="0" distB="0" distL="0" distR="0" wp14:anchorId="5B73B1C3" wp14:editId="00776BF9">
            <wp:extent cx="5126193" cy="20539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8734" cy="2058926"/>
                    </a:xfrm>
                    <a:prstGeom prst="rect">
                      <a:avLst/>
                    </a:prstGeom>
                    <a:noFill/>
                    <a:ln>
                      <a:noFill/>
                    </a:ln>
                  </pic:spPr>
                </pic:pic>
              </a:graphicData>
            </a:graphic>
          </wp:inline>
        </w:drawing>
      </w:r>
    </w:p>
    <w:p w:rsidR="001876E4" w:rsidRDefault="001876E4" w:rsidP="001876E4">
      <w:pPr>
        <w:spacing w:after="0" w:line="240" w:lineRule="auto"/>
        <w:rPr>
          <w:rFonts w:ascii="Arial" w:hAnsi="Arial" w:cs="Arial"/>
          <w:color w:val="000000"/>
          <w:sz w:val="28"/>
          <w:szCs w:val="28"/>
          <w:highlight w:val="yellow"/>
        </w:rPr>
      </w:pPr>
    </w:p>
    <w:p w:rsidR="001876E4" w:rsidRDefault="001876E4" w:rsidP="001876E4">
      <w:pPr>
        <w:spacing w:after="0" w:line="240" w:lineRule="auto"/>
        <w:jc w:val="center"/>
        <w:rPr>
          <w:rFonts w:ascii="Arial" w:hAnsi="Arial" w:cs="Arial"/>
          <w:color w:val="000000"/>
          <w:sz w:val="28"/>
          <w:szCs w:val="28"/>
          <w:highlight w:val="yellow"/>
        </w:rPr>
      </w:pPr>
      <w:r w:rsidRPr="003233D8">
        <w:rPr>
          <w:noProof/>
          <w:lang w:val="es-ES" w:eastAsia="es-ES"/>
        </w:rPr>
        <w:lastRenderedPageBreak/>
        <w:drawing>
          <wp:inline distT="0" distB="0" distL="0" distR="0" wp14:anchorId="0075D2AD" wp14:editId="431FF890">
            <wp:extent cx="4887012" cy="338137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8224" cy="3382214"/>
                    </a:xfrm>
                    <a:prstGeom prst="rect">
                      <a:avLst/>
                    </a:prstGeom>
                    <a:noFill/>
                    <a:ln>
                      <a:noFill/>
                    </a:ln>
                  </pic:spPr>
                </pic:pic>
              </a:graphicData>
            </a:graphic>
          </wp:inline>
        </w:drawing>
      </w:r>
    </w:p>
    <w:p w:rsidR="001876E4" w:rsidRPr="003A5B11" w:rsidRDefault="001876E4" w:rsidP="001876E4">
      <w:pPr>
        <w:spacing w:line="240" w:lineRule="auto"/>
        <w:jc w:val="center"/>
        <w:rPr>
          <w:rFonts w:ascii="Arial" w:hAnsi="Arial" w:cs="Arial"/>
          <w:color w:val="000000"/>
          <w:sz w:val="28"/>
          <w:szCs w:val="28"/>
          <w:highlight w:val="yellow"/>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rPr>
          <w:noProof/>
          <w:lang w:val="es-ES" w:eastAsia="es-ES"/>
        </w:rPr>
      </w:pPr>
    </w:p>
    <w:p w:rsidR="001876E4" w:rsidRDefault="001876E4" w:rsidP="001876E4">
      <w:pPr>
        <w:autoSpaceDE w:val="0"/>
        <w:autoSpaceDN w:val="0"/>
        <w:adjustRightInd w:val="0"/>
        <w:spacing w:after="0" w:line="240" w:lineRule="auto"/>
        <w:jc w:val="center"/>
        <w:rPr>
          <w:rFonts w:ascii="Arial" w:hAnsi="Arial" w:cs="Arial"/>
          <w:b/>
          <w:color w:val="000000"/>
          <w:sz w:val="28"/>
          <w:szCs w:val="28"/>
        </w:rPr>
      </w:pPr>
      <w:r w:rsidRPr="003233D8">
        <w:rPr>
          <w:noProof/>
          <w:lang w:val="es-ES" w:eastAsia="es-ES"/>
        </w:rPr>
        <w:lastRenderedPageBreak/>
        <w:drawing>
          <wp:inline distT="0" distB="0" distL="0" distR="0" wp14:anchorId="3C8F76C1" wp14:editId="66CB8B73">
            <wp:extent cx="5611761" cy="6638925"/>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120" cy="6644082"/>
                    </a:xfrm>
                    <a:prstGeom prst="rect">
                      <a:avLst/>
                    </a:prstGeom>
                    <a:noFill/>
                    <a:ln>
                      <a:noFill/>
                    </a:ln>
                  </pic:spPr>
                </pic:pic>
              </a:graphicData>
            </a:graphic>
          </wp:inline>
        </w:drawing>
      </w:r>
    </w:p>
    <w:p w:rsidR="001876E4" w:rsidRDefault="001876E4" w:rsidP="001876E4">
      <w:pPr>
        <w:autoSpaceDE w:val="0"/>
        <w:autoSpaceDN w:val="0"/>
        <w:adjustRightInd w:val="0"/>
        <w:spacing w:after="0" w:line="240" w:lineRule="auto"/>
        <w:rPr>
          <w:rFonts w:ascii="Arial" w:hAnsi="Arial" w:cs="Arial"/>
          <w:b/>
          <w:color w:val="000000"/>
          <w:sz w:val="28"/>
          <w:szCs w:val="28"/>
        </w:rPr>
      </w:pPr>
    </w:p>
    <w:p w:rsidR="001876E4" w:rsidRDefault="001876E4" w:rsidP="001876E4">
      <w:pPr>
        <w:autoSpaceDE w:val="0"/>
        <w:autoSpaceDN w:val="0"/>
        <w:adjustRightInd w:val="0"/>
        <w:spacing w:after="0" w:line="240" w:lineRule="auto"/>
        <w:rPr>
          <w:rFonts w:ascii="Arial" w:hAnsi="Arial" w:cs="Arial"/>
          <w:b/>
          <w:color w:val="000000"/>
          <w:sz w:val="28"/>
          <w:szCs w:val="28"/>
        </w:rPr>
      </w:pPr>
    </w:p>
    <w:p w:rsidR="001876E4" w:rsidRPr="001B64BB" w:rsidRDefault="001876E4" w:rsidP="001876E4">
      <w:pPr>
        <w:autoSpaceDE w:val="0"/>
        <w:autoSpaceDN w:val="0"/>
        <w:adjustRightInd w:val="0"/>
        <w:spacing w:after="0" w:line="240" w:lineRule="auto"/>
        <w:rPr>
          <w:rFonts w:ascii="Arial" w:hAnsi="Arial" w:cs="Arial"/>
          <w:b/>
          <w:color w:val="000000"/>
          <w:sz w:val="24"/>
          <w:szCs w:val="28"/>
        </w:rPr>
      </w:pPr>
      <w:r w:rsidRPr="001B64BB">
        <w:rPr>
          <w:rFonts w:ascii="Arial" w:hAnsi="Arial" w:cs="Arial"/>
          <w:b/>
          <w:color w:val="000000"/>
          <w:sz w:val="24"/>
          <w:szCs w:val="28"/>
        </w:rPr>
        <w:lastRenderedPageBreak/>
        <w:t>Riesgos fiscales</w:t>
      </w:r>
    </w:p>
    <w:p w:rsidR="001876E4" w:rsidRPr="001B4E3C" w:rsidRDefault="001876E4" w:rsidP="001876E4">
      <w:pPr>
        <w:autoSpaceDE w:val="0"/>
        <w:autoSpaceDN w:val="0"/>
        <w:adjustRightInd w:val="0"/>
        <w:spacing w:after="0" w:line="240" w:lineRule="auto"/>
        <w:rPr>
          <w:rFonts w:ascii="Arial" w:hAnsi="Arial" w:cs="Arial"/>
          <w:color w:val="000000"/>
          <w:sz w:val="24"/>
          <w:szCs w:val="28"/>
        </w:rPr>
      </w:pPr>
    </w:p>
    <w:p w:rsidR="001876E4" w:rsidRDefault="001876E4" w:rsidP="001876E4">
      <w:pPr>
        <w:autoSpaceDE w:val="0"/>
        <w:autoSpaceDN w:val="0"/>
        <w:adjustRightInd w:val="0"/>
        <w:spacing w:after="0" w:line="240" w:lineRule="auto"/>
        <w:jc w:val="both"/>
        <w:rPr>
          <w:rFonts w:ascii="Arial" w:hAnsi="Arial" w:cs="Arial"/>
          <w:b/>
          <w:iCs/>
          <w:sz w:val="24"/>
          <w:szCs w:val="24"/>
        </w:rPr>
      </w:pPr>
      <w:r w:rsidRPr="00375D6B">
        <w:rPr>
          <w:rFonts w:ascii="Arial" w:hAnsi="Arial" w:cs="Arial"/>
          <w:b/>
          <w:iCs/>
          <w:sz w:val="24"/>
          <w:szCs w:val="24"/>
        </w:rPr>
        <w:t>Riesgos</w:t>
      </w:r>
      <w:r>
        <w:rPr>
          <w:rFonts w:ascii="Arial" w:hAnsi="Arial" w:cs="Arial"/>
          <w:b/>
          <w:iCs/>
          <w:sz w:val="24"/>
          <w:szCs w:val="24"/>
        </w:rPr>
        <w:t xml:space="preserve"> macroeconómicos de corto plazo</w:t>
      </w:r>
    </w:p>
    <w:p w:rsidR="001876E4" w:rsidRPr="001B4E3C" w:rsidRDefault="001876E4" w:rsidP="001876E4">
      <w:pPr>
        <w:autoSpaceDE w:val="0"/>
        <w:autoSpaceDN w:val="0"/>
        <w:adjustRightInd w:val="0"/>
        <w:spacing w:after="0" w:line="240" w:lineRule="auto"/>
        <w:jc w:val="both"/>
        <w:rPr>
          <w:rFonts w:ascii="Arial" w:hAnsi="Arial" w:cs="Arial"/>
          <w:iCs/>
          <w:sz w:val="24"/>
          <w:szCs w:val="24"/>
        </w:rPr>
      </w:pPr>
    </w:p>
    <w:p w:rsidR="001876E4" w:rsidRPr="00375D6B" w:rsidRDefault="001876E4" w:rsidP="001876E4">
      <w:pPr>
        <w:autoSpaceDE w:val="0"/>
        <w:autoSpaceDN w:val="0"/>
        <w:adjustRightInd w:val="0"/>
        <w:spacing w:after="0" w:line="240" w:lineRule="auto"/>
        <w:jc w:val="both"/>
        <w:rPr>
          <w:rFonts w:ascii="Arial" w:hAnsi="Arial" w:cs="Arial"/>
          <w:iCs/>
          <w:sz w:val="24"/>
          <w:szCs w:val="24"/>
        </w:rPr>
      </w:pPr>
      <w:r w:rsidRPr="00375D6B">
        <w:rPr>
          <w:rFonts w:ascii="Arial" w:hAnsi="Arial" w:cs="Arial"/>
          <w:iCs/>
          <w:sz w:val="24"/>
          <w:szCs w:val="24"/>
        </w:rPr>
        <w:t>Los supuestos del entorno macroeconómico, aunque prudentes y responsables, pueden diferir de lo que suceda durante el ejercicio fiscal 2018. Por lo tanto, a continuación, se presenta un análisis sobre el impacto en las estimaciones de ingresos y gastos del Paquete Económico de potenciales desviaciones de las principales variables macroeconómicas. Este análisis no considera movimientos simultáneos de las variables, por lo que deben entenderse como impactos aislados.</w:t>
      </w:r>
    </w:p>
    <w:p w:rsidR="001876E4" w:rsidRPr="00BA022A" w:rsidRDefault="001876E4" w:rsidP="001876E4">
      <w:pPr>
        <w:autoSpaceDE w:val="0"/>
        <w:autoSpaceDN w:val="0"/>
        <w:adjustRightInd w:val="0"/>
        <w:spacing w:after="0" w:line="240" w:lineRule="auto"/>
        <w:jc w:val="both"/>
        <w:rPr>
          <w:rFonts w:ascii="Arial" w:hAnsi="Arial" w:cs="Arial"/>
          <w:iCs/>
          <w:sz w:val="24"/>
          <w:szCs w:val="24"/>
          <w:highlight w:val="yellow"/>
        </w:rPr>
      </w:pPr>
    </w:p>
    <w:p w:rsidR="001876E4" w:rsidRDefault="001876E4" w:rsidP="001876E4">
      <w:pPr>
        <w:spacing w:after="0" w:line="240" w:lineRule="auto"/>
        <w:jc w:val="center"/>
        <w:rPr>
          <w:rFonts w:ascii="Arial" w:hAnsi="Arial" w:cs="Arial"/>
          <w:sz w:val="24"/>
          <w:szCs w:val="24"/>
          <w:highlight w:val="yellow"/>
        </w:rPr>
      </w:pPr>
      <w:r w:rsidRPr="003233D8">
        <w:rPr>
          <w:noProof/>
          <w:lang w:val="es-ES" w:eastAsia="es-ES"/>
        </w:rPr>
        <w:drawing>
          <wp:inline distT="0" distB="0" distL="0" distR="0" wp14:anchorId="29B1A39B" wp14:editId="1EDE2935">
            <wp:extent cx="5611436" cy="334327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4240" cy="3350904"/>
                    </a:xfrm>
                    <a:prstGeom prst="rect">
                      <a:avLst/>
                    </a:prstGeom>
                    <a:noFill/>
                    <a:ln>
                      <a:noFill/>
                    </a:ln>
                  </pic:spPr>
                </pic:pic>
              </a:graphicData>
            </a:graphic>
          </wp:inline>
        </w:drawing>
      </w:r>
    </w:p>
    <w:p w:rsidR="001876E4" w:rsidRPr="00F8671B" w:rsidRDefault="001876E4" w:rsidP="001876E4">
      <w:pPr>
        <w:spacing w:after="0" w:line="240" w:lineRule="auto"/>
        <w:jc w:val="center"/>
        <w:rPr>
          <w:rFonts w:ascii="Arial" w:hAnsi="Arial" w:cs="Arial"/>
          <w:sz w:val="24"/>
          <w:szCs w:val="24"/>
          <w:highlight w:val="yellow"/>
        </w:rPr>
      </w:pPr>
    </w:p>
    <w:p w:rsidR="001876E4" w:rsidRDefault="001876E4" w:rsidP="001876E4">
      <w:pPr>
        <w:spacing w:after="0" w:line="240" w:lineRule="auto"/>
        <w:jc w:val="both"/>
        <w:rPr>
          <w:rFonts w:ascii="Arial" w:hAnsi="Arial" w:cs="Arial"/>
          <w:sz w:val="24"/>
          <w:szCs w:val="24"/>
        </w:rPr>
      </w:pPr>
      <w:r w:rsidRPr="00375D6B">
        <w:rPr>
          <w:rFonts w:ascii="Arial" w:hAnsi="Arial" w:cs="Arial"/>
          <w:sz w:val="24"/>
          <w:szCs w:val="24"/>
        </w:rPr>
        <w:t xml:space="preserve">Además de los riesgos listados, existen factores con el potencial de afectar las finanzas públicas cuya cuantificación precisa es compleja. No obstante, el Gobierno Federal cuenta con amortiguadores fiscales, como los recursos </w:t>
      </w:r>
      <w:r w:rsidRPr="000846F5">
        <w:rPr>
          <w:rFonts w:ascii="Arial" w:hAnsi="Arial" w:cs="Arial"/>
          <w:sz w:val="24"/>
          <w:szCs w:val="24"/>
        </w:rPr>
        <w:t xml:space="preserve">del </w:t>
      </w:r>
      <w:r w:rsidRPr="000846F5">
        <w:rPr>
          <w:rFonts w:ascii="SoberanaSans-Light" w:hAnsi="SoberanaSans-Light" w:cs="SoberanaSans-Light"/>
        </w:rPr>
        <w:t xml:space="preserve">Fondo de Estabilización de los Ingresos Presupuestarios </w:t>
      </w:r>
      <w:r w:rsidRPr="00375D6B">
        <w:rPr>
          <w:rFonts w:ascii="Arial" w:hAnsi="Arial" w:cs="Arial"/>
          <w:sz w:val="24"/>
          <w:szCs w:val="24"/>
        </w:rPr>
        <w:t xml:space="preserve">que se estima ascenderán a 200 </w:t>
      </w:r>
      <w:r>
        <w:rPr>
          <w:rFonts w:ascii="Arial" w:hAnsi="Arial" w:cs="Arial"/>
          <w:sz w:val="24"/>
          <w:szCs w:val="24"/>
        </w:rPr>
        <w:t xml:space="preserve">mil millones de pesos </w:t>
      </w:r>
      <w:r w:rsidRPr="00375D6B">
        <w:rPr>
          <w:rFonts w:ascii="Arial" w:hAnsi="Arial" w:cs="Arial"/>
          <w:sz w:val="24"/>
          <w:szCs w:val="24"/>
        </w:rPr>
        <w:t>en 2018, y una gama de herramientas de política fiscal para enfrentar los riesgos de forma oportuna y efectiva, concluir la trayectoria de consolidación fiscal comprometida y preservar la estabilidad macroeconómica.</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p>
    <w:p w:rsidR="001876E4" w:rsidRDefault="001876E4" w:rsidP="001876E4">
      <w:pPr>
        <w:autoSpaceDE w:val="0"/>
        <w:autoSpaceDN w:val="0"/>
        <w:adjustRightInd w:val="0"/>
        <w:spacing w:after="0" w:line="240" w:lineRule="auto"/>
        <w:jc w:val="both"/>
        <w:rPr>
          <w:rFonts w:ascii="Arial" w:hAnsi="Arial" w:cs="Arial"/>
          <w:b/>
          <w:iCs/>
          <w:sz w:val="24"/>
          <w:szCs w:val="24"/>
        </w:rPr>
      </w:pPr>
      <w:r w:rsidRPr="00B1406E">
        <w:rPr>
          <w:rFonts w:ascii="Arial" w:hAnsi="Arial" w:cs="Arial"/>
          <w:b/>
          <w:iCs/>
          <w:sz w:val="24"/>
          <w:szCs w:val="24"/>
        </w:rPr>
        <w:lastRenderedPageBreak/>
        <w:t>Riesgos macroeconómicos de largo plazo y pasivos contingentes.</w:t>
      </w:r>
    </w:p>
    <w:p w:rsidR="001876E4" w:rsidRDefault="001876E4" w:rsidP="001876E4">
      <w:pPr>
        <w:autoSpaceDE w:val="0"/>
        <w:autoSpaceDN w:val="0"/>
        <w:adjustRightInd w:val="0"/>
        <w:spacing w:after="0" w:line="240" w:lineRule="auto"/>
        <w:jc w:val="both"/>
        <w:rPr>
          <w:rFonts w:ascii="Arial" w:hAnsi="Arial" w:cs="Arial"/>
          <w:b/>
          <w:iCs/>
          <w:sz w:val="24"/>
          <w:szCs w:val="24"/>
          <w:highlight w:val="yellow"/>
        </w:rPr>
      </w:pPr>
    </w:p>
    <w:p w:rsidR="001876E4" w:rsidRPr="004D1AAC" w:rsidRDefault="001876E4" w:rsidP="001876E4">
      <w:pPr>
        <w:autoSpaceDE w:val="0"/>
        <w:autoSpaceDN w:val="0"/>
        <w:adjustRightInd w:val="0"/>
        <w:spacing w:after="0" w:line="240" w:lineRule="auto"/>
        <w:jc w:val="both"/>
        <w:rPr>
          <w:rFonts w:ascii="Arial" w:hAnsi="Arial" w:cs="Arial"/>
          <w:iCs/>
          <w:sz w:val="24"/>
          <w:szCs w:val="24"/>
          <w:highlight w:val="yellow"/>
        </w:rPr>
      </w:pPr>
      <w:r w:rsidRPr="004D1AAC">
        <w:rPr>
          <w:rFonts w:ascii="Arial" w:hAnsi="Arial" w:cs="Arial"/>
          <w:iCs/>
          <w:sz w:val="24"/>
          <w:szCs w:val="24"/>
        </w:rPr>
        <w:t>Existen riesgos fiscales derivados de elementos estructurales que podrían tener efectos sobre</w:t>
      </w:r>
      <w:r>
        <w:rPr>
          <w:rFonts w:ascii="Arial" w:hAnsi="Arial" w:cs="Arial"/>
          <w:iCs/>
          <w:sz w:val="24"/>
          <w:szCs w:val="24"/>
        </w:rPr>
        <w:t xml:space="preserve"> </w:t>
      </w:r>
      <w:r w:rsidRPr="004D1AAC">
        <w:rPr>
          <w:rFonts w:ascii="Arial" w:hAnsi="Arial" w:cs="Arial"/>
          <w:iCs/>
          <w:sz w:val="24"/>
          <w:szCs w:val="24"/>
        </w:rPr>
        <w:t>las finanzas públicas, como el cambio en la composición etaria de la población. Además, hay</w:t>
      </w:r>
      <w:r>
        <w:rPr>
          <w:rFonts w:ascii="Arial" w:hAnsi="Arial" w:cs="Arial"/>
          <w:iCs/>
          <w:sz w:val="24"/>
          <w:szCs w:val="24"/>
        </w:rPr>
        <w:t xml:space="preserve"> </w:t>
      </w:r>
      <w:r w:rsidRPr="004D1AAC">
        <w:rPr>
          <w:rFonts w:ascii="Arial" w:hAnsi="Arial" w:cs="Arial"/>
          <w:iCs/>
          <w:sz w:val="24"/>
          <w:szCs w:val="24"/>
        </w:rPr>
        <w:t>obligaciones financieras estipuladas por el Sector Público que no constituyen deuda pública del</w:t>
      </w:r>
      <w:r>
        <w:rPr>
          <w:rFonts w:ascii="Arial" w:hAnsi="Arial" w:cs="Arial"/>
          <w:iCs/>
          <w:sz w:val="24"/>
          <w:szCs w:val="24"/>
        </w:rPr>
        <w:t xml:space="preserve"> </w:t>
      </w:r>
      <w:r w:rsidRPr="004D1AAC">
        <w:rPr>
          <w:rFonts w:ascii="Arial" w:hAnsi="Arial" w:cs="Arial"/>
          <w:iCs/>
          <w:sz w:val="24"/>
          <w:szCs w:val="24"/>
        </w:rPr>
        <w:t>mismo o que podrían surgir de la ocurrencia de imprevistos, como los desastres naturales.</w:t>
      </w:r>
    </w:p>
    <w:p w:rsidR="001876E4" w:rsidRPr="001B4E3C" w:rsidRDefault="001876E4" w:rsidP="001876E4">
      <w:pPr>
        <w:autoSpaceDE w:val="0"/>
        <w:autoSpaceDN w:val="0"/>
        <w:adjustRightInd w:val="0"/>
        <w:spacing w:after="0" w:line="240" w:lineRule="auto"/>
        <w:jc w:val="both"/>
        <w:rPr>
          <w:rFonts w:ascii="Arial" w:hAnsi="Arial" w:cs="Arial"/>
          <w:iCs/>
          <w:sz w:val="24"/>
          <w:szCs w:val="24"/>
          <w:highlight w:val="yellow"/>
        </w:rPr>
      </w:pPr>
    </w:p>
    <w:p w:rsidR="001876E4" w:rsidRDefault="001876E4" w:rsidP="001876E4">
      <w:pPr>
        <w:autoSpaceDE w:val="0"/>
        <w:autoSpaceDN w:val="0"/>
        <w:adjustRightInd w:val="0"/>
        <w:spacing w:after="0" w:line="240" w:lineRule="auto"/>
        <w:jc w:val="both"/>
        <w:rPr>
          <w:rFonts w:ascii="Arial" w:hAnsi="Arial" w:cs="Arial"/>
          <w:sz w:val="24"/>
          <w:szCs w:val="24"/>
          <w:highlight w:val="yellow"/>
        </w:rPr>
      </w:pPr>
      <w:r w:rsidRPr="003C403B">
        <w:rPr>
          <w:rFonts w:ascii="Arial" w:hAnsi="Arial" w:cs="Arial"/>
          <w:sz w:val="24"/>
          <w:szCs w:val="24"/>
        </w:rPr>
        <w:t>El Gobierno Federal considera los riesgos de corto y largo plazo para el diseño e implementación</w:t>
      </w:r>
      <w:r>
        <w:rPr>
          <w:rFonts w:ascii="Arial" w:hAnsi="Arial" w:cs="Arial"/>
          <w:sz w:val="24"/>
          <w:szCs w:val="24"/>
        </w:rPr>
        <w:t xml:space="preserve"> </w:t>
      </w:r>
      <w:r w:rsidRPr="003C403B">
        <w:rPr>
          <w:rFonts w:ascii="Arial" w:hAnsi="Arial" w:cs="Arial"/>
          <w:sz w:val="24"/>
          <w:szCs w:val="24"/>
        </w:rPr>
        <w:t>de la política económica, con el fin de garantizar la estabilidad macroeconómica y la</w:t>
      </w:r>
      <w:r>
        <w:rPr>
          <w:rFonts w:ascii="Arial" w:hAnsi="Arial" w:cs="Arial"/>
          <w:sz w:val="24"/>
          <w:szCs w:val="24"/>
        </w:rPr>
        <w:t xml:space="preserve"> </w:t>
      </w:r>
      <w:r w:rsidRPr="003C403B">
        <w:rPr>
          <w:rFonts w:ascii="Arial" w:hAnsi="Arial" w:cs="Arial"/>
          <w:sz w:val="24"/>
          <w:szCs w:val="24"/>
        </w:rPr>
        <w:t>sostenibilidad de las finanzas públicas.</w:t>
      </w:r>
    </w:p>
    <w:p w:rsidR="001876E4"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Default="001876E4" w:rsidP="001876E4">
      <w:pPr>
        <w:autoSpaceDE w:val="0"/>
        <w:autoSpaceDN w:val="0"/>
        <w:adjustRightInd w:val="0"/>
        <w:spacing w:after="0" w:line="240" w:lineRule="auto"/>
        <w:jc w:val="both"/>
        <w:rPr>
          <w:rFonts w:ascii="Arial" w:hAnsi="Arial" w:cs="Arial"/>
          <w:sz w:val="24"/>
          <w:szCs w:val="24"/>
        </w:rPr>
      </w:pPr>
      <w:r w:rsidRPr="00B1406E">
        <w:rPr>
          <w:rFonts w:ascii="Arial" w:hAnsi="Arial" w:cs="Arial"/>
          <w:sz w:val="24"/>
          <w:szCs w:val="24"/>
        </w:rPr>
        <w:t>En consecuencia, el diseño e implementación de la política económica de la presente Administración considera los riesgos de mediano y largo plazos. A continuación, se enumera una lista de los principales factores que podrían tener un impacto en las finanzas públicas y las acciones que se han tomado para evitar que se conviertan en un riesgo para la</w:t>
      </w:r>
      <w:r>
        <w:rPr>
          <w:rFonts w:ascii="Arial" w:hAnsi="Arial" w:cs="Arial"/>
          <w:sz w:val="24"/>
          <w:szCs w:val="24"/>
        </w:rPr>
        <w:t xml:space="preserve"> solidez de la hacienda pública:</w:t>
      </w:r>
    </w:p>
    <w:p w:rsidR="001876E4" w:rsidRDefault="001876E4" w:rsidP="001876E4">
      <w:pPr>
        <w:autoSpaceDE w:val="0"/>
        <w:autoSpaceDN w:val="0"/>
        <w:adjustRightInd w:val="0"/>
        <w:spacing w:after="0" w:line="240" w:lineRule="auto"/>
        <w:jc w:val="both"/>
        <w:rPr>
          <w:rFonts w:ascii="Arial" w:hAnsi="Arial" w:cs="Arial"/>
          <w:sz w:val="24"/>
          <w:szCs w:val="24"/>
        </w:rPr>
      </w:pPr>
    </w:p>
    <w:p w:rsidR="001876E4" w:rsidRPr="001A75DE" w:rsidRDefault="001876E4" w:rsidP="00185BC9">
      <w:pPr>
        <w:pStyle w:val="Prrafodelista"/>
        <w:numPr>
          <w:ilvl w:val="0"/>
          <w:numId w:val="17"/>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Pirámide poblacional, pensiones y salud.</w:t>
      </w:r>
    </w:p>
    <w:p w:rsidR="001876E4" w:rsidRDefault="001876E4" w:rsidP="001876E4">
      <w:pPr>
        <w:autoSpaceDE w:val="0"/>
        <w:autoSpaceDN w:val="0"/>
        <w:adjustRightInd w:val="0"/>
        <w:spacing w:after="0" w:line="240" w:lineRule="auto"/>
        <w:jc w:val="both"/>
        <w:rPr>
          <w:rFonts w:ascii="Arial" w:hAnsi="Arial" w:cs="Arial"/>
          <w:sz w:val="24"/>
          <w:szCs w:val="24"/>
        </w:rPr>
      </w:pPr>
    </w:p>
    <w:p w:rsidR="001876E4" w:rsidRPr="003C403B" w:rsidRDefault="001876E4" w:rsidP="001876E4">
      <w:pPr>
        <w:autoSpaceDE w:val="0"/>
        <w:autoSpaceDN w:val="0"/>
        <w:adjustRightInd w:val="0"/>
        <w:spacing w:after="0" w:line="240" w:lineRule="auto"/>
        <w:jc w:val="both"/>
        <w:rPr>
          <w:rFonts w:ascii="Arial" w:hAnsi="Arial" w:cs="Arial"/>
          <w:sz w:val="24"/>
          <w:szCs w:val="24"/>
          <w:highlight w:val="yellow"/>
        </w:rPr>
      </w:pPr>
      <w:r w:rsidRPr="003C403B">
        <w:rPr>
          <w:rFonts w:ascii="Arial" w:hAnsi="Arial" w:cs="Arial"/>
          <w:sz w:val="24"/>
          <w:szCs w:val="24"/>
        </w:rPr>
        <w:t>México enfrenta un proceso de transición demográfica en el que la población adulta en edad de pensionarse crece más rápidamente que el resto de la población. Se estima que la población en edad de pensionarse en 2018 será aproximadamente de 9.1 millones de personas y para 2040 la cifra llegará a 19.5 millones, 2.1 veces más. Lo anterior implica mayores gastos en pensiones y salud, que plantean retos de consideración para las finanzas públicas del país.</w:t>
      </w:r>
    </w:p>
    <w:p w:rsidR="001876E4" w:rsidRPr="001B4E3C" w:rsidRDefault="001876E4" w:rsidP="001876E4">
      <w:pPr>
        <w:pStyle w:val="Texto"/>
        <w:spacing w:after="0" w:line="240" w:lineRule="auto"/>
        <w:rPr>
          <w:sz w:val="24"/>
          <w:szCs w:val="24"/>
          <w:highlight w:val="yellow"/>
        </w:rPr>
      </w:pPr>
    </w:p>
    <w:p w:rsidR="001876E4" w:rsidRPr="001A75DE" w:rsidRDefault="001876E4" w:rsidP="00185BC9">
      <w:pPr>
        <w:pStyle w:val="Prrafodelista"/>
        <w:numPr>
          <w:ilvl w:val="0"/>
          <w:numId w:val="17"/>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Banca de Desarrollo.</w:t>
      </w: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Default="001876E4" w:rsidP="001876E4">
      <w:pPr>
        <w:autoSpaceDE w:val="0"/>
        <w:autoSpaceDN w:val="0"/>
        <w:adjustRightInd w:val="0"/>
        <w:spacing w:after="0" w:line="240" w:lineRule="auto"/>
        <w:rPr>
          <w:rFonts w:ascii="Arial" w:hAnsi="Arial" w:cs="Arial"/>
          <w:sz w:val="24"/>
          <w:szCs w:val="24"/>
        </w:rPr>
      </w:pPr>
      <w:r w:rsidRPr="00F42205">
        <w:rPr>
          <w:rFonts w:ascii="Arial" w:hAnsi="Arial" w:cs="Arial"/>
          <w:sz w:val="24"/>
          <w:szCs w:val="24"/>
        </w:rPr>
        <w:t>Los riesgos fiscales relacionados con la Banca de Desarrollo se derivan del posible incumplimiento del servicio de los créditos directos o en el ejercicio de las garantías otorgadas.</w:t>
      </w:r>
    </w:p>
    <w:p w:rsidR="001876E4" w:rsidRPr="001B4E3C" w:rsidRDefault="001876E4" w:rsidP="001876E4">
      <w:pPr>
        <w:pStyle w:val="Texto"/>
        <w:spacing w:after="0" w:line="240" w:lineRule="auto"/>
        <w:ind w:firstLine="0"/>
        <w:rPr>
          <w:sz w:val="24"/>
          <w:szCs w:val="24"/>
          <w:highlight w:val="yellow"/>
        </w:rPr>
      </w:pPr>
    </w:p>
    <w:p w:rsidR="001876E4" w:rsidRPr="001A75DE" w:rsidRDefault="001876E4" w:rsidP="00185BC9">
      <w:pPr>
        <w:pStyle w:val="Prrafodelista"/>
        <w:numPr>
          <w:ilvl w:val="0"/>
          <w:numId w:val="17"/>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Seguro de depósitos e Instituto para la Protección al Ahorro Bancario (IPAB).</w:t>
      </w:r>
    </w:p>
    <w:p w:rsidR="001876E4" w:rsidRPr="00F42205" w:rsidRDefault="001876E4" w:rsidP="001876E4">
      <w:pPr>
        <w:autoSpaceDE w:val="0"/>
        <w:autoSpaceDN w:val="0"/>
        <w:adjustRightInd w:val="0"/>
        <w:spacing w:after="0" w:line="240" w:lineRule="auto"/>
        <w:rPr>
          <w:rFonts w:ascii="Arial" w:hAnsi="Arial" w:cs="Arial"/>
          <w:sz w:val="24"/>
          <w:szCs w:val="24"/>
        </w:rPr>
      </w:pPr>
    </w:p>
    <w:p w:rsidR="001876E4" w:rsidRPr="001B4E3C" w:rsidRDefault="001876E4" w:rsidP="001876E4">
      <w:pPr>
        <w:autoSpaceDE w:val="0"/>
        <w:autoSpaceDN w:val="0"/>
        <w:adjustRightInd w:val="0"/>
        <w:spacing w:after="0" w:line="240" w:lineRule="auto"/>
        <w:jc w:val="both"/>
        <w:rPr>
          <w:rFonts w:ascii="Arial" w:hAnsi="Arial" w:cs="Arial"/>
          <w:sz w:val="24"/>
        </w:rPr>
      </w:pPr>
      <w:r w:rsidRPr="001B4E3C">
        <w:rPr>
          <w:rFonts w:ascii="Arial" w:hAnsi="Arial" w:cs="Arial"/>
          <w:sz w:val="24"/>
        </w:rPr>
        <w:t xml:space="preserve">El riesgo a las finanzas públicas por parte del seguro de depósitos se debe al compromiso adquirido por el Gobierno Federal de cubrir el monto garantizado de los depósitos en caso de insolvencia de una institución financiera. Así, ante una contingencia en la que se establezca la liquidación o concurso mercantil de una </w:t>
      </w:r>
      <w:r w:rsidRPr="001B4E3C">
        <w:rPr>
          <w:rFonts w:ascii="Arial" w:hAnsi="Arial" w:cs="Arial"/>
          <w:sz w:val="24"/>
        </w:rPr>
        <w:lastRenderedPageBreak/>
        <w:t>institución de banca múltiple, el IPAB procede a pagar las obligaciones garantizadas líquidas y exigibles a cargo de la institución.</w:t>
      </w:r>
    </w:p>
    <w:p w:rsidR="001876E4" w:rsidRPr="00F8671B" w:rsidRDefault="001876E4" w:rsidP="001876E4">
      <w:pPr>
        <w:autoSpaceDE w:val="0"/>
        <w:autoSpaceDN w:val="0"/>
        <w:adjustRightInd w:val="0"/>
        <w:spacing w:after="0" w:line="240" w:lineRule="auto"/>
        <w:rPr>
          <w:rFonts w:ascii="Arial" w:hAnsi="Arial" w:cs="Arial"/>
          <w:sz w:val="24"/>
          <w:szCs w:val="24"/>
          <w:highlight w:val="yellow"/>
        </w:rPr>
      </w:pPr>
    </w:p>
    <w:p w:rsidR="001876E4" w:rsidRPr="001A75DE" w:rsidRDefault="001876E4" w:rsidP="00185BC9">
      <w:pPr>
        <w:pStyle w:val="Prrafodelista"/>
        <w:numPr>
          <w:ilvl w:val="0"/>
          <w:numId w:val="17"/>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4) Proyectos de Infraestructura de Largo Plazo (Pidiregas).</w:t>
      </w:r>
    </w:p>
    <w:p w:rsidR="001876E4"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r w:rsidRPr="00BF2069">
        <w:rPr>
          <w:rFonts w:ascii="Arial" w:hAnsi="Arial" w:cs="Arial"/>
          <w:sz w:val="24"/>
          <w:szCs w:val="24"/>
        </w:rPr>
        <w:t>Actualmente, la CFE es la única entidad del Sector Público que continúa utilizando el esquema</w:t>
      </w:r>
      <w:r>
        <w:rPr>
          <w:rFonts w:ascii="Arial" w:hAnsi="Arial" w:cs="Arial"/>
          <w:sz w:val="24"/>
          <w:szCs w:val="24"/>
        </w:rPr>
        <w:t xml:space="preserve"> </w:t>
      </w:r>
      <w:r w:rsidRPr="00BF2069">
        <w:rPr>
          <w:rFonts w:ascii="Arial" w:hAnsi="Arial" w:cs="Arial"/>
          <w:sz w:val="24"/>
          <w:szCs w:val="24"/>
        </w:rPr>
        <w:t>de inversión condicionada conocido como Proyectos de Infraestructura de Largo Plazo</w:t>
      </w:r>
      <w:r>
        <w:rPr>
          <w:rFonts w:ascii="Arial" w:hAnsi="Arial" w:cs="Arial"/>
          <w:sz w:val="24"/>
          <w:szCs w:val="24"/>
        </w:rPr>
        <w:t xml:space="preserve"> </w:t>
      </w:r>
      <w:r w:rsidRPr="00BF2069">
        <w:rPr>
          <w:rFonts w:ascii="Arial" w:hAnsi="Arial" w:cs="Arial"/>
          <w:sz w:val="24"/>
          <w:szCs w:val="24"/>
        </w:rPr>
        <w:t>(Pidiregas), ya que Pemex dejó de utilizar estos esquemas a partir de la Reforma Energética de</w:t>
      </w:r>
      <w:r>
        <w:rPr>
          <w:rFonts w:ascii="Arial" w:hAnsi="Arial" w:cs="Arial"/>
          <w:sz w:val="24"/>
          <w:szCs w:val="24"/>
        </w:rPr>
        <w:t xml:space="preserve"> </w:t>
      </w:r>
      <w:r w:rsidRPr="00BF2069">
        <w:rPr>
          <w:rFonts w:ascii="Arial" w:hAnsi="Arial" w:cs="Arial"/>
          <w:sz w:val="24"/>
          <w:szCs w:val="24"/>
        </w:rPr>
        <w:t>2009, por lo que toda la deuda asociada a ese concepto se convirtió en deuda pública. Los</w:t>
      </w:r>
      <w:r>
        <w:rPr>
          <w:rFonts w:ascii="Arial" w:hAnsi="Arial" w:cs="Arial"/>
          <w:sz w:val="24"/>
          <w:szCs w:val="24"/>
        </w:rPr>
        <w:t xml:space="preserve"> </w:t>
      </w:r>
      <w:r w:rsidRPr="00BF2069">
        <w:rPr>
          <w:rFonts w:ascii="Arial" w:hAnsi="Arial" w:cs="Arial"/>
          <w:sz w:val="24"/>
          <w:szCs w:val="24"/>
        </w:rPr>
        <w:t>pasivos derivados de estos esquemas para ambas entidades ya están reflejados en el SHRFSP, y representan una obligación de pago por parte de la entidad que los contrae.</w:t>
      </w: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1A75DE" w:rsidRDefault="001876E4" w:rsidP="00185BC9">
      <w:pPr>
        <w:pStyle w:val="Prrafodelista"/>
        <w:numPr>
          <w:ilvl w:val="0"/>
          <w:numId w:val="17"/>
        </w:numPr>
        <w:autoSpaceDE w:val="0"/>
        <w:autoSpaceDN w:val="0"/>
        <w:adjustRightInd w:val="0"/>
        <w:spacing w:after="0" w:line="240" w:lineRule="auto"/>
        <w:jc w:val="both"/>
        <w:rPr>
          <w:rFonts w:ascii="Arial" w:hAnsi="Arial" w:cs="Arial"/>
          <w:sz w:val="24"/>
          <w:szCs w:val="24"/>
        </w:rPr>
      </w:pPr>
      <w:r w:rsidRPr="001A75DE">
        <w:rPr>
          <w:rFonts w:ascii="Arial" w:hAnsi="Arial" w:cs="Arial"/>
          <w:sz w:val="24"/>
          <w:szCs w:val="24"/>
        </w:rPr>
        <w:t>5) Desastres naturales.</w:t>
      </w:r>
    </w:p>
    <w:p w:rsidR="001876E4" w:rsidRPr="00F8671B"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CE35D6" w:rsidRDefault="001876E4" w:rsidP="001876E4">
      <w:pPr>
        <w:autoSpaceDE w:val="0"/>
        <w:autoSpaceDN w:val="0"/>
        <w:adjustRightInd w:val="0"/>
        <w:spacing w:after="0" w:line="240" w:lineRule="auto"/>
        <w:jc w:val="both"/>
        <w:rPr>
          <w:rFonts w:ascii="Arial" w:hAnsi="Arial" w:cs="Arial"/>
          <w:sz w:val="24"/>
          <w:szCs w:val="24"/>
          <w:highlight w:val="yellow"/>
        </w:rPr>
      </w:pPr>
      <w:r w:rsidRPr="00CE35D6">
        <w:rPr>
          <w:rFonts w:ascii="Arial" w:hAnsi="Arial" w:cs="Arial"/>
          <w:sz w:val="24"/>
          <w:szCs w:val="24"/>
        </w:rPr>
        <w:t>Por su posición geográfica y la diversidad de climas y ecosistemas, México está expuesto a una gran variedad de desastres naturales que representan una fuente de riesgo para las finanzas públicas. Ante contingencias presentadas por efecto de los desastres naturales, las entidades federativas cuentan con los recursos del FONDEN para apoyar a la población afectada, restituir y salvaguardar bienes públicos y privados, así como mitigar los daños a los activos productivos y las viviendas.</w:t>
      </w:r>
    </w:p>
    <w:p w:rsidR="001876E4" w:rsidRPr="00CE35D6" w:rsidRDefault="001876E4" w:rsidP="001876E4">
      <w:pPr>
        <w:autoSpaceDE w:val="0"/>
        <w:autoSpaceDN w:val="0"/>
        <w:adjustRightInd w:val="0"/>
        <w:spacing w:after="0" w:line="240" w:lineRule="auto"/>
        <w:jc w:val="both"/>
        <w:rPr>
          <w:rFonts w:ascii="Arial" w:hAnsi="Arial" w:cs="Arial"/>
          <w:sz w:val="24"/>
          <w:szCs w:val="24"/>
          <w:highlight w:val="yellow"/>
        </w:rPr>
      </w:pPr>
    </w:p>
    <w:p w:rsidR="001876E4" w:rsidRPr="00CE35D6" w:rsidRDefault="001876E4" w:rsidP="001876E4">
      <w:pPr>
        <w:autoSpaceDE w:val="0"/>
        <w:autoSpaceDN w:val="0"/>
        <w:adjustRightInd w:val="0"/>
        <w:spacing w:after="0" w:line="240" w:lineRule="auto"/>
        <w:jc w:val="both"/>
        <w:rPr>
          <w:rFonts w:ascii="Arial" w:hAnsi="Arial" w:cs="Arial"/>
          <w:sz w:val="24"/>
          <w:szCs w:val="24"/>
          <w:highlight w:val="yellow"/>
        </w:rPr>
      </w:pPr>
      <w:r w:rsidRPr="00CE35D6">
        <w:rPr>
          <w:rFonts w:ascii="Arial" w:hAnsi="Arial" w:cs="Arial"/>
          <w:sz w:val="24"/>
          <w:szCs w:val="24"/>
        </w:rPr>
        <w:t>A fin de gestionar y mitigar los riesgos por desastres naturales y en línea con las mejores prácticas internacionales, el Comité Técnico del FONDEN diseñó e implementó desde 2007 el R-FONDEN, un modelo de catástrofes llamado CatModelling, por sus siglas en inglés, para estimar la frecuencia, la intensidad y las potenciales pérdidas económicas de los desastres naturales como sismos, tormentas tropicales y huracanes. El modelo funciona con base en la información histórica de las erogaciones realizadas por el FONDEN y la información del Atlas Nacional de Riesgos sobre áreas más propensas a desastres.</w:t>
      </w:r>
    </w:p>
    <w:p w:rsidR="001876E4" w:rsidRPr="00F8671B" w:rsidRDefault="001876E4" w:rsidP="001876E4">
      <w:pPr>
        <w:autoSpaceDE w:val="0"/>
        <w:autoSpaceDN w:val="0"/>
        <w:adjustRightInd w:val="0"/>
        <w:spacing w:after="0" w:line="240" w:lineRule="auto"/>
        <w:rPr>
          <w:rFonts w:ascii="Arial" w:hAnsi="Arial" w:cs="Arial"/>
          <w:sz w:val="24"/>
          <w:szCs w:val="24"/>
          <w:highlight w:val="yellow"/>
        </w:rPr>
      </w:pPr>
    </w:p>
    <w:p w:rsidR="001876E4" w:rsidRPr="004E6B28" w:rsidRDefault="001876E4" w:rsidP="001876E4">
      <w:pPr>
        <w:autoSpaceDE w:val="0"/>
        <w:autoSpaceDN w:val="0"/>
        <w:adjustRightInd w:val="0"/>
        <w:spacing w:after="0" w:line="240" w:lineRule="auto"/>
        <w:rPr>
          <w:rFonts w:ascii="Arial" w:hAnsi="Arial" w:cs="Arial"/>
          <w:b/>
          <w:sz w:val="24"/>
          <w:szCs w:val="24"/>
        </w:rPr>
      </w:pPr>
      <w:r w:rsidRPr="00B1406E">
        <w:rPr>
          <w:rFonts w:ascii="Arial" w:hAnsi="Arial" w:cs="Arial"/>
          <w:b/>
          <w:sz w:val="24"/>
          <w:szCs w:val="24"/>
        </w:rPr>
        <w:t xml:space="preserve">3.3.2. RIESGOS RELEVANTES </w:t>
      </w:r>
      <w:r w:rsidRPr="00B1406E">
        <w:rPr>
          <w:rFonts w:ascii="Arial" w:hAnsi="Arial" w:cs="Arial"/>
          <w:b/>
          <w:color w:val="000000"/>
          <w:sz w:val="24"/>
          <w:szCs w:val="24"/>
        </w:rPr>
        <w:t>PARA LAS FINANZAS PÚBLICAS</w:t>
      </w:r>
      <w:r w:rsidRPr="00B1406E">
        <w:rPr>
          <w:rFonts w:ascii="Arial" w:hAnsi="Arial" w:cs="Arial"/>
          <w:b/>
          <w:sz w:val="24"/>
          <w:szCs w:val="24"/>
        </w:rPr>
        <w:t xml:space="preserve"> ESTATALES Y PROPUESTAS DE ACCIÓN PARA ENFRENTARLOS.</w:t>
      </w:r>
    </w:p>
    <w:p w:rsidR="001876E4" w:rsidRPr="00BA022A" w:rsidRDefault="001876E4" w:rsidP="001876E4">
      <w:pPr>
        <w:autoSpaceDE w:val="0"/>
        <w:autoSpaceDN w:val="0"/>
        <w:adjustRightInd w:val="0"/>
        <w:spacing w:after="0" w:line="240" w:lineRule="auto"/>
        <w:rPr>
          <w:rFonts w:ascii="Arial" w:hAnsi="Arial" w:cs="Arial"/>
          <w:sz w:val="24"/>
          <w:szCs w:val="28"/>
        </w:rPr>
      </w:pPr>
    </w:p>
    <w:p w:rsidR="001876E4" w:rsidRPr="001B4E3C" w:rsidRDefault="001876E4" w:rsidP="001876E4">
      <w:pPr>
        <w:autoSpaceDE w:val="0"/>
        <w:autoSpaceDN w:val="0"/>
        <w:adjustRightInd w:val="0"/>
        <w:spacing w:after="0" w:line="240" w:lineRule="auto"/>
        <w:rPr>
          <w:rFonts w:ascii="Arial" w:hAnsi="Arial" w:cs="Arial"/>
          <w:b/>
          <w:color w:val="000000"/>
          <w:sz w:val="24"/>
          <w:szCs w:val="24"/>
        </w:rPr>
      </w:pPr>
      <w:r w:rsidRPr="001B4E3C">
        <w:rPr>
          <w:rFonts w:ascii="Arial" w:hAnsi="Arial" w:cs="Arial"/>
          <w:b/>
          <w:sz w:val="24"/>
          <w:szCs w:val="24"/>
        </w:rPr>
        <w:t xml:space="preserve">Riesgos relevantes </w:t>
      </w:r>
      <w:r w:rsidRPr="001B4E3C">
        <w:rPr>
          <w:rFonts w:ascii="Arial" w:hAnsi="Arial" w:cs="Arial"/>
          <w:b/>
          <w:color w:val="000000"/>
          <w:sz w:val="24"/>
          <w:szCs w:val="24"/>
        </w:rPr>
        <w:t>para las finanzas públicas PED 2016-2021:</w:t>
      </w:r>
    </w:p>
    <w:p w:rsidR="001876E4" w:rsidRPr="001B4E3C" w:rsidRDefault="001876E4" w:rsidP="001876E4">
      <w:pPr>
        <w:pStyle w:val="Texto"/>
        <w:spacing w:after="0" w:line="240" w:lineRule="auto"/>
        <w:ind w:firstLine="0"/>
        <w:rPr>
          <w:sz w:val="24"/>
          <w:szCs w:val="22"/>
        </w:rPr>
      </w:pPr>
    </w:p>
    <w:p w:rsidR="001876E4" w:rsidRPr="004E6B28" w:rsidRDefault="001876E4" w:rsidP="001876E4">
      <w:pPr>
        <w:pStyle w:val="Texto"/>
        <w:spacing w:after="0" w:line="240" w:lineRule="auto"/>
        <w:ind w:firstLine="0"/>
        <w:rPr>
          <w:sz w:val="24"/>
          <w:szCs w:val="24"/>
        </w:rPr>
      </w:pPr>
      <w:r w:rsidRPr="004E6B28">
        <w:rPr>
          <w:sz w:val="24"/>
          <w:szCs w:val="24"/>
        </w:rPr>
        <w:t>La percepción de corrupción gubernamental y la desconfianza ciudadana hacia las instituciones públicas, constituyen uno de los problemas más importantes para el gobierno.</w:t>
      </w:r>
    </w:p>
    <w:p w:rsidR="001876E4" w:rsidRPr="004E6B28" w:rsidRDefault="001876E4" w:rsidP="001876E4">
      <w:pPr>
        <w:pStyle w:val="Texto"/>
        <w:spacing w:after="0" w:line="240" w:lineRule="auto"/>
        <w:ind w:firstLine="0"/>
        <w:rPr>
          <w:sz w:val="24"/>
          <w:szCs w:val="24"/>
        </w:rPr>
      </w:pPr>
    </w:p>
    <w:p w:rsidR="001876E4" w:rsidRDefault="001876E4" w:rsidP="001876E4">
      <w:pPr>
        <w:pStyle w:val="Texto"/>
        <w:spacing w:after="0" w:line="240" w:lineRule="auto"/>
        <w:ind w:firstLine="0"/>
        <w:rPr>
          <w:sz w:val="24"/>
          <w:szCs w:val="24"/>
        </w:rPr>
      </w:pPr>
      <w:r w:rsidRPr="004E6B28">
        <w:rPr>
          <w:sz w:val="24"/>
          <w:szCs w:val="24"/>
        </w:rPr>
        <w:t>En consecuencia, una prioridad transversal para este gobierno es transformar la administración pública estatal. En esta tarea, los pilares serán:</w:t>
      </w:r>
    </w:p>
    <w:p w:rsidR="001876E4" w:rsidRDefault="001876E4" w:rsidP="001876E4">
      <w:pPr>
        <w:pStyle w:val="Texto"/>
        <w:spacing w:after="0" w:line="240" w:lineRule="auto"/>
        <w:ind w:left="720" w:firstLine="0"/>
        <w:rPr>
          <w:sz w:val="24"/>
          <w:szCs w:val="24"/>
        </w:rPr>
      </w:pPr>
    </w:p>
    <w:p w:rsidR="001876E4" w:rsidRDefault="001876E4" w:rsidP="00185BC9">
      <w:pPr>
        <w:pStyle w:val="Texto"/>
        <w:numPr>
          <w:ilvl w:val="0"/>
          <w:numId w:val="9"/>
        </w:numPr>
        <w:spacing w:after="0" w:line="240" w:lineRule="auto"/>
        <w:rPr>
          <w:sz w:val="24"/>
          <w:szCs w:val="24"/>
        </w:rPr>
      </w:pPr>
      <w:r w:rsidRPr="004E6B28">
        <w:rPr>
          <w:sz w:val="24"/>
          <w:szCs w:val="24"/>
        </w:rPr>
        <w:t>Un sistema anticorrupción efectivo, que sea el ejemplo a seguir para todos los estados de la República.</w:t>
      </w:r>
    </w:p>
    <w:p w:rsidR="001876E4" w:rsidRPr="004E6B28" w:rsidRDefault="001876E4" w:rsidP="001876E4">
      <w:pPr>
        <w:pStyle w:val="Texto"/>
        <w:spacing w:after="0" w:line="240" w:lineRule="auto"/>
        <w:ind w:left="725" w:firstLine="0"/>
        <w:rPr>
          <w:sz w:val="24"/>
          <w:szCs w:val="24"/>
        </w:rPr>
      </w:pPr>
    </w:p>
    <w:p w:rsidR="001876E4" w:rsidRPr="00AE0AE2" w:rsidRDefault="001876E4" w:rsidP="00185BC9">
      <w:pPr>
        <w:pStyle w:val="Texto"/>
        <w:numPr>
          <w:ilvl w:val="0"/>
          <w:numId w:val="9"/>
        </w:numPr>
        <w:spacing w:after="0" w:line="240" w:lineRule="auto"/>
        <w:rPr>
          <w:sz w:val="24"/>
          <w:szCs w:val="24"/>
        </w:rPr>
      </w:pPr>
      <w:r w:rsidRPr="00AE0AE2">
        <w:rPr>
          <w:sz w:val="24"/>
          <w:szCs w:val="24"/>
        </w:rPr>
        <w:t xml:space="preserve">Finanzas públicas sanas, con mayor independencia de los recursos federales, con una deuda sostenible en el largo plazo y con transparencia en su manejo. </w:t>
      </w:r>
    </w:p>
    <w:p w:rsidR="001876E4" w:rsidRPr="00AE0AE2" w:rsidRDefault="001876E4" w:rsidP="001876E4">
      <w:pPr>
        <w:pStyle w:val="Texto"/>
        <w:spacing w:after="0" w:line="240" w:lineRule="auto"/>
        <w:ind w:left="293" w:firstLine="0"/>
        <w:rPr>
          <w:sz w:val="24"/>
          <w:szCs w:val="24"/>
        </w:rPr>
      </w:pPr>
    </w:p>
    <w:p w:rsidR="001876E4" w:rsidRPr="004E6B28" w:rsidRDefault="001876E4" w:rsidP="00185BC9">
      <w:pPr>
        <w:pStyle w:val="Prrafodelista"/>
        <w:numPr>
          <w:ilvl w:val="0"/>
          <w:numId w:val="9"/>
        </w:numPr>
        <w:autoSpaceDE w:val="0"/>
        <w:autoSpaceDN w:val="0"/>
        <w:adjustRightInd w:val="0"/>
        <w:spacing w:after="0" w:line="240" w:lineRule="auto"/>
        <w:jc w:val="both"/>
        <w:rPr>
          <w:rFonts w:ascii="Arial" w:hAnsi="Arial" w:cs="Arial"/>
          <w:sz w:val="24"/>
          <w:szCs w:val="24"/>
        </w:rPr>
      </w:pPr>
      <w:r w:rsidRPr="004E6B28">
        <w:rPr>
          <w:rFonts w:ascii="Arial" w:hAnsi="Arial" w:cs="Arial"/>
          <w:sz w:val="24"/>
          <w:szCs w:val="24"/>
        </w:rPr>
        <w:t>Todos los colimenses podrán conocer a detalle cómo, cuándo y por qué se gasta el dinero del gobierno estatal.</w:t>
      </w:r>
    </w:p>
    <w:p w:rsidR="001876E4" w:rsidRPr="00AE0AE2" w:rsidRDefault="001876E4" w:rsidP="001876E4">
      <w:pPr>
        <w:autoSpaceDE w:val="0"/>
        <w:autoSpaceDN w:val="0"/>
        <w:adjustRightInd w:val="0"/>
        <w:spacing w:after="0" w:line="240" w:lineRule="auto"/>
        <w:ind w:left="5"/>
        <w:jc w:val="both"/>
        <w:rPr>
          <w:rFonts w:ascii="Arial" w:hAnsi="Arial" w:cs="Arial"/>
          <w:sz w:val="24"/>
          <w:szCs w:val="24"/>
        </w:rPr>
      </w:pPr>
    </w:p>
    <w:p w:rsidR="001876E4" w:rsidRPr="00AE0AE2" w:rsidRDefault="001876E4" w:rsidP="00185BC9">
      <w:pPr>
        <w:pStyle w:val="Texto"/>
        <w:numPr>
          <w:ilvl w:val="0"/>
          <w:numId w:val="9"/>
        </w:numPr>
        <w:spacing w:after="0" w:line="240" w:lineRule="auto"/>
        <w:rPr>
          <w:sz w:val="24"/>
          <w:szCs w:val="24"/>
        </w:rPr>
      </w:pPr>
      <w:r w:rsidRPr="00AE0AE2">
        <w:rPr>
          <w:sz w:val="24"/>
          <w:szCs w:val="24"/>
        </w:rPr>
        <w:t>Mayor participación ciudadana en la definición de las prioridades, así como en el control y la evaluación del gasto público. Funcionarios públicos capacitados y sujetos a esquemas de evaluación del desempeño y de rendición de cuentas modernos.</w:t>
      </w:r>
    </w:p>
    <w:p w:rsidR="001876E4" w:rsidRPr="00AE0AE2" w:rsidRDefault="001876E4" w:rsidP="001876E4">
      <w:pPr>
        <w:pStyle w:val="Texto"/>
        <w:spacing w:after="0" w:line="240" w:lineRule="auto"/>
        <w:ind w:left="293" w:firstLine="0"/>
        <w:rPr>
          <w:sz w:val="24"/>
          <w:szCs w:val="24"/>
        </w:rPr>
      </w:pPr>
    </w:p>
    <w:p w:rsidR="001876E4" w:rsidRPr="00AE0AE2" w:rsidRDefault="001876E4" w:rsidP="00185BC9">
      <w:pPr>
        <w:pStyle w:val="Texto"/>
        <w:numPr>
          <w:ilvl w:val="0"/>
          <w:numId w:val="9"/>
        </w:numPr>
        <w:spacing w:after="0" w:line="240" w:lineRule="auto"/>
        <w:rPr>
          <w:sz w:val="24"/>
          <w:szCs w:val="24"/>
        </w:rPr>
      </w:pPr>
      <w:r w:rsidRPr="00AE0AE2">
        <w:rPr>
          <w:sz w:val="24"/>
          <w:szCs w:val="24"/>
        </w:rPr>
        <w:t xml:space="preserve">Garantizaremos el principio de máxima transparencia en el quehacer de toda la administración pública estatal. Uso de las tecnologías de la información de manera intensiva para mejorar la productividad del sector público, agilizar los trámites que los ciudadanos realizan diariamente y para combatir la corrupción. </w:t>
      </w:r>
    </w:p>
    <w:p w:rsidR="001876E4" w:rsidRPr="00AE0AE2" w:rsidRDefault="001876E4" w:rsidP="001876E4">
      <w:pPr>
        <w:pStyle w:val="Texto"/>
        <w:spacing w:after="0" w:line="240" w:lineRule="auto"/>
        <w:ind w:left="5" w:firstLine="0"/>
        <w:rPr>
          <w:sz w:val="24"/>
          <w:szCs w:val="24"/>
        </w:rPr>
      </w:pPr>
    </w:p>
    <w:p w:rsidR="001876E4" w:rsidRPr="00AE0AE2" w:rsidRDefault="001876E4" w:rsidP="00185BC9">
      <w:pPr>
        <w:pStyle w:val="Texto"/>
        <w:numPr>
          <w:ilvl w:val="0"/>
          <w:numId w:val="9"/>
        </w:numPr>
        <w:spacing w:after="0" w:line="240" w:lineRule="auto"/>
        <w:rPr>
          <w:sz w:val="24"/>
          <w:szCs w:val="24"/>
        </w:rPr>
      </w:pPr>
      <w:r w:rsidRPr="00AE0AE2">
        <w:rPr>
          <w:sz w:val="24"/>
          <w:szCs w:val="24"/>
        </w:rPr>
        <w:t xml:space="preserve">El buen gobierno que queremos construir, será cercano a la sociedad, respetuoso con la legalidad, honesto, transparente y eficaz. </w:t>
      </w:r>
    </w:p>
    <w:p w:rsidR="001876E4" w:rsidRPr="00AE0AE2" w:rsidRDefault="001876E4" w:rsidP="001876E4">
      <w:pPr>
        <w:pStyle w:val="Texto"/>
        <w:spacing w:after="0" w:line="240" w:lineRule="auto"/>
        <w:ind w:left="293" w:firstLine="0"/>
        <w:rPr>
          <w:sz w:val="24"/>
          <w:szCs w:val="24"/>
        </w:rPr>
      </w:pPr>
    </w:p>
    <w:p w:rsidR="001876E4" w:rsidRPr="004E6B28" w:rsidRDefault="001876E4" w:rsidP="00185BC9">
      <w:pPr>
        <w:pStyle w:val="Prrafodelista"/>
        <w:numPr>
          <w:ilvl w:val="0"/>
          <w:numId w:val="9"/>
        </w:numPr>
        <w:autoSpaceDE w:val="0"/>
        <w:autoSpaceDN w:val="0"/>
        <w:adjustRightInd w:val="0"/>
        <w:spacing w:after="0" w:line="240" w:lineRule="auto"/>
        <w:jc w:val="both"/>
        <w:rPr>
          <w:rFonts w:ascii="Arial" w:hAnsi="Arial" w:cs="Arial"/>
          <w:sz w:val="24"/>
          <w:szCs w:val="24"/>
        </w:rPr>
      </w:pPr>
      <w:r w:rsidRPr="004E6B28">
        <w:rPr>
          <w:rFonts w:ascii="Arial" w:hAnsi="Arial" w:cs="Arial"/>
          <w:sz w:val="24"/>
          <w:szCs w:val="24"/>
        </w:rPr>
        <w:t>Un gobierno consciente de su misión de promover el desarrollo humano y social, es decir, un gobierno que tenga en el centro de t</w:t>
      </w:r>
      <w:r>
        <w:rPr>
          <w:rFonts w:ascii="Arial" w:hAnsi="Arial" w:cs="Arial"/>
          <w:sz w:val="24"/>
          <w:szCs w:val="24"/>
        </w:rPr>
        <w:t>oda su acción al ciudadano. El G</w:t>
      </w:r>
      <w:r w:rsidRPr="004E6B28">
        <w:rPr>
          <w:rFonts w:ascii="Arial" w:hAnsi="Arial" w:cs="Arial"/>
          <w:sz w:val="24"/>
          <w:szCs w:val="24"/>
        </w:rPr>
        <w:t xml:space="preserve">obierno del </w:t>
      </w:r>
      <w:r>
        <w:rPr>
          <w:rFonts w:ascii="Arial" w:hAnsi="Arial" w:cs="Arial"/>
          <w:sz w:val="24"/>
          <w:szCs w:val="24"/>
        </w:rPr>
        <w:t>E</w:t>
      </w:r>
      <w:r w:rsidRPr="004E6B28">
        <w:rPr>
          <w:rFonts w:ascii="Arial" w:hAnsi="Arial" w:cs="Arial"/>
          <w:sz w:val="24"/>
          <w:szCs w:val="24"/>
        </w:rPr>
        <w:t>stado está dispuesto a aprender de experiencias exitosas nacionales e internacionales; para implementarlas en el estado, y de esta forma para que, con ello, se ofrezcan mejores servicios con calidad y se provea de bienes públicos a menor costo.</w:t>
      </w:r>
    </w:p>
    <w:p w:rsidR="001876E4" w:rsidRPr="00AE0AE2" w:rsidRDefault="001876E4" w:rsidP="001876E4">
      <w:pPr>
        <w:autoSpaceDE w:val="0"/>
        <w:autoSpaceDN w:val="0"/>
        <w:adjustRightInd w:val="0"/>
        <w:spacing w:after="0" w:line="240" w:lineRule="auto"/>
        <w:ind w:left="5"/>
        <w:jc w:val="both"/>
        <w:rPr>
          <w:rFonts w:ascii="Arial" w:hAnsi="Arial" w:cs="Arial"/>
          <w:sz w:val="24"/>
          <w:szCs w:val="24"/>
        </w:rPr>
      </w:pPr>
    </w:p>
    <w:p w:rsidR="001876E4" w:rsidRDefault="001876E4" w:rsidP="00185BC9">
      <w:pPr>
        <w:pStyle w:val="Prrafodelista"/>
        <w:numPr>
          <w:ilvl w:val="0"/>
          <w:numId w:val="9"/>
        </w:numPr>
        <w:spacing w:after="0" w:line="240" w:lineRule="auto"/>
        <w:jc w:val="both"/>
        <w:rPr>
          <w:rFonts w:ascii="Arial" w:hAnsi="Arial" w:cs="Arial"/>
          <w:color w:val="000000" w:themeColor="text1"/>
          <w:sz w:val="24"/>
          <w:szCs w:val="24"/>
        </w:rPr>
      </w:pPr>
      <w:r w:rsidRPr="004E6B28">
        <w:rPr>
          <w:rFonts w:ascii="Arial" w:hAnsi="Arial" w:cs="Arial"/>
          <w:color w:val="000000" w:themeColor="text1"/>
          <w:sz w:val="24"/>
          <w:szCs w:val="24"/>
        </w:rPr>
        <w:t>Los retos que enfrenta Colima requieren que el gobierno tenga la capacidad para atender los principales problemas públicos.</w:t>
      </w:r>
    </w:p>
    <w:p w:rsidR="001876E4" w:rsidRPr="001B4E3C" w:rsidRDefault="001876E4" w:rsidP="001876E4">
      <w:pPr>
        <w:pStyle w:val="Prrafodelista"/>
        <w:spacing w:after="0"/>
        <w:rPr>
          <w:rFonts w:ascii="Arial" w:hAnsi="Arial" w:cs="Arial"/>
          <w:color w:val="000000" w:themeColor="text1"/>
          <w:sz w:val="24"/>
          <w:szCs w:val="24"/>
        </w:rPr>
      </w:pPr>
    </w:p>
    <w:p w:rsidR="001876E4" w:rsidRDefault="001876E4" w:rsidP="001876E4">
      <w:pPr>
        <w:spacing w:after="0" w:line="240" w:lineRule="auto"/>
        <w:ind w:left="4"/>
        <w:jc w:val="both"/>
        <w:rPr>
          <w:rFonts w:ascii="Arial" w:hAnsi="Arial" w:cs="Arial"/>
          <w:color w:val="000000" w:themeColor="text1"/>
          <w:sz w:val="24"/>
          <w:szCs w:val="24"/>
        </w:rPr>
      </w:pPr>
      <w:r w:rsidRPr="004E6B28">
        <w:rPr>
          <w:rFonts w:ascii="Arial" w:hAnsi="Arial" w:cs="Arial"/>
          <w:color w:val="000000" w:themeColor="text1"/>
          <w:sz w:val="24"/>
          <w:szCs w:val="24"/>
        </w:rPr>
        <w:t xml:space="preserve">Uno de los mayores desafíos que se habrán de enfrentar para el pleno cumplimiento de los objetivos establecidos en la planeación para el desarrollo 2016-2021, será </w:t>
      </w:r>
      <w:r w:rsidRPr="004E6B28">
        <w:rPr>
          <w:rFonts w:ascii="Arial" w:hAnsi="Arial" w:cs="Arial"/>
          <w:color w:val="000000" w:themeColor="text1"/>
          <w:sz w:val="24"/>
          <w:szCs w:val="24"/>
        </w:rPr>
        <w:lastRenderedPageBreak/>
        <w:t>contar con los recursos necesarios para financiar, de manera responsable, los programas y políticas delineadas, sin comprometer la viabilidad de la hacienda pública estatal.</w:t>
      </w:r>
    </w:p>
    <w:p w:rsidR="001876E4" w:rsidRPr="004E6B28" w:rsidRDefault="001876E4" w:rsidP="001876E4">
      <w:pPr>
        <w:spacing w:after="0" w:line="240" w:lineRule="auto"/>
        <w:ind w:left="4"/>
        <w:jc w:val="both"/>
        <w:rPr>
          <w:rFonts w:ascii="Arial" w:hAnsi="Arial" w:cs="Arial"/>
          <w:color w:val="000000" w:themeColor="text1"/>
          <w:sz w:val="24"/>
          <w:szCs w:val="24"/>
        </w:rPr>
      </w:pPr>
    </w:p>
    <w:p w:rsidR="001876E4" w:rsidRDefault="001876E4" w:rsidP="001876E4">
      <w:pPr>
        <w:spacing w:after="0" w:line="240" w:lineRule="auto"/>
        <w:jc w:val="both"/>
        <w:rPr>
          <w:rFonts w:ascii="Arial" w:hAnsi="Arial" w:cs="Arial"/>
          <w:color w:val="000000" w:themeColor="text1"/>
          <w:sz w:val="24"/>
          <w:szCs w:val="24"/>
        </w:rPr>
      </w:pPr>
      <w:r w:rsidRPr="00AE0AE2">
        <w:rPr>
          <w:rFonts w:ascii="Arial" w:hAnsi="Arial" w:cs="Arial"/>
          <w:b/>
          <w:color w:val="000000" w:themeColor="text1"/>
          <w:sz w:val="24"/>
          <w:szCs w:val="24"/>
        </w:rPr>
        <w:t>Dependencia de los recursos federales</w:t>
      </w:r>
      <w:r w:rsidRPr="00AE0AE2">
        <w:rPr>
          <w:rFonts w:ascii="Arial" w:hAnsi="Arial" w:cs="Arial"/>
          <w:color w:val="000000" w:themeColor="text1"/>
          <w:sz w:val="24"/>
          <w:szCs w:val="24"/>
        </w:rPr>
        <w:t>. Las transferencias federales han sido la principal fuente de recursos con la que Colima ha contado para su desarrollo. Éstas han representado alrededor de 90% en los eje</w:t>
      </w:r>
      <w:r>
        <w:rPr>
          <w:rFonts w:ascii="Arial" w:hAnsi="Arial" w:cs="Arial"/>
          <w:color w:val="000000" w:themeColor="text1"/>
          <w:sz w:val="24"/>
          <w:szCs w:val="24"/>
        </w:rPr>
        <w:t>rcicios fiscales más recientes.</w:t>
      </w:r>
    </w:p>
    <w:p w:rsidR="001876E4" w:rsidRPr="001B4E3C" w:rsidRDefault="001876E4" w:rsidP="001876E4">
      <w:pPr>
        <w:spacing w:after="0" w:line="240" w:lineRule="auto"/>
        <w:jc w:val="both"/>
        <w:rPr>
          <w:rFonts w:ascii="Arial" w:hAnsi="Arial" w:cs="Arial"/>
          <w:color w:val="000000" w:themeColor="text1"/>
          <w:sz w:val="24"/>
          <w:szCs w:val="24"/>
        </w:rPr>
      </w:pPr>
    </w:p>
    <w:p w:rsidR="001876E4" w:rsidRDefault="001876E4" w:rsidP="001876E4">
      <w:pPr>
        <w:spacing w:after="0" w:line="240" w:lineRule="auto"/>
        <w:jc w:val="both"/>
        <w:rPr>
          <w:rFonts w:ascii="Arial" w:hAnsi="Arial" w:cs="Arial"/>
          <w:b/>
          <w:sz w:val="24"/>
          <w:szCs w:val="24"/>
        </w:rPr>
      </w:pPr>
      <w:r w:rsidRPr="008E327B">
        <w:rPr>
          <w:rFonts w:ascii="Arial" w:hAnsi="Arial" w:cs="Arial"/>
          <w:b/>
          <w:sz w:val="24"/>
          <w:szCs w:val="24"/>
        </w:rPr>
        <w:t>Propuestas de acción para enfrentar riesgos:</w:t>
      </w:r>
    </w:p>
    <w:p w:rsidR="001876E4" w:rsidRPr="00BA022A" w:rsidRDefault="001876E4" w:rsidP="001876E4">
      <w:pPr>
        <w:spacing w:after="0" w:line="240" w:lineRule="auto"/>
        <w:jc w:val="both"/>
        <w:rPr>
          <w:rFonts w:ascii="Arial" w:hAnsi="Arial" w:cs="Arial"/>
          <w:sz w:val="24"/>
          <w:szCs w:val="24"/>
        </w:rPr>
      </w:pPr>
    </w:p>
    <w:p w:rsidR="001876E4" w:rsidRPr="008E327B" w:rsidRDefault="001876E4" w:rsidP="001876E4">
      <w:pPr>
        <w:pStyle w:val="Texto"/>
        <w:spacing w:after="0" w:line="240" w:lineRule="auto"/>
        <w:ind w:firstLine="0"/>
        <w:jc w:val="left"/>
        <w:rPr>
          <w:b/>
          <w:sz w:val="24"/>
          <w:szCs w:val="24"/>
        </w:rPr>
      </w:pPr>
      <w:r w:rsidRPr="008E327B">
        <w:rPr>
          <w:b/>
          <w:sz w:val="24"/>
          <w:szCs w:val="24"/>
        </w:rPr>
        <w:t>Principios de buen gobierno del PED</w:t>
      </w:r>
    </w:p>
    <w:p w:rsidR="001876E4" w:rsidRPr="008E327B" w:rsidRDefault="001876E4" w:rsidP="001876E4">
      <w:pPr>
        <w:pStyle w:val="Texto"/>
        <w:spacing w:after="0" w:line="240" w:lineRule="auto"/>
        <w:jc w:val="center"/>
        <w:rPr>
          <w:b/>
          <w:sz w:val="24"/>
          <w:szCs w:val="24"/>
        </w:rPr>
      </w:pPr>
    </w:p>
    <w:p w:rsidR="001876E4" w:rsidRPr="008E327B" w:rsidRDefault="001876E4" w:rsidP="001876E4">
      <w:pPr>
        <w:pStyle w:val="Texto"/>
        <w:spacing w:after="0" w:line="240" w:lineRule="auto"/>
        <w:rPr>
          <w:b/>
          <w:sz w:val="24"/>
          <w:szCs w:val="24"/>
        </w:rPr>
      </w:pPr>
      <w:r w:rsidRPr="008E327B">
        <w:rPr>
          <w:b/>
          <w:sz w:val="24"/>
          <w:szCs w:val="24"/>
        </w:rPr>
        <w:t>a. Fortalecimiento de la hacienda pública</w:t>
      </w:r>
    </w:p>
    <w:p w:rsidR="001876E4" w:rsidRPr="001B64BB" w:rsidRDefault="001876E4" w:rsidP="001876E4">
      <w:pPr>
        <w:pStyle w:val="Texto"/>
        <w:spacing w:after="0" w:line="240" w:lineRule="auto"/>
        <w:ind w:firstLine="0"/>
        <w:rPr>
          <w:b/>
          <w:sz w:val="24"/>
          <w:szCs w:val="22"/>
        </w:rPr>
      </w:pPr>
      <w:r w:rsidRPr="008E327B">
        <w:rPr>
          <w:sz w:val="22"/>
          <w:szCs w:val="22"/>
        </w:rPr>
        <w:t xml:space="preserve"> </w:t>
      </w:r>
    </w:p>
    <w:p w:rsidR="001876E4" w:rsidRPr="008E327B" w:rsidRDefault="001876E4" w:rsidP="001876E4">
      <w:pPr>
        <w:pStyle w:val="Texto"/>
        <w:spacing w:after="0" w:line="240" w:lineRule="auto"/>
        <w:ind w:firstLine="0"/>
        <w:rPr>
          <w:b/>
          <w:sz w:val="24"/>
          <w:szCs w:val="24"/>
        </w:rPr>
      </w:pPr>
      <w:r w:rsidRPr="008E327B">
        <w:rPr>
          <w:sz w:val="24"/>
          <w:szCs w:val="24"/>
        </w:rPr>
        <w:t>Es indispensable que Colima cuente con una adecuada planeación financiera de corto y mediano plazo, así como con una estrategia que prevea la disponibilidad de los recursos necesarios para financiar el desarrollo económico, el desarrollo social y las tareas de gobierno, que sean congruentes con la realidad actual de las finanzas públicas nacionales y estatales, y sus perspectivas a futuro.</w:t>
      </w:r>
    </w:p>
    <w:p w:rsidR="001876E4" w:rsidRPr="001B4E3C" w:rsidRDefault="001876E4" w:rsidP="001876E4">
      <w:pPr>
        <w:pStyle w:val="Texto"/>
        <w:spacing w:after="0" w:line="240" w:lineRule="auto"/>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Para lograrlo, será necesario emprender una gestión más moderna y responsable en los ámbitos tributario, presupuestario y financiero, que coadyuve a elevar la inversión pública productiva y el gasto social, y a la atracción de mayor inversión privada a la entidad, lo que redundará en mayor crecimiento económico, creación de empleos y bienestar social de los colimenses.</w:t>
      </w:r>
    </w:p>
    <w:p w:rsidR="001876E4" w:rsidRPr="001B4E3C" w:rsidRDefault="001876E4" w:rsidP="001876E4">
      <w:pPr>
        <w:pStyle w:val="Texto"/>
        <w:spacing w:after="0" w:line="240" w:lineRule="auto"/>
        <w:rPr>
          <w:sz w:val="24"/>
          <w:szCs w:val="24"/>
        </w:rPr>
      </w:pPr>
      <w:r w:rsidRPr="008E327B">
        <w:rPr>
          <w:sz w:val="24"/>
          <w:szCs w:val="24"/>
        </w:rPr>
        <w:t xml:space="preserve"> </w:t>
      </w:r>
    </w:p>
    <w:p w:rsidR="001876E4" w:rsidRPr="008E327B" w:rsidRDefault="001876E4" w:rsidP="001876E4">
      <w:pPr>
        <w:pStyle w:val="Texto"/>
        <w:spacing w:after="0" w:line="240" w:lineRule="auto"/>
        <w:ind w:firstLine="0"/>
        <w:rPr>
          <w:b/>
          <w:sz w:val="24"/>
          <w:szCs w:val="24"/>
        </w:rPr>
      </w:pPr>
      <w:r w:rsidRPr="008E327B">
        <w:rPr>
          <w:sz w:val="24"/>
          <w:szCs w:val="24"/>
        </w:rPr>
        <w:t>En este sentido, durante el periodo 2016-2021 se requerirá actuar en cinco vertientes:</w:t>
      </w:r>
    </w:p>
    <w:p w:rsidR="001876E4" w:rsidRPr="001B4E3C" w:rsidRDefault="001876E4" w:rsidP="001876E4">
      <w:pPr>
        <w:pStyle w:val="Texto"/>
        <w:spacing w:after="0" w:line="240" w:lineRule="auto"/>
        <w:rPr>
          <w:sz w:val="24"/>
          <w:szCs w:val="24"/>
        </w:rPr>
      </w:pPr>
    </w:p>
    <w:p w:rsidR="001876E4" w:rsidRPr="008E327B" w:rsidRDefault="001876E4" w:rsidP="00185BC9">
      <w:pPr>
        <w:pStyle w:val="Texto"/>
        <w:numPr>
          <w:ilvl w:val="0"/>
          <w:numId w:val="3"/>
        </w:numPr>
        <w:spacing w:after="0" w:line="240" w:lineRule="auto"/>
        <w:rPr>
          <w:sz w:val="24"/>
          <w:szCs w:val="24"/>
        </w:rPr>
      </w:pPr>
      <w:r w:rsidRPr="008E327B">
        <w:rPr>
          <w:sz w:val="24"/>
          <w:szCs w:val="24"/>
        </w:rPr>
        <w:t xml:space="preserve">Fortalecer los ingresos propios, mediante mecanismos que mejoren la eficiencia tributaria. </w:t>
      </w:r>
    </w:p>
    <w:p w:rsidR="001876E4" w:rsidRPr="008E327B" w:rsidRDefault="001876E4" w:rsidP="001876E4">
      <w:pPr>
        <w:pStyle w:val="Texto"/>
        <w:spacing w:after="0" w:line="240" w:lineRule="auto"/>
        <w:rPr>
          <w:sz w:val="24"/>
          <w:szCs w:val="24"/>
        </w:rPr>
      </w:pPr>
    </w:p>
    <w:p w:rsidR="001876E4" w:rsidRPr="008E327B" w:rsidRDefault="001876E4" w:rsidP="00185BC9">
      <w:pPr>
        <w:pStyle w:val="Texto"/>
        <w:numPr>
          <w:ilvl w:val="0"/>
          <w:numId w:val="3"/>
        </w:numPr>
        <w:spacing w:after="0" w:line="240" w:lineRule="auto"/>
        <w:rPr>
          <w:sz w:val="24"/>
          <w:szCs w:val="24"/>
        </w:rPr>
      </w:pPr>
      <w:r w:rsidRPr="008E327B">
        <w:rPr>
          <w:sz w:val="24"/>
          <w:szCs w:val="24"/>
        </w:rPr>
        <w:t>Mejorar la calidad del gasto público y su focalización, con presupuestos orientados a resultados.</w:t>
      </w:r>
    </w:p>
    <w:p w:rsidR="001876E4" w:rsidRPr="008E327B" w:rsidRDefault="001876E4" w:rsidP="001876E4">
      <w:pPr>
        <w:pStyle w:val="Texto"/>
        <w:spacing w:after="0" w:line="240" w:lineRule="auto"/>
        <w:ind w:firstLine="60"/>
        <w:rPr>
          <w:sz w:val="24"/>
          <w:szCs w:val="24"/>
        </w:rPr>
      </w:pPr>
    </w:p>
    <w:p w:rsidR="001876E4" w:rsidRPr="008E327B" w:rsidRDefault="001876E4" w:rsidP="00185BC9">
      <w:pPr>
        <w:pStyle w:val="Texto"/>
        <w:numPr>
          <w:ilvl w:val="0"/>
          <w:numId w:val="3"/>
        </w:numPr>
        <w:spacing w:after="0" w:line="240" w:lineRule="auto"/>
        <w:rPr>
          <w:sz w:val="24"/>
          <w:szCs w:val="24"/>
        </w:rPr>
      </w:pPr>
      <w:r w:rsidRPr="008E327B">
        <w:rPr>
          <w:sz w:val="24"/>
          <w:szCs w:val="24"/>
        </w:rPr>
        <w:t>Impulsar un mayor gasto federal en la entidad, principalmente el de inversión en infraestructura.</w:t>
      </w:r>
    </w:p>
    <w:p w:rsidR="001876E4" w:rsidRPr="008E327B" w:rsidRDefault="001876E4" w:rsidP="001876E4">
      <w:pPr>
        <w:pStyle w:val="Texto"/>
        <w:spacing w:after="0" w:line="240" w:lineRule="auto"/>
        <w:ind w:firstLine="0"/>
        <w:rPr>
          <w:sz w:val="24"/>
          <w:szCs w:val="24"/>
        </w:rPr>
      </w:pPr>
    </w:p>
    <w:p w:rsidR="001876E4" w:rsidRPr="008E327B" w:rsidRDefault="001876E4" w:rsidP="00185BC9">
      <w:pPr>
        <w:pStyle w:val="Texto"/>
        <w:numPr>
          <w:ilvl w:val="0"/>
          <w:numId w:val="3"/>
        </w:numPr>
        <w:spacing w:after="0" w:line="240" w:lineRule="auto"/>
        <w:rPr>
          <w:sz w:val="24"/>
          <w:szCs w:val="24"/>
        </w:rPr>
      </w:pPr>
      <w:r w:rsidRPr="008E327B">
        <w:rPr>
          <w:sz w:val="24"/>
          <w:szCs w:val="24"/>
        </w:rPr>
        <w:t xml:space="preserve">Implementar una política de deuda pública responsable. </w:t>
      </w:r>
    </w:p>
    <w:p w:rsidR="001876E4" w:rsidRPr="008E327B" w:rsidRDefault="001876E4" w:rsidP="001876E4">
      <w:pPr>
        <w:pStyle w:val="Texto"/>
        <w:spacing w:after="0" w:line="240" w:lineRule="auto"/>
        <w:ind w:firstLine="0"/>
        <w:rPr>
          <w:sz w:val="24"/>
          <w:szCs w:val="24"/>
        </w:rPr>
      </w:pPr>
    </w:p>
    <w:p w:rsidR="001876E4" w:rsidRPr="008E327B" w:rsidRDefault="001876E4" w:rsidP="00185BC9">
      <w:pPr>
        <w:pStyle w:val="Texto"/>
        <w:numPr>
          <w:ilvl w:val="0"/>
          <w:numId w:val="3"/>
        </w:numPr>
        <w:spacing w:after="0" w:line="240" w:lineRule="auto"/>
        <w:rPr>
          <w:sz w:val="24"/>
          <w:szCs w:val="24"/>
        </w:rPr>
      </w:pPr>
      <w:r w:rsidRPr="008E327B">
        <w:rPr>
          <w:sz w:val="24"/>
          <w:szCs w:val="24"/>
        </w:rPr>
        <w:lastRenderedPageBreak/>
        <w:t>Promover esquemas novedosos de financiamiento, como s</w:t>
      </w:r>
      <w:r>
        <w:rPr>
          <w:sz w:val="24"/>
          <w:szCs w:val="24"/>
        </w:rPr>
        <w:t>on las Asociaciones Público-</w:t>
      </w:r>
      <w:r w:rsidRPr="008E327B">
        <w:rPr>
          <w:sz w:val="24"/>
          <w:szCs w:val="24"/>
        </w:rPr>
        <w:t>Privadas.</w:t>
      </w:r>
    </w:p>
    <w:p w:rsidR="001876E4" w:rsidRPr="001B4E3C" w:rsidRDefault="001876E4" w:rsidP="001876E4">
      <w:pPr>
        <w:pStyle w:val="Prrafodelista"/>
        <w:spacing w:after="0"/>
        <w:rPr>
          <w:rFonts w:ascii="Arial" w:hAnsi="Arial" w:cs="Arial"/>
          <w:sz w:val="24"/>
          <w:szCs w:val="24"/>
        </w:rPr>
      </w:pPr>
    </w:p>
    <w:p w:rsidR="001876E4" w:rsidRPr="008E327B" w:rsidRDefault="001876E4" w:rsidP="001876E4">
      <w:pPr>
        <w:pStyle w:val="Texto"/>
        <w:spacing w:after="0" w:line="240" w:lineRule="auto"/>
        <w:ind w:firstLine="0"/>
        <w:rPr>
          <w:sz w:val="24"/>
          <w:szCs w:val="24"/>
        </w:rPr>
      </w:pPr>
      <w:r w:rsidRPr="008E327B">
        <w:rPr>
          <w:i/>
          <w:sz w:val="24"/>
          <w:szCs w:val="24"/>
          <w:u w:val="single"/>
        </w:rPr>
        <w:t>Fortalecimiento de los ingresos propios</w:t>
      </w:r>
      <w:r w:rsidRPr="008E327B">
        <w:rPr>
          <w:b/>
          <w:sz w:val="24"/>
          <w:szCs w:val="24"/>
        </w:rPr>
        <w:t>.</w:t>
      </w:r>
      <w:r w:rsidRPr="008E327B">
        <w:rPr>
          <w:sz w:val="24"/>
          <w:szCs w:val="24"/>
        </w:rPr>
        <w:t xml:space="preserve"> Una de áreas de oportunidad para incrementar los recursos para el financiamiento del desarrollo de Colima, se encuentra en modernizar y perfeccionar la política fiscal del Estado.</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Por ello, durante la Administración implementaremos nuevas estrategias para mejorar la eficiencia recaudatoria, con el fin de que los ingresos derivados del esfuerzo recaudatorio propio tengan una mayor participación en el presupuesto estatal.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En este sentido, modernizaremos los mecanismos de recaudación, cobranza y fiscalización mediante el uso de tecnologías y aplicaciones informáticas de vanguardia para la captación de los ingresos públicos, y procuraremos brindar una mejor atención a los contribuyentes.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Ello significará un doble beneficio. Por una parte, aumentaremos de manera directa los ingresos propios, y por otra mejorará nuestra posición relativa frente al resto de entidades federativas del país en las fórmulas de distribución de las participaciones, lo que se traducirá en mayores transferencias del Ramo 28 para Colima. </w:t>
      </w:r>
    </w:p>
    <w:p w:rsidR="001876E4" w:rsidRPr="001B4E3C" w:rsidRDefault="001876E4" w:rsidP="001876E4">
      <w:pPr>
        <w:pStyle w:val="Texto"/>
        <w:spacing w:after="0" w:line="240" w:lineRule="auto"/>
        <w:ind w:firstLine="0"/>
        <w:rPr>
          <w:sz w:val="24"/>
          <w:szCs w:val="24"/>
          <w:u w:val="single"/>
        </w:rPr>
      </w:pPr>
    </w:p>
    <w:p w:rsidR="001876E4" w:rsidRPr="008E327B" w:rsidRDefault="001876E4" w:rsidP="001876E4">
      <w:pPr>
        <w:pStyle w:val="Texto"/>
        <w:spacing w:after="0" w:line="240" w:lineRule="auto"/>
        <w:ind w:firstLine="0"/>
        <w:rPr>
          <w:sz w:val="24"/>
          <w:szCs w:val="24"/>
        </w:rPr>
      </w:pPr>
      <w:r w:rsidRPr="008E327B">
        <w:rPr>
          <w:i/>
          <w:sz w:val="24"/>
          <w:szCs w:val="24"/>
          <w:u w:val="single"/>
        </w:rPr>
        <w:t>Gasto público eficiente y austero</w:t>
      </w:r>
      <w:r w:rsidRPr="008E327B">
        <w:rPr>
          <w:b/>
          <w:sz w:val="24"/>
          <w:szCs w:val="24"/>
        </w:rPr>
        <w:t>.</w:t>
      </w:r>
      <w:r w:rsidRPr="008E327B">
        <w:rPr>
          <w:sz w:val="24"/>
          <w:szCs w:val="24"/>
        </w:rPr>
        <w:t xml:space="preserve"> El mandato constitucional de administrar los recursos públicos atendiendo los principios de eficiencia, eficacia, economía, y transparencia, requiere modernizar los principios de la gestión pública.</w:t>
      </w:r>
    </w:p>
    <w:p w:rsidR="001876E4" w:rsidRPr="008E327B" w:rsidRDefault="001876E4" w:rsidP="001876E4">
      <w:pPr>
        <w:pStyle w:val="Texto"/>
        <w:spacing w:after="0" w:line="240" w:lineRule="auto"/>
        <w:ind w:firstLine="0"/>
        <w:rPr>
          <w:sz w:val="24"/>
          <w:szCs w:val="24"/>
        </w:rPr>
      </w:pPr>
    </w:p>
    <w:p w:rsidR="001876E4" w:rsidRDefault="001876E4" w:rsidP="001876E4">
      <w:pPr>
        <w:pStyle w:val="Texto"/>
        <w:spacing w:after="0" w:line="240" w:lineRule="auto"/>
        <w:ind w:firstLine="0"/>
        <w:rPr>
          <w:sz w:val="24"/>
          <w:szCs w:val="24"/>
        </w:rPr>
      </w:pPr>
      <w:r w:rsidRPr="008E327B">
        <w:rPr>
          <w:sz w:val="24"/>
          <w:szCs w:val="24"/>
        </w:rPr>
        <w:t>En Colima impulsaremos la</w:t>
      </w:r>
      <w:r>
        <w:rPr>
          <w:sz w:val="24"/>
          <w:szCs w:val="24"/>
        </w:rPr>
        <w:t xml:space="preserve"> consolidación del Presupuesto b</w:t>
      </w:r>
      <w:r w:rsidRPr="008E327B">
        <w:rPr>
          <w:sz w:val="24"/>
          <w:szCs w:val="24"/>
        </w:rPr>
        <w:t>asado en Resultados y del Sistema de Evaluación del Desempeño, para mejorar la eficacia y eficiencia del gasto y, con ello, la calidad y cobertura de los programas públicos. La presupuestación por resultados nos permitirá re-direccionar mayores recursos a los programas y proyectos de mayor impacto económico y social.</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En el mismo sentido, para elevar la calidad del gasto público estableceremos, de manera permanente, medidas de austeridad, racionalidad y disciplina para el gasto administrativo y operativo, con el fin de contar con una administración pública menos costosa y, con ello, liberar recursos y redirigirlos a financiar programas, proyectos productivos y de inversión.</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Adicionalmente, se deberán atender problemáticas estructurales que inciden negativamente en la calidad del gasto presupuestario y limitan la disponibilidad </w:t>
      </w:r>
      <w:r w:rsidRPr="008E327B">
        <w:rPr>
          <w:sz w:val="24"/>
          <w:szCs w:val="24"/>
        </w:rPr>
        <w:lastRenderedPageBreak/>
        <w:t>recursos, como la que representa el sistema público de pensiones de los trabajadores al servicio del estado, el cual, en los últimos años, ha estado recibiendo subsidios presupuestarios para poder atender sus compromisos con los jubilados y pensionados. En la medida en que se modernice el sistema de pensiones, para alcanzar su autosuficiencia, se contará con recursos adicionales para financiar el desarrollo de Colima.</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i/>
          <w:sz w:val="24"/>
          <w:szCs w:val="24"/>
          <w:u w:val="single"/>
        </w:rPr>
        <w:t>Impulsar un mayor gasto federal</w:t>
      </w:r>
      <w:r w:rsidRPr="008E327B">
        <w:rPr>
          <w:b/>
          <w:sz w:val="24"/>
          <w:szCs w:val="24"/>
        </w:rPr>
        <w:t>.</w:t>
      </w:r>
      <w:r w:rsidRPr="008E327B">
        <w:rPr>
          <w:sz w:val="24"/>
          <w:szCs w:val="24"/>
        </w:rPr>
        <w:t xml:space="preserve"> Históricamente, el gasto público que el gobierno federal destina para su ejercicio en el territorio estatal, ha tenido gran importancia en el desarrollo del estado, como complemento del presupuesto estatal.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Las dependencias y organismos públicos federales, de manera directa, desarrollan infraestructura y obra pública, y atienden la política social de la Federación. Asimismo, formalizan convenios de coordinación con el gobierno del estado, para la realización de infraestructura, la puesta en marcha de proyectos productivos y la atención de grupos vulnerables de la población.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En la medida en que se alcance una más estrecha coordinación entre autoridades estatales y federales, los recursos destinados a Colima en el Presupuesto de Egresos de la Federación pueden ser de mayor cuantía y tener un impacto más significativo en la atención de las demandas sociales y necesidades de obra pública e infraestructura.</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En el financiamiento del desarrollo del Estado va a ser fundamental profundizar la coordinación con las dependencias y entes públicos de la federación, para impulsar un mayor gasto federal en la entidad.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t xml:space="preserve">En esta estrategia, será necesario coadyuvar con la realización de los estudios y proyectos de interés para el estado, y que sean susceptibles de ser financiados con recursos del presupuesto federal. Asimismo, para potenciar los recursos transferidos vía los convenios de coordinación, el gobierno estatal deberá atender plenamente las contrapartes acordadas en los instrumentos jurídicos, con lo que se podrán incrementar los techos de gasto de diversos programas públicos, en beneficio de un mayor número de colimenses.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i/>
          <w:sz w:val="24"/>
          <w:szCs w:val="24"/>
          <w:u w:val="single"/>
        </w:rPr>
        <w:t>Política de deuda pública responsable</w:t>
      </w:r>
      <w:r w:rsidRPr="008E327B">
        <w:rPr>
          <w:sz w:val="24"/>
          <w:szCs w:val="24"/>
        </w:rPr>
        <w:t xml:space="preserve">. El endeudamiento público como fuente de financiamiento del desarrollo debe, ante todo, utilizarse de manera responsable y generar beneficios tangibles a la población colimense, sin comprometer la viabilidad de las finanzas públicas. </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sz w:val="24"/>
          <w:szCs w:val="24"/>
        </w:rPr>
        <w:lastRenderedPageBreak/>
        <w:t>Si bien, la deuda bancaria de largo plazo del estado se incrementó sustancialmente en los últimos cinco años, su importancia como porcentaje del PIB estatal se sitúa en la media nacional, por lo que aún existe un margen para financiar proyectos de inversión en infraestructura de alto impacto.</w:t>
      </w:r>
    </w:p>
    <w:p w:rsidR="001876E4" w:rsidRPr="008E327B" w:rsidRDefault="001876E4" w:rsidP="001876E4">
      <w:pPr>
        <w:pStyle w:val="Texto"/>
        <w:spacing w:after="0" w:line="240" w:lineRule="auto"/>
        <w:ind w:firstLine="0"/>
        <w:rPr>
          <w:sz w:val="24"/>
          <w:szCs w:val="24"/>
        </w:rPr>
      </w:pPr>
    </w:p>
    <w:p w:rsidR="001876E4" w:rsidRDefault="001876E4" w:rsidP="001876E4">
      <w:pPr>
        <w:pStyle w:val="Texto"/>
        <w:spacing w:after="0" w:line="240" w:lineRule="auto"/>
        <w:ind w:firstLine="0"/>
        <w:rPr>
          <w:sz w:val="24"/>
          <w:szCs w:val="24"/>
        </w:rPr>
      </w:pPr>
      <w:r w:rsidRPr="008E327B">
        <w:rPr>
          <w:sz w:val="24"/>
          <w:szCs w:val="24"/>
        </w:rPr>
        <w:t>De ser necesario, durante el periodo 2016-2021, se utilizaría dicho margen como fuente de financiamiento del desarrollo, siempre y cuando la tasa de rentabilidad económica y social de las inversiones sea lo suficientemente alta y se beneficie con ello la competitividad, la productividad, el empleo y el desarrollo social en la entidad.</w:t>
      </w:r>
    </w:p>
    <w:p w:rsidR="001876E4" w:rsidRPr="008E327B" w:rsidRDefault="001876E4" w:rsidP="001876E4">
      <w:pPr>
        <w:pStyle w:val="Texto"/>
        <w:spacing w:after="0" w:line="240" w:lineRule="auto"/>
        <w:ind w:firstLine="0"/>
        <w:rPr>
          <w:sz w:val="24"/>
          <w:szCs w:val="24"/>
        </w:rPr>
      </w:pPr>
    </w:p>
    <w:p w:rsidR="001876E4" w:rsidRPr="008E327B" w:rsidRDefault="001876E4" w:rsidP="001876E4">
      <w:pPr>
        <w:pStyle w:val="Texto"/>
        <w:spacing w:after="0" w:line="240" w:lineRule="auto"/>
        <w:ind w:firstLine="0"/>
        <w:rPr>
          <w:sz w:val="24"/>
          <w:szCs w:val="24"/>
        </w:rPr>
      </w:pPr>
      <w:r w:rsidRPr="008E327B">
        <w:rPr>
          <w:i/>
          <w:sz w:val="24"/>
          <w:szCs w:val="24"/>
          <w:u w:val="single"/>
        </w:rPr>
        <w:t>Promoción de las asociaciones público – privadas</w:t>
      </w:r>
      <w:r w:rsidRPr="008E327B">
        <w:rPr>
          <w:b/>
          <w:sz w:val="24"/>
          <w:szCs w:val="24"/>
        </w:rPr>
        <w:t>.</w:t>
      </w:r>
      <w:r w:rsidRPr="008E327B">
        <w:rPr>
          <w:sz w:val="24"/>
          <w:szCs w:val="24"/>
        </w:rPr>
        <w:t xml:space="preserve"> Ante la escasez de recursos para desarrollar grandes obras de infraestructura, se vuelve necesario considerar el otorgar un mayor impulso y promoción a la inversión por parte del sector privado, como complemente de la inversión pública, para lograr más rápidamente las metas de desarrollo del estado. </w:t>
      </w:r>
    </w:p>
    <w:p w:rsidR="001876E4" w:rsidRPr="008E327B" w:rsidRDefault="001876E4" w:rsidP="001876E4">
      <w:pPr>
        <w:pStyle w:val="Texto"/>
        <w:spacing w:after="0" w:line="240" w:lineRule="auto"/>
        <w:ind w:firstLine="0"/>
        <w:rPr>
          <w:sz w:val="24"/>
          <w:szCs w:val="24"/>
        </w:rPr>
      </w:pPr>
    </w:p>
    <w:p w:rsidR="001876E4" w:rsidRPr="00F8671B" w:rsidRDefault="001876E4" w:rsidP="001876E4">
      <w:pPr>
        <w:pStyle w:val="Texto"/>
        <w:spacing w:after="0" w:line="240" w:lineRule="auto"/>
        <w:ind w:firstLine="0"/>
        <w:rPr>
          <w:sz w:val="24"/>
          <w:szCs w:val="24"/>
          <w:highlight w:val="yellow"/>
        </w:rPr>
      </w:pPr>
      <w:r w:rsidRPr="008E327B">
        <w:rPr>
          <w:sz w:val="24"/>
          <w:szCs w:val="24"/>
        </w:rPr>
        <w:t xml:space="preserve">Uno de los mecanismos más exitosos que se han utilizado en esta tarea han sido, tanto nacional como internacionalmente, los esquemas de asociaciones público-privadas, que han demostrado ser eficaces en lograr su objetivo de incentivar la iniciativa y la inversión privada, bajo un marco adecuado de distribución de riesgos, provisión y control de los servicios, así como de contraprestaciones económicas justas, que otorguen certeza y seguridad jurídica a los intereses y necesidades de los inversionistas, las entidades públicas involucradas y la población beneficiada. </w:t>
      </w:r>
    </w:p>
    <w:p w:rsidR="001876E4" w:rsidRPr="00F8671B" w:rsidRDefault="001876E4" w:rsidP="001876E4">
      <w:pPr>
        <w:pStyle w:val="Texto"/>
        <w:spacing w:after="0" w:line="240" w:lineRule="auto"/>
        <w:ind w:firstLine="0"/>
        <w:rPr>
          <w:sz w:val="24"/>
          <w:szCs w:val="24"/>
          <w:highlight w:val="yellow"/>
        </w:rPr>
      </w:pPr>
    </w:p>
    <w:p w:rsidR="001876E4" w:rsidRDefault="001876E4" w:rsidP="001876E4">
      <w:pPr>
        <w:pStyle w:val="Texto"/>
        <w:spacing w:after="0" w:line="240" w:lineRule="auto"/>
        <w:ind w:firstLine="0"/>
        <w:rPr>
          <w:sz w:val="24"/>
          <w:szCs w:val="24"/>
        </w:rPr>
      </w:pPr>
      <w:r w:rsidRPr="004A6405">
        <w:rPr>
          <w:sz w:val="24"/>
          <w:szCs w:val="24"/>
        </w:rPr>
        <w:t>Para el desarrollo de algunos proyectos de infraestructura de alto impacto, perfilados en la planeación para el desarrollo de Colima 2016-2021, se requerirá utilizar los esquemas de asociaciones público-privadas como fuente de financiamiento. Ello redundará en una mayor atracción de inversiones privadas a la entidad y mejores condiciones financieras para el estado.</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284"/>
        <w:rPr>
          <w:b/>
          <w:sz w:val="24"/>
          <w:szCs w:val="24"/>
        </w:rPr>
      </w:pPr>
      <w:r w:rsidRPr="004A6405">
        <w:rPr>
          <w:b/>
          <w:sz w:val="24"/>
          <w:szCs w:val="24"/>
        </w:rPr>
        <w:t>b. Agenda de buen gobierno</w:t>
      </w:r>
    </w:p>
    <w:p w:rsidR="001876E4" w:rsidRPr="004A6405" w:rsidRDefault="001876E4" w:rsidP="001876E4">
      <w:pPr>
        <w:pStyle w:val="Texto"/>
        <w:spacing w:after="0" w:line="240" w:lineRule="auto"/>
        <w:rPr>
          <w:sz w:val="22"/>
          <w:szCs w:val="22"/>
        </w:rPr>
      </w:pPr>
      <w:r w:rsidRPr="004A6405">
        <w:rPr>
          <w:sz w:val="22"/>
          <w:szCs w:val="22"/>
        </w:rPr>
        <w:t xml:space="preserve"> </w:t>
      </w:r>
    </w:p>
    <w:p w:rsidR="001876E4" w:rsidRPr="004A6405" w:rsidRDefault="001876E4" w:rsidP="001876E4">
      <w:pPr>
        <w:pStyle w:val="Texto"/>
        <w:spacing w:after="0" w:line="240" w:lineRule="auto"/>
        <w:ind w:firstLine="0"/>
        <w:rPr>
          <w:sz w:val="24"/>
          <w:szCs w:val="24"/>
        </w:rPr>
      </w:pPr>
      <w:r w:rsidRPr="004A6405">
        <w:rPr>
          <w:sz w:val="24"/>
          <w:szCs w:val="24"/>
        </w:rPr>
        <w:t>Para alcanzar un gobierno de calidad, se necesita un impulso a la reingeniería de procesos de mejora administrativa que incluyan las necesidades de la ciudadanía y que contemplen acciones de transparencia y rendición de cuentas.</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Lo anterior, se logrará dejando atrás esquemas de administración pública tradicionales, con ayuda de instrumentos como la planeación, ejecución y la evaluación de resultados, así como el uso de las nuevas tecnologías de información y de la comunicación. </w:t>
      </w:r>
    </w:p>
    <w:p w:rsidR="001876E4" w:rsidRPr="004A6405" w:rsidRDefault="001876E4" w:rsidP="001876E4">
      <w:pPr>
        <w:pStyle w:val="Texto"/>
        <w:spacing w:after="0" w:line="240" w:lineRule="auto"/>
        <w:ind w:firstLine="0"/>
        <w:rPr>
          <w:b/>
          <w:sz w:val="24"/>
          <w:szCs w:val="24"/>
        </w:rPr>
      </w:pPr>
      <w:r w:rsidRPr="004A6405">
        <w:rPr>
          <w:sz w:val="24"/>
          <w:szCs w:val="24"/>
        </w:rPr>
        <w:lastRenderedPageBreak/>
        <w:t>Además, se observa la necesidad de contar con servidores públicos capacitados en materia de calidad. Para fortalecer esta área es necesario el impulso de la Norma ISO 18091:2014 de la administración estatal. Esta norma consiste en el reconocimiento de un gobierno confiable que otorga el Consejo Mundial de Calidad y que tiene como premisa la Agenda Local 21 de la Organización de las Nacional Unidas (ONU). La norma mide el desempeño de las administraciones públicas locales, los avances en los procesos de gestión pública; la mejora en servicios y atención a los ciudadanos, así como la capacitación de los servidores públicos.</w:t>
      </w:r>
    </w:p>
    <w:p w:rsidR="001876E4" w:rsidRPr="004A6405" w:rsidRDefault="001876E4" w:rsidP="001876E4">
      <w:pPr>
        <w:pStyle w:val="Texto"/>
        <w:spacing w:after="0" w:line="240" w:lineRule="auto"/>
        <w:ind w:firstLine="0"/>
        <w:rPr>
          <w:b/>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Necesitamos crear incentivos para impulsar el gobierno participativo, el cual de manera constante estará en contacto con la ciudadanía para conocer sus necesidades y prioridades, con el fin de traducirlas en políticas públicas eficaces y con calidad. </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Con la implementación de la Agenda, se busca reducir los trámites y facilitar las gestiones gubernamentales. Lograr, por ejemplo, que los ciudadanos tengan acceso a la información gubernamental y efectuar trámites de manera remota. </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Bajo la visión de la economía eficiente y sustentada en conocimiento, se debe aprovechar al máximo el uso de las Tecnologías de Información y de la Comunicación (TIC). </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Pr>
          <w:sz w:val="24"/>
          <w:szCs w:val="24"/>
        </w:rPr>
        <w:t>El Gobierno del E</w:t>
      </w:r>
      <w:r w:rsidRPr="004A6405">
        <w:rPr>
          <w:sz w:val="24"/>
          <w:szCs w:val="24"/>
        </w:rPr>
        <w:t xml:space="preserve">stado debe retomar su liderazgo en el uso de sistemas digitales, que impulsa el Internet como una herramienta principal de trabajo. </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Por ello, se buscará mejorar y fortalecer los procesos con tecnologías de información en todas las instituciones públicas del estado, para ofrecer los servicios y trámites electrónicos con seguridad y rapidez; para que Colima se consolide como la entidad con menor brecha digital entre sus habitantes. </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El gobierno digital es, además, una herramienta para combatir las prácticas de corrupción y opacidad en el servicio público, ya que gracias a que los trámites o servicios que se realizan de manera electrónica no se tienen contacto directo con el ciudadano. </w:t>
      </w:r>
    </w:p>
    <w:p w:rsidR="001876E4" w:rsidRPr="004A6405" w:rsidRDefault="001876E4" w:rsidP="001876E4">
      <w:pPr>
        <w:pStyle w:val="Texto"/>
        <w:spacing w:after="0" w:line="240" w:lineRule="auto"/>
        <w:ind w:firstLine="0"/>
        <w:rPr>
          <w:sz w:val="24"/>
          <w:szCs w:val="24"/>
        </w:rPr>
      </w:pPr>
    </w:p>
    <w:p w:rsidR="001876E4" w:rsidRPr="004A6405" w:rsidRDefault="001876E4" w:rsidP="001876E4">
      <w:pPr>
        <w:pStyle w:val="Texto"/>
        <w:spacing w:after="0" w:line="240" w:lineRule="auto"/>
        <w:ind w:firstLine="0"/>
        <w:rPr>
          <w:sz w:val="24"/>
          <w:szCs w:val="24"/>
        </w:rPr>
      </w:pPr>
      <w:r w:rsidRPr="004A6405">
        <w:rPr>
          <w:sz w:val="24"/>
          <w:szCs w:val="24"/>
        </w:rPr>
        <w:t xml:space="preserve">Un gobierno confiable, es aquel que tiene como fin ser cercano a la gente. El objetivo de esta administración es atender las demandas ciudadanas y otorgar transparencia en su labor diaria. Para lograrlo, es necesario contar con la participación ciudadana y aplicar diversas reformas al servicio público, como la profesionalización de éste, </w:t>
      </w:r>
      <w:r w:rsidRPr="004A6405">
        <w:rPr>
          <w:sz w:val="24"/>
          <w:szCs w:val="24"/>
        </w:rPr>
        <w:lastRenderedPageBreak/>
        <w:t>a través de la capacitación, incentivos de evaluación hacia un buen desempeño, hacer uso eficiente de las herramientas con las que se cuenta hoy en día.</w:t>
      </w:r>
    </w:p>
    <w:p w:rsidR="001876E4" w:rsidRPr="00F8671B" w:rsidRDefault="001876E4" w:rsidP="001876E4">
      <w:pPr>
        <w:pStyle w:val="Texto"/>
        <w:spacing w:after="0" w:line="240" w:lineRule="auto"/>
        <w:ind w:firstLine="0"/>
        <w:rPr>
          <w:sz w:val="24"/>
          <w:szCs w:val="24"/>
          <w:highlight w:val="yellow"/>
        </w:rPr>
      </w:pPr>
    </w:p>
    <w:p w:rsidR="001876E4" w:rsidRPr="004A6405" w:rsidRDefault="001876E4" w:rsidP="001876E4">
      <w:pPr>
        <w:pStyle w:val="Texto"/>
        <w:spacing w:after="0" w:line="240" w:lineRule="auto"/>
        <w:ind w:firstLine="284"/>
        <w:rPr>
          <w:b/>
          <w:sz w:val="24"/>
          <w:szCs w:val="24"/>
        </w:rPr>
      </w:pPr>
      <w:r w:rsidRPr="004A6405">
        <w:rPr>
          <w:b/>
          <w:sz w:val="24"/>
          <w:szCs w:val="24"/>
        </w:rPr>
        <w:t>c. Modelo de transparencia y rendición de cuentas</w:t>
      </w:r>
    </w:p>
    <w:p w:rsidR="001876E4" w:rsidRPr="004A6405" w:rsidRDefault="001876E4" w:rsidP="001876E4">
      <w:pPr>
        <w:pStyle w:val="Texto"/>
        <w:spacing w:after="0" w:line="240" w:lineRule="auto"/>
        <w:ind w:firstLine="0"/>
        <w:rPr>
          <w:sz w:val="22"/>
          <w:szCs w:val="22"/>
        </w:rPr>
      </w:pPr>
    </w:p>
    <w:p w:rsidR="001876E4" w:rsidRPr="004A6405" w:rsidRDefault="001876E4" w:rsidP="001876E4">
      <w:pPr>
        <w:pStyle w:val="Texto"/>
        <w:spacing w:after="0" w:line="240" w:lineRule="auto"/>
        <w:ind w:firstLine="0"/>
        <w:rPr>
          <w:sz w:val="24"/>
          <w:szCs w:val="24"/>
        </w:rPr>
      </w:pPr>
      <w:r w:rsidRPr="004A6405">
        <w:rPr>
          <w:sz w:val="24"/>
          <w:szCs w:val="24"/>
        </w:rPr>
        <w:t xml:space="preserve">Aunque Colima ha mejorado en eficiencia gubernamental y calidad regulatoria, todavía queda mucho camino por andar en materia de combate a la corrupción, rendición de cuentas, y transparencia. </w:t>
      </w:r>
    </w:p>
    <w:p w:rsidR="001876E4" w:rsidRPr="00AE0AE2" w:rsidRDefault="001876E4" w:rsidP="001876E4">
      <w:pPr>
        <w:pStyle w:val="Texto"/>
        <w:spacing w:after="0" w:line="240" w:lineRule="auto"/>
        <w:ind w:firstLine="0"/>
        <w:rPr>
          <w:sz w:val="24"/>
          <w:szCs w:val="24"/>
        </w:rPr>
      </w:pPr>
    </w:p>
    <w:p w:rsidR="001876E4" w:rsidRPr="00AE0AE2" w:rsidRDefault="001876E4" w:rsidP="001876E4">
      <w:pPr>
        <w:pStyle w:val="Texto"/>
        <w:spacing w:after="0" w:line="240" w:lineRule="auto"/>
        <w:ind w:firstLine="0"/>
        <w:rPr>
          <w:sz w:val="24"/>
          <w:szCs w:val="24"/>
        </w:rPr>
      </w:pPr>
      <w:r w:rsidRPr="00AE0AE2">
        <w:rPr>
          <w:sz w:val="24"/>
          <w:szCs w:val="24"/>
        </w:rPr>
        <w:t>Un gobierno transparente en la administración de sus recursos coadyuva a combatir la corrupción, facilita el acceso a la información clara, oportuna y fomenta de manera activa la participación ciudadana a través del uso de las nuevas tecnologías de información.</w:t>
      </w:r>
    </w:p>
    <w:p w:rsidR="001876E4" w:rsidRPr="00AE0AE2" w:rsidRDefault="001876E4" w:rsidP="001876E4">
      <w:pPr>
        <w:pStyle w:val="Texto"/>
        <w:spacing w:after="0" w:line="240" w:lineRule="auto"/>
        <w:ind w:firstLine="0"/>
        <w:rPr>
          <w:sz w:val="24"/>
          <w:szCs w:val="24"/>
        </w:rPr>
      </w:pPr>
    </w:p>
    <w:p w:rsidR="001876E4" w:rsidRPr="00AE0AE2" w:rsidRDefault="001876E4" w:rsidP="001876E4">
      <w:pPr>
        <w:pStyle w:val="Texto"/>
        <w:spacing w:after="0" w:line="240" w:lineRule="auto"/>
        <w:ind w:firstLine="0"/>
        <w:rPr>
          <w:sz w:val="24"/>
          <w:szCs w:val="24"/>
        </w:rPr>
      </w:pPr>
      <w:r w:rsidRPr="00AE0AE2">
        <w:rPr>
          <w:sz w:val="24"/>
          <w:szCs w:val="24"/>
        </w:rPr>
        <w:t xml:space="preserve">Es por ello que el Gobierno del Estado </w:t>
      </w:r>
      <w:r>
        <w:rPr>
          <w:sz w:val="24"/>
          <w:szCs w:val="24"/>
        </w:rPr>
        <w:t>continuará impulsando</w:t>
      </w:r>
      <w:r w:rsidRPr="00AE0AE2">
        <w:rPr>
          <w:sz w:val="24"/>
          <w:szCs w:val="24"/>
        </w:rPr>
        <w:t xml:space="preserve"> la transparencia y una impecable rendición de cuentas claras a la sociedad colimense en los programas sociales. Esta obligación es más sensible y vital cuando se trata de recursos para combatir la pobreza y garantizar el desarrollo social. </w:t>
      </w:r>
    </w:p>
    <w:p w:rsidR="001876E4" w:rsidRPr="00AE0AE2" w:rsidRDefault="001876E4" w:rsidP="001876E4">
      <w:pPr>
        <w:pStyle w:val="Texto"/>
        <w:spacing w:after="0" w:line="240" w:lineRule="auto"/>
        <w:ind w:firstLine="0"/>
        <w:rPr>
          <w:sz w:val="24"/>
          <w:szCs w:val="24"/>
        </w:rPr>
      </w:pPr>
    </w:p>
    <w:p w:rsidR="001876E4" w:rsidRPr="00AE0AE2" w:rsidRDefault="001876E4" w:rsidP="001876E4">
      <w:pPr>
        <w:pStyle w:val="Texto"/>
        <w:spacing w:after="0" w:line="240" w:lineRule="auto"/>
        <w:ind w:firstLine="0"/>
        <w:rPr>
          <w:sz w:val="24"/>
          <w:szCs w:val="24"/>
        </w:rPr>
      </w:pPr>
      <w:r w:rsidRPr="00AE0AE2">
        <w:rPr>
          <w:sz w:val="24"/>
          <w:szCs w:val="24"/>
        </w:rPr>
        <w:t>Para cumplir con los objetivos de transparencia, se promoverá el cambio con los servidores públicos, quienes estarán obligados a informar de manera detallada y oportuna los programas que tienen asignados.</w:t>
      </w:r>
    </w:p>
    <w:p w:rsidR="001876E4" w:rsidRPr="00AE0AE2" w:rsidRDefault="001876E4" w:rsidP="001876E4">
      <w:pPr>
        <w:pStyle w:val="Texto"/>
        <w:spacing w:after="0" w:line="240" w:lineRule="auto"/>
        <w:ind w:firstLine="0"/>
        <w:rPr>
          <w:sz w:val="24"/>
          <w:szCs w:val="24"/>
        </w:rPr>
      </w:pPr>
    </w:p>
    <w:p w:rsidR="001876E4" w:rsidRPr="00AE0AE2" w:rsidRDefault="001876E4" w:rsidP="001876E4">
      <w:pPr>
        <w:pStyle w:val="Texto"/>
        <w:spacing w:after="0" w:line="240" w:lineRule="auto"/>
        <w:ind w:firstLine="0"/>
        <w:rPr>
          <w:sz w:val="24"/>
          <w:szCs w:val="24"/>
        </w:rPr>
      </w:pPr>
      <w:r w:rsidRPr="00AE0AE2">
        <w:rPr>
          <w:sz w:val="24"/>
          <w:szCs w:val="24"/>
        </w:rPr>
        <w:t>Las instituciones gubernamentales deben estar dispuestas a recibir, canalizar, dar respuesta a las peticiones y demandas de los ciudadanos.</w:t>
      </w:r>
    </w:p>
    <w:p w:rsidR="001876E4" w:rsidRPr="00AE0AE2" w:rsidRDefault="001876E4" w:rsidP="001876E4">
      <w:pPr>
        <w:pStyle w:val="Texto"/>
        <w:spacing w:after="0" w:line="240" w:lineRule="auto"/>
        <w:ind w:firstLine="0"/>
        <w:rPr>
          <w:sz w:val="24"/>
          <w:szCs w:val="24"/>
        </w:rPr>
      </w:pPr>
    </w:p>
    <w:p w:rsidR="001876E4" w:rsidRDefault="001876E4" w:rsidP="001876E4">
      <w:pPr>
        <w:pStyle w:val="Texto"/>
        <w:spacing w:after="0" w:line="240" w:lineRule="auto"/>
        <w:ind w:firstLine="0"/>
        <w:rPr>
          <w:sz w:val="24"/>
          <w:szCs w:val="24"/>
        </w:rPr>
      </w:pPr>
      <w:r w:rsidRPr="00AE0AE2">
        <w:rPr>
          <w:sz w:val="24"/>
          <w:szCs w:val="24"/>
        </w:rPr>
        <w:t>Asimismo, para fortalecer la transparencia presupuestaria, impulsaremos la figura del contralor social, quien, mediante el seguimiento, supervisión y vigilancia de los programas públicos, podrá evaluar si los funcionarios públicos se conducen con apego a la ley.</w:t>
      </w:r>
    </w:p>
    <w:p w:rsidR="001876E4" w:rsidRPr="00AE0AE2" w:rsidRDefault="001876E4" w:rsidP="001876E4">
      <w:pPr>
        <w:pStyle w:val="Texto"/>
        <w:spacing w:after="0" w:line="240" w:lineRule="auto"/>
        <w:ind w:firstLine="0"/>
        <w:rPr>
          <w:sz w:val="24"/>
          <w:szCs w:val="24"/>
        </w:rPr>
      </w:pPr>
    </w:p>
    <w:p w:rsidR="001876E4" w:rsidRPr="00AE0AE2" w:rsidRDefault="001876E4" w:rsidP="001876E4">
      <w:pPr>
        <w:pStyle w:val="Texto"/>
        <w:spacing w:after="0" w:line="240" w:lineRule="auto"/>
        <w:ind w:firstLine="0"/>
        <w:rPr>
          <w:sz w:val="24"/>
          <w:szCs w:val="24"/>
        </w:rPr>
      </w:pPr>
      <w:r w:rsidRPr="00AE0AE2">
        <w:rPr>
          <w:sz w:val="24"/>
          <w:szCs w:val="24"/>
        </w:rPr>
        <w:t>El combate a la corrupción será inte</w:t>
      </w:r>
      <w:r>
        <w:rPr>
          <w:sz w:val="24"/>
          <w:szCs w:val="24"/>
        </w:rPr>
        <w:t xml:space="preserve">gral con una visión preventiva, </w:t>
      </w:r>
      <w:r w:rsidRPr="00AE0AE2">
        <w:rPr>
          <w:sz w:val="24"/>
          <w:szCs w:val="24"/>
        </w:rPr>
        <w:t>mediante sistemas de control interno que eviten el uso indebido de los recursos públicos.</w:t>
      </w:r>
    </w:p>
    <w:p w:rsidR="001876E4" w:rsidRPr="00AE0AE2" w:rsidRDefault="001876E4" w:rsidP="001876E4">
      <w:pPr>
        <w:pStyle w:val="Texto"/>
        <w:spacing w:after="0" w:line="240" w:lineRule="auto"/>
        <w:ind w:firstLine="0"/>
        <w:rPr>
          <w:sz w:val="24"/>
          <w:szCs w:val="24"/>
        </w:rPr>
      </w:pPr>
    </w:p>
    <w:p w:rsidR="001876E4" w:rsidRPr="00AE0AE2" w:rsidRDefault="001876E4" w:rsidP="001876E4">
      <w:pPr>
        <w:pStyle w:val="Texto"/>
        <w:spacing w:after="0" w:line="240" w:lineRule="auto"/>
        <w:ind w:firstLine="0"/>
        <w:rPr>
          <w:sz w:val="24"/>
          <w:szCs w:val="24"/>
        </w:rPr>
      </w:pPr>
      <w:r w:rsidRPr="00AE0AE2">
        <w:rPr>
          <w:sz w:val="24"/>
          <w:szCs w:val="24"/>
        </w:rPr>
        <w:t>Existen diversos desafíos fiscales que los gobiernos locales enfrentan en el corto, mediano plazo (OCDE 2012) y se presentan a continuación:</w:t>
      </w:r>
    </w:p>
    <w:p w:rsidR="001876E4" w:rsidRPr="00F8671B" w:rsidRDefault="001876E4" w:rsidP="001876E4">
      <w:pPr>
        <w:spacing w:line="240" w:lineRule="auto"/>
        <w:jc w:val="both"/>
        <w:rPr>
          <w:rFonts w:ascii="Arial" w:hAnsi="Arial" w:cs="Arial"/>
          <w:sz w:val="24"/>
          <w:szCs w:val="24"/>
          <w:highlight w:val="yellow"/>
          <w:lang w:val="es-ES"/>
        </w:rPr>
      </w:pPr>
    </w:p>
    <w:p w:rsidR="001876E4" w:rsidRDefault="001876E4" w:rsidP="001876E4">
      <w:pPr>
        <w:spacing w:line="240" w:lineRule="auto"/>
        <w:jc w:val="center"/>
        <w:rPr>
          <w:noProof/>
          <w:lang w:val="es-ES" w:eastAsia="es-ES"/>
        </w:rPr>
      </w:pPr>
    </w:p>
    <w:p w:rsidR="001876E4" w:rsidRDefault="001876E4" w:rsidP="001876E4">
      <w:pPr>
        <w:spacing w:line="240" w:lineRule="auto"/>
        <w:jc w:val="center"/>
        <w:rPr>
          <w:rFonts w:ascii="Arial" w:hAnsi="Arial" w:cs="Arial"/>
          <w:sz w:val="24"/>
          <w:szCs w:val="24"/>
          <w:highlight w:val="yellow"/>
        </w:rPr>
      </w:pPr>
    </w:p>
    <w:p w:rsidR="001876E4" w:rsidRPr="00F8671B" w:rsidRDefault="001876E4" w:rsidP="001876E4">
      <w:pPr>
        <w:spacing w:line="240" w:lineRule="auto"/>
        <w:jc w:val="center"/>
        <w:rPr>
          <w:rFonts w:ascii="Arial" w:hAnsi="Arial" w:cs="Arial"/>
          <w:sz w:val="24"/>
          <w:szCs w:val="24"/>
          <w:highlight w:val="yellow"/>
        </w:rPr>
      </w:pPr>
      <w:r w:rsidRPr="003233D8">
        <w:rPr>
          <w:noProof/>
          <w:lang w:val="es-ES" w:eastAsia="es-ES"/>
        </w:rPr>
        <w:lastRenderedPageBreak/>
        <w:drawing>
          <wp:inline distT="0" distB="0" distL="0" distR="0" wp14:anchorId="4BDF9D10" wp14:editId="5C993B3D">
            <wp:extent cx="5611940" cy="7038975"/>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690" cy="7043679"/>
                    </a:xfrm>
                    <a:prstGeom prst="rect">
                      <a:avLst/>
                    </a:prstGeom>
                    <a:noFill/>
                    <a:ln>
                      <a:noFill/>
                    </a:ln>
                  </pic:spPr>
                </pic:pic>
              </a:graphicData>
            </a:graphic>
          </wp:inline>
        </w:drawing>
      </w:r>
    </w:p>
    <w:p w:rsidR="001876E4" w:rsidRDefault="001876E4" w:rsidP="001876E4">
      <w:pPr>
        <w:spacing w:after="0" w:line="240" w:lineRule="auto"/>
        <w:jc w:val="center"/>
        <w:rPr>
          <w:rFonts w:ascii="Arial" w:hAnsi="Arial" w:cs="Arial"/>
          <w:sz w:val="24"/>
          <w:szCs w:val="24"/>
          <w:highlight w:val="yellow"/>
        </w:rPr>
      </w:pPr>
      <w:r w:rsidRPr="003233D8">
        <w:rPr>
          <w:noProof/>
          <w:lang w:val="es-ES" w:eastAsia="es-ES"/>
        </w:rPr>
        <w:lastRenderedPageBreak/>
        <w:drawing>
          <wp:inline distT="0" distB="0" distL="0" distR="0" wp14:anchorId="7D82777C" wp14:editId="112ED892">
            <wp:extent cx="4610100" cy="28235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0884" cy="2830182"/>
                    </a:xfrm>
                    <a:prstGeom prst="rect">
                      <a:avLst/>
                    </a:prstGeom>
                    <a:noFill/>
                    <a:ln>
                      <a:noFill/>
                    </a:ln>
                  </pic:spPr>
                </pic:pic>
              </a:graphicData>
            </a:graphic>
          </wp:inline>
        </w:drawing>
      </w:r>
    </w:p>
    <w:p w:rsidR="001876E4" w:rsidRPr="007D4B80" w:rsidRDefault="001876E4" w:rsidP="001876E4">
      <w:pPr>
        <w:spacing w:after="0" w:line="240" w:lineRule="auto"/>
        <w:jc w:val="center"/>
        <w:rPr>
          <w:rFonts w:ascii="Arial" w:hAnsi="Arial" w:cs="Arial"/>
          <w:sz w:val="24"/>
          <w:szCs w:val="24"/>
          <w:highlight w:val="yellow"/>
        </w:rPr>
      </w:pPr>
    </w:p>
    <w:p w:rsidR="001876E4" w:rsidRDefault="001876E4" w:rsidP="001876E4">
      <w:pPr>
        <w:pStyle w:val="Texto"/>
        <w:spacing w:after="0" w:line="240" w:lineRule="auto"/>
        <w:ind w:firstLine="0"/>
        <w:jc w:val="left"/>
        <w:rPr>
          <w:b/>
          <w:sz w:val="24"/>
          <w:szCs w:val="24"/>
        </w:rPr>
      </w:pPr>
      <w:r w:rsidRPr="004052D9">
        <w:rPr>
          <w:b/>
          <w:color w:val="000000"/>
          <w:sz w:val="24"/>
          <w:szCs w:val="24"/>
        </w:rPr>
        <w:t xml:space="preserve">2.3.3. MONTOS DE DEUDA CONTINGENTE </w:t>
      </w:r>
      <w:r w:rsidRPr="004052D9">
        <w:rPr>
          <w:b/>
          <w:sz w:val="24"/>
          <w:szCs w:val="24"/>
        </w:rPr>
        <w:t>Y PROPUESTAS DE ACCIÓN PARA ENFRENTARLOS</w:t>
      </w:r>
    </w:p>
    <w:p w:rsidR="001876E4" w:rsidRPr="004052D9" w:rsidRDefault="001876E4" w:rsidP="001876E4">
      <w:pPr>
        <w:pStyle w:val="Texto"/>
        <w:spacing w:after="0" w:line="240" w:lineRule="auto"/>
        <w:ind w:firstLine="0"/>
        <w:jc w:val="left"/>
        <w:rPr>
          <w:b/>
          <w:sz w:val="24"/>
          <w:szCs w:val="24"/>
        </w:rPr>
      </w:pPr>
    </w:p>
    <w:p w:rsidR="001876E4" w:rsidRPr="004052D9" w:rsidRDefault="001876E4" w:rsidP="001876E4">
      <w:pPr>
        <w:pStyle w:val="Texto"/>
        <w:spacing w:after="0" w:line="240" w:lineRule="auto"/>
        <w:ind w:left="360" w:firstLine="0"/>
        <w:rPr>
          <w:sz w:val="24"/>
          <w:szCs w:val="24"/>
        </w:rPr>
      </w:pPr>
      <w:r>
        <w:rPr>
          <w:sz w:val="24"/>
          <w:szCs w:val="24"/>
        </w:rPr>
        <w:t xml:space="preserve">La </w:t>
      </w:r>
      <w:r w:rsidRPr="004052D9">
        <w:rPr>
          <w:sz w:val="24"/>
          <w:szCs w:val="24"/>
        </w:rPr>
        <w:t>Ley de Disciplina Financiera de las Entidades Federativas y los Municipios, en su Artículo 1° fracción V establece que la Deuda Contingente es “</w:t>
      </w:r>
      <w:r w:rsidRPr="004052D9">
        <w:rPr>
          <w:i/>
          <w:sz w:val="24"/>
          <w:szCs w:val="24"/>
        </w:rPr>
        <w:t>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propios Municipios con sus respectivos organismos descentralizados y empresas de participación municipal mayoritaria</w:t>
      </w:r>
      <w:r w:rsidRPr="004052D9">
        <w:rPr>
          <w:sz w:val="24"/>
          <w:szCs w:val="24"/>
        </w:rPr>
        <w:t xml:space="preserve"> …”</w:t>
      </w:r>
    </w:p>
    <w:p w:rsidR="001876E4" w:rsidRPr="00AE0AE2" w:rsidRDefault="001876E4" w:rsidP="001876E4">
      <w:pPr>
        <w:spacing w:line="240" w:lineRule="auto"/>
        <w:jc w:val="both"/>
        <w:rPr>
          <w:rFonts w:ascii="Arial" w:hAnsi="Arial" w:cs="Arial"/>
          <w:sz w:val="24"/>
          <w:szCs w:val="24"/>
          <w:highlight w:val="red"/>
          <w:lang w:val="es-ES"/>
        </w:rPr>
      </w:pPr>
    </w:p>
    <w:p w:rsidR="001876E4" w:rsidRDefault="001876E4" w:rsidP="001876E4">
      <w:pPr>
        <w:spacing w:after="0" w:line="240" w:lineRule="auto"/>
        <w:jc w:val="both"/>
        <w:rPr>
          <w:rFonts w:ascii="Arial" w:hAnsi="Arial" w:cs="Arial"/>
          <w:b/>
          <w:sz w:val="24"/>
          <w:szCs w:val="24"/>
        </w:rPr>
      </w:pPr>
    </w:p>
    <w:p w:rsidR="001876E4" w:rsidRDefault="001876E4" w:rsidP="001876E4">
      <w:pPr>
        <w:spacing w:after="0" w:line="240" w:lineRule="auto"/>
        <w:jc w:val="both"/>
        <w:rPr>
          <w:rFonts w:ascii="Arial" w:hAnsi="Arial" w:cs="Arial"/>
          <w:b/>
          <w:sz w:val="24"/>
          <w:szCs w:val="24"/>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rFonts w:ascii="Arial" w:hAnsi="Arial" w:cs="Arial"/>
          <w:b/>
          <w:sz w:val="24"/>
          <w:szCs w:val="24"/>
        </w:rPr>
      </w:pPr>
    </w:p>
    <w:p w:rsidR="001876E4" w:rsidRDefault="001876E4" w:rsidP="001876E4">
      <w:pPr>
        <w:spacing w:after="0" w:line="240" w:lineRule="auto"/>
        <w:jc w:val="both"/>
        <w:rPr>
          <w:rFonts w:ascii="Arial" w:hAnsi="Arial" w:cs="Arial"/>
          <w:b/>
          <w:sz w:val="24"/>
          <w:szCs w:val="24"/>
        </w:rPr>
      </w:pPr>
      <w:r w:rsidRPr="003233D8">
        <w:rPr>
          <w:noProof/>
          <w:lang w:val="es-ES" w:eastAsia="es-ES"/>
        </w:rPr>
        <w:lastRenderedPageBreak/>
        <w:drawing>
          <wp:inline distT="0" distB="0" distL="0" distR="0" wp14:anchorId="4D370AB7" wp14:editId="53A2F8BA">
            <wp:extent cx="5612104" cy="2552700"/>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5175" cy="2554097"/>
                    </a:xfrm>
                    <a:prstGeom prst="rect">
                      <a:avLst/>
                    </a:prstGeom>
                    <a:noFill/>
                    <a:ln>
                      <a:noFill/>
                    </a:ln>
                  </pic:spPr>
                </pic:pic>
              </a:graphicData>
            </a:graphic>
          </wp:inline>
        </w:drawing>
      </w:r>
    </w:p>
    <w:p w:rsidR="001876E4" w:rsidRPr="00545EA8"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b/>
          <w:sz w:val="24"/>
          <w:szCs w:val="24"/>
        </w:rPr>
      </w:pPr>
      <w:r w:rsidRPr="00904B82">
        <w:rPr>
          <w:rFonts w:ascii="Arial" w:hAnsi="Arial" w:cs="Arial"/>
          <w:b/>
          <w:sz w:val="24"/>
          <w:szCs w:val="24"/>
        </w:rPr>
        <w:t>Riesgos relevantes en materia de deuda contingente y propuestas de acción para enfrentarlos:</w:t>
      </w:r>
    </w:p>
    <w:p w:rsidR="001876E4" w:rsidRPr="00545EA8"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904B82">
        <w:rPr>
          <w:rFonts w:ascii="Arial" w:hAnsi="Arial" w:cs="Arial"/>
          <w:sz w:val="24"/>
          <w:szCs w:val="24"/>
        </w:rPr>
        <w:t xml:space="preserve">El </w:t>
      </w:r>
      <w:r>
        <w:rPr>
          <w:rFonts w:ascii="Arial" w:hAnsi="Arial" w:cs="Arial"/>
          <w:sz w:val="24"/>
          <w:szCs w:val="24"/>
        </w:rPr>
        <w:t>Estado de Colima</w:t>
      </w:r>
      <w:r w:rsidRPr="00904B82">
        <w:rPr>
          <w:rFonts w:ascii="Arial" w:hAnsi="Arial" w:cs="Arial"/>
          <w:sz w:val="24"/>
          <w:szCs w:val="24"/>
        </w:rPr>
        <w:t xml:space="preserve"> cuenta solamente con dos financiamientos con aval solidario a organismos descentralizados, los cuales no representan contingencia alguna puesto que cuentan con fuente de pago definida, cuyos recursos se afectan directamente de la Tesorería de la Federación a un Fideicomiso Irrevocable de Administración y Pago, con lo que se reduce al mínimo el riesgo de incumplim</w:t>
      </w:r>
      <w:r>
        <w:rPr>
          <w:rFonts w:ascii="Arial" w:hAnsi="Arial" w:cs="Arial"/>
          <w:sz w:val="24"/>
          <w:szCs w:val="24"/>
        </w:rPr>
        <w:t>iento de pago a los acreedores.</w:t>
      </w:r>
    </w:p>
    <w:p w:rsidR="001876E4" w:rsidRPr="007D4B80" w:rsidRDefault="001876E4" w:rsidP="001876E4">
      <w:pPr>
        <w:spacing w:after="0" w:line="240" w:lineRule="auto"/>
        <w:jc w:val="both"/>
        <w:rPr>
          <w:rFonts w:ascii="Arial" w:hAnsi="Arial" w:cs="Arial"/>
          <w:sz w:val="24"/>
          <w:szCs w:val="24"/>
        </w:rPr>
      </w:pPr>
    </w:p>
    <w:p w:rsidR="001876E4" w:rsidRPr="00AE0AE2" w:rsidRDefault="001876E4" w:rsidP="001876E4">
      <w:pPr>
        <w:pStyle w:val="Texto"/>
        <w:spacing w:after="0" w:line="240" w:lineRule="auto"/>
        <w:ind w:firstLine="0"/>
        <w:rPr>
          <w:b/>
          <w:color w:val="000000"/>
          <w:sz w:val="24"/>
          <w:szCs w:val="24"/>
        </w:rPr>
      </w:pPr>
      <w:r>
        <w:rPr>
          <w:b/>
          <w:color w:val="000000"/>
          <w:sz w:val="24"/>
          <w:szCs w:val="24"/>
        </w:rPr>
        <w:t xml:space="preserve">2.4. </w:t>
      </w:r>
      <w:r w:rsidRPr="00AE0AE2">
        <w:rPr>
          <w:b/>
          <w:color w:val="000000"/>
          <w:sz w:val="24"/>
          <w:szCs w:val="24"/>
        </w:rPr>
        <w:t>RESULTADOS DE LAS FINANZAS PÚBLICAS QUE ABARCAN UN PERIODO DE LOS CINCO ÚLTIMOS AÑOS Y EL EJERCICIO FISCAL EN CUESTIÓN, DE ACUERDO CON LOS FORMATOS EMITIDOS POR EL CONAC.</w:t>
      </w:r>
    </w:p>
    <w:p w:rsidR="001876E4" w:rsidRPr="00627600" w:rsidRDefault="001876E4" w:rsidP="001876E4">
      <w:pPr>
        <w:pStyle w:val="Texto"/>
        <w:spacing w:after="0" w:line="240" w:lineRule="auto"/>
        <w:ind w:firstLine="0"/>
        <w:jc w:val="left"/>
        <w:rPr>
          <w:color w:val="000000"/>
          <w:sz w:val="24"/>
          <w:szCs w:val="24"/>
        </w:rPr>
      </w:pPr>
    </w:p>
    <w:p w:rsidR="001876E4" w:rsidRDefault="001876E4" w:rsidP="001876E4">
      <w:pPr>
        <w:spacing w:after="0" w:line="240" w:lineRule="auto"/>
        <w:jc w:val="both"/>
        <w:rPr>
          <w:rFonts w:ascii="Arial" w:hAnsi="Arial" w:cs="Arial"/>
          <w:b/>
          <w:sz w:val="24"/>
          <w:szCs w:val="24"/>
        </w:rPr>
      </w:pPr>
      <w:r w:rsidRPr="00AE0AE2">
        <w:rPr>
          <w:rFonts w:ascii="Arial" w:hAnsi="Arial" w:cs="Arial"/>
          <w:b/>
          <w:sz w:val="24"/>
          <w:szCs w:val="24"/>
        </w:rPr>
        <w:t>2.4.1. Resu</w:t>
      </w:r>
      <w:r>
        <w:rPr>
          <w:rFonts w:ascii="Arial" w:hAnsi="Arial" w:cs="Arial"/>
          <w:b/>
          <w:sz w:val="24"/>
          <w:szCs w:val="24"/>
        </w:rPr>
        <w:t>ltados de las Finanzas Públicas</w:t>
      </w:r>
    </w:p>
    <w:p w:rsidR="001876E4" w:rsidRPr="00627600"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 xml:space="preserve">Al comienzo </w:t>
      </w:r>
      <w:r w:rsidRPr="00490389">
        <w:rPr>
          <w:rFonts w:ascii="Arial" w:hAnsi="Arial" w:cs="Arial"/>
          <w:sz w:val="24"/>
          <w:szCs w:val="24"/>
        </w:rPr>
        <w:t xml:space="preserve">de la presente administración se encontró una hacienda pública debilitada, caracterizada por tener una </w:t>
      </w:r>
      <w:r>
        <w:rPr>
          <w:rFonts w:ascii="Arial" w:hAnsi="Arial" w:cs="Arial"/>
          <w:sz w:val="24"/>
          <w:szCs w:val="24"/>
        </w:rPr>
        <w:t>baja</w:t>
      </w:r>
      <w:r w:rsidRPr="00490389">
        <w:rPr>
          <w:rFonts w:ascii="Arial" w:hAnsi="Arial" w:cs="Arial"/>
          <w:sz w:val="24"/>
          <w:szCs w:val="24"/>
        </w:rPr>
        <w:t xml:space="preserve"> recaudación de impuestos, alta dependencia de los recursos federales, un incremento del gasto público, principalmente del gasto corriente, y una limitada inversión pública.</w:t>
      </w:r>
    </w:p>
    <w:p w:rsidR="001876E4" w:rsidRPr="00490389" w:rsidRDefault="001876E4" w:rsidP="001876E4">
      <w:pPr>
        <w:spacing w:after="0" w:line="240" w:lineRule="auto"/>
        <w:jc w:val="both"/>
        <w:rPr>
          <w:rFonts w:ascii="Arial" w:hAnsi="Arial" w:cs="Arial"/>
          <w:sz w:val="24"/>
          <w:szCs w:val="24"/>
        </w:rPr>
      </w:pPr>
    </w:p>
    <w:p w:rsidR="001876E4" w:rsidRPr="00C65C88" w:rsidRDefault="001876E4" w:rsidP="001876E4">
      <w:pPr>
        <w:spacing w:after="0" w:line="240" w:lineRule="auto"/>
        <w:jc w:val="both"/>
        <w:rPr>
          <w:rFonts w:ascii="Arial" w:hAnsi="Arial" w:cs="Arial"/>
          <w:sz w:val="24"/>
          <w:szCs w:val="24"/>
        </w:rPr>
      </w:pPr>
      <w:r w:rsidRPr="00490389">
        <w:rPr>
          <w:rFonts w:ascii="Arial" w:hAnsi="Arial" w:cs="Arial"/>
          <w:sz w:val="24"/>
          <w:szCs w:val="24"/>
        </w:rPr>
        <w:t>Ante el complejo escenario en el que se recibieron las finanzas públicas, se redoblaron esfuerzos y se instrumentaron diversas estrategi</w:t>
      </w:r>
      <w:r>
        <w:rPr>
          <w:rFonts w:ascii="Arial" w:hAnsi="Arial" w:cs="Arial"/>
          <w:sz w:val="24"/>
          <w:szCs w:val="24"/>
        </w:rPr>
        <w:t xml:space="preserve">as. </w:t>
      </w:r>
      <w:r w:rsidRPr="00490389">
        <w:rPr>
          <w:rFonts w:ascii="Arial" w:hAnsi="Arial" w:cs="Arial"/>
          <w:sz w:val="24"/>
          <w:szCs w:val="24"/>
        </w:rPr>
        <w:t xml:space="preserve">Se desplegaron </w:t>
      </w:r>
      <w:r>
        <w:rPr>
          <w:rFonts w:ascii="Arial" w:hAnsi="Arial" w:cs="Arial"/>
          <w:sz w:val="24"/>
          <w:szCs w:val="24"/>
        </w:rPr>
        <w:t>acciones para implementar</w:t>
      </w:r>
      <w:r w:rsidRPr="00490389">
        <w:rPr>
          <w:rFonts w:ascii="Arial" w:hAnsi="Arial" w:cs="Arial"/>
          <w:sz w:val="24"/>
          <w:szCs w:val="24"/>
        </w:rPr>
        <w:t xml:space="preserve"> una adecuada planificación financiera y </w:t>
      </w:r>
      <w:r>
        <w:rPr>
          <w:rFonts w:ascii="Arial" w:hAnsi="Arial" w:cs="Arial"/>
          <w:sz w:val="24"/>
          <w:szCs w:val="24"/>
        </w:rPr>
        <w:t xml:space="preserve">se instrumentaron </w:t>
      </w:r>
      <w:r w:rsidRPr="00490389">
        <w:rPr>
          <w:rFonts w:ascii="Arial" w:hAnsi="Arial" w:cs="Arial"/>
          <w:sz w:val="24"/>
          <w:szCs w:val="24"/>
        </w:rPr>
        <w:t>l</w:t>
      </w:r>
      <w:r>
        <w:rPr>
          <w:rFonts w:ascii="Arial" w:hAnsi="Arial" w:cs="Arial"/>
          <w:sz w:val="24"/>
          <w:szCs w:val="24"/>
        </w:rPr>
        <w:t>os mecanismos necesario</w:t>
      </w:r>
      <w:r w:rsidRPr="00490389">
        <w:rPr>
          <w:rFonts w:ascii="Arial" w:hAnsi="Arial" w:cs="Arial"/>
          <w:sz w:val="24"/>
          <w:szCs w:val="24"/>
        </w:rPr>
        <w:t xml:space="preserve">s para prever la disponibilidad de </w:t>
      </w:r>
      <w:r w:rsidRPr="00490389">
        <w:rPr>
          <w:rFonts w:ascii="Arial" w:hAnsi="Arial" w:cs="Arial"/>
          <w:sz w:val="24"/>
          <w:szCs w:val="24"/>
        </w:rPr>
        <w:lastRenderedPageBreak/>
        <w:t>recursos que</w:t>
      </w:r>
      <w:r>
        <w:rPr>
          <w:rFonts w:ascii="Arial" w:hAnsi="Arial" w:cs="Arial"/>
          <w:sz w:val="24"/>
          <w:szCs w:val="24"/>
        </w:rPr>
        <w:t xml:space="preserve"> ha permitido</w:t>
      </w:r>
      <w:r w:rsidRPr="00490389">
        <w:rPr>
          <w:rFonts w:ascii="Arial" w:hAnsi="Arial" w:cs="Arial"/>
          <w:sz w:val="24"/>
          <w:szCs w:val="24"/>
        </w:rPr>
        <w:t xml:space="preserve"> financiar las prioridades en materia de desarrollo </w:t>
      </w:r>
      <w:r w:rsidRPr="00C65C88">
        <w:rPr>
          <w:rFonts w:ascii="Arial" w:hAnsi="Arial" w:cs="Arial"/>
          <w:sz w:val="24"/>
          <w:szCs w:val="24"/>
        </w:rPr>
        <w:t>económico, desarrollo social y las tareas de gobierno, en congruencia con la realidad de las finanzas públicas.</w:t>
      </w:r>
    </w:p>
    <w:p w:rsidR="001876E4" w:rsidRPr="00C65C88" w:rsidRDefault="001876E4" w:rsidP="001876E4">
      <w:pPr>
        <w:spacing w:after="0" w:line="240" w:lineRule="auto"/>
        <w:jc w:val="both"/>
        <w:rPr>
          <w:rFonts w:ascii="Arial" w:hAnsi="Arial" w:cs="Arial"/>
          <w:sz w:val="24"/>
          <w:szCs w:val="24"/>
        </w:rPr>
      </w:pPr>
    </w:p>
    <w:p w:rsidR="001876E4" w:rsidRPr="00C65C88" w:rsidRDefault="001876E4" w:rsidP="001876E4">
      <w:pPr>
        <w:spacing w:after="0" w:line="240" w:lineRule="auto"/>
        <w:jc w:val="both"/>
        <w:rPr>
          <w:rFonts w:ascii="Arial" w:hAnsi="Arial" w:cs="Arial"/>
          <w:sz w:val="24"/>
          <w:szCs w:val="24"/>
        </w:rPr>
      </w:pPr>
      <w:r w:rsidRPr="00C65C88">
        <w:rPr>
          <w:rFonts w:ascii="Arial" w:hAnsi="Arial" w:cs="Arial"/>
          <w:sz w:val="24"/>
          <w:szCs w:val="24"/>
        </w:rPr>
        <w:t>Como resultado de ello, logramos disponer de liquidez para atender prioridades y finiquitar un gran porcentaje de los pasivos que se habían postergado.</w:t>
      </w:r>
    </w:p>
    <w:p w:rsidR="001876E4" w:rsidRPr="00C65C88" w:rsidRDefault="001876E4" w:rsidP="001876E4">
      <w:pPr>
        <w:spacing w:after="0" w:line="240" w:lineRule="auto"/>
        <w:jc w:val="both"/>
        <w:rPr>
          <w:rFonts w:ascii="Arial" w:hAnsi="Arial" w:cs="Arial"/>
          <w:sz w:val="24"/>
          <w:szCs w:val="24"/>
        </w:rPr>
      </w:pPr>
    </w:p>
    <w:p w:rsidR="001876E4" w:rsidRPr="00C65C88" w:rsidRDefault="001876E4" w:rsidP="001876E4">
      <w:pPr>
        <w:spacing w:after="0" w:line="240" w:lineRule="auto"/>
        <w:jc w:val="both"/>
        <w:rPr>
          <w:rFonts w:ascii="Arial" w:hAnsi="Arial" w:cs="Arial"/>
          <w:sz w:val="24"/>
          <w:szCs w:val="24"/>
        </w:rPr>
      </w:pPr>
      <w:r w:rsidRPr="00C65C88">
        <w:rPr>
          <w:rFonts w:ascii="Arial" w:hAnsi="Arial" w:cs="Arial"/>
          <w:sz w:val="24"/>
          <w:szCs w:val="24"/>
        </w:rPr>
        <w:t>Los retos en materia financiera enfrentados obligaron a asumir una actitud comprometida hacia la sociedad colimense. En todo momento se ha procedido con apego a la ley y cuidando la transparencia de lo realizado, es así que en su actuar los funcionaros deben dirigir su actuación con honestidad y una profunda convicción por servir, redoblando esfuerzos para hacer más con menos.</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 xml:space="preserve">Según las metas del eje transversal Colima con un Gobierno Moderno, Efectivo y Transparente, establecido en el Plan Estatal de Desarrollo, se han logrado resultados que permiten ir edificando gradual, pero firmemente, los niveles de crecimiento y desarrollo planteados, reorientando el gasto público para una mayor inversión en infraestructura y desarrollo social. </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El adecuado ejercicio de los recursos públicos es un signo distintivo de la presente administración. Garantizar finanzas sanas mediante la eficiencia y transparencia del gasto público, el incremento de los ingresos y el manejo responsable de la deuda, es posible al optimizar la asignación de los recursos y modernizar la administración pública.</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El Gobierno del Estado mantiene una política de gasto público orientada al financiamiento de programas de alto impacto que promueven el desarrollo social y la creación de infraestructura necesaria para potenciar la actividad económica de la entidad, mejorando así la productividad, la competitividad y la calidad de vida de la población.</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Los principios para un gasto ordenado se sustentan, entre otras acciones, en el programa de Austeridad, Racionalidad y Disciplina del Gasto Público Estatal eliminando erogaciones innecesarias sin causar detrimento en la calidad y cobertura en los programas de alto impacto social.</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La política de ingresos públicos tiene como objetivo garantizar la sustentabilidad en la recaudación propia a través de dos ejes fundamentales: por una parte, la simplificación de trámites, y por la otra, el ejercicio estricto de las facultades conferidas en el marco legal.</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lastRenderedPageBreak/>
        <w:t>Se han redoblado esfuerzos para mantener subsidios e incentivos que beneficien no solo la economía de las familias, sino también acciones que al mismo tiempo fortalezcan la actividad productiva y económica de la entidad, de ahí que las actividades recaudatorias se enfocan a una mayor automatización de los procesos, incorporación y uso de mejores tecnologías, más presencia fiscal, ampliación de la bancarización y nuevas formas de pago, que en su conjunto han redundado en una mayor captación de ingresos y la disminución tanto de la evasión como de la elusión fiscal.</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 xml:space="preserve">El ámbito de las finanzas públicas afrontó un gran desafío con la severa emergencia suscitada a finales de 2015, a la que la presente administración respondió con prontitud y firmeza. </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Uno de los grandes problemas era que el Gobierno del Estado gastaba considerablemente más que sus ingresos, lo que devino en un enorme déficit como consecuencia, del desequilibrio en las finanzas públicas.</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A lo largo de varios años el exceso de gasto del Gobierno estatal fue insostenible, lo que deterioró aún más la confianza de las instituciones de crédito y de inversionistas en la perspectiva de las finanzas estatales. Hoy, a partir de decisiones responsables y oportunas, el escenario de las finanzas públicas es sustancialmente mejor.</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Por lo que al Presupuesto de Egresos se refiere, ahora se elabora bajo la metodología de Presupuesto basado en Resultados, como una de las mayores responsabilidades, en el contexto de reformas al texto constitucional de la nación. Su estructura normativa permite impulsar el ejercicio del gasto hacia la eficiencia, eficacia, economía, transparencia y honradez. Los objetivos y acciones planteados responden a una de las demandas más sentidas de los colimenses: garantizar que los bienes y servicios que promueve el Gobierno del Estado sean sometidos al escrutinio respecto a su impacto, siempre buscando mejorar el desempeño de los Programas Presupuestarios y sus resultados.</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Con una visión responsable y objetiva, se ha fortalecido el ejercicio del gasto en los rubros más sensibles del desarrollo económico y social, a efecto de mejorar los niveles de bienestar de la población y propiciar la generación de empleos de calidad.</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 xml:space="preserve">Se destaca que en 2017 se realizó para el Gobierno del </w:t>
      </w:r>
      <w:r>
        <w:rPr>
          <w:rFonts w:ascii="Arial" w:hAnsi="Arial" w:cs="Arial"/>
          <w:sz w:val="24"/>
          <w:szCs w:val="24"/>
        </w:rPr>
        <w:t>Estado de Colima</w:t>
      </w:r>
      <w:r w:rsidRPr="00C65C88">
        <w:rPr>
          <w:rFonts w:ascii="Arial" w:hAnsi="Arial" w:cs="Arial"/>
          <w:sz w:val="24"/>
          <w:szCs w:val="24"/>
        </w:rPr>
        <w:t xml:space="preserve"> la primera revisión del gasto público por parte de la Auditoria Superior de la Federación, en la </w:t>
      </w:r>
      <w:r w:rsidRPr="00C65C88">
        <w:rPr>
          <w:rFonts w:ascii="Arial" w:hAnsi="Arial" w:cs="Arial"/>
          <w:sz w:val="24"/>
          <w:szCs w:val="24"/>
        </w:rPr>
        <w:lastRenderedPageBreak/>
        <w:t>que tiene especial relevancia la calidad de la revisión del buen uso de los recursos públicos.</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Los resultados confirman que se ha avanzado en el buen uso y destino de los recursos públicos. El equilibrio de las finanzas públicas está acreditado. Con suma cautela han sido implementadas las estrategias y decisiones oportunas.</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Entre el ejercicio f</w:t>
      </w:r>
      <w:r w:rsidRPr="00C65C88">
        <w:rPr>
          <w:rFonts w:ascii="Arial" w:hAnsi="Arial" w:cs="Arial"/>
          <w:sz w:val="24"/>
          <w:szCs w:val="24"/>
        </w:rPr>
        <w:t xml:space="preserve">iscal 2012 a 2017 los ingresos propios se incrementaron en un 36.9 por ciento, a través de los rubros que representan los ingresos propios. </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spacing w:after="0" w:line="240" w:lineRule="auto"/>
        <w:jc w:val="both"/>
        <w:rPr>
          <w:rFonts w:ascii="Arial" w:hAnsi="Arial" w:cs="Arial"/>
          <w:sz w:val="24"/>
          <w:szCs w:val="24"/>
          <w:lang w:val="es-ES"/>
        </w:rPr>
      </w:pPr>
      <w:r w:rsidRPr="00C65C88">
        <w:rPr>
          <w:rFonts w:ascii="Arial" w:hAnsi="Arial" w:cs="Arial"/>
          <w:sz w:val="24"/>
          <w:szCs w:val="24"/>
        </w:rPr>
        <w:t>Los niveles de captación de ingresos propios sobre el total de los ingresos pasaron de ser 6.8 por ciento en 2012, a 7 por ciento en el 2017, lo que refleja un aumento de</w:t>
      </w:r>
      <w:r w:rsidRPr="00C65C88">
        <w:rPr>
          <w:rFonts w:ascii="Arial" w:hAnsi="Arial" w:cs="Arial"/>
          <w:color w:val="FF0000"/>
          <w:sz w:val="24"/>
          <w:szCs w:val="24"/>
        </w:rPr>
        <w:t xml:space="preserve"> </w:t>
      </w:r>
      <w:r w:rsidRPr="00C65C88">
        <w:rPr>
          <w:rFonts w:ascii="Arial" w:hAnsi="Arial" w:cs="Arial"/>
          <w:color w:val="000000" w:themeColor="text1"/>
          <w:sz w:val="24"/>
          <w:szCs w:val="24"/>
        </w:rPr>
        <w:t xml:space="preserve">0.2 </w:t>
      </w:r>
      <w:r w:rsidRPr="00C65C88">
        <w:rPr>
          <w:rFonts w:ascii="Arial" w:hAnsi="Arial" w:cs="Arial"/>
          <w:sz w:val="24"/>
          <w:szCs w:val="24"/>
        </w:rPr>
        <w:t>puntos porcentuales en la recaudación vía impuestos, derechos, productos y aprovechamientos, dentro del periodo señalado. Si bien en términos relativos parece un pequeño incremento, en términos absolutos representa un aumento de alrededor de trescientos millones de pesos.</w:t>
      </w:r>
    </w:p>
    <w:p w:rsidR="001876E4" w:rsidRPr="00C65C88" w:rsidRDefault="001876E4" w:rsidP="001876E4">
      <w:pPr>
        <w:autoSpaceDE w:val="0"/>
        <w:autoSpaceDN w:val="0"/>
        <w:adjustRightInd w:val="0"/>
        <w:spacing w:after="0" w:line="240" w:lineRule="auto"/>
        <w:jc w:val="both"/>
        <w:rPr>
          <w:rFonts w:ascii="Arial" w:hAnsi="Arial" w:cs="Arial"/>
          <w:sz w:val="24"/>
          <w:szCs w:val="24"/>
        </w:rPr>
      </w:pPr>
    </w:p>
    <w:p w:rsidR="001876E4" w:rsidRPr="00C65C88" w:rsidRDefault="001876E4" w:rsidP="001876E4">
      <w:pPr>
        <w:autoSpaceDE w:val="0"/>
        <w:autoSpaceDN w:val="0"/>
        <w:adjustRightInd w:val="0"/>
        <w:spacing w:after="0" w:line="240" w:lineRule="auto"/>
        <w:jc w:val="both"/>
        <w:rPr>
          <w:rFonts w:ascii="Arial" w:hAnsi="Arial" w:cs="Arial"/>
          <w:sz w:val="24"/>
          <w:szCs w:val="24"/>
        </w:rPr>
      </w:pPr>
      <w:r w:rsidRPr="00C65C88">
        <w:rPr>
          <w:rFonts w:ascii="Arial" w:hAnsi="Arial" w:cs="Arial"/>
          <w:sz w:val="24"/>
          <w:szCs w:val="24"/>
        </w:rPr>
        <w:t>Los ingresos de origen federal tuvieron un incremento de 36.4 por ciento en el mismo periodo de tiempo señalado, mostrando así una tendencia similar en el crecimiento de ambos rubros globales de ingresos.</w:t>
      </w:r>
    </w:p>
    <w:p w:rsidR="001876E4" w:rsidRDefault="001876E4" w:rsidP="001876E4">
      <w:pPr>
        <w:spacing w:after="0" w:line="240" w:lineRule="auto"/>
        <w:jc w:val="both"/>
        <w:rPr>
          <w:rFonts w:ascii="Arial" w:hAnsi="Arial" w:cs="Arial"/>
          <w:sz w:val="24"/>
          <w:szCs w:val="24"/>
        </w:rPr>
      </w:pPr>
    </w:p>
    <w:p w:rsidR="001876E4" w:rsidRPr="001C7976" w:rsidRDefault="001876E4" w:rsidP="001876E4">
      <w:pPr>
        <w:spacing w:after="0" w:line="240" w:lineRule="auto"/>
        <w:jc w:val="both"/>
        <w:rPr>
          <w:rFonts w:ascii="Arial" w:hAnsi="Arial" w:cs="Arial"/>
          <w:sz w:val="24"/>
          <w:szCs w:val="24"/>
        </w:rPr>
      </w:pPr>
      <w:r w:rsidRPr="00984F7D">
        <w:rPr>
          <w:noProof/>
          <w:lang w:val="es-ES" w:eastAsia="es-ES"/>
        </w:rPr>
        <w:drawing>
          <wp:inline distT="0" distB="0" distL="0" distR="0" wp14:anchorId="2E2CE724" wp14:editId="0BAC1551">
            <wp:extent cx="5610860" cy="179070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5978" cy="1792333"/>
                    </a:xfrm>
                    <a:prstGeom prst="rect">
                      <a:avLst/>
                    </a:prstGeom>
                    <a:noFill/>
                    <a:ln>
                      <a:noFill/>
                    </a:ln>
                  </pic:spPr>
                </pic:pic>
              </a:graphicData>
            </a:graphic>
          </wp:inline>
        </w:drawing>
      </w:r>
    </w:p>
    <w:p w:rsidR="001876E4" w:rsidRPr="001C7976" w:rsidRDefault="001876E4" w:rsidP="001876E4">
      <w:pPr>
        <w:autoSpaceDE w:val="0"/>
        <w:autoSpaceDN w:val="0"/>
        <w:adjustRightInd w:val="0"/>
        <w:spacing w:after="0" w:line="240" w:lineRule="auto"/>
        <w:rPr>
          <w:rFonts w:ascii="Arial" w:hAnsi="Arial" w:cs="Arial"/>
          <w:sz w:val="24"/>
          <w:highlight w:val="red"/>
        </w:rPr>
      </w:pPr>
    </w:p>
    <w:p w:rsidR="001876E4" w:rsidRDefault="001876E4" w:rsidP="001876E4">
      <w:pPr>
        <w:spacing w:after="0" w:line="240" w:lineRule="auto"/>
        <w:jc w:val="both"/>
        <w:rPr>
          <w:rFonts w:ascii="Arial" w:hAnsi="Arial" w:cs="Arial"/>
          <w:sz w:val="24"/>
          <w:szCs w:val="24"/>
        </w:rPr>
      </w:pPr>
      <w:r w:rsidRPr="00557CAF">
        <w:rPr>
          <w:rFonts w:ascii="Arial" w:hAnsi="Arial" w:cs="Arial"/>
          <w:sz w:val="24"/>
          <w:szCs w:val="24"/>
        </w:rPr>
        <w:t>A partir</w:t>
      </w:r>
      <w:r>
        <w:rPr>
          <w:rFonts w:ascii="Arial" w:hAnsi="Arial" w:cs="Arial"/>
          <w:sz w:val="24"/>
          <w:szCs w:val="24"/>
        </w:rPr>
        <w:t xml:space="preserve"> del e</w:t>
      </w:r>
      <w:r w:rsidRPr="00557CAF">
        <w:rPr>
          <w:rFonts w:ascii="Arial" w:hAnsi="Arial" w:cs="Arial"/>
          <w:sz w:val="24"/>
          <w:szCs w:val="24"/>
        </w:rPr>
        <w:t xml:space="preserve">jercicio </w:t>
      </w:r>
      <w:r>
        <w:rPr>
          <w:rFonts w:ascii="Arial" w:hAnsi="Arial" w:cs="Arial"/>
          <w:sz w:val="24"/>
          <w:szCs w:val="24"/>
        </w:rPr>
        <w:t>f</w:t>
      </w:r>
      <w:r w:rsidRPr="00557CAF">
        <w:rPr>
          <w:rFonts w:ascii="Arial" w:hAnsi="Arial" w:cs="Arial"/>
          <w:sz w:val="24"/>
          <w:szCs w:val="24"/>
        </w:rPr>
        <w:t>iscal 201</w:t>
      </w:r>
      <w:r>
        <w:rPr>
          <w:rFonts w:ascii="Arial" w:hAnsi="Arial" w:cs="Arial"/>
          <w:sz w:val="24"/>
          <w:szCs w:val="24"/>
        </w:rPr>
        <w:t>1</w:t>
      </w:r>
      <w:r w:rsidRPr="00557CAF">
        <w:rPr>
          <w:rFonts w:ascii="Arial" w:hAnsi="Arial" w:cs="Arial"/>
          <w:sz w:val="24"/>
          <w:szCs w:val="24"/>
        </w:rPr>
        <w:t>, se aplica el Subsidio a</w:t>
      </w:r>
      <w:r>
        <w:rPr>
          <w:rFonts w:ascii="Arial" w:hAnsi="Arial" w:cs="Arial"/>
          <w:sz w:val="24"/>
          <w:szCs w:val="24"/>
        </w:rPr>
        <w:t xml:space="preserve"> la t</w:t>
      </w:r>
      <w:r w:rsidRPr="00557CAF">
        <w:rPr>
          <w:rFonts w:ascii="Arial" w:hAnsi="Arial" w:cs="Arial"/>
          <w:sz w:val="24"/>
          <w:szCs w:val="24"/>
        </w:rPr>
        <w:t>enencia (de forma parcial) de conform</w:t>
      </w:r>
      <w:r>
        <w:rPr>
          <w:rFonts w:ascii="Arial" w:hAnsi="Arial" w:cs="Arial"/>
          <w:sz w:val="24"/>
          <w:szCs w:val="24"/>
        </w:rPr>
        <w:t>idad al Decreto 200 del 06 de n</w:t>
      </w:r>
      <w:r w:rsidRPr="00557CAF">
        <w:rPr>
          <w:rFonts w:ascii="Arial" w:hAnsi="Arial" w:cs="Arial"/>
          <w:sz w:val="24"/>
          <w:szCs w:val="24"/>
        </w:rPr>
        <w:t>oviembre del año 2010, esto de forma diferencial a los automóviles nuevos y usados destinados al transporte de hasta 15 pasajeros y camiones cuyo peso bruto vehicular sea hasta de 5 toneladas.</w:t>
      </w:r>
    </w:p>
    <w:p w:rsidR="001876E4" w:rsidRPr="00557CAF"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Desde el e</w:t>
      </w:r>
      <w:r w:rsidRPr="00557CAF">
        <w:rPr>
          <w:rFonts w:ascii="Arial" w:hAnsi="Arial" w:cs="Arial"/>
          <w:sz w:val="24"/>
          <w:szCs w:val="24"/>
        </w:rPr>
        <w:t>jercicio</w:t>
      </w:r>
      <w:r>
        <w:rPr>
          <w:rFonts w:ascii="Arial" w:hAnsi="Arial" w:cs="Arial"/>
          <w:sz w:val="24"/>
          <w:szCs w:val="24"/>
        </w:rPr>
        <w:t xml:space="preserve"> f</w:t>
      </w:r>
      <w:r w:rsidRPr="00557CAF">
        <w:rPr>
          <w:rFonts w:ascii="Arial" w:hAnsi="Arial" w:cs="Arial"/>
          <w:sz w:val="24"/>
          <w:szCs w:val="24"/>
        </w:rPr>
        <w:t xml:space="preserve">iscal 2012, se </w:t>
      </w:r>
      <w:r>
        <w:rPr>
          <w:rFonts w:ascii="Arial" w:hAnsi="Arial" w:cs="Arial"/>
          <w:sz w:val="24"/>
          <w:szCs w:val="24"/>
        </w:rPr>
        <w:t xml:space="preserve">aplica el Subsidio </w:t>
      </w:r>
      <w:r w:rsidRPr="00557CAF">
        <w:rPr>
          <w:rFonts w:ascii="Arial" w:hAnsi="Arial" w:cs="Arial"/>
          <w:sz w:val="24"/>
          <w:szCs w:val="24"/>
        </w:rPr>
        <w:t>a la</w:t>
      </w:r>
      <w:r>
        <w:rPr>
          <w:rFonts w:ascii="Arial" w:hAnsi="Arial" w:cs="Arial"/>
          <w:sz w:val="24"/>
          <w:szCs w:val="24"/>
        </w:rPr>
        <w:t xml:space="preserve"> tenencia (de forma general) a las personas físicas y morales, tenedoras o usuarias</w:t>
      </w:r>
      <w:r w:rsidRPr="00557CAF">
        <w:rPr>
          <w:rFonts w:ascii="Arial" w:hAnsi="Arial" w:cs="Arial"/>
          <w:sz w:val="24"/>
          <w:szCs w:val="24"/>
        </w:rPr>
        <w:t xml:space="preserve"> de los vehículo</w:t>
      </w:r>
      <w:r>
        <w:rPr>
          <w:rFonts w:ascii="Arial" w:hAnsi="Arial" w:cs="Arial"/>
          <w:sz w:val="24"/>
          <w:szCs w:val="24"/>
        </w:rPr>
        <w:t>s a que se refiere el Capítulo VIII, del Título Primero,</w:t>
      </w:r>
      <w:r w:rsidRPr="00557CAF">
        <w:rPr>
          <w:rFonts w:ascii="Arial" w:hAnsi="Arial" w:cs="Arial"/>
          <w:sz w:val="24"/>
          <w:szCs w:val="24"/>
        </w:rPr>
        <w:t xml:space="preserve"> de la Ley de Hacienda del </w:t>
      </w:r>
      <w:r>
        <w:rPr>
          <w:rFonts w:ascii="Arial" w:hAnsi="Arial" w:cs="Arial"/>
          <w:sz w:val="24"/>
          <w:szCs w:val="24"/>
        </w:rPr>
        <w:t xml:space="preserve">Estado de </w:t>
      </w:r>
      <w:r>
        <w:rPr>
          <w:rFonts w:ascii="Arial" w:hAnsi="Arial" w:cs="Arial"/>
          <w:sz w:val="24"/>
          <w:szCs w:val="24"/>
        </w:rPr>
        <w:lastRenderedPageBreak/>
        <w:t>Colima</w:t>
      </w:r>
      <w:r w:rsidRPr="00557CAF">
        <w:rPr>
          <w:rFonts w:ascii="Arial" w:hAnsi="Arial" w:cs="Arial"/>
          <w:sz w:val="24"/>
          <w:szCs w:val="24"/>
        </w:rPr>
        <w:t xml:space="preserve">, </w:t>
      </w:r>
      <w:r>
        <w:rPr>
          <w:rFonts w:ascii="Arial" w:hAnsi="Arial" w:cs="Arial"/>
          <w:sz w:val="24"/>
          <w:szCs w:val="24"/>
        </w:rPr>
        <w:t xml:space="preserve">el cual señala que </w:t>
      </w:r>
      <w:r w:rsidRPr="00557CAF">
        <w:rPr>
          <w:rFonts w:ascii="Arial" w:hAnsi="Arial" w:cs="Arial"/>
          <w:sz w:val="24"/>
          <w:szCs w:val="24"/>
        </w:rPr>
        <w:t>tendrán</w:t>
      </w:r>
      <w:r>
        <w:rPr>
          <w:rFonts w:ascii="Arial" w:hAnsi="Arial" w:cs="Arial"/>
          <w:sz w:val="24"/>
          <w:szCs w:val="24"/>
        </w:rPr>
        <w:t xml:space="preserve"> derecho a que se les otorgue un subsidio</w:t>
      </w:r>
      <w:r w:rsidRPr="00557CAF">
        <w:rPr>
          <w:rFonts w:ascii="Arial" w:hAnsi="Arial" w:cs="Arial"/>
          <w:sz w:val="24"/>
          <w:szCs w:val="24"/>
        </w:rPr>
        <w:t xml:space="preserve"> por el equivalente</w:t>
      </w:r>
      <w:r>
        <w:rPr>
          <w:rFonts w:ascii="Arial" w:hAnsi="Arial" w:cs="Arial"/>
          <w:sz w:val="24"/>
          <w:szCs w:val="24"/>
        </w:rPr>
        <w:t xml:space="preserve"> al 100 por ciento del Impuesto Sobre Tenencia</w:t>
      </w:r>
      <w:r w:rsidRPr="00557CAF">
        <w:rPr>
          <w:rFonts w:ascii="Arial" w:hAnsi="Arial" w:cs="Arial"/>
          <w:sz w:val="24"/>
          <w:szCs w:val="24"/>
        </w:rPr>
        <w:t xml:space="preserve"> o Uso de Vehículos que se cause por el ejercicio fiscal 2012.</w:t>
      </w:r>
    </w:p>
    <w:p w:rsidR="001876E4" w:rsidRPr="00557CAF"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En el ejercicio f</w:t>
      </w:r>
      <w:r w:rsidRPr="00557CAF">
        <w:rPr>
          <w:rFonts w:ascii="Arial" w:hAnsi="Arial" w:cs="Arial"/>
          <w:sz w:val="24"/>
          <w:szCs w:val="24"/>
        </w:rPr>
        <w:t xml:space="preserve">iscal 2016, fue derogado el Impuesto a la Enseñanza mediante Decreto No. 109 por el que se deroga el Capítulo I, del Título primero denominado “Del Impuesto a la Prestación del Servicio de Enseñanza”, de la Ley de Hacienda del </w:t>
      </w:r>
      <w:r>
        <w:rPr>
          <w:rFonts w:ascii="Arial" w:hAnsi="Arial" w:cs="Arial"/>
          <w:sz w:val="24"/>
          <w:szCs w:val="24"/>
        </w:rPr>
        <w:t>Estado de Colima</w:t>
      </w:r>
      <w:r w:rsidRPr="00557CAF">
        <w:rPr>
          <w:rFonts w:ascii="Arial" w:hAnsi="Arial" w:cs="Arial"/>
          <w:sz w:val="24"/>
          <w:szCs w:val="24"/>
        </w:rPr>
        <w:t>, publicado en el “Periódico Oficial del Gobierno Constitucional del Estado” el día 18 de junio de 2016, Suplemento No. 3 y mediante Decreto No. 111 de fecha 8 de junio de 2016</w:t>
      </w:r>
      <w:r>
        <w:rPr>
          <w:rFonts w:ascii="Arial" w:hAnsi="Arial" w:cs="Arial"/>
          <w:sz w:val="24"/>
          <w:szCs w:val="24"/>
        </w:rPr>
        <w:t>, s</w:t>
      </w:r>
      <w:r w:rsidRPr="00557CAF">
        <w:rPr>
          <w:rFonts w:ascii="Arial" w:hAnsi="Arial" w:cs="Arial"/>
          <w:sz w:val="24"/>
          <w:szCs w:val="24"/>
        </w:rPr>
        <w:t xml:space="preserve">e condona el 100 por ciento de multas y recargos generados por el incumplimiento de pago por renovación de calcomanía fiscal </w:t>
      </w:r>
      <w:r>
        <w:rPr>
          <w:rFonts w:ascii="Arial" w:hAnsi="Arial" w:cs="Arial"/>
          <w:sz w:val="24"/>
          <w:szCs w:val="24"/>
        </w:rPr>
        <w:t>vehicular e Impuesto Sobre Tenencia del ejercicio f</w:t>
      </w:r>
      <w:r w:rsidRPr="001C7976">
        <w:rPr>
          <w:rFonts w:ascii="Arial" w:hAnsi="Arial" w:cs="Arial"/>
          <w:sz w:val="24"/>
          <w:szCs w:val="24"/>
        </w:rPr>
        <w:t>iscal 2015 y anteriores.</w:t>
      </w:r>
    </w:p>
    <w:p w:rsidR="001876E4" w:rsidRPr="001C7976"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1C7976">
        <w:rPr>
          <w:rFonts w:ascii="Arial" w:hAnsi="Arial" w:cs="Arial"/>
          <w:sz w:val="24"/>
          <w:szCs w:val="24"/>
        </w:rPr>
        <w:t>Por lo anterior</w:t>
      </w:r>
      <w:r>
        <w:rPr>
          <w:rFonts w:ascii="Arial" w:hAnsi="Arial" w:cs="Arial"/>
          <w:sz w:val="24"/>
          <w:szCs w:val="24"/>
        </w:rPr>
        <w:t>,</w:t>
      </w:r>
      <w:r w:rsidRPr="001C7976">
        <w:rPr>
          <w:rFonts w:ascii="Arial" w:hAnsi="Arial" w:cs="Arial"/>
          <w:sz w:val="24"/>
          <w:szCs w:val="24"/>
        </w:rPr>
        <w:t xml:space="preserve"> en un escenario de bajos ingresos federales para el corto y mediano plazo es relevante establecer objetivos y metas que permitan aminorar los efectos para el Estado, aprovechando la estructura de las fórmulas de reparto de las participaciones federales, de “suma cero” (lo que gana una entidad lo pierden otras), se puede armar una estrategia integral para que sea Colima quien busque obtener más recursos de la bolsa de participaciones.</w:t>
      </w:r>
    </w:p>
    <w:p w:rsidR="001876E4" w:rsidRPr="001C7976"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1C7976">
        <w:rPr>
          <w:rFonts w:ascii="Arial" w:hAnsi="Arial" w:cs="Arial"/>
          <w:sz w:val="24"/>
          <w:szCs w:val="24"/>
        </w:rPr>
        <w:t xml:space="preserve">El Estado debe revertir en el corto plazo la tendencia de la captación de los ingresos de gestión, fortaleciendo sus ingresos de libre disposición, entendiendo por libre disposición a los ingresos que el Gobierno local puede utilizar de manera libre como fuente de financiamiento de cualquier gasto corriente y de inversión, en cierta medida pueden ser concebidos como los grados de libertad o flexibilidad que tiene el Gobierno. </w:t>
      </w:r>
    </w:p>
    <w:p w:rsidR="001876E4" w:rsidRPr="001C7976"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1C7976">
        <w:rPr>
          <w:rFonts w:ascii="Arial" w:hAnsi="Arial" w:cs="Arial"/>
          <w:sz w:val="24"/>
          <w:szCs w:val="24"/>
        </w:rPr>
        <w:t>La mayor oportunidad de fortalecimiento de los ingreso</w:t>
      </w:r>
      <w:r>
        <w:rPr>
          <w:rFonts w:ascii="Arial" w:hAnsi="Arial" w:cs="Arial"/>
          <w:sz w:val="24"/>
          <w:szCs w:val="24"/>
        </w:rPr>
        <w:t>s</w:t>
      </w:r>
      <w:r w:rsidRPr="001C7976">
        <w:rPr>
          <w:rFonts w:ascii="Arial" w:hAnsi="Arial" w:cs="Arial"/>
          <w:sz w:val="24"/>
          <w:szCs w:val="24"/>
        </w:rPr>
        <w:t xml:space="preserve"> se encuentra en los impuestos, siendo </w:t>
      </w:r>
      <w:r>
        <w:rPr>
          <w:rFonts w:ascii="Arial" w:hAnsi="Arial" w:cs="Arial"/>
          <w:sz w:val="24"/>
          <w:szCs w:val="24"/>
        </w:rPr>
        <w:t>el I</w:t>
      </w:r>
      <w:r w:rsidRPr="001C7976">
        <w:rPr>
          <w:rFonts w:ascii="Arial" w:hAnsi="Arial" w:cs="Arial"/>
          <w:sz w:val="24"/>
          <w:szCs w:val="24"/>
        </w:rPr>
        <w:t>mpuesto</w:t>
      </w:r>
      <w:r>
        <w:rPr>
          <w:rFonts w:ascii="Arial" w:hAnsi="Arial" w:cs="Arial"/>
          <w:sz w:val="24"/>
          <w:szCs w:val="24"/>
        </w:rPr>
        <w:t xml:space="preserve"> Sobre N</w:t>
      </w:r>
      <w:r w:rsidRPr="001C7976">
        <w:rPr>
          <w:rFonts w:ascii="Arial" w:hAnsi="Arial" w:cs="Arial"/>
          <w:sz w:val="24"/>
          <w:szCs w:val="24"/>
        </w:rPr>
        <w:t xml:space="preserve">óminas </w:t>
      </w:r>
      <w:r>
        <w:rPr>
          <w:rFonts w:ascii="Arial" w:hAnsi="Arial" w:cs="Arial"/>
          <w:sz w:val="24"/>
          <w:szCs w:val="24"/>
        </w:rPr>
        <w:t>y Asimilables el</w:t>
      </w:r>
      <w:r w:rsidRPr="001C7976">
        <w:rPr>
          <w:rFonts w:ascii="Arial" w:hAnsi="Arial" w:cs="Arial"/>
          <w:sz w:val="24"/>
          <w:szCs w:val="24"/>
        </w:rPr>
        <w:t xml:space="preserve"> que presenta la mayor aportación al total d</w:t>
      </w:r>
      <w:r>
        <w:rPr>
          <w:rFonts w:ascii="Arial" w:hAnsi="Arial" w:cs="Arial"/>
          <w:sz w:val="24"/>
          <w:szCs w:val="24"/>
        </w:rPr>
        <w:t>e impuestos, con una tasa del 46.3</w:t>
      </w:r>
      <w:r w:rsidRPr="001C7976">
        <w:rPr>
          <w:rFonts w:ascii="Arial" w:hAnsi="Arial" w:cs="Arial"/>
          <w:sz w:val="24"/>
          <w:szCs w:val="24"/>
        </w:rPr>
        <w:t xml:space="preserve"> por ciento promedio anual. El </w:t>
      </w:r>
      <w:r>
        <w:rPr>
          <w:rFonts w:ascii="Arial" w:hAnsi="Arial" w:cs="Arial"/>
          <w:sz w:val="24"/>
          <w:szCs w:val="24"/>
        </w:rPr>
        <w:t>siguiente en importancia es el Impuesto sobre T</w:t>
      </w:r>
      <w:r w:rsidRPr="001C7976">
        <w:rPr>
          <w:rFonts w:ascii="Arial" w:hAnsi="Arial" w:cs="Arial"/>
          <w:sz w:val="24"/>
          <w:szCs w:val="24"/>
        </w:rPr>
        <w:t>enencia o</w:t>
      </w:r>
      <w:r>
        <w:rPr>
          <w:rFonts w:ascii="Arial" w:hAnsi="Arial" w:cs="Arial"/>
          <w:sz w:val="24"/>
          <w:szCs w:val="24"/>
        </w:rPr>
        <w:t xml:space="preserve"> Uso de Vehículos, que aporta 41.9</w:t>
      </w:r>
      <w:r w:rsidRPr="001C7976">
        <w:rPr>
          <w:rFonts w:ascii="Arial" w:hAnsi="Arial" w:cs="Arial"/>
          <w:sz w:val="24"/>
          <w:szCs w:val="24"/>
        </w:rPr>
        <w:t xml:space="preserve"> por ciento en promedio anual. Podemos señalar que el impuesto sobre nóminas aporta casi un 28 por ciento de los ingresos de gestión anuales y un 2 por ciento aproximadamente de los ingresos totales. Lo anterior, sin considerar que parte de los ingresos por concepto de </w:t>
      </w:r>
      <w:r w:rsidRPr="00557CAF">
        <w:rPr>
          <w:rFonts w:ascii="Arial" w:hAnsi="Arial" w:cs="Arial"/>
          <w:sz w:val="24"/>
          <w:szCs w:val="24"/>
        </w:rPr>
        <w:t>tenencia vehicular son virtuales dado el subsidio que otorga el Estado. Si estos ingresos no se estuvieran registrando, la importancia relativa del impuesto sobre nóminas sería mucho mayor.</w:t>
      </w:r>
    </w:p>
    <w:p w:rsidR="001876E4" w:rsidRPr="00557CAF"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557CAF">
        <w:rPr>
          <w:rFonts w:ascii="Arial" w:hAnsi="Arial" w:cs="Arial"/>
          <w:sz w:val="24"/>
          <w:szCs w:val="24"/>
        </w:rPr>
        <w:t xml:space="preserve">Es importante señalar que los servicios de recaudación proporcionados por el Estado se proporcionan de acuerdo con las Leyes y Reglamentos aplicables, </w:t>
      </w:r>
      <w:r w:rsidRPr="00557CAF">
        <w:rPr>
          <w:rFonts w:ascii="Arial" w:hAnsi="Arial" w:cs="Arial"/>
          <w:sz w:val="24"/>
          <w:szCs w:val="24"/>
        </w:rPr>
        <w:lastRenderedPageBreak/>
        <w:t>brindando asistencia gratuita y permanente al contribuyente para fomentar el cumplimiento voluntario y oportuno de sus obligaciones, así como el ejercicio de sus derechos. Sin embargo, se detectan necesidades de atención y mejora a los servicios para el contribuyente, a través de herramientas informáticas para mejora en facilitar el acceso a las opciones de pago, logrando que éstos sean más rápidos y sencillos para el cumplimiento correcto y oportuno de las obligaciones fiscales de los ciudadanos.</w:t>
      </w:r>
    </w:p>
    <w:p w:rsidR="001876E4" w:rsidRPr="00557CAF"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557CAF">
        <w:rPr>
          <w:rFonts w:ascii="Arial" w:hAnsi="Arial" w:cs="Arial"/>
          <w:sz w:val="24"/>
          <w:szCs w:val="24"/>
        </w:rPr>
        <w:t>Existen Leyes y Reglamentos que deben ser respetados por el Estado al momento de crear y poner en práctica el pago de contribuciones, en ese sentido la autoridad tiene el derecho y la obligación de facilitar e incentivar el cumplimiento oportuno y voluntario, y mediante las acciones de fiscalización comprobar si los contribuyentes cumplen con las normativas vigentes</w:t>
      </w:r>
    </w:p>
    <w:p w:rsidR="001876E4" w:rsidRPr="00557CAF"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557CAF">
        <w:rPr>
          <w:rFonts w:ascii="Arial" w:hAnsi="Arial" w:cs="Arial"/>
          <w:sz w:val="24"/>
          <w:szCs w:val="24"/>
        </w:rPr>
        <w:t>Ello permitirá contar con una mayor independencia y sustentabilidad financiera, así como con mayores recursos para acciones que generen el bienestar de la población.</w:t>
      </w:r>
    </w:p>
    <w:p w:rsidR="001876E4" w:rsidRPr="00BA022A"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5C0ACF">
        <w:rPr>
          <w:rFonts w:ascii="Arial" w:hAnsi="Arial" w:cs="Arial"/>
          <w:sz w:val="24"/>
          <w:szCs w:val="24"/>
        </w:rPr>
        <w:t>La principal fuente de recursos para el financiamiento del desarrollo del Estado son los recursos federales</w:t>
      </w:r>
      <w:r>
        <w:rPr>
          <w:rFonts w:ascii="Arial" w:hAnsi="Arial" w:cs="Arial"/>
          <w:sz w:val="24"/>
          <w:szCs w:val="24"/>
        </w:rPr>
        <w:t>,</w:t>
      </w:r>
      <w:r w:rsidRPr="005C0ACF">
        <w:rPr>
          <w:rFonts w:ascii="Arial" w:hAnsi="Arial" w:cs="Arial"/>
          <w:sz w:val="24"/>
          <w:szCs w:val="24"/>
        </w:rPr>
        <w:t xml:space="preserve"> por lo cual es impostergable impulsar finanzas públicas sanas, con mayor independencia de los recursos federales, con una deuda sostenible.</w:t>
      </w:r>
    </w:p>
    <w:p w:rsidR="001876E4" w:rsidRPr="005C0ACF" w:rsidRDefault="001876E4" w:rsidP="001876E4">
      <w:pPr>
        <w:spacing w:after="0" w:line="240" w:lineRule="auto"/>
        <w:jc w:val="both"/>
        <w:rPr>
          <w:rFonts w:ascii="Arial" w:hAnsi="Arial" w:cs="Arial"/>
          <w:sz w:val="24"/>
          <w:szCs w:val="24"/>
        </w:rPr>
      </w:pPr>
    </w:p>
    <w:p w:rsidR="001876E4" w:rsidRPr="00B75709" w:rsidRDefault="001876E4" w:rsidP="001876E4">
      <w:pPr>
        <w:spacing w:after="0" w:line="240" w:lineRule="auto"/>
        <w:jc w:val="both"/>
        <w:rPr>
          <w:rFonts w:ascii="Arial" w:hAnsi="Arial" w:cs="Arial"/>
          <w:sz w:val="24"/>
          <w:szCs w:val="24"/>
        </w:rPr>
      </w:pPr>
      <w:r w:rsidRPr="00B75709">
        <w:rPr>
          <w:rFonts w:ascii="Arial" w:hAnsi="Arial" w:cs="Arial"/>
          <w:sz w:val="24"/>
          <w:szCs w:val="24"/>
        </w:rPr>
        <w:t>En el periodo de 2012 a 2017 los egresos totales registraron un crecimiento de 27.9 por ciento, cifra menor en términos porcentuales al crecimiento de los ingresos, en el mismo lapso de tiempo, dicha tendencia tanto de ingresos como egresos muestra un manejo responsable del gasto.</w:t>
      </w:r>
    </w:p>
    <w:p w:rsidR="001876E4" w:rsidRPr="00B75709"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color w:val="FF0000"/>
          <w:sz w:val="24"/>
          <w:szCs w:val="24"/>
        </w:rPr>
      </w:pPr>
      <w:r w:rsidRPr="00B75709">
        <w:rPr>
          <w:rFonts w:ascii="Arial" w:hAnsi="Arial" w:cs="Arial"/>
          <w:sz w:val="24"/>
          <w:szCs w:val="24"/>
        </w:rPr>
        <w:t>El gasto etiquetado se incrementó en 35.5 por ciento y el No Etiquetado solo creció en 18.7 por ciento en el periodo de tiempo señalado, la tendencia de gasto demuestra la importancia de las transferencias federales etiquetadas para el funcionamiento del aparato gubernamental.</w:t>
      </w:r>
    </w:p>
    <w:p w:rsidR="001876E4" w:rsidRPr="00BA022A" w:rsidRDefault="001876E4" w:rsidP="001876E4">
      <w:pPr>
        <w:spacing w:after="0" w:line="240" w:lineRule="auto"/>
        <w:jc w:val="both"/>
        <w:rPr>
          <w:rFonts w:ascii="Arial" w:hAnsi="Arial" w:cs="Arial"/>
          <w:sz w:val="24"/>
          <w:szCs w:val="24"/>
        </w:rPr>
      </w:pPr>
    </w:p>
    <w:p w:rsidR="001876E4" w:rsidRPr="00DD35D1" w:rsidRDefault="001876E4" w:rsidP="001876E4">
      <w:pPr>
        <w:spacing w:after="0" w:line="240" w:lineRule="auto"/>
        <w:jc w:val="both"/>
        <w:rPr>
          <w:rFonts w:ascii="Arial" w:eastAsia="Times New Roman" w:hAnsi="Arial" w:cs="Arial"/>
          <w:color w:val="000000"/>
          <w:sz w:val="24"/>
          <w:szCs w:val="24"/>
        </w:rPr>
      </w:pPr>
      <w:r w:rsidRPr="00984F7D">
        <w:rPr>
          <w:noProof/>
          <w:lang w:val="es-ES" w:eastAsia="es-ES"/>
        </w:rPr>
        <w:drawing>
          <wp:inline distT="0" distB="0" distL="0" distR="0" wp14:anchorId="63BA719B" wp14:editId="02A53575">
            <wp:extent cx="5610225" cy="13525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1646" cy="1355303"/>
                    </a:xfrm>
                    <a:prstGeom prst="rect">
                      <a:avLst/>
                    </a:prstGeom>
                    <a:noFill/>
                    <a:ln>
                      <a:noFill/>
                    </a:ln>
                  </pic:spPr>
                </pic:pic>
              </a:graphicData>
            </a:graphic>
          </wp:inline>
        </w:drawing>
      </w:r>
    </w:p>
    <w:p w:rsidR="001876E4" w:rsidRDefault="001876E4" w:rsidP="001876E4">
      <w:pPr>
        <w:spacing w:after="0" w:line="240" w:lineRule="auto"/>
        <w:jc w:val="both"/>
        <w:rPr>
          <w:rFonts w:ascii="Arial" w:hAnsi="Arial" w:cs="Arial"/>
          <w:sz w:val="24"/>
          <w:szCs w:val="24"/>
        </w:rPr>
      </w:pPr>
      <w:r w:rsidRPr="0079012A">
        <w:rPr>
          <w:rFonts w:ascii="Arial" w:hAnsi="Arial" w:cs="Arial"/>
          <w:b/>
          <w:sz w:val="24"/>
          <w:szCs w:val="24"/>
        </w:rPr>
        <w:lastRenderedPageBreak/>
        <w:t>Colima ocupó en 2016 el lugar número 13 a nivel nacional</w:t>
      </w:r>
      <w:r w:rsidRPr="0079012A">
        <w:rPr>
          <w:rFonts w:ascii="Arial" w:hAnsi="Arial" w:cs="Arial"/>
          <w:sz w:val="24"/>
          <w:szCs w:val="24"/>
        </w:rPr>
        <w:t xml:space="preserve"> en el </w:t>
      </w:r>
      <w:r w:rsidRPr="0079012A">
        <w:rPr>
          <w:rFonts w:ascii="Arial" w:hAnsi="Arial" w:cs="Arial"/>
          <w:b/>
          <w:sz w:val="24"/>
          <w:szCs w:val="24"/>
        </w:rPr>
        <w:t>Índice de Desempeño Financiero de las Entidades Federativas (IDFEF)</w:t>
      </w:r>
      <w:r w:rsidRPr="0079012A">
        <w:rPr>
          <w:rFonts w:ascii="Arial" w:hAnsi="Arial" w:cs="Arial"/>
          <w:sz w:val="24"/>
          <w:szCs w:val="24"/>
        </w:rPr>
        <w:t xml:space="preserve"> </w:t>
      </w:r>
      <w:r w:rsidRPr="0079012A">
        <w:rPr>
          <w:rFonts w:ascii="Arial" w:hAnsi="Arial" w:cs="Arial"/>
          <w:b/>
          <w:sz w:val="24"/>
          <w:szCs w:val="24"/>
        </w:rPr>
        <w:t>2012-2014</w:t>
      </w:r>
      <w:r w:rsidRPr="0079012A">
        <w:rPr>
          <w:rFonts w:ascii="Arial" w:hAnsi="Arial" w:cs="Arial"/>
          <w:sz w:val="24"/>
          <w:szCs w:val="24"/>
        </w:rPr>
        <w:t xml:space="preserve">, </w:t>
      </w:r>
      <w:r w:rsidRPr="0079012A">
        <w:rPr>
          <w:rFonts w:ascii="Arial" w:hAnsi="Arial" w:cs="Arial"/>
          <w:b/>
          <w:sz w:val="24"/>
          <w:szCs w:val="24"/>
        </w:rPr>
        <w:t>con un nivel medio de 62.7 puntos</w:t>
      </w:r>
      <w:r>
        <w:rPr>
          <w:rFonts w:ascii="Arial" w:hAnsi="Arial" w:cs="Arial"/>
          <w:sz w:val="24"/>
          <w:szCs w:val="24"/>
        </w:rPr>
        <w:t>,</w:t>
      </w:r>
      <w:r w:rsidRPr="0079012A">
        <w:rPr>
          <w:rFonts w:ascii="Arial" w:hAnsi="Arial" w:cs="Arial"/>
          <w:sz w:val="24"/>
          <w:szCs w:val="24"/>
        </w:rPr>
        <w:t xml:space="preserve"> </w:t>
      </w:r>
      <w:r>
        <w:rPr>
          <w:rFonts w:ascii="Arial" w:hAnsi="Arial" w:cs="Arial"/>
          <w:sz w:val="24"/>
          <w:szCs w:val="24"/>
        </w:rPr>
        <w:t xml:space="preserve">ubicándose por encima del promedio nacional. </w:t>
      </w:r>
      <w:r w:rsidRPr="0079012A">
        <w:rPr>
          <w:rFonts w:ascii="Arial" w:hAnsi="Arial" w:cs="Arial"/>
          <w:sz w:val="24"/>
          <w:szCs w:val="24"/>
        </w:rPr>
        <w:t>Dicho Índice es integral y mide la situación que guardan las finanzas públicas de los gobiernos estatales en México y m</w:t>
      </w:r>
      <w:r>
        <w:rPr>
          <w:rFonts w:ascii="Arial" w:hAnsi="Arial" w:cs="Arial"/>
          <w:sz w:val="24"/>
          <w:szCs w:val="24"/>
        </w:rPr>
        <w:t xml:space="preserve">ediante un análisis comparado, </w:t>
      </w:r>
      <w:r w:rsidRPr="0079012A">
        <w:rPr>
          <w:rFonts w:ascii="Arial" w:hAnsi="Arial" w:cs="Arial"/>
          <w:sz w:val="24"/>
          <w:szCs w:val="24"/>
        </w:rPr>
        <w:t>permite identificar las mejores prácticas en materia de administración y control del gasto, recaudación de ingresos propios, manejo del endeudamiento y generación de ahorro interno.</w:t>
      </w: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center"/>
        <w:rPr>
          <w:rFonts w:ascii="Arial" w:hAnsi="Arial" w:cs="Arial"/>
          <w:sz w:val="24"/>
          <w:szCs w:val="24"/>
        </w:rPr>
      </w:pPr>
      <w:r w:rsidRPr="00951BEB">
        <w:rPr>
          <w:noProof/>
          <w:lang w:val="es-ES" w:eastAsia="es-ES"/>
        </w:rPr>
        <w:drawing>
          <wp:inline distT="0" distB="0" distL="0" distR="0" wp14:anchorId="17007D6F" wp14:editId="08D8BA16">
            <wp:extent cx="5371334" cy="3419475"/>
            <wp:effectExtent l="0" t="0" r="127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38126" cy="3461996"/>
                    </a:xfrm>
                    <a:prstGeom prst="rect">
                      <a:avLst/>
                    </a:prstGeom>
                    <a:noFill/>
                    <a:ln>
                      <a:noFill/>
                    </a:ln>
                  </pic:spPr>
                </pic:pic>
              </a:graphicData>
            </a:graphic>
          </wp:inline>
        </w:drawing>
      </w:r>
    </w:p>
    <w:p w:rsidR="001876E4" w:rsidRPr="0079012A" w:rsidRDefault="001876E4" w:rsidP="001876E4">
      <w:pPr>
        <w:spacing w:after="0" w:line="240" w:lineRule="auto"/>
        <w:jc w:val="center"/>
        <w:rPr>
          <w:rFonts w:ascii="Arial" w:hAnsi="Arial" w:cs="Arial"/>
          <w:sz w:val="24"/>
          <w:szCs w:val="24"/>
        </w:rPr>
      </w:pPr>
    </w:p>
    <w:p w:rsidR="001876E4" w:rsidRDefault="001876E4" w:rsidP="001876E4">
      <w:pPr>
        <w:spacing w:after="0" w:line="240" w:lineRule="auto"/>
        <w:rPr>
          <w:rFonts w:ascii="Arial" w:hAnsi="Arial" w:cs="Arial"/>
          <w:b/>
          <w:sz w:val="24"/>
          <w:szCs w:val="24"/>
        </w:rPr>
      </w:pPr>
      <w:r w:rsidRPr="003C234B">
        <w:rPr>
          <w:rFonts w:ascii="Arial" w:hAnsi="Arial" w:cs="Arial"/>
          <w:b/>
          <w:sz w:val="24"/>
          <w:szCs w:val="24"/>
        </w:rPr>
        <w:t>Deuda pública</w:t>
      </w:r>
    </w:p>
    <w:p w:rsidR="001876E4" w:rsidRPr="003C234B" w:rsidRDefault="001876E4" w:rsidP="001876E4">
      <w:pPr>
        <w:spacing w:after="0" w:line="240" w:lineRule="auto"/>
        <w:rPr>
          <w:rFonts w:ascii="Arial" w:hAnsi="Arial" w:cs="Arial"/>
          <w:b/>
          <w:sz w:val="24"/>
          <w:szCs w:val="24"/>
        </w:rPr>
      </w:pPr>
    </w:p>
    <w:p w:rsidR="001876E4" w:rsidRDefault="001876E4" w:rsidP="001876E4">
      <w:pPr>
        <w:spacing w:after="0" w:line="240" w:lineRule="auto"/>
        <w:jc w:val="both"/>
        <w:rPr>
          <w:rFonts w:ascii="Arial" w:hAnsi="Arial" w:cs="Arial"/>
          <w:sz w:val="24"/>
          <w:szCs w:val="24"/>
        </w:rPr>
      </w:pPr>
      <w:r w:rsidRPr="003C234B">
        <w:rPr>
          <w:rFonts w:ascii="Arial" w:hAnsi="Arial" w:cs="Arial"/>
          <w:sz w:val="24"/>
          <w:szCs w:val="24"/>
        </w:rPr>
        <w:t>La presente administración ha impulsado una política de deuda pública responsable y prudente, actuando siempre bajo la premisa de que el endeudamiento público como fuente de financiamiento del desarrollo debe utilizarse de manera responsable y generar beneficios tangibles a la población colimense, sin comprometer la viabilidad de las finanzas públicas.</w:t>
      </w:r>
    </w:p>
    <w:p w:rsidR="001876E4" w:rsidRPr="003C234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rPr>
          <w:rFonts w:ascii="Arial" w:hAnsi="Arial" w:cs="Arial"/>
          <w:sz w:val="24"/>
          <w:szCs w:val="24"/>
        </w:rPr>
      </w:pPr>
      <w:r w:rsidRPr="003C234B">
        <w:rPr>
          <w:rFonts w:ascii="Arial" w:hAnsi="Arial" w:cs="Arial"/>
          <w:sz w:val="24"/>
          <w:szCs w:val="24"/>
        </w:rPr>
        <w:t xml:space="preserve">Es pertinente precisar que de acuerdo a lo previsto en el artículo 45 de la </w:t>
      </w:r>
      <w:r w:rsidRPr="00F51E1C">
        <w:rPr>
          <w:rFonts w:ascii="Arial" w:hAnsi="Arial" w:cs="Arial"/>
          <w:sz w:val="24"/>
          <w:szCs w:val="24"/>
        </w:rPr>
        <w:t>Ley de Disciplina Financiera de las Entidades Federativas y los Municipios</w:t>
      </w:r>
      <w:r>
        <w:rPr>
          <w:rFonts w:ascii="Arial" w:hAnsi="Arial" w:cs="Arial"/>
          <w:sz w:val="24"/>
          <w:szCs w:val="24"/>
        </w:rPr>
        <w:t xml:space="preserve">, </w:t>
      </w:r>
      <w:r w:rsidRPr="003C234B">
        <w:rPr>
          <w:rFonts w:ascii="Arial" w:hAnsi="Arial" w:cs="Arial"/>
          <w:sz w:val="24"/>
          <w:szCs w:val="24"/>
        </w:rPr>
        <w:t>el Sistema de Alertas se clasifica en tres niveles:</w:t>
      </w:r>
    </w:p>
    <w:p w:rsidR="001876E4" w:rsidRPr="003C234B" w:rsidRDefault="001876E4" w:rsidP="001876E4">
      <w:pPr>
        <w:spacing w:after="0" w:line="240" w:lineRule="auto"/>
        <w:rPr>
          <w:rFonts w:ascii="Arial" w:hAnsi="Arial" w:cs="Arial"/>
          <w:sz w:val="24"/>
          <w:szCs w:val="24"/>
        </w:rPr>
      </w:pPr>
    </w:p>
    <w:p w:rsidR="001876E4" w:rsidRDefault="001876E4" w:rsidP="001876E4">
      <w:pPr>
        <w:spacing w:after="0" w:line="240" w:lineRule="auto"/>
        <w:rPr>
          <w:rFonts w:ascii="Arial" w:hAnsi="Arial" w:cs="Arial"/>
          <w:sz w:val="24"/>
          <w:szCs w:val="24"/>
        </w:rPr>
      </w:pPr>
      <w:r w:rsidRPr="003C234B">
        <w:rPr>
          <w:rFonts w:ascii="Arial" w:hAnsi="Arial" w:cs="Arial"/>
          <w:sz w:val="24"/>
          <w:szCs w:val="24"/>
        </w:rPr>
        <w:lastRenderedPageBreak/>
        <w:t>Endeudamiento sostenible, endeudamiento en observación, y endeudamiento elevado.</w:t>
      </w:r>
    </w:p>
    <w:p w:rsidR="001876E4" w:rsidRPr="003C234B" w:rsidRDefault="001876E4" w:rsidP="001876E4">
      <w:pPr>
        <w:spacing w:after="0" w:line="240" w:lineRule="auto"/>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3C234B">
        <w:rPr>
          <w:rFonts w:ascii="Arial" w:hAnsi="Arial" w:cs="Arial"/>
          <w:sz w:val="24"/>
          <w:szCs w:val="24"/>
        </w:rPr>
        <w:t xml:space="preserve">De acuerdo al resultado del Sistema de Alertas emitido por la Secretaría de Hacienda y Crédito Público, con información de la Cuenta Pública 2016, el </w:t>
      </w:r>
      <w:r>
        <w:rPr>
          <w:rFonts w:ascii="Arial" w:hAnsi="Arial" w:cs="Arial"/>
          <w:sz w:val="24"/>
          <w:szCs w:val="24"/>
        </w:rPr>
        <w:t>Estado de Colima</w:t>
      </w:r>
      <w:r w:rsidRPr="003C234B">
        <w:rPr>
          <w:rFonts w:ascii="Arial" w:hAnsi="Arial" w:cs="Arial"/>
          <w:sz w:val="24"/>
          <w:szCs w:val="24"/>
        </w:rPr>
        <w:t xml:space="preserve"> s</w:t>
      </w:r>
      <w:r>
        <w:rPr>
          <w:rFonts w:ascii="Arial" w:hAnsi="Arial" w:cs="Arial"/>
          <w:sz w:val="24"/>
          <w:szCs w:val="24"/>
        </w:rPr>
        <w:t>e p</w:t>
      </w:r>
      <w:r w:rsidRPr="003C234B">
        <w:rPr>
          <w:rFonts w:ascii="Arial" w:hAnsi="Arial" w:cs="Arial"/>
          <w:sz w:val="24"/>
          <w:szCs w:val="24"/>
        </w:rPr>
        <w:t xml:space="preserve">osicionó entre </w:t>
      </w:r>
      <w:r w:rsidRPr="00820926">
        <w:rPr>
          <w:rFonts w:ascii="Arial" w:hAnsi="Arial" w:cs="Arial"/>
          <w:sz w:val="24"/>
          <w:szCs w:val="24"/>
        </w:rPr>
        <w:t>las Entidades</w:t>
      </w:r>
      <w:r w:rsidRPr="003C234B">
        <w:rPr>
          <w:rFonts w:ascii="Arial" w:hAnsi="Arial" w:cs="Arial"/>
          <w:sz w:val="24"/>
          <w:szCs w:val="24"/>
        </w:rPr>
        <w:t xml:space="preserve"> del país con un Nivel de Endeudamiento Sostenible. </w:t>
      </w:r>
    </w:p>
    <w:p w:rsidR="001876E4" w:rsidRPr="003C234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shd w:val="clear" w:color="auto" w:fill="FFFFFF"/>
        </w:rPr>
      </w:pPr>
      <w:r w:rsidRPr="00BF5A6B">
        <w:rPr>
          <w:rFonts w:ascii="Arial" w:hAnsi="Arial" w:cs="Arial"/>
          <w:sz w:val="24"/>
          <w:szCs w:val="24"/>
          <w:shd w:val="clear" w:color="auto" w:fill="FFFFFF"/>
        </w:rPr>
        <w:t>El Sistema de Alertas mide el nivel de endeudamiento de los Entes P</w:t>
      </w:r>
      <w:r>
        <w:rPr>
          <w:rFonts w:ascii="Arial" w:hAnsi="Arial" w:cs="Arial"/>
          <w:sz w:val="24"/>
          <w:szCs w:val="24"/>
          <w:shd w:val="clear" w:color="auto" w:fill="FFFFFF"/>
        </w:rPr>
        <w:t>úblicos que tengan contratados financiamientos y o</w:t>
      </w:r>
      <w:r w:rsidRPr="00BF5A6B">
        <w:rPr>
          <w:rFonts w:ascii="Arial" w:hAnsi="Arial" w:cs="Arial"/>
          <w:sz w:val="24"/>
          <w:szCs w:val="24"/>
          <w:shd w:val="clear" w:color="auto" w:fill="FFFFFF"/>
        </w:rPr>
        <w:t>bligaciones, y éstos se encuentren inscritos en el Registro Público Único.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sobre Ingresos Totales.</w:t>
      </w:r>
    </w:p>
    <w:p w:rsidR="001876E4" w:rsidRDefault="001876E4" w:rsidP="001876E4">
      <w:pPr>
        <w:spacing w:after="0" w:line="240" w:lineRule="auto"/>
        <w:jc w:val="both"/>
        <w:rPr>
          <w:rFonts w:ascii="Arial" w:hAnsi="Arial" w:cs="Arial"/>
          <w:sz w:val="24"/>
          <w:szCs w:val="24"/>
          <w:shd w:val="clear" w:color="auto" w:fill="FFFFFF"/>
        </w:rPr>
      </w:pPr>
    </w:p>
    <w:p w:rsidR="001876E4" w:rsidRPr="00BF5A6B" w:rsidRDefault="001876E4" w:rsidP="001876E4">
      <w:pPr>
        <w:spacing w:after="0" w:line="240" w:lineRule="auto"/>
        <w:jc w:val="both"/>
        <w:rPr>
          <w:rFonts w:ascii="Arial" w:hAnsi="Arial" w:cs="Arial"/>
          <w:sz w:val="24"/>
          <w:szCs w:val="24"/>
          <w:shd w:val="clear" w:color="auto" w:fill="FFFFFF"/>
        </w:rPr>
      </w:pPr>
      <w:r w:rsidRPr="00984F7D">
        <w:rPr>
          <w:noProof/>
          <w:lang w:val="es-ES" w:eastAsia="es-ES"/>
        </w:rPr>
        <w:lastRenderedPageBreak/>
        <w:drawing>
          <wp:inline distT="0" distB="0" distL="0" distR="0" wp14:anchorId="7D678F4B" wp14:editId="08F11E05">
            <wp:extent cx="5611798" cy="7038975"/>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4251" cy="7042052"/>
                    </a:xfrm>
                    <a:prstGeom prst="rect">
                      <a:avLst/>
                    </a:prstGeom>
                    <a:noFill/>
                    <a:ln>
                      <a:noFill/>
                    </a:ln>
                  </pic:spPr>
                </pic:pic>
              </a:graphicData>
            </a:graphic>
          </wp:inline>
        </w:drawing>
      </w:r>
    </w:p>
    <w:p w:rsidR="001876E4" w:rsidRDefault="001876E4" w:rsidP="001876E4">
      <w:pPr>
        <w:spacing w:after="0" w:line="240" w:lineRule="auto"/>
        <w:jc w:val="both"/>
        <w:rPr>
          <w:rFonts w:ascii="Arial" w:hAnsi="Arial" w:cs="Arial"/>
          <w:color w:val="545454"/>
          <w:sz w:val="16"/>
          <w:szCs w:val="16"/>
          <w:shd w:val="clear" w:color="auto" w:fill="FFFFFF"/>
        </w:rPr>
      </w:pPr>
      <w:r w:rsidRPr="00984F7D">
        <w:rPr>
          <w:noProof/>
          <w:lang w:val="es-ES" w:eastAsia="es-ES"/>
        </w:rPr>
        <w:lastRenderedPageBreak/>
        <w:drawing>
          <wp:inline distT="0" distB="0" distL="0" distR="0" wp14:anchorId="25195D57" wp14:editId="591E9CEF">
            <wp:extent cx="5612130" cy="599868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5998680"/>
                    </a:xfrm>
                    <a:prstGeom prst="rect">
                      <a:avLst/>
                    </a:prstGeom>
                    <a:noFill/>
                    <a:ln>
                      <a:noFill/>
                    </a:ln>
                  </pic:spPr>
                </pic:pic>
              </a:graphicData>
            </a:graphic>
          </wp:inline>
        </w:drawing>
      </w:r>
    </w:p>
    <w:p w:rsidR="001876E4" w:rsidRPr="00407636" w:rsidRDefault="001876E4" w:rsidP="001876E4">
      <w:pPr>
        <w:spacing w:after="0" w:line="240" w:lineRule="auto"/>
        <w:jc w:val="both"/>
        <w:rPr>
          <w:rFonts w:ascii="Arial" w:hAnsi="Arial" w:cs="Arial"/>
          <w:color w:val="545454"/>
          <w:sz w:val="16"/>
          <w:szCs w:val="16"/>
          <w:shd w:val="clear" w:color="auto" w:fill="FFFFFF"/>
        </w:rPr>
      </w:pPr>
    </w:p>
    <w:p w:rsidR="001876E4" w:rsidRPr="00214B23" w:rsidRDefault="001876E4" w:rsidP="001876E4">
      <w:pPr>
        <w:spacing w:after="0" w:line="240" w:lineRule="auto"/>
        <w:jc w:val="both"/>
        <w:rPr>
          <w:rFonts w:ascii="Arial" w:hAnsi="Arial" w:cs="Arial"/>
          <w:color w:val="000000" w:themeColor="text1"/>
          <w:sz w:val="24"/>
          <w:szCs w:val="24"/>
        </w:rPr>
      </w:pPr>
      <w:r w:rsidRPr="00214B23">
        <w:rPr>
          <w:rFonts w:ascii="Arial" w:hAnsi="Arial" w:cs="Arial"/>
          <w:color w:val="000000" w:themeColor="text1"/>
          <w:sz w:val="24"/>
          <w:szCs w:val="24"/>
          <w:shd w:val="clear" w:color="auto" w:fill="FFFFFF"/>
        </w:rPr>
        <w:t>La medición del Sistema de Alertas realizada con información de Cuenta Pública 2016 es vinculante, ya que determina el Techo de Financiamiento Neto al cual podría acceder la Entidad el próximo ejercicio fiscal 2018; mismo que deberá de ser aprobado por el H.  Congreso del Estado.</w:t>
      </w:r>
    </w:p>
    <w:p w:rsidR="001876E4" w:rsidRDefault="001876E4" w:rsidP="001876E4">
      <w:pPr>
        <w:spacing w:after="0" w:line="240" w:lineRule="auto"/>
        <w:jc w:val="both"/>
        <w:rPr>
          <w:rFonts w:ascii="Arial" w:hAnsi="Arial" w:cs="Arial"/>
          <w:sz w:val="24"/>
          <w:szCs w:val="24"/>
        </w:rPr>
      </w:pPr>
      <w:r w:rsidRPr="00FF0881">
        <w:rPr>
          <w:rFonts w:ascii="Arial" w:hAnsi="Arial" w:cs="Arial"/>
          <w:sz w:val="24"/>
          <w:szCs w:val="24"/>
        </w:rPr>
        <w:lastRenderedPageBreak/>
        <w:t xml:space="preserve">En ese tenor y en función de los previsto en el artículo 46 fracción I de la Ley de Disciplina Financiera de las Entidades Federativas y los Municipios, el </w:t>
      </w:r>
      <w:r>
        <w:rPr>
          <w:rFonts w:ascii="Arial" w:hAnsi="Arial" w:cs="Arial"/>
          <w:sz w:val="24"/>
          <w:szCs w:val="24"/>
        </w:rPr>
        <w:t>Estado de Colima</w:t>
      </w:r>
      <w:r w:rsidRPr="00FF0881">
        <w:rPr>
          <w:rFonts w:ascii="Arial" w:hAnsi="Arial" w:cs="Arial"/>
          <w:sz w:val="24"/>
          <w:szCs w:val="24"/>
        </w:rPr>
        <w:t xml:space="preserve"> se ubicó en Endeudamiento Sostenible, al cual corresponderá un Techo  de Financiamiento Neto de hasta el equivalente al 15 por ciento de sus Ingresos de Libre Disposición. </w:t>
      </w:r>
    </w:p>
    <w:p w:rsidR="001876E4" w:rsidRPr="00407636"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b/>
          <w:sz w:val="24"/>
        </w:rPr>
      </w:pPr>
      <w:r>
        <w:rPr>
          <w:rFonts w:ascii="Arial" w:hAnsi="Arial" w:cs="Arial"/>
          <w:b/>
          <w:sz w:val="24"/>
        </w:rPr>
        <w:t>Calificaciones de deuda emitidas por agencias internacionales: Fitch Ratings y HR Ratings</w:t>
      </w:r>
    </w:p>
    <w:p w:rsidR="001876E4" w:rsidRDefault="001876E4" w:rsidP="001876E4">
      <w:pPr>
        <w:spacing w:after="0" w:line="240" w:lineRule="auto"/>
        <w:jc w:val="both"/>
        <w:rPr>
          <w:rFonts w:ascii="Arial" w:hAnsi="Arial" w:cs="Arial"/>
          <w:b/>
          <w:sz w:val="24"/>
        </w:rPr>
      </w:pPr>
    </w:p>
    <w:p w:rsidR="001876E4" w:rsidRDefault="001876E4" w:rsidP="001876E4">
      <w:pPr>
        <w:spacing w:after="0" w:line="240" w:lineRule="auto"/>
        <w:jc w:val="both"/>
        <w:rPr>
          <w:rFonts w:ascii="Arial" w:hAnsi="Arial" w:cs="Arial"/>
          <w:b/>
          <w:sz w:val="24"/>
        </w:rPr>
      </w:pPr>
      <w:r>
        <w:rPr>
          <w:rFonts w:ascii="Arial" w:hAnsi="Arial" w:cs="Arial"/>
          <w:b/>
          <w:sz w:val="24"/>
        </w:rPr>
        <w:t>Fitch Ratings</w:t>
      </w:r>
    </w:p>
    <w:p w:rsidR="001876E4" w:rsidRDefault="001876E4" w:rsidP="001876E4">
      <w:pPr>
        <w:spacing w:after="0" w:line="240" w:lineRule="auto"/>
        <w:jc w:val="both"/>
        <w:rPr>
          <w:rFonts w:ascii="Arial" w:hAnsi="Arial" w:cs="Arial"/>
          <w:b/>
          <w:sz w:val="24"/>
        </w:rPr>
      </w:pPr>
    </w:p>
    <w:p w:rsidR="001876E4" w:rsidRDefault="001876E4" w:rsidP="001876E4">
      <w:pPr>
        <w:spacing w:after="0" w:line="240" w:lineRule="auto"/>
        <w:jc w:val="both"/>
        <w:rPr>
          <w:rFonts w:ascii="Arial" w:hAnsi="Arial" w:cs="Arial"/>
          <w:sz w:val="24"/>
        </w:rPr>
      </w:pPr>
      <w:r w:rsidRPr="004A37ED">
        <w:rPr>
          <w:rFonts w:ascii="Arial" w:hAnsi="Arial" w:cs="Arial"/>
          <w:sz w:val="24"/>
        </w:rPr>
        <w:t>En el presente año</w:t>
      </w:r>
      <w:r>
        <w:rPr>
          <w:rFonts w:ascii="Arial" w:hAnsi="Arial" w:cs="Arial"/>
          <w:sz w:val="24"/>
        </w:rPr>
        <w:t xml:space="preserve">, la agencia calificadora Fitch Ratings incrementó la calificación quirografaria del Estado de Colima a BBB- (mex) de BB+ (mex) con </w:t>
      </w:r>
      <w:r w:rsidRPr="00BD4EFB">
        <w:rPr>
          <w:rFonts w:ascii="Arial" w:hAnsi="Arial" w:cs="Arial"/>
          <w:sz w:val="24"/>
        </w:rPr>
        <w:t>perspectiva estable. Derivado de ello, la agencia mejoró las calificaciones específicas de seis de los financiamientos que integran la deuda directa de largo plazo del Estado de A</w:t>
      </w:r>
      <w:r w:rsidRPr="007872C8">
        <w:rPr>
          <w:rFonts w:ascii="Arial" w:hAnsi="Arial" w:cs="Arial"/>
          <w:sz w:val="24"/>
        </w:rPr>
        <w:t xml:space="preserve"> (mex) vra desde A-(mex) vra.</w:t>
      </w:r>
    </w:p>
    <w:p w:rsidR="001876E4" w:rsidRPr="007872C8"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Factores Clave de la Calificación:</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sidRPr="00826585">
        <w:rPr>
          <w:rFonts w:ascii="Arial" w:hAnsi="Arial" w:cs="Arial"/>
          <w:sz w:val="24"/>
        </w:rPr>
        <w:t>Fitch determinó mejorar el estatus del factor de gestión y administración a Neutral con Perspectiva Estable desde Débil con Perspectiva Positiva. Esto es con base en prácticas administrativas más robustas en cuestión del proceso presupuestario, manejo prudente de deuda, toma de decisiones eficiente y la publicación oportuna de su información financiera. Además, cabe resaltar que la renovación del marco jurídico en materia de deuda tanto a nivel estatal como federal (Ley de Disciplina Financiera) mitiga el riesgo de un incumplimiento en el pago de sus obligaciones financieras como la suscitada en agosto de 2015.</w:t>
      </w:r>
    </w:p>
    <w:p w:rsidR="001876E4" w:rsidRPr="00BA022A"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Las fortalezas principales que la agencia destaca para Colima son un nivel de endeudamiento de largo plazo moderado y decreciente, una gestión destacada para obtener recursos federales para hacer frente al gasto operacional (GO; Gasto Corriente y Transferencias no Etiquetadas) y que le han permitido generar niveles satisfactorios de Ahorro Interno (AI, Flujo Libre para servir la deuda y realizar inversión). Además, Colima presenta indicadores de ingresos per cápita mayores que la</w:t>
      </w:r>
      <w:r w:rsidRPr="006937EE">
        <w:rPr>
          <w:rFonts w:ascii="Arial" w:hAnsi="Arial" w:cs="Arial"/>
          <w:sz w:val="24"/>
        </w:rPr>
        <w:t xml:space="preserve"> mediana</w:t>
      </w:r>
      <w:r>
        <w:rPr>
          <w:rFonts w:ascii="Arial" w:hAnsi="Arial" w:cs="Arial"/>
          <w:sz w:val="24"/>
        </w:rPr>
        <w:t xml:space="preserve"> del Grupo de Estados calificados por Fitch (GEF) y un perfil socioeconómico favorable, reflejado en indicadores de bienestar social por encima del promedio nacional.</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b/>
          <w:sz w:val="24"/>
        </w:rPr>
      </w:pPr>
    </w:p>
    <w:p w:rsidR="001876E4" w:rsidRDefault="001876E4" w:rsidP="001876E4">
      <w:pPr>
        <w:spacing w:after="0" w:line="240" w:lineRule="auto"/>
        <w:jc w:val="both"/>
        <w:rPr>
          <w:rFonts w:ascii="Arial" w:hAnsi="Arial" w:cs="Arial"/>
          <w:b/>
          <w:sz w:val="24"/>
        </w:rPr>
      </w:pPr>
    </w:p>
    <w:p w:rsidR="001876E4" w:rsidRDefault="001876E4" w:rsidP="001876E4">
      <w:pPr>
        <w:spacing w:after="0" w:line="240" w:lineRule="auto"/>
        <w:jc w:val="both"/>
        <w:rPr>
          <w:rFonts w:ascii="Arial" w:hAnsi="Arial" w:cs="Arial"/>
          <w:b/>
          <w:sz w:val="24"/>
        </w:rPr>
      </w:pPr>
      <w:r>
        <w:rPr>
          <w:rFonts w:ascii="Arial" w:hAnsi="Arial" w:cs="Arial"/>
          <w:b/>
          <w:sz w:val="24"/>
        </w:rPr>
        <w:lastRenderedPageBreak/>
        <w:t>HR Ratings</w:t>
      </w:r>
    </w:p>
    <w:p w:rsidR="001876E4" w:rsidRDefault="001876E4" w:rsidP="001876E4">
      <w:pPr>
        <w:spacing w:after="0" w:line="240" w:lineRule="auto"/>
        <w:jc w:val="both"/>
        <w:rPr>
          <w:rFonts w:ascii="Arial" w:hAnsi="Arial" w:cs="Arial"/>
          <w:b/>
          <w:sz w:val="24"/>
        </w:rPr>
      </w:pPr>
    </w:p>
    <w:p w:rsidR="001876E4" w:rsidRDefault="001876E4" w:rsidP="001876E4">
      <w:pPr>
        <w:spacing w:after="0" w:line="240" w:lineRule="auto"/>
        <w:jc w:val="both"/>
        <w:rPr>
          <w:rFonts w:ascii="Arial" w:hAnsi="Arial" w:cs="Arial"/>
          <w:sz w:val="24"/>
        </w:rPr>
      </w:pPr>
      <w:r w:rsidRPr="00BD4EFB">
        <w:rPr>
          <w:rFonts w:ascii="Arial" w:hAnsi="Arial" w:cs="Arial"/>
          <w:sz w:val="24"/>
        </w:rPr>
        <w:t>En el mes de mayo del presente año</w:t>
      </w:r>
      <w:r>
        <w:rPr>
          <w:rFonts w:ascii="Arial" w:hAnsi="Arial" w:cs="Arial"/>
          <w:sz w:val="24"/>
        </w:rPr>
        <w:t xml:space="preserve">, la agencia calificadora HR Ratings evaluó al alza la calificación quirografaria del Estado, a HR BBB-, desde HR BB+, lo que refleja que las acciones que se han venido realizando en materia de deuda y en las finanzas públicas en general, están produciendo resultados positivos. </w:t>
      </w:r>
    </w:p>
    <w:p w:rsidR="001876E4" w:rsidRDefault="001876E4" w:rsidP="001876E4">
      <w:pPr>
        <w:spacing w:after="0" w:line="240" w:lineRule="auto"/>
        <w:jc w:val="both"/>
        <w:rPr>
          <w:rFonts w:ascii="Arial" w:hAnsi="Arial" w:cs="Arial"/>
          <w:sz w:val="24"/>
        </w:rPr>
      </w:pPr>
    </w:p>
    <w:p w:rsidR="001876E4" w:rsidRPr="00826585" w:rsidRDefault="001876E4" w:rsidP="001876E4">
      <w:pPr>
        <w:spacing w:after="0" w:line="240" w:lineRule="auto"/>
        <w:jc w:val="both"/>
        <w:rPr>
          <w:rFonts w:ascii="Arial" w:hAnsi="Arial" w:cs="Arial"/>
          <w:sz w:val="24"/>
        </w:rPr>
      </w:pPr>
      <w:r>
        <w:rPr>
          <w:rFonts w:ascii="Arial" w:hAnsi="Arial" w:cs="Arial"/>
          <w:sz w:val="24"/>
        </w:rPr>
        <w:t>E</w:t>
      </w:r>
      <w:r w:rsidRPr="00826585">
        <w:rPr>
          <w:rFonts w:ascii="Arial" w:hAnsi="Arial" w:cs="Arial"/>
          <w:sz w:val="24"/>
        </w:rPr>
        <w:t xml:space="preserve">ste avance se debe a que se superó el ajuste cualitativo negativo, derivado del default restringido </w:t>
      </w:r>
      <w:r>
        <w:rPr>
          <w:rFonts w:ascii="Arial" w:hAnsi="Arial" w:cs="Arial"/>
          <w:sz w:val="24"/>
        </w:rPr>
        <w:t xml:space="preserve">incurrido en el año </w:t>
      </w:r>
      <w:r w:rsidRPr="00826585">
        <w:rPr>
          <w:rFonts w:ascii="Arial" w:hAnsi="Arial" w:cs="Arial"/>
          <w:sz w:val="24"/>
        </w:rPr>
        <w:t xml:space="preserve">2015. </w:t>
      </w:r>
      <w:r>
        <w:rPr>
          <w:rFonts w:ascii="Arial" w:hAnsi="Arial" w:cs="Arial"/>
          <w:sz w:val="24"/>
        </w:rPr>
        <w:t>Es decir, l</w:t>
      </w:r>
      <w:r w:rsidRPr="00826585">
        <w:rPr>
          <w:rFonts w:ascii="Arial" w:hAnsi="Arial" w:cs="Arial"/>
          <w:sz w:val="24"/>
        </w:rPr>
        <w:t>a calificación otorgada, se encuentra más estrechamente ligada a las condiciones financieras actuales del Estado y a su desempeño en materia de finanzas públicas locales sin considerar la penalización del incumplimiento de 2015.</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Pr>
          <w:rFonts w:ascii="Arial" w:hAnsi="Arial" w:cs="Arial"/>
          <w:sz w:val="24"/>
        </w:rPr>
        <w:t xml:space="preserve">Dicha calificación </w:t>
      </w:r>
      <w:r w:rsidRPr="007872C8">
        <w:rPr>
          <w:rFonts w:ascii="Arial" w:hAnsi="Arial" w:cs="Arial"/>
          <w:sz w:val="24"/>
        </w:rPr>
        <w:t>(</w:t>
      </w:r>
      <w:r w:rsidRPr="00BD4EFB">
        <w:rPr>
          <w:rFonts w:ascii="Arial" w:hAnsi="Arial" w:cs="Arial"/>
          <w:sz w:val="24"/>
        </w:rPr>
        <w:t>HR BBB-),</w:t>
      </w:r>
      <w:r w:rsidRPr="009D7914">
        <w:rPr>
          <w:rFonts w:ascii="Arial" w:hAnsi="Arial" w:cs="Arial"/>
          <w:sz w:val="24"/>
        </w:rPr>
        <w:t xml:space="preserve"> </w:t>
      </w:r>
      <w:r>
        <w:rPr>
          <w:rFonts w:ascii="Arial" w:hAnsi="Arial" w:cs="Arial"/>
          <w:sz w:val="24"/>
        </w:rPr>
        <w:t xml:space="preserve">significa que Colima ofrece moderada seguridad para el pago oportuno de obligaciones de deuda, mantiene moderado riesgo </w:t>
      </w:r>
      <w:r w:rsidRPr="009D7914">
        <w:rPr>
          <w:rFonts w:ascii="Arial" w:hAnsi="Arial" w:cs="Arial"/>
          <w:sz w:val="24"/>
        </w:rPr>
        <w:t xml:space="preserve">crediticio, con debilidad en la capacidad de pago ante cambios económicos adversos. </w:t>
      </w:r>
    </w:p>
    <w:p w:rsidR="001876E4" w:rsidRPr="009D7914" w:rsidRDefault="001876E4" w:rsidP="001876E4">
      <w:pPr>
        <w:spacing w:after="0" w:line="240" w:lineRule="auto"/>
        <w:jc w:val="both"/>
        <w:rPr>
          <w:rFonts w:ascii="Arial" w:hAnsi="Arial" w:cs="Arial"/>
          <w:sz w:val="24"/>
        </w:rPr>
      </w:pPr>
    </w:p>
    <w:p w:rsidR="001876E4" w:rsidRDefault="001876E4" w:rsidP="001876E4">
      <w:pPr>
        <w:spacing w:after="0" w:line="240" w:lineRule="auto"/>
        <w:jc w:val="both"/>
        <w:rPr>
          <w:rFonts w:ascii="Arial" w:hAnsi="Arial" w:cs="Arial"/>
          <w:sz w:val="24"/>
        </w:rPr>
      </w:pPr>
      <w:r w:rsidRPr="00BD4EFB">
        <w:rPr>
          <w:rFonts w:ascii="Arial" w:hAnsi="Arial" w:cs="Arial"/>
          <w:sz w:val="24"/>
        </w:rPr>
        <w:t>En síntesis</w:t>
      </w:r>
      <w:r w:rsidRPr="00BD4EFB">
        <w:rPr>
          <w:rFonts w:ascii="Arial" w:hAnsi="Arial" w:cs="Arial"/>
          <w:b/>
          <w:sz w:val="24"/>
        </w:rPr>
        <w:t>,</w:t>
      </w:r>
      <w:r w:rsidRPr="009D7914">
        <w:rPr>
          <w:rFonts w:ascii="Arial" w:hAnsi="Arial" w:cs="Arial"/>
          <w:sz w:val="24"/>
        </w:rPr>
        <w:t xml:space="preserve"> </w:t>
      </w:r>
      <w:r>
        <w:rPr>
          <w:rFonts w:ascii="Arial" w:hAnsi="Arial" w:cs="Arial"/>
          <w:sz w:val="24"/>
        </w:rPr>
        <w:t>las calificaciones crediticias emitidas por las precitadas agencia</w:t>
      </w:r>
      <w:r w:rsidRPr="009D7914">
        <w:rPr>
          <w:rFonts w:ascii="Arial" w:hAnsi="Arial" w:cs="Arial"/>
          <w:sz w:val="24"/>
        </w:rPr>
        <w:t>s</w:t>
      </w:r>
      <w:r>
        <w:rPr>
          <w:rFonts w:ascii="Arial" w:hAnsi="Arial" w:cs="Arial"/>
          <w:sz w:val="24"/>
        </w:rPr>
        <w:t xml:space="preserve">, muestran un mejor desempeño de las finanzas públicas estatales, y evidencian </w:t>
      </w:r>
      <w:r w:rsidRPr="004A37ED">
        <w:rPr>
          <w:rFonts w:ascii="Arial" w:hAnsi="Arial" w:cs="Arial"/>
          <w:sz w:val="24"/>
        </w:rPr>
        <w:t>el fortalecimiento en su posición de liquidez</w:t>
      </w:r>
      <w:r>
        <w:rPr>
          <w:rFonts w:ascii="Arial" w:hAnsi="Arial" w:cs="Arial"/>
          <w:sz w:val="24"/>
        </w:rPr>
        <w:t xml:space="preserve">, haciendo sostenible el pago de las obligaciones de los financiamientos vigentes. </w:t>
      </w:r>
    </w:p>
    <w:p w:rsidR="001876E4" w:rsidRDefault="001876E4" w:rsidP="001876E4">
      <w:pPr>
        <w:spacing w:after="0" w:line="240" w:lineRule="auto"/>
        <w:jc w:val="both"/>
        <w:rPr>
          <w:rFonts w:ascii="Arial" w:hAnsi="Arial" w:cs="Arial"/>
          <w:sz w:val="24"/>
        </w:rPr>
      </w:pPr>
    </w:p>
    <w:p w:rsidR="001876E4" w:rsidRDefault="001876E4" w:rsidP="001876E4">
      <w:pPr>
        <w:spacing w:after="0" w:line="240" w:lineRule="auto"/>
        <w:rPr>
          <w:rFonts w:ascii="Arial" w:hAnsi="Arial" w:cs="Arial"/>
          <w:b/>
          <w:sz w:val="24"/>
          <w:szCs w:val="24"/>
        </w:rPr>
      </w:pPr>
      <w:r w:rsidRPr="006C22C4">
        <w:rPr>
          <w:rFonts w:ascii="Arial" w:hAnsi="Arial" w:cs="Arial"/>
          <w:b/>
          <w:sz w:val="24"/>
          <w:szCs w:val="24"/>
        </w:rPr>
        <w:t xml:space="preserve">Índice de Información Presupuestal Estatal </w:t>
      </w:r>
      <w:r>
        <w:rPr>
          <w:rFonts w:ascii="Arial" w:hAnsi="Arial" w:cs="Arial"/>
          <w:b/>
          <w:sz w:val="24"/>
          <w:szCs w:val="24"/>
        </w:rPr>
        <w:t>2017</w:t>
      </w:r>
      <w:r w:rsidRPr="006C22C4">
        <w:rPr>
          <w:rFonts w:ascii="Arial" w:hAnsi="Arial" w:cs="Arial"/>
          <w:b/>
          <w:sz w:val="24"/>
          <w:szCs w:val="24"/>
        </w:rPr>
        <w:t xml:space="preserve"> (IIPE)</w:t>
      </w:r>
    </w:p>
    <w:p w:rsidR="001876E4" w:rsidRPr="001C7976" w:rsidRDefault="001876E4" w:rsidP="001876E4">
      <w:pPr>
        <w:spacing w:after="0" w:line="240" w:lineRule="auto"/>
        <w:rPr>
          <w:rFonts w:ascii="Arial" w:hAnsi="Arial" w:cs="Arial"/>
        </w:rPr>
      </w:pPr>
    </w:p>
    <w:p w:rsidR="001876E4" w:rsidRDefault="001876E4" w:rsidP="001876E4">
      <w:pPr>
        <w:spacing w:after="0" w:line="240" w:lineRule="auto"/>
        <w:jc w:val="both"/>
        <w:rPr>
          <w:rFonts w:ascii="Arial" w:hAnsi="Arial" w:cs="Arial"/>
          <w:sz w:val="24"/>
          <w:szCs w:val="24"/>
        </w:rPr>
      </w:pPr>
      <w:r w:rsidRPr="006C22C4">
        <w:rPr>
          <w:rFonts w:ascii="Arial" w:hAnsi="Arial" w:cs="Arial"/>
          <w:sz w:val="24"/>
          <w:szCs w:val="24"/>
        </w:rPr>
        <w:t xml:space="preserve">La transparencia presupuestal </w:t>
      </w:r>
      <w:r>
        <w:rPr>
          <w:rFonts w:ascii="Arial" w:hAnsi="Arial" w:cs="Arial"/>
          <w:sz w:val="24"/>
          <w:szCs w:val="24"/>
        </w:rPr>
        <w:t>(</w:t>
      </w:r>
      <w:r w:rsidRPr="006C22C4">
        <w:rPr>
          <w:rFonts w:ascii="Arial" w:hAnsi="Arial" w:cs="Arial"/>
          <w:sz w:val="24"/>
          <w:szCs w:val="24"/>
        </w:rPr>
        <w:t>saber cuánto, cómo y en qué s</w:t>
      </w:r>
      <w:r>
        <w:rPr>
          <w:rFonts w:ascii="Arial" w:hAnsi="Arial" w:cs="Arial"/>
          <w:sz w:val="24"/>
          <w:szCs w:val="24"/>
        </w:rPr>
        <w:t>e va a gastar el dinero público)</w:t>
      </w:r>
      <w:r w:rsidRPr="006C22C4">
        <w:rPr>
          <w:rFonts w:ascii="Arial" w:hAnsi="Arial" w:cs="Arial"/>
          <w:sz w:val="24"/>
          <w:szCs w:val="24"/>
        </w:rPr>
        <w:t xml:space="preserve"> es fundamental para crear confianza entre los ciudadanos y el gobierno. Con una buena planeación, los estados pueden adoptar una forma estructurada y clara de mostrar al ciudadano el uso de los recursos públicos.</w:t>
      </w:r>
    </w:p>
    <w:p w:rsidR="001876E4" w:rsidRPr="006C22C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6C22C4">
        <w:rPr>
          <w:rFonts w:ascii="Arial" w:hAnsi="Arial" w:cs="Arial"/>
          <w:sz w:val="24"/>
          <w:szCs w:val="24"/>
        </w:rPr>
        <w:t xml:space="preserve">Desde 2008, </w:t>
      </w:r>
      <w:r>
        <w:rPr>
          <w:rFonts w:ascii="Arial" w:hAnsi="Arial" w:cs="Arial"/>
          <w:b/>
          <w:sz w:val="24"/>
          <w:szCs w:val="24"/>
        </w:rPr>
        <w:t>e</w:t>
      </w:r>
      <w:r w:rsidRPr="00BF5A6B">
        <w:rPr>
          <w:rFonts w:ascii="Arial" w:hAnsi="Arial" w:cs="Arial"/>
          <w:b/>
          <w:sz w:val="24"/>
          <w:szCs w:val="24"/>
        </w:rPr>
        <w:t>l</w:t>
      </w:r>
      <w:r>
        <w:rPr>
          <w:rFonts w:ascii="Arial" w:hAnsi="Arial" w:cs="Arial"/>
          <w:sz w:val="24"/>
          <w:szCs w:val="24"/>
        </w:rPr>
        <w:t xml:space="preserve"> </w:t>
      </w:r>
      <w:r w:rsidRPr="006C22C4">
        <w:rPr>
          <w:rFonts w:ascii="Arial" w:hAnsi="Arial" w:cs="Arial"/>
          <w:b/>
          <w:sz w:val="24"/>
          <w:szCs w:val="24"/>
        </w:rPr>
        <w:t>Instituto Mexicano para la Competitividad (IMCO</w:t>
      </w:r>
      <w:r w:rsidRPr="00BF5A6B">
        <w:rPr>
          <w:rFonts w:ascii="Arial" w:hAnsi="Arial" w:cs="Arial"/>
          <w:b/>
          <w:sz w:val="24"/>
          <w:szCs w:val="24"/>
        </w:rPr>
        <w:t>)</w:t>
      </w:r>
      <w:r w:rsidRPr="006C22C4">
        <w:rPr>
          <w:rFonts w:ascii="Arial" w:hAnsi="Arial" w:cs="Arial"/>
          <w:sz w:val="24"/>
          <w:szCs w:val="24"/>
        </w:rPr>
        <w:t xml:space="preserve"> evalúa la calidad de la información presupuestal de los estados sobre la base de un catálogo de buenas prácticas.</w:t>
      </w:r>
    </w:p>
    <w:p w:rsidR="001876E4" w:rsidRPr="006C22C4" w:rsidRDefault="001876E4" w:rsidP="001876E4">
      <w:pPr>
        <w:spacing w:after="0" w:line="240" w:lineRule="auto"/>
        <w:jc w:val="both"/>
        <w:rPr>
          <w:rFonts w:ascii="Arial" w:hAnsi="Arial" w:cs="Arial"/>
          <w:sz w:val="24"/>
          <w:szCs w:val="24"/>
        </w:rPr>
      </w:pPr>
    </w:p>
    <w:p w:rsidR="001876E4" w:rsidRPr="006C22C4" w:rsidRDefault="001876E4" w:rsidP="001876E4">
      <w:pPr>
        <w:spacing w:after="0" w:line="240" w:lineRule="auto"/>
        <w:jc w:val="both"/>
        <w:rPr>
          <w:rFonts w:ascii="Arial" w:hAnsi="Arial" w:cs="Arial"/>
          <w:sz w:val="24"/>
          <w:szCs w:val="24"/>
        </w:rPr>
      </w:pPr>
      <w:r w:rsidRPr="006C22C4">
        <w:rPr>
          <w:rFonts w:ascii="Arial" w:hAnsi="Arial" w:cs="Arial"/>
          <w:sz w:val="24"/>
          <w:szCs w:val="24"/>
        </w:rPr>
        <w:t xml:space="preserve">El </w:t>
      </w:r>
      <w:r>
        <w:rPr>
          <w:rFonts w:ascii="Arial" w:hAnsi="Arial" w:cs="Arial"/>
          <w:sz w:val="24"/>
          <w:szCs w:val="24"/>
        </w:rPr>
        <w:t>IIPE</w:t>
      </w:r>
      <w:r w:rsidRPr="006C22C4">
        <w:rPr>
          <w:rFonts w:ascii="Arial" w:hAnsi="Arial" w:cs="Arial"/>
          <w:sz w:val="24"/>
          <w:szCs w:val="24"/>
        </w:rPr>
        <w:t>, se realiza mediante un estudio que mide de forma anual la calidad de la información presupuestal de las entidades federativas, verifica el cumplimiento de las obligaciones de contabilidad gubernamental, fomenta una serie de buenas prácticas contables y tiene como propósito eliminar condiciones de opacidad en el manejo de los recursos públicos estatales.</w:t>
      </w:r>
    </w:p>
    <w:p w:rsidR="001876E4" w:rsidRPr="00E80611" w:rsidRDefault="001876E4" w:rsidP="001876E4">
      <w:pPr>
        <w:spacing w:after="0" w:line="240" w:lineRule="auto"/>
        <w:jc w:val="both"/>
        <w:rPr>
          <w:rFonts w:ascii="Arial" w:hAnsi="Arial" w:cs="Arial"/>
          <w:b/>
          <w:sz w:val="24"/>
          <w:szCs w:val="24"/>
        </w:rPr>
      </w:pPr>
      <w:r w:rsidRPr="00E80611">
        <w:rPr>
          <w:rFonts w:ascii="Arial" w:hAnsi="Arial" w:cs="Arial"/>
          <w:b/>
          <w:sz w:val="24"/>
          <w:szCs w:val="24"/>
        </w:rPr>
        <w:lastRenderedPageBreak/>
        <w:t>En su edición correspondiente a 2017, Colima se posiciona en Primera Posición Nacional, conjuntamente con los estados de Puebla, Chihuahua, Coahuila, Baja California y Jalisco.</w:t>
      </w:r>
    </w:p>
    <w:p w:rsidR="001876E4" w:rsidRPr="006C22C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7B0D54">
        <w:rPr>
          <w:rFonts w:ascii="Arial" w:hAnsi="Arial" w:cs="Arial"/>
          <w:sz w:val="24"/>
          <w:szCs w:val="24"/>
        </w:rPr>
        <w:t>Con resp</w:t>
      </w:r>
      <w:r>
        <w:rPr>
          <w:rFonts w:ascii="Arial" w:hAnsi="Arial" w:cs="Arial"/>
          <w:sz w:val="24"/>
          <w:szCs w:val="24"/>
        </w:rPr>
        <w:t>ecto al IIPE 2016, escalamos 8 p</w:t>
      </w:r>
      <w:r w:rsidRPr="007B0D54">
        <w:rPr>
          <w:rFonts w:ascii="Arial" w:hAnsi="Arial" w:cs="Arial"/>
          <w:sz w:val="24"/>
          <w:szCs w:val="24"/>
        </w:rPr>
        <w:t>osiciones al pasar del Noveno lugar Nacional, al Primero, junto con dichos estados.</w:t>
      </w:r>
    </w:p>
    <w:p w:rsidR="001876E4" w:rsidRPr="007B0D5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7B0D54">
        <w:rPr>
          <w:rFonts w:ascii="Arial" w:hAnsi="Arial" w:cs="Arial"/>
          <w:sz w:val="24"/>
          <w:szCs w:val="24"/>
        </w:rPr>
        <w:t>En 2017 cumplimos el 100 por ciento de los 116 criterios que aplica el IMCO en la medición de dicho Índice.</w:t>
      </w:r>
    </w:p>
    <w:p w:rsidR="001876E4" w:rsidRPr="007B0D5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Pr>
          <w:rFonts w:ascii="Arial" w:hAnsi="Arial" w:cs="Arial"/>
          <w:sz w:val="24"/>
          <w:szCs w:val="24"/>
        </w:rPr>
        <w:t xml:space="preserve">Con logros como este, </w:t>
      </w:r>
      <w:r w:rsidRPr="007B0D54">
        <w:rPr>
          <w:rFonts w:ascii="Arial" w:hAnsi="Arial" w:cs="Arial"/>
          <w:sz w:val="24"/>
          <w:szCs w:val="24"/>
        </w:rPr>
        <w:t>el Gobierno del Estado, pone de manifiesto su especial interés en adoptar las mejores prácticas en materia de administración, transparencia y rendición de cuentas a la sociedad sobre el origen y destino de los recursos públicos.</w:t>
      </w:r>
    </w:p>
    <w:p w:rsidR="001876E4" w:rsidRPr="00545EA8" w:rsidRDefault="001876E4" w:rsidP="001876E4">
      <w:pPr>
        <w:spacing w:after="0" w:line="240" w:lineRule="auto"/>
        <w:jc w:val="both"/>
        <w:rPr>
          <w:rFonts w:ascii="Arial" w:hAnsi="Arial" w:cs="Arial"/>
          <w:sz w:val="24"/>
          <w:szCs w:val="24"/>
          <w:highlight w:val="yellow"/>
        </w:rPr>
      </w:pPr>
    </w:p>
    <w:p w:rsidR="001876E4" w:rsidRDefault="001876E4" w:rsidP="001876E4">
      <w:pPr>
        <w:spacing w:line="240" w:lineRule="auto"/>
        <w:jc w:val="center"/>
        <w:rPr>
          <w:rFonts w:ascii="Arial" w:hAnsi="Arial" w:cs="Arial"/>
          <w:b/>
          <w:strike/>
          <w:sz w:val="24"/>
          <w:szCs w:val="24"/>
        </w:rPr>
      </w:pPr>
      <w:r>
        <w:rPr>
          <w:noProof/>
          <w:lang w:val="es-ES" w:eastAsia="es-ES"/>
        </w:rPr>
        <w:drawing>
          <wp:inline distT="0" distB="0" distL="0" distR="0" wp14:anchorId="06775DDC" wp14:editId="2C587D04">
            <wp:extent cx="5282401" cy="3987800"/>
            <wp:effectExtent l="19050" t="19050" r="13970" b="1270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1" cstate="print"/>
                    <a:srcRect r="15904" b="14467"/>
                    <a:stretch/>
                  </pic:blipFill>
                  <pic:spPr>
                    <a:xfrm>
                      <a:off x="0" y="0"/>
                      <a:ext cx="5310062" cy="4008682"/>
                    </a:xfrm>
                    <a:prstGeom prst="rect">
                      <a:avLst/>
                    </a:prstGeom>
                    <a:ln>
                      <a:solidFill>
                        <a:schemeClr val="tx1"/>
                      </a:solidFill>
                    </a:ln>
                  </pic:spPr>
                </pic:pic>
              </a:graphicData>
            </a:graphic>
          </wp:inline>
        </w:drawing>
      </w:r>
    </w:p>
    <w:p w:rsidR="001876E4" w:rsidRDefault="001876E4" w:rsidP="001876E4">
      <w:pPr>
        <w:spacing w:line="240" w:lineRule="auto"/>
        <w:jc w:val="center"/>
        <w:rPr>
          <w:rFonts w:ascii="Arial" w:hAnsi="Arial" w:cs="Arial"/>
          <w:b/>
          <w:strike/>
          <w:sz w:val="24"/>
          <w:szCs w:val="24"/>
        </w:rPr>
      </w:pPr>
    </w:p>
    <w:p w:rsidR="001876E4" w:rsidRPr="00E80611" w:rsidRDefault="001876E4" w:rsidP="001876E4">
      <w:pPr>
        <w:spacing w:after="0" w:line="240" w:lineRule="auto"/>
        <w:jc w:val="both"/>
        <w:rPr>
          <w:rFonts w:ascii="Arial" w:hAnsi="Arial" w:cs="Arial"/>
          <w:b/>
          <w:strike/>
          <w:sz w:val="24"/>
          <w:szCs w:val="24"/>
          <w:highlight w:val="yellow"/>
        </w:rPr>
      </w:pPr>
      <w:r w:rsidRPr="007B0D54">
        <w:rPr>
          <w:rFonts w:ascii="Arial" w:eastAsia="Times New Roman" w:hAnsi="Arial" w:cs="Arial"/>
          <w:b/>
          <w:color w:val="000000"/>
          <w:sz w:val="24"/>
          <w:szCs w:val="24"/>
          <w:lang w:eastAsia="es-ES"/>
        </w:rPr>
        <w:lastRenderedPageBreak/>
        <w:t xml:space="preserve">2.4.2. </w:t>
      </w:r>
      <w:r w:rsidRPr="007B0D54">
        <w:rPr>
          <w:rFonts w:ascii="Arial" w:hAnsi="Arial" w:cs="Arial"/>
          <w:b/>
          <w:sz w:val="24"/>
          <w:szCs w:val="24"/>
        </w:rPr>
        <w:t>Resultados de los Ingresos y de los Egresos en formatos emitidos por el Consejo Nacional de Armonización Contable (CONAC)</w:t>
      </w:r>
      <w:r>
        <w:rPr>
          <w:rFonts w:ascii="Arial" w:hAnsi="Arial" w:cs="Arial"/>
          <w:b/>
          <w:sz w:val="24"/>
          <w:szCs w:val="24"/>
        </w:rPr>
        <w:t>.</w:t>
      </w:r>
    </w:p>
    <w:p w:rsidR="001876E4" w:rsidRDefault="001876E4" w:rsidP="001876E4">
      <w:pPr>
        <w:spacing w:after="0" w:line="240" w:lineRule="auto"/>
        <w:rPr>
          <w:rFonts w:ascii="Arial" w:hAnsi="Arial" w:cs="Arial"/>
          <w:sz w:val="24"/>
          <w:szCs w:val="24"/>
          <w:highlight w:val="yellow"/>
        </w:rPr>
      </w:pPr>
    </w:p>
    <w:p w:rsidR="001876E4" w:rsidRDefault="001876E4" w:rsidP="001876E4">
      <w:pPr>
        <w:spacing w:line="240" w:lineRule="auto"/>
        <w:jc w:val="center"/>
        <w:rPr>
          <w:rFonts w:ascii="Arial" w:hAnsi="Arial" w:cs="Arial"/>
          <w:sz w:val="24"/>
          <w:szCs w:val="24"/>
          <w:highlight w:val="yellow"/>
        </w:rPr>
      </w:pPr>
      <w:r w:rsidRPr="00181DB2">
        <w:rPr>
          <w:noProof/>
          <w:lang w:val="es-ES" w:eastAsia="es-ES"/>
        </w:rPr>
        <w:drawing>
          <wp:inline distT="0" distB="0" distL="0" distR="0" wp14:anchorId="59C0CFDA" wp14:editId="54F2D063">
            <wp:extent cx="5609999" cy="602548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5637" cy="6042284"/>
                    </a:xfrm>
                    <a:prstGeom prst="rect">
                      <a:avLst/>
                    </a:prstGeom>
                    <a:noFill/>
                    <a:ln>
                      <a:noFill/>
                    </a:ln>
                  </pic:spPr>
                </pic:pic>
              </a:graphicData>
            </a:graphic>
          </wp:inline>
        </w:drawing>
      </w:r>
    </w:p>
    <w:p w:rsidR="001876E4" w:rsidRPr="00F8671B" w:rsidRDefault="001876E4" w:rsidP="001876E4">
      <w:pPr>
        <w:spacing w:line="240" w:lineRule="auto"/>
        <w:rPr>
          <w:rFonts w:ascii="Arial" w:hAnsi="Arial" w:cs="Arial"/>
          <w:sz w:val="24"/>
          <w:szCs w:val="24"/>
          <w:highlight w:val="yellow"/>
        </w:rPr>
      </w:pPr>
    </w:p>
    <w:p w:rsidR="001876E4" w:rsidRDefault="001876E4" w:rsidP="001876E4">
      <w:pPr>
        <w:spacing w:after="0" w:line="240" w:lineRule="auto"/>
        <w:jc w:val="center"/>
        <w:rPr>
          <w:rFonts w:ascii="Arial" w:hAnsi="Arial" w:cs="Arial"/>
          <w:sz w:val="24"/>
          <w:szCs w:val="24"/>
          <w:highlight w:val="yellow"/>
        </w:rPr>
      </w:pPr>
      <w:r w:rsidRPr="00181DB2">
        <w:rPr>
          <w:noProof/>
          <w:lang w:val="es-ES" w:eastAsia="es-ES"/>
        </w:rPr>
        <w:lastRenderedPageBreak/>
        <w:drawing>
          <wp:inline distT="0" distB="0" distL="0" distR="0" wp14:anchorId="023138EA" wp14:editId="35611F68">
            <wp:extent cx="5609590" cy="52680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9506" cy="5286739"/>
                    </a:xfrm>
                    <a:prstGeom prst="rect">
                      <a:avLst/>
                    </a:prstGeom>
                    <a:noFill/>
                    <a:ln>
                      <a:noFill/>
                    </a:ln>
                  </pic:spPr>
                </pic:pic>
              </a:graphicData>
            </a:graphic>
          </wp:inline>
        </w:drawing>
      </w:r>
    </w:p>
    <w:p w:rsidR="001876E4" w:rsidRDefault="001876E4" w:rsidP="001876E4">
      <w:pPr>
        <w:spacing w:after="0" w:line="240" w:lineRule="auto"/>
        <w:rPr>
          <w:rFonts w:ascii="Arial" w:hAnsi="Arial" w:cs="Arial"/>
          <w:sz w:val="24"/>
          <w:szCs w:val="24"/>
          <w:highlight w:val="yellow"/>
        </w:rPr>
      </w:pPr>
    </w:p>
    <w:p w:rsidR="001876E4" w:rsidRDefault="001876E4" w:rsidP="001876E4">
      <w:pPr>
        <w:spacing w:after="0" w:line="240" w:lineRule="auto"/>
        <w:jc w:val="both"/>
        <w:rPr>
          <w:rFonts w:ascii="Arial" w:hAnsi="Arial" w:cs="Arial"/>
          <w:b/>
          <w:sz w:val="24"/>
          <w:szCs w:val="24"/>
        </w:rPr>
      </w:pPr>
      <w:r w:rsidRPr="00D9667B">
        <w:rPr>
          <w:rFonts w:ascii="Arial" w:hAnsi="Arial" w:cs="Arial"/>
          <w:b/>
          <w:sz w:val="24"/>
          <w:szCs w:val="24"/>
        </w:rPr>
        <w:t>2.5. RESUMEN DE ESTUDIO ACTUARIAL DE LAS PENSIONES DE LOS TRABAJADORES.</w:t>
      </w:r>
    </w:p>
    <w:p w:rsidR="001876E4" w:rsidRPr="00545EA8"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En acatamiento en lo establecido en el artículo 5º de la Ley de Disciplina Financiera de las entidades Federativas y los Municipios, a continuación, se presenta el formato 8) Informe sobre Estudios Actuariales - LDF aprobado por el CONAC</w:t>
      </w:r>
      <w:r>
        <w:rPr>
          <w:rFonts w:ascii="Arial" w:hAnsi="Arial" w:cs="Arial"/>
          <w:sz w:val="24"/>
          <w:szCs w:val="24"/>
        </w:rPr>
        <w:t>.</w:t>
      </w:r>
    </w:p>
    <w:p w:rsidR="001876E4" w:rsidRPr="00D9667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lastRenderedPageBreak/>
        <w:t>El Estudio incluye la población afiliada, la edad promedio, las características de las prestaciones otorgadas por la Ley Aplicable, el monto de reservas de pensiones, así como el periodo de suficiencia y el Balance Actuarial en valor presente.</w:t>
      </w:r>
    </w:p>
    <w:p w:rsidR="001876E4" w:rsidRPr="00D9667B" w:rsidRDefault="001876E4" w:rsidP="001876E4">
      <w:pPr>
        <w:spacing w:after="0" w:line="240" w:lineRule="auto"/>
        <w:jc w:val="both"/>
        <w:rPr>
          <w:rFonts w:ascii="Arial" w:hAnsi="Arial" w:cs="Arial"/>
          <w:sz w:val="24"/>
          <w:szCs w:val="24"/>
        </w:rPr>
      </w:pPr>
    </w:p>
    <w:p w:rsidR="001876E4" w:rsidRPr="00F8671B" w:rsidRDefault="001876E4" w:rsidP="001876E4">
      <w:pPr>
        <w:pStyle w:val="Texto"/>
        <w:spacing w:after="0" w:line="240" w:lineRule="auto"/>
        <w:ind w:firstLine="0"/>
        <w:rPr>
          <w:sz w:val="20"/>
          <w:highlight w:val="yellow"/>
          <w:u w:val="single"/>
        </w:rPr>
      </w:pPr>
      <w:r w:rsidRPr="00A75F5F">
        <w:rPr>
          <w:noProof/>
        </w:rPr>
        <w:drawing>
          <wp:inline distT="0" distB="0" distL="0" distR="0" wp14:anchorId="69FEADAD" wp14:editId="6A59AEF8">
            <wp:extent cx="5611757" cy="5534025"/>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4750" cy="5536977"/>
                    </a:xfrm>
                    <a:prstGeom prst="rect">
                      <a:avLst/>
                    </a:prstGeom>
                    <a:noFill/>
                    <a:ln>
                      <a:noFill/>
                    </a:ln>
                  </pic:spPr>
                </pic:pic>
              </a:graphicData>
            </a:graphic>
          </wp:inline>
        </w:drawing>
      </w:r>
    </w:p>
    <w:p w:rsidR="001876E4" w:rsidRPr="00F8671B" w:rsidRDefault="001876E4" w:rsidP="001876E4">
      <w:pPr>
        <w:pStyle w:val="Texto"/>
        <w:spacing w:after="0" w:line="240" w:lineRule="auto"/>
        <w:ind w:firstLine="0"/>
        <w:rPr>
          <w:sz w:val="20"/>
          <w:highlight w:val="yellow"/>
          <w:u w:val="single"/>
        </w:rPr>
      </w:pPr>
    </w:p>
    <w:p w:rsidR="001876E4" w:rsidRDefault="001876E4" w:rsidP="001876E4">
      <w:pPr>
        <w:spacing w:after="0" w:line="240" w:lineRule="auto"/>
        <w:jc w:val="both"/>
        <w:rPr>
          <w:noProof/>
          <w:lang w:val="es-ES" w:eastAsia="es-ES"/>
        </w:rPr>
      </w:pPr>
    </w:p>
    <w:p w:rsidR="001876E4" w:rsidRDefault="001876E4" w:rsidP="001876E4">
      <w:pPr>
        <w:spacing w:after="0" w:line="240" w:lineRule="auto"/>
        <w:jc w:val="both"/>
        <w:rPr>
          <w:rFonts w:ascii="Arial" w:hAnsi="Arial" w:cs="Arial"/>
          <w:sz w:val="24"/>
          <w:szCs w:val="24"/>
          <w:highlight w:val="yellow"/>
          <w:lang w:val="es-ES"/>
        </w:rPr>
      </w:pPr>
      <w:r w:rsidRPr="00A75F5F">
        <w:rPr>
          <w:noProof/>
          <w:lang w:val="es-ES" w:eastAsia="es-ES"/>
        </w:rPr>
        <w:lastRenderedPageBreak/>
        <w:drawing>
          <wp:inline distT="0" distB="0" distL="0" distR="0" wp14:anchorId="0D9A5A3B" wp14:editId="75843FC1">
            <wp:extent cx="5611918" cy="3962400"/>
            <wp:effectExtent l="0" t="0" r="825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3399" cy="3963446"/>
                    </a:xfrm>
                    <a:prstGeom prst="rect">
                      <a:avLst/>
                    </a:prstGeom>
                    <a:noFill/>
                    <a:ln>
                      <a:noFill/>
                    </a:ln>
                  </pic:spPr>
                </pic:pic>
              </a:graphicData>
            </a:graphic>
          </wp:inline>
        </w:drawing>
      </w:r>
    </w:p>
    <w:p w:rsidR="001876E4" w:rsidRPr="00F8671B" w:rsidRDefault="001876E4" w:rsidP="001876E4">
      <w:pPr>
        <w:spacing w:after="0" w:line="240" w:lineRule="auto"/>
        <w:jc w:val="both"/>
        <w:rPr>
          <w:rFonts w:ascii="Arial" w:hAnsi="Arial" w:cs="Arial"/>
          <w:sz w:val="24"/>
          <w:szCs w:val="24"/>
          <w:highlight w:val="yellow"/>
          <w:lang w:val="es-ES"/>
        </w:rPr>
      </w:pPr>
    </w:p>
    <w:p w:rsidR="001876E4" w:rsidRPr="00963DE8" w:rsidRDefault="001876E4" w:rsidP="001876E4">
      <w:pPr>
        <w:spacing w:after="0" w:line="240" w:lineRule="auto"/>
        <w:jc w:val="both"/>
        <w:rPr>
          <w:rFonts w:ascii="Arial" w:hAnsi="Arial" w:cs="Arial"/>
          <w:sz w:val="24"/>
          <w:szCs w:val="24"/>
        </w:rPr>
      </w:pPr>
      <w:r w:rsidRPr="00963DE8">
        <w:rPr>
          <w:rFonts w:ascii="Arial" w:hAnsi="Arial" w:cs="Arial"/>
          <w:sz w:val="24"/>
          <w:szCs w:val="24"/>
        </w:rPr>
        <w:t>El resultado del estudio actuarial con corte al 31 de octubre de 2016, destaca lo siguiente:</w:t>
      </w:r>
    </w:p>
    <w:p w:rsidR="001876E4" w:rsidRPr="00963DE8" w:rsidRDefault="001876E4" w:rsidP="001876E4">
      <w:pPr>
        <w:spacing w:after="0" w:line="240" w:lineRule="auto"/>
        <w:jc w:val="both"/>
        <w:rPr>
          <w:rFonts w:ascii="Arial" w:hAnsi="Arial" w:cs="Arial"/>
          <w:sz w:val="24"/>
          <w:szCs w:val="24"/>
        </w:rPr>
      </w:pPr>
    </w:p>
    <w:p w:rsidR="001876E4" w:rsidRPr="00963DE8" w:rsidRDefault="001876E4" w:rsidP="001876E4">
      <w:pPr>
        <w:spacing w:after="0" w:line="240" w:lineRule="auto"/>
        <w:jc w:val="both"/>
        <w:rPr>
          <w:rFonts w:ascii="Arial" w:hAnsi="Arial" w:cs="Arial"/>
          <w:sz w:val="40"/>
          <w:szCs w:val="40"/>
        </w:rPr>
      </w:pPr>
      <w:r w:rsidRPr="00963DE8">
        <w:rPr>
          <w:rFonts w:ascii="Arial" w:hAnsi="Arial" w:cs="Arial"/>
          <w:sz w:val="24"/>
          <w:szCs w:val="24"/>
        </w:rPr>
        <w:t xml:space="preserve">Debido a que las prestaciones económicas que otorga la Ley de Pensiones del </w:t>
      </w:r>
      <w:r>
        <w:rPr>
          <w:rFonts w:ascii="Arial" w:hAnsi="Arial" w:cs="Arial"/>
          <w:sz w:val="24"/>
          <w:szCs w:val="24"/>
        </w:rPr>
        <w:t>Estado de Colima</w:t>
      </w:r>
      <w:r w:rsidRPr="00963DE8">
        <w:rPr>
          <w:rFonts w:ascii="Arial" w:hAnsi="Arial" w:cs="Arial"/>
          <w:sz w:val="24"/>
          <w:szCs w:val="24"/>
        </w:rPr>
        <w:t>, dependen de alguna contingencia, es necesario utilizar técnicas actuariales que por medio de hipótesis de muerte, invalidez, y rotación, así como de rendimientos bancarios, incrementos saláriales, etc., nos permitan encontrar los ingresos, egresos y saldos del fondo de Prestaciones Económicas, durante los próximos 100 años (170 años para pasivos contingentes), de la manera más aproximada posible.</w:t>
      </w:r>
    </w:p>
    <w:p w:rsidR="001876E4" w:rsidRPr="00963DE8" w:rsidRDefault="001876E4" w:rsidP="001876E4">
      <w:pPr>
        <w:spacing w:after="0" w:line="240" w:lineRule="auto"/>
        <w:jc w:val="both"/>
        <w:rPr>
          <w:rFonts w:ascii="Arial" w:hAnsi="Arial" w:cs="Arial"/>
          <w:sz w:val="24"/>
          <w:szCs w:val="24"/>
        </w:rPr>
      </w:pPr>
    </w:p>
    <w:p w:rsidR="001876E4" w:rsidRPr="00963DE8" w:rsidRDefault="001876E4" w:rsidP="001876E4">
      <w:pPr>
        <w:spacing w:after="0" w:line="240" w:lineRule="auto"/>
        <w:jc w:val="both"/>
        <w:rPr>
          <w:rFonts w:ascii="Arial" w:hAnsi="Arial" w:cs="Arial"/>
          <w:sz w:val="24"/>
          <w:szCs w:val="24"/>
        </w:rPr>
      </w:pPr>
      <w:r w:rsidRPr="00963DE8">
        <w:rPr>
          <w:rFonts w:ascii="Arial" w:hAnsi="Arial" w:cs="Arial"/>
          <w:sz w:val="24"/>
          <w:szCs w:val="24"/>
        </w:rPr>
        <w:t>El cálculo actuarial es la única técnica que determina el costo actual y futuro de las obligaciones del área de prestaciones económicas, proporcionando una amplia información que deberá considerarse como fundamental para definir el rumbo del Esquema de Seguridad Social, de la manera más aproximada posible.</w:t>
      </w:r>
    </w:p>
    <w:p w:rsidR="001876E4" w:rsidRPr="00963DE8" w:rsidRDefault="001876E4" w:rsidP="001876E4">
      <w:pPr>
        <w:spacing w:after="0" w:line="240" w:lineRule="auto"/>
        <w:jc w:val="both"/>
        <w:rPr>
          <w:rFonts w:ascii="Arial" w:hAnsi="Arial" w:cs="Arial"/>
          <w:sz w:val="24"/>
          <w:szCs w:val="24"/>
        </w:rPr>
      </w:pPr>
      <w:r w:rsidRPr="00963DE8">
        <w:rPr>
          <w:rFonts w:ascii="Arial" w:hAnsi="Arial" w:cs="Arial"/>
          <w:sz w:val="24"/>
          <w:szCs w:val="24"/>
        </w:rPr>
        <w:t xml:space="preserve">La Ley de Disciplina Financiera de las Entidades Federativas y los Municipios indica, en su artículo 5, que la iniciativa de Ley de Ingresos y el proyecto de Presupuesto </w:t>
      </w:r>
      <w:r w:rsidRPr="00963DE8">
        <w:rPr>
          <w:rFonts w:ascii="Arial" w:hAnsi="Arial" w:cs="Arial"/>
          <w:sz w:val="24"/>
          <w:szCs w:val="24"/>
        </w:rPr>
        <w:lastRenderedPageBreak/>
        <w:t>de Egresos de las Entidades Federativas deben de elaborarse conforme a lo dispuesto en la Ley General de Contabilidad Gubernamental y en las normas del Consejo Nacional de Armonización Contable (CONAC). Además de lo anterior, para que proceda la aprobación del paquete económico por parte del Congreso Estatal, dicho paquete deberá incluir, entre otras cosas, lo siguiente:</w:t>
      </w:r>
    </w:p>
    <w:p w:rsidR="001876E4" w:rsidRPr="00963DE8" w:rsidRDefault="001876E4" w:rsidP="001876E4">
      <w:pPr>
        <w:spacing w:after="0" w:line="240" w:lineRule="auto"/>
        <w:jc w:val="both"/>
        <w:rPr>
          <w:rFonts w:ascii="Arial" w:hAnsi="Arial" w:cs="Arial"/>
          <w:sz w:val="24"/>
          <w:szCs w:val="24"/>
        </w:rPr>
      </w:pPr>
    </w:p>
    <w:p w:rsidR="001876E4" w:rsidRPr="00963DE8" w:rsidRDefault="001876E4" w:rsidP="001876E4">
      <w:pPr>
        <w:spacing w:after="0" w:line="240" w:lineRule="auto"/>
        <w:jc w:val="both"/>
        <w:rPr>
          <w:rFonts w:ascii="Arial" w:hAnsi="Arial" w:cs="Arial"/>
          <w:i/>
          <w:sz w:val="24"/>
          <w:szCs w:val="24"/>
        </w:rPr>
      </w:pPr>
      <w:r w:rsidRPr="00963DE8">
        <w:rPr>
          <w:rFonts w:ascii="Arial" w:hAnsi="Arial" w:cs="Arial"/>
          <w:i/>
          <w:sz w:val="24"/>
          <w:szCs w:val="24"/>
        </w:rPr>
        <w:t>“IV. Un estudio actuarial de las pensiones de sus trabajadores, el cual como mínimo deberá actualizarse cada tres años. El estudio deberá incluir la población afiliada, la edad promedio, las características de las prestaciones otorgadas por la Ley aplicable, el monto de reservas de pensiones, así como el periodo de suficiencia y el balance actuarial en valor presente”.</w:t>
      </w:r>
    </w:p>
    <w:p w:rsidR="001876E4" w:rsidRPr="00963DE8" w:rsidRDefault="001876E4" w:rsidP="001876E4">
      <w:pPr>
        <w:spacing w:after="0" w:line="240" w:lineRule="auto"/>
        <w:jc w:val="both"/>
        <w:rPr>
          <w:rFonts w:ascii="Arial" w:hAnsi="Arial" w:cs="Arial"/>
          <w:i/>
          <w:sz w:val="24"/>
          <w:szCs w:val="24"/>
        </w:rPr>
      </w:pPr>
    </w:p>
    <w:p w:rsidR="001876E4" w:rsidRPr="00963DE8" w:rsidRDefault="001876E4" w:rsidP="001876E4">
      <w:pPr>
        <w:spacing w:after="0" w:line="240" w:lineRule="auto"/>
        <w:jc w:val="both"/>
        <w:rPr>
          <w:rFonts w:ascii="Arial" w:hAnsi="Arial" w:cs="Arial"/>
          <w:sz w:val="24"/>
          <w:szCs w:val="24"/>
        </w:rPr>
      </w:pPr>
      <w:r w:rsidRPr="00963DE8">
        <w:rPr>
          <w:rFonts w:ascii="Arial" w:hAnsi="Arial" w:cs="Arial"/>
          <w:sz w:val="24"/>
          <w:szCs w:val="24"/>
        </w:rPr>
        <w:t xml:space="preserve">El sistema de pensiones y prestaciones contingentes del </w:t>
      </w:r>
      <w:r>
        <w:rPr>
          <w:rFonts w:ascii="Arial" w:hAnsi="Arial" w:cs="Arial"/>
          <w:sz w:val="24"/>
          <w:szCs w:val="24"/>
        </w:rPr>
        <w:t>Estado de Colima</w:t>
      </w:r>
      <w:r w:rsidRPr="00963DE8">
        <w:rPr>
          <w:rFonts w:ascii="Arial" w:hAnsi="Arial" w:cs="Arial"/>
          <w:sz w:val="24"/>
          <w:szCs w:val="24"/>
        </w:rPr>
        <w:t xml:space="preserve"> otorga, en términos generales, jubilaciones a los 30 años de antigüedad para los hombres y 28 años de antigüedad para las mujeres con tope de 16 salarios mínimos y pensiones por vejez a los 60 años de edad con al menos 15 años de servicio. Otros beneficios dentro del sistema de pensiones son: pensiones por invalidez (con al menos 15 años de antigüedad), incapacidad, viudez por causas de trabajo (con al menos 15 años de antigüedad). </w:t>
      </w:r>
    </w:p>
    <w:p w:rsidR="001876E4" w:rsidRPr="00963DE8" w:rsidRDefault="001876E4" w:rsidP="001876E4">
      <w:pPr>
        <w:spacing w:after="0" w:line="240" w:lineRule="auto"/>
        <w:jc w:val="both"/>
        <w:rPr>
          <w:rFonts w:ascii="Arial" w:hAnsi="Arial" w:cs="Arial"/>
          <w:sz w:val="24"/>
          <w:szCs w:val="24"/>
        </w:rPr>
      </w:pPr>
    </w:p>
    <w:p w:rsidR="001876E4" w:rsidRPr="00963DE8" w:rsidRDefault="001876E4" w:rsidP="001876E4">
      <w:pPr>
        <w:spacing w:after="0" w:line="240" w:lineRule="auto"/>
        <w:jc w:val="both"/>
        <w:rPr>
          <w:rFonts w:ascii="Arial" w:hAnsi="Arial" w:cs="Arial"/>
          <w:sz w:val="24"/>
          <w:szCs w:val="24"/>
        </w:rPr>
      </w:pPr>
      <w:r w:rsidRPr="00963DE8">
        <w:rPr>
          <w:rFonts w:ascii="Arial" w:hAnsi="Arial" w:cs="Arial"/>
          <w:sz w:val="24"/>
          <w:szCs w:val="24"/>
        </w:rPr>
        <w:t>De los resultados de la valuación actuarial, con corte al 31 de octubre de 2016 y considerando una tasa real de rendimiento del 3.0%, podemos concluir lo siguiente:</w:t>
      </w:r>
    </w:p>
    <w:p w:rsidR="001876E4" w:rsidRPr="00963DE8"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8"/>
        </w:numPr>
        <w:spacing w:after="0" w:line="240" w:lineRule="auto"/>
        <w:jc w:val="both"/>
        <w:rPr>
          <w:rFonts w:ascii="Arial" w:hAnsi="Arial" w:cs="Arial"/>
          <w:sz w:val="24"/>
          <w:szCs w:val="24"/>
        </w:rPr>
      </w:pPr>
      <w:r w:rsidRPr="001A75DE">
        <w:rPr>
          <w:rFonts w:ascii="Arial" w:hAnsi="Arial" w:cs="Arial"/>
          <w:sz w:val="24"/>
          <w:szCs w:val="24"/>
        </w:rPr>
        <w:t>No se cuenta con reserva alguna para hacer frente a las obligaciones al sistema de pensiones.</w:t>
      </w:r>
    </w:p>
    <w:p w:rsidR="001876E4" w:rsidRPr="00963DE8"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8"/>
        </w:numPr>
        <w:spacing w:after="0" w:line="240" w:lineRule="auto"/>
        <w:jc w:val="both"/>
        <w:rPr>
          <w:rFonts w:ascii="Arial" w:hAnsi="Arial" w:cs="Arial"/>
          <w:sz w:val="24"/>
          <w:szCs w:val="24"/>
        </w:rPr>
      </w:pPr>
      <w:r w:rsidRPr="001A75DE">
        <w:rPr>
          <w:rFonts w:ascii="Arial" w:hAnsi="Arial" w:cs="Arial"/>
          <w:sz w:val="24"/>
          <w:szCs w:val="24"/>
        </w:rPr>
        <w:t>El valor presente de obligaciones es de $63,199 millones.</w:t>
      </w:r>
    </w:p>
    <w:p w:rsidR="001876E4" w:rsidRPr="00963DE8"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8"/>
        </w:numPr>
        <w:spacing w:after="0" w:line="240" w:lineRule="auto"/>
        <w:jc w:val="both"/>
        <w:rPr>
          <w:rFonts w:ascii="Arial" w:hAnsi="Arial" w:cs="Arial"/>
          <w:sz w:val="24"/>
          <w:szCs w:val="24"/>
        </w:rPr>
      </w:pPr>
      <w:r w:rsidRPr="001A75DE">
        <w:rPr>
          <w:rFonts w:ascii="Arial" w:hAnsi="Arial" w:cs="Arial"/>
          <w:sz w:val="24"/>
          <w:szCs w:val="24"/>
        </w:rPr>
        <w:t xml:space="preserve">El déficit actuarial sería de $63,199 millones. </w:t>
      </w:r>
    </w:p>
    <w:p w:rsidR="001876E4" w:rsidRPr="00963DE8"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8"/>
        </w:numPr>
        <w:spacing w:after="0" w:line="240" w:lineRule="auto"/>
        <w:jc w:val="both"/>
        <w:rPr>
          <w:rFonts w:ascii="Arial" w:hAnsi="Arial" w:cs="Arial"/>
          <w:sz w:val="24"/>
          <w:szCs w:val="24"/>
        </w:rPr>
      </w:pPr>
      <w:r w:rsidRPr="001A75DE">
        <w:rPr>
          <w:rFonts w:ascii="Arial" w:hAnsi="Arial" w:cs="Arial"/>
          <w:sz w:val="24"/>
          <w:szCs w:val="24"/>
        </w:rPr>
        <w:t xml:space="preserve">El periodo de descapitalización es a partir de 2017. </w:t>
      </w:r>
    </w:p>
    <w:p w:rsidR="001876E4" w:rsidRPr="00963DE8" w:rsidRDefault="001876E4" w:rsidP="001876E4">
      <w:pPr>
        <w:spacing w:after="0" w:line="240" w:lineRule="auto"/>
        <w:jc w:val="both"/>
        <w:rPr>
          <w:rFonts w:ascii="Arial" w:hAnsi="Arial" w:cs="Arial"/>
          <w:sz w:val="24"/>
          <w:szCs w:val="24"/>
        </w:rPr>
      </w:pPr>
    </w:p>
    <w:p w:rsidR="001876E4" w:rsidRPr="001A75DE" w:rsidRDefault="001876E4" w:rsidP="00185BC9">
      <w:pPr>
        <w:pStyle w:val="Prrafodelista"/>
        <w:numPr>
          <w:ilvl w:val="0"/>
          <w:numId w:val="18"/>
        </w:numPr>
        <w:spacing w:after="0" w:line="240" w:lineRule="auto"/>
        <w:jc w:val="both"/>
        <w:rPr>
          <w:rFonts w:ascii="Arial" w:hAnsi="Arial" w:cs="Arial"/>
          <w:sz w:val="24"/>
          <w:szCs w:val="24"/>
        </w:rPr>
      </w:pPr>
      <w:r w:rsidRPr="001A75DE">
        <w:rPr>
          <w:rFonts w:ascii="Arial" w:hAnsi="Arial" w:cs="Arial"/>
          <w:sz w:val="24"/>
          <w:szCs w:val="24"/>
        </w:rPr>
        <w:t>Dado la anterior, para hacer frente a las obligaciones actuales y futuras del sistema de pensiones, se requiere una aportación del 76.37% de la nómina integrada del personal activo.</w:t>
      </w:r>
    </w:p>
    <w:p w:rsidR="001876E4" w:rsidRPr="00963DE8"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p>
    <w:p w:rsidR="001876E4" w:rsidRPr="00963DE8" w:rsidRDefault="001876E4" w:rsidP="001876E4">
      <w:pPr>
        <w:spacing w:after="0" w:line="240" w:lineRule="auto"/>
        <w:jc w:val="both"/>
        <w:rPr>
          <w:rFonts w:ascii="Arial" w:hAnsi="Arial" w:cs="Arial"/>
          <w:sz w:val="24"/>
          <w:szCs w:val="24"/>
        </w:rPr>
      </w:pPr>
    </w:p>
    <w:p w:rsidR="001876E4" w:rsidRPr="00963DE8" w:rsidRDefault="001876E4" w:rsidP="001876E4">
      <w:pPr>
        <w:spacing w:after="0" w:line="240" w:lineRule="auto"/>
        <w:jc w:val="both"/>
        <w:rPr>
          <w:rFonts w:ascii="Arial" w:hAnsi="Arial" w:cs="Arial"/>
          <w:sz w:val="24"/>
          <w:szCs w:val="24"/>
        </w:rPr>
      </w:pPr>
      <w:r w:rsidRPr="00963DE8">
        <w:rPr>
          <w:rFonts w:ascii="Arial" w:hAnsi="Arial" w:cs="Arial"/>
          <w:sz w:val="24"/>
          <w:szCs w:val="24"/>
        </w:rPr>
        <w:lastRenderedPageBreak/>
        <w:t>A continuación se presenta el flujo de egresos, ingresos y saldos así como la gráfica de egresos e ingresos comparada contra la nómina integrada del personal activo:</w:t>
      </w:r>
    </w:p>
    <w:p w:rsidR="001876E4" w:rsidRPr="00963DE8" w:rsidRDefault="001876E4" w:rsidP="001876E4">
      <w:pPr>
        <w:spacing w:after="0" w:line="240" w:lineRule="auto"/>
        <w:jc w:val="both"/>
        <w:rPr>
          <w:rFonts w:ascii="Arial" w:hAnsi="Arial" w:cs="Arial"/>
          <w:sz w:val="24"/>
          <w:szCs w:val="24"/>
          <w:lang w:val="es-ES"/>
        </w:rPr>
      </w:pPr>
    </w:p>
    <w:p w:rsidR="001876E4" w:rsidRDefault="001876E4" w:rsidP="001876E4">
      <w:pPr>
        <w:spacing w:line="240" w:lineRule="auto"/>
        <w:jc w:val="both"/>
        <w:rPr>
          <w:rFonts w:ascii="Arial" w:hAnsi="Arial" w:cs="Arial"/>
          <w:sz w:val="24"/>
          <w:szCs w:val="24"/>
          <w:highlight w:val="yellow"/>
          <w:lang w:val="es-ES"/>
        </w:rPr>
      </w:pPr>
      <w:r w:rsidRPr="00A75F5F">
        <w:rPr>
          <w:noProof/>
          <w:lang w:val="es-ES" w:eastAsia="es-ES"/>
        </w:rPr>
        <w:drawing>
          <wp:inline distT="0" distB="0" distL="0" distR="0" wp14:anchorId="6D8EC366" wp14:editId="18EB1CAA">
            <wp:extent cx="5611385" cy="6200775"/>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486" cy="6209727"/>
                    </a:xfrm>
                    <a:prstGeom prst="rect">
                      <a:avLst/>
                    </a:prstGeom>
                    <a:noFill/>
                    <a:ln>
                      <a:noFill/>
                    </a:ln>
                  </pic:spPr>
                </pic:pic>
              </a:graphicData>
            </a:graphic>
          </wp:inline>
        </w:drawing>
      </w:r>
    </w:p>
    <w:p w:rsidR="001876E4" w:rsidRPr="00F8671B" w:rsidRDefault="001876E4" w:rsidP="001876E4">
      <w:pPr>
        <w:spacing w:after="0" w:line="240" w:lineRule="auto"/>
        <w:jc w:val="center"/>
        <w:rPr>
          <w:rFonts w:ascii="Arial" w:hAnsi="Arial" w:cs="Arial"/>
          <w:sz w:val="24"/>
          <w:szCs w:val="24"/>
          <w:highlight w:val="yellow"/>
          <w:lang w:val="es-ES"/>
        </w:rPr>
      </w:pPr>
      <w:r w:rsidRPr="00477E83">
        <w:rPr>
          <w:noProof/>
          <w:lang w:val="es-ES" w:eastAsia="es-ES"/>
        </w:rPr>
        <w:lastRenderedPageBreak/>
        <w:drawing>
          <wp:inline distT="0" distB="0" distL="0" distR="0" wp14:anchorId="0EB75BEF" wp14:editId="2B4E9FD1">
            <wp:extent cx="5182159" cy="381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11939" r="10559"/>
                    <a:stretch/>
                  </pic:blipFill>
                  <pic:spPr bwMode="auto">
                    <a:xfrm>
                      <a:off x="0" y="0"/>
                      <a:ext cx="5194651" cy="3819185"/>
                    </a:xfrm>
                    <a:prstGeom prst="rect">
                      <a:avLst/>
                    </a:prstGeom>
                    <a:noFill/>
                    <a:ln>
                      <a:noFill/>
                    </a:ln>
                    <a:extLst>
                      <a:ext uri="{53640926-AAD7-44D8-BBD7-CCE9431645EC}">
                        <a14:shadowObscured xmlns:a14="http://schemas.microsoft.com/office/drawing/2010/main"/>
                      </a:ext>
                    </a:extLst>
                  </pic:spPr>
                </pic:pic>
              </a:graphicData>
            </a:graphic>
          </wp:inline>
        </w:drawing>
      </w:r>
    </w:p>
    <w:p w:rsidR="001876E4" w:rsidRPr="00F8671B" w:rsidRDefault="001876E4" w:rsidP="001876E4">
      <w:pPr>
        <w:spacing w:after="0" w:line="240" w:lineRule="auto"/>
        <w:jc w:val="both"/>
        <w:rPr>
          <w:rFonts w:ascii="Arial" w:hAnsi="Arial" w:cs="Arial"/>
          <w:sz w:val="24"/>
          <w:szCs w:val="24"/>
          <w:highlight w:val="yellow"/>
          <w:lang w:val="es-ES"/>
        </w:rPr>
      </w:pPr>
    </w:p>
    <w:p w:rsidR="001876E4" w:rsidRDefault="001876E4" w:rsidP="001876E4">
      <w:pPr>
        <w:spacing w:after="0" w:line="240" w:lineRule="auto"/>
        <w:jc w:val="both"/>
        <w:rPr>
          <w:rFonts w:ascii="Arial" w:hAnsi="Arial" w:cs="Arial"/>
          <w:sz w:val="24"/>
          <w:szCs w:val="24"/>
        </w:rPr>
      </w:pPr>
      <w:r w:rsidRPr="00781F71">
        <w:rPr>
          <w:rFonts w:ascii="Arial" w:hAnsi="Arial" w:cs="Arial"/>
          <w:sz w:val="24"/>
          <w:szCs w:val="24"/>
        </w:rPr>
        <w:t xml:space="preserve">A continuación, se presenta un resumen de los recursos ejercidos en materia de pensiones y jubilaciones durante el periodo 2012 – 2016, así como las </w:t>
      </w:r>
      <w:r>
        <w:rPr>
          <w:rFonts w:ascii="Arial" w:hAnsi="Arial" w:cs="Arial"/>
          <w:sz w:val="24"/>
          <w:szCs w:val="24"/>
        </w:rPr>
        <w:t>erogaciones que se han ejercido</w:t>
      </w:r>
      <w:r w:rsidRPr="00781F71">
        <w:rPr>
          <w:rFonts w:ascii="Arial" w:hAnsi="Arial" w:cs="Arial"/>
          <w:sz w:val="24"/>
          <w:szCs w:val="24"/>
        </w:rPr>
        <w:t xml:space="preserve"> para dichos conceptos en el ejercicio fiscal 2017, y los estimados 2018.</w:t>
      </w:r>
    </w:p>
    <w:p w:rsidR="001876E4" w:rsidRDefault="001876E4" w:rsidP="001876E4">
      <w:pPr>
        <w:pStyle w:val="Texto"/>
        <w:spacing w:after="0" w:line="240" w:lineRule="auto"/>
        <w:ind w:firstLine="0"/>
        <w:jc w:val="center"/>
        <w:rPr>
          <w:b/>
          <w:sz w:val="24"/>
          <w:szCs w:val="24"/>
          <w:highlight w:val="yellow"/>
          <w:lang w:val="es-MX"/>
        </w:rPr>
      </w:pPr>
    </w:p>
    <w:p w:rsidR="001876E4" w:rsidRDefault="001876E4" w:rsidP="001876E4">
      <w:pPr>
        <w:pStyle w:val="Texto"/>
        <w:spacing w:after="0" w:line="240" w:lineRule="auto"/>
        <w:ind w:firstLine="0"/>
        <w:jc w:val="center"/>
        <w:rPr>
          <w:b/>
          <w:sz w:val="24"/>
          <w:szCs w:val="24"/>
          <w:highlight w:val="yellow"/>
          <w:lang w:val="es-MX"/>
        </w:rPr>
      </w:pPr>
      <w:r w:rsidRPr="00A75F5F">
        <w:rPr>
          <w:noProof/>
        </w:rPr>
        <w:drawing>
          <wp:inline distT="0" distB="0" distL="0" distR="0" wp14:anchorId="0255CD0D" wp14:editId="30A82113">
            <wp:extent cx="5609434" cy="17145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0284" cy="1717816"/>
                    </a:xfrm>
                    <a:prstGeom prst="rect">
                      <a:avLst/>
                    </a:prstGeom>
                    <a:noFill/>
                    <a:ln>
                      <a:noFill/>
                    </a:ln>
                  </pic:spPr>
                </pic:pic>
              </a:graphicData>
            </a:graphic>
          </wp:inline>
        </w:drawing>
      </w:r>
    </w:p>
    <w:p w:rsidR="001876E4" w:rsidRDefault="001876E4" w:rsidP="001876E4">
      <w:pPr>
        <w:pStyle w:val="Texto"/>
        <w:spacing w:after="0" w:line="240" w:lineRule="auto"/>
        <w:ind w:firstLine="0"/>
        <w:jc w:val="center"/>
        <w:rPr>
          <w:b/>
          <w:sz w:val="24"/>
          <w:szCs w:val="24"/>
          <w:highlight w:val="yellow"/>
          <w:lang w:val="es-MX"/>
        </w:rPr>
      </w:pPr>
    </w:p>
    <w:p w:rsidR="001876E4" w:rsidRDefault="001876E4" w:rsidP="001876E4">
      <w:pPr>
        <w:pStyle w:val="Texto"/>
        <w:spacing w:after="0" w:line="240" w:lineRule="auto"/>
        <w:ind w:firstLine="0"/>
        <w:jc w:val="center"/>
        <w:rPr>
          <w:b/>
          <w:sz w:val="24"/>
          <w:szCs w:val="24"/>
          <w:highlight w:val="yellow"/>
          <w:lang w:val="es-MX"/>
        </w:rPr>
      </w:pPr>
    </w:p>
    <w:p w:rsidR="001876E4" w:rsidRDefault="001876E4" w:rsidP="001876E4">
      <w:pPr>
        <w:pStyle w:val="Texto"/>
        <w:spacing w:after="0" w:line="240" w:lineRule="auto"/>
        <w:ind w:firstLine="0"/>
        <w:jc w:val="center"/>
        <w:rPr>
          <w:b/>
          <w:sz w:val="24"/>
          <w:szCs w:val="24"/>
          <w:highlight w:val="yellow"/>
          <w:lang w:val="es-MX"/>
        </w:rPr>
      </w:pPr>
    </w:p>
    <w:p w:rsidR="001876E4" w:rsidRPr="00D9667B" w:rsidRDefault="001876E4" w:rsidP="001876E4">
      <w:pPr>
        <w:pStyle w:val="Texto"/>
        <w:spacing w:after="0" w:line="240" w:lineRule="auto"/>
        <w:ind w:firstLine="0"/>
        <w:jc w:val="left"/>
        <w:rPr>
          <w:b/>
          <w:sz w:val="24"/>
          <w:szCs w:val="24"/>
        </w:rPr>
      </w:pPr>
      <w:r w:rsidRPr="00D9667B">
        <w:rPr>
          <w:b/>
          <w:sz w:val="24"/>
          <w:szCs w:val="24"/>
          <w:lang w:val="es-MX"/>
        </w:rPr>
        <w:lastRenderedPageBreak/>
        <w:t>2.6.</w:t>
      </w:r>
      <w:r w:rsidRPr="00D9667B">
        <w:rPr>
          <w:sz w:val="24"/>
          <w:szCs w:val="24"/>
          <w:lang w:val="es-MX"/>
        </w:rPr>
        <w:t xml:space="preserve"> </w:t>
      </w:r>
      <w:r w:rsidRPr="00D9667B">
        <w:rPr>
          <w:b/>
          <w:sz w:val="24"/>
          <w:szCs w:val="24"/>
        </w:rPr>
        <w:t>EL BALANCE PRESUPUESTARIO Y SU JUSTIFICACIÓN.</w:t>
      </w:r>
    </w:p>
    <w:p w:rsidR="001876E4" w:rsidRPr="0057457D" w:rsidRDefault="001876E4" w:rsidP="001876E4">
      <w:pPr>
        <w:pStyle w:val="Texto"/>
        <w:spacing w:after="0" w:line="240" w:lineRule="auto"/>
        <w:ind w:left="360" w:firstLine="0"/>
        <w:rPr>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De acuerdo a lo previsto en el artículo 2 fracción II y III de la Ley de Disciplina Financiera de Entidades Federativas y los Municipios se define al Balance Presupuestario y al Balance Presupuestario de Recursos Disponibles de la manera siguiente:</w:t>
      </w:r>
    </w:p>
    <w:p w:rsidR="001876E4" w:rsidRPr="0057457D" w:rsidRDefault="001876E4" w:rsidP="001876E4">
      <w:pPr>
        <w:pStyle w:val="Texto"/>
        <w:spacing w:after="0" w:line="240" w:lineRule="auto"/>
        <w:ind w:firstLine="0"/>
        <w:rPr>
          <w:color w:val="000000"/>
          <w:sz w:val="24"/>
          <w:szCs w:val="24"/>
        </w:rPr>
      </w:pPr>
    </w:p>
    <w:p w:rsidR="001876E4" w:rsidRPr="00D9667B" w:rsidRDefault="001876E4" w:rsidP="001876E4">
      <w:pPr>
        <w:pStyle w:val="Texto"/>
        <w:spacing w:after="0" w:line="240" w:lineRule="auto"/>
        <w:ind w:firstLine="0"/>
        <w:rPr>
          <w:i/>
          <w:color w:val="000000"/>
          <w:sz w:val="24"/>
          <w:szCs w:val="24"/>
        </w:rPr>
      </w:pPr>
      <w:r w:rsidRPr="00D9667B">
        <w:rPr>
          <w:b/>
          <w:i/>
          <w:color w:val="000000"/>
          <w:sz w:val="24"/>
          <w:szCs w:val="24"/>
        </w:rPr>
        <w:t>“…II. Balance presupuestario</w:t>
      </w:r>
      <w:r w:rsidRPr="00D9667B">
        <w:rPr>
          <w:i/>
          <w:color w:val="000000"/>
          <w:sz w:val="24"/>
          <w:szCs w:val="24"/>
        </w:rPr>
        <w:t>: la diferencia entre los Ingresos totales incluidos en la Ley de Ingresos, y los Gastos totales considerados en el Presupuesto de Egresos, con excepción de la amortización de la deuda;</w:t>
      </w:r>
    </w:p>
    <w:p w:rsidR="001876E4" w:rsidRPr="0057457D" w:rsidRDefault="001876E4" w:rsidP="001876E4">
      <w:pPr>
        <w:pStyle w:val="Texto"/>
        <w:spacing w:after="0" w:line="240" w:lineRule="auto"/>
        <w:rPr>
          <w:color w:val="000000"/>
          <w:sz w:val="24"/>
          <w:szCs w:val="24"/>
        </w:rPr>
      </w:pPr>
    </w:p>
    <w:p w:rsidR="001876E4" w:rsidRDefault="001876E4" w:rsidP="001876E4">
      <w:pPr>
        <w:spacing w:after="0" w:line="240" w:lineRule="auto"/>
        <w:jc w:val="both"/>
        <w:rPr>
          <w:rFonts w:ascii="Arial" w:hAnsi="Arial" w:cs="Arial"/>
          <w:i/>
          <w:sz w:val="24"/>
          <w:szCs w:val="24"/>
        </w:rPr>
      </w:pPr>
      <w:r w:rsidRPr="00D9667B">
        <w:rPr>
          <w:rFonts w:ascii="Arial" w:hAnsi="Arial" w:cs="Arial"/>
          <w:b/>
          <w:i/>
          <w:sz w:val="24"/>
          <w:szCs w:val="24"/>
        </w:rPr>
        <w:t>III. Balance presupuestario de recursos disponibles:</w:t>
      </w:r>
      <w:r w:rsidRPr="00D9667B">
        <w:rPr>
          <w:rFonts w:ascii="Arial" w:hAnsi="Arial" w:cs="Arial"/>
          <w:i/>
          <w:sz w:val="24"/>
          <w:szCs w:val="24"/>
        </w:rPr>
        <w:t xml:space="preserve"> la diferencia entre los Ingresos de libre disposición, incluidos en la Ley de Ingresos, más el Financiamiento Neto y los Gastos no etiquetados considerados en el Presupuesto de Egresos, con excepción de la amortización de la deuda…”</w:t>
      </w:r>
    </w:p>
    <w:p w:rsidR="001876E4" w:rsidRPr="00D9667B" w:rsidRDefault="001876E4" w:rsidP="001876E4">
      <w:pPr>
        <w:spacing w:after="0" w:line="240" w:lineRule="auto"/>
        <w:jc w:val="both"/>
        <w:rPr>
          <w:rFonts w:ascii="Arial" w:hAnsi="Arial" w:cs="Arial"/>
          <w:i/>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Diferentes situaciones pueden generar desbalances fiscales:</w:t>
      </w:r>
    </w:p>
    <w:p w:rsidR="001876E4" w:rsidRPr="00D9667B" w:rsidRDefault="001876E4" w:rsidP="001876E4">
      <w:pPr>
        <w:spacing w:after="0" w:line="240" w:lineRule="auto"/>
        <w:jc w:val="both"/>
        <w:rPr>
          <w:rFonts w:ascii="Arial" w:hAnsi="Arial" w:cs="Arial"/>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 xml:space="preserve">No atender debidamente a lo que está ocurriendo en el escenario económico puede afectar la estabilidad fiscal en la forma de desbalances entre ingresos y gastos; y cuando estos desbalances son significativos y frecuentes en el tiempo se crea un ambiente </w:t>
      </w:r>
      <w:r>
        <w:rPr>
          <w:sz w:val="24"/>
          <w:szCs w:val="24"/>
        </w:rPr>
        <w:t>4</w:t>
      </w:r>
      <w:r w:rsidRPr="00D9667B">
        <w:rPr>
          <w:sz w:val="24"/>
          <w:szCs w:val="24"/>
        </w:rPr>
        <w:t xml:space="preserve">de indisciplina fiscal. </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i/>
          <w:sz w:val="24"/>
          <w:szCs w:val="24"/>
        </w:rPr>
      </w:pPr>
      <w:r w:rsidRPr="00D9667B">
        <w:rPr>
          <w:b/>
          <w:i/>
          <w:color w:val="000000"/>
          <w:sz w:val="24"/>
          <w:szCs w:val="24"/>
        </w:rPr>
        <w:t>“</w:t>
      </w:r>
      <w:r w:rsidRPr="00D9667B">
        <w:rPr>
          <w:i/>
          <w:sz w:val="24"/>
          <w:szCs w:val="24"/>
        </w:rPr>
        <w:t>El deterioro de los presupuestos como instrumento de la política fiscal y de asignación de los recursos públicos refleja la incapacidad del gobierno y del sistema político para adaptar sus demandas y sus prioridades a las disponibilidades permanentes de ingresos públicos.” (Gestión para Resultados en el Desarrollo en Gobiernos Subnacionales. BID 2011.)</w:t>
      </w:r>
    </w:p>
    <w:p w:rsidR="001876E4" w:rsidRPr="0057457D" w:rsidRDefault="001876E4" w:rsidP="001876E4">
      <w:pPr>
        <w:pStyle w:val="Texto"/>
        <w:spacing w:after="0" w:line="240" w:lineRule="auto"/>
        <w:ind w:firstLine="0"/>
        <w:rPr>
          <w:rFonts w:eastAsiaTheme="minorHAnsi"/>
          <w:sz w:val="24"/>
          <w:szCs w:val="24"/>
          <w:lang w:eastAsia="en-US"/>
        </w:rPr>
      </w:pPr>
    </w:p>
    <w:p w:rsidR="001876E4" w:rsidRPr="00D9667B" w:rsidRDefault="001876E4" w:rsidP="001876E4">
      <w:pPr>
        <w:pStyle w:val="Texto"/>
        <w:spacing w:after="0" w:line="240" w:lineRule="auto"/>
        <w:ind w:firstLine="0"/>
        <w:rPr>
          <w:sz w:val="24"/>
          <w:szCs w:val="24"/>
        </w:rPr>
      </w:pPr>
      <w:r w:rsidRPr="00D9667B">
        <w:rPr>
          <w:sz w:val="24"/>
          <w:szCs w:val="24"/>
        </w:rPr>
        <w:t>Si los presupuestos encuentran dificultades para adecuarse a las condiciones económicas menos favorables que provocan la disminución de los ingresos públicos, y no se efectúan todos los ajustes en el gasto que requiere la búsqueda de equilibrio;</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Cuando las estimaciones presupuestarias de ingresos son demasiado optimistas en realidades de menor crecimiento o de decrecimiento económico, lo que deriva en ingresos efectivos que no cubren los gastos comprometidos;</w:t>
      </w:r>
    </w:p>
    <w:p w:rsidR="001876E4" w:rsidRPr="00F8671B" w:rsidRDefault="001876E4" w:rsidP="001876E4">
      <w:pPr>
        <w:pStyle w:val="Texto"/>
        <w:spacing w:after="0" w:line="240" w:lineRule="auto"/>
        <w:ind w:firstLine="0"/>
        <w:rPr>
          <w:sz w:val="24"/>
          <w:szCs w:val="24"/>
          <w:highlight w:val="yellow"/>
        </w:rPr>
      </w:pPr>
    </w:p>
    <w:p w:rsidR="001876E4" w:rsidRPr="00D9667B" w:rsidRDefault="001876E4" w:rsidP="001876E4">
      <w:pPr>
        <w:pStyle w:val="Texto"/>
        <w:spacing w:after="0" w:line="240" w:lineRule="auto"/>
        <w:ind w:firstLine="0"/>
        <w:rPr>
          <w:sz w:val="24"/>
          <w:szCs w:val="24"/>
        </w:rPr>
      </w:pPr>
      <w:r w:rsidRPr="00D9667B">
        <w:rPr>
          <w:sz w:val="24"/>
          <w:szCs w:val="24"/>
        </w:rPr>
        <w:t xml:space="preserve">Cuando situaciones consideradas transitorias se transforman en permanentes, y se instalan desequilibrios entre los ingresos y los gastos más profundos y persistentes; </w:t>
      </w:r>
      <w:r w:rsidRPr="00D9667B">
        <w:rPr>
          <w:sz w:val="24"/>
          <w:szCs w:val="24"/>
        </w:rPr>
        <w:lastRenderedPageBreak/>
        <w:t>si, aún en contextos económicos expansivos y por tanto con ingresos crecientes, incrementos de gastos originados en demandas sociales y políticas no son consistentes en el tiempo con los ingresos.</w:t>
      </w:r>
    </w:p>
    <w:p w:rsidR="001876E4" w:rsidRPr="00D9667B" w:rsidRDefault="001876E4" w:rsidP="001876E4">
      <w:pPr>
        <w:pStyle w:val="Texto"/>
        <w:spacing w:after="0" w:line="240" w:lineRule="auto"/>
        <w:ind w:firstLine="0"/>
        <w:rPr>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Otras situaciones ocurren cuando hechos económicos y políticos no previstos en la formulación del presupuesto, que comúnmente se realizan con meses de anticipación al inicio del año fiscal, terminan afectando al presupuesto, lo que puede derivar en un número importante de modificaciones durante su ejecución. Si estas situaciones adquieren cierta regularidad, pasan a ser costumbre y se aprecian como algo “normal”, también se trata de indisciplina fiscal, ya que los presupuestos pierden predictibilidad y validez como instrumento para la gestión del gobierno.</w:t>
      </w:r>
    </w:p>
    <w:p w:rsidR="001876E4" w:rsidRPr="00D9667B" w:rsidRDefault="001876E4" w:rsidP="001876E4">
      <w:pPr>
        <w:spacing w:after="0" w:line="240" w:lineRule="auto"/>
        <w:jc w:val="both"/>
        <w:rPr>
          <w:rFonts w:ascii="Arial" w:hAnsi="Arial" w:cs="Arial"/>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Se torna muy importante buscar, primeramente, que los presupuestos cumplan su rol básico de asignar los recursos siguiendo un orden y respetando sus normas esenciales, en una senda de disciplina fiscal,</w:t>
      </w:r>
      <w:r w:rsidRPr="00D9667B">
        <w:rPr>
          <w:color w:val="FF0000"/>
          <w:sz w:val="24"/>
          <w:szCs w:val="24"/>
        </w:rPr>
        <w:t xml:space="preserve"> </w:t>
      </w:r>
      <w:r w:rsidRPr="00D9667B">
        <w:rPr>
          <w:sz w:val="24"/>
          <w:szCs w:val="24"/>
        </w:rPr>
        <w:t xml:space="preserve">para a través de este comportamiento constituirse en un instrumento de gestión. </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Más deseable y exigente aún es poner atención a la gobernabilidad fiscal, entendida como la capacidad de los gobiernos para llevar a cabo su política fiscal de modo sostenible y creíble en el tiempo.</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 xml:space="preserve">En otras palabras, el presupuesto por resultados que impulsa la presente administración, requiere de disciplina fiscal expresada como la capacidad básica para formular presupuestos razonablemente balanceados y para respetarlos durante el año. Es decir, que el marco de recursos en el que se debe integrar la información de desempeño a los procesos de toma de decisiones y en el que se deben introducir las condiciones y las exigencias para contribuir a mejorar la calidad del gasto deben ser creíbles y entregar señales que orienten y motiven, en particular a los ejecutores de gasto, a optimizar los recursos asignados para que se preocupen por el desempeño de sus programas y proyectos. </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De acuerdo a lo previsto en el artículo 7º de la Ley de Disciplina Financiera de las Entidades Federativas y los Municipios, los riesgos que pueden incurrir en el Balance Presupuestario de Recursos Disponible Negativo son:</w:t>
      </w:r>
    </w:p>
    <w:p w:rsidR="001876E4" w:rsidRPr="00D9667B" w:rsidRDefault="001876E4" w:rsidP="001876E4">
      <w:pPr>
        <w:pStyle w:val="Texto"/>
        <w:spacing w:after="0" w:line="240" w:lineRule="auto"/>
        <w:ind w:firstLine="0"/>
        <w:rPr>
          <w:sz w:val="24"/>
          <w:szCs w:val="24"/>
        </w:rPr>
      </w:pPr>
    </w:p>
    <w:p w:rsidR="001876E4" w:rsidRPr="00D9667B" w:rsidRDefault="001876E4" w:rsidP="00185BC9">
      <w:pPr>
        <w:pStyle w:val="Texto"/>
        <w:numPr>
          <w:ilvl w:val="0"/>
          <w:numId w:val="19"/>
        </w:numPr>
        <w:spacing w:after="0" w:line="240" w:lineRule="auto"/>
        <w:rPr>
          <w:sz w:val="24"/>
          <w:szCs w:val="24"/>
        </w:rPr>
      </w:pPr>
      <w:r w:rsidRPr="00D9667B">
        <w:rPr>
          <w:sz w:val="24"/>
          <w:szCs w:val="24"/>
        </w:rPr>
        <w:t xml:space="preserve">Cuando se presente una caída en el Producto Interno Bruto nacional en términos reales, y lo anterior origine una caída en las participaciones federales con respecto a lo aprobado en el Presupuesto de Egresos de la Federación, y ésta no logre compensarse con los recursos que, en su caso, se reciban del Fondo de Estabilización de los Ingresos de la Entidad </w:t>
      </w:r>
      <w:r w:rsidRPr="00D9667B">
        <w:rPr>
          <w:sz w:val="24"/>
          <w:szCs w:val="24"/>
        </w:rPr>
        <w:lastRenderedPageBreak/>
        <w:t>Federativa en los términos del artículo 19 de la Ley Federal de Presupuesto y Responsabilidad Hacendaria;</w:t>
      </w:r>
    </w:p>
    <w:p w:rsidR="001876E4" w:rsidRPr="00D9667B" w:rsidRDefault="001876E4" w:rsidP="001876E4">
      <w:pPr>
        <w:pStyle w:val="Texto"/>
        <w:spacing w:after="0" w:line="240" w:lineRule="auto"/>
        <w:ind w:left="288" w:firstLine="0"/>
        <w:rPr>
          <w:sz w:val="24"/>
          <w:szCs w:val="24"/>
        </w:rPr>
      </w:pPr>
    </w:p>
    <w:p w:rsidR="001876E4" w:rsidRPr="00D9667B" w:rsidRDefault="001876E4" w:rsidP="00185BC9">
      <w:pPr>
        <w:pStyle w:val="Texto"/>
        <w:numPr>
          <w:ilvl w:val="0"/>
          <w:numId w:val="19"/>
        </w:numPr>
        <w:spacing w:after="0" w:line="240" w:lineRule="auto"/>
        <w:rPr>
          <w:sz w:val="24"/>
          <w:szCs w:val="24"/>
        </w:rPr>
      </w:pPr>
      <w:r w:rsidRPr="00D9667B">
        <w:rPr>
          <w:sz w:val="24"/>
          <w:szCs w:val="24"/>
        </w:rPr>
        <w:t>Cuando sea necesario cubrir el costo de la reconstrucción provocada por los desastres naturales declarados en los términos de la Ley General de Protección Civil, o</w:t>
      </w:r>
    </w:p>
    <w:p w:rsidR="001876E4" w:rsidRPr="00D9667B" w:rsidRDefault="001876E4" w:rsidP="001876E4">
      <w:pPr>
        <w:pStyle w:val="Texto"/>
        <w:spacing w:after="0" w:line="240" w:lineRule="auto"/>
        <w:ind w:firstLine="0"/>
        <w:rPr>
          <w:sz w:val="24"/>
          <w:szCs w:val="24"/>
        </w:rPr>
      </w:pPr>
    </w:p>
    <w:p w:rsidR="001876E4" w:rsidRPr="00D9667B" w:rsidRDefault="001876E4" w:rsidP="00185BC9">
      <w:pPr>
        <w:pStyle w:val="Texto"/>
        <w:numPr>
          <w:ilvl w:val="0"/>
          <w:numId w:val="19"/>
        </w:numPr>
        <w:spacing w:after="0" w:line="240" w:lineRule="auto"/>
        <w:rPr>
          <w:sz w:val="24"/>
          <w:szCs w:val="24"/>
        </w:rPr>
      </w:pPr>
      <w:r w:rsidRPr="00D9667B">
        <w:rPr>
          <w:sz w:val="24"/>
          <w:szCs w:val="24"/>
        </w:rPr>
        <w:t>Cuando se tenga la necesidad de prever un costo mayo</w:t>
      </w:r>
      <w:r>
        <w:rPr>
          <w:sz w:val="24"/>
          <w:szCs w:val="24"/>
        </w:rPr>
        <w:t>r al 2 por ciento del Gasto no E</w:t>
      </w:r>
      <w:r w:rsidRPr="00D9667B">
        <w:rPr>
          <w:sz w:val="24"/>
          <w:szCs w:val="24"/>
        </w:rPr>
        <w:t>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w:t>
      </w:r>
    </w:p>
    <w:p w:rsidR="001876E4" w:rsidRPr="00F8671B" w:rsidRDefault="001876E4" w:rsidP="001876E4">
      <w:pPr>
        <w:pStyle w:val="Texto"/>
        <w:spacing w:after="0" w:line="240" w:lineRule="auto"/>
        <w:ind w:firstLine="0"/>
        <w:rPr>
          <w:sz w:val="24"/>
          <w:szCs w:val="24"/>
          <w:highlight w:val="yellow"/>
        </w:rPr>
      </w:pPr>
    </w:p>
    <w:p w:rsidR="001876E4" w:rsidRPr="001A7F74" w:rsidRDefault="001876E4" w:rsidP="001876E4">
      <w:pPr>
        <w:pStyle w:val="Texto"/>
        <w:spacing w:after="0" w:line="240" w:lineRule="auto"/>
        <w:ind w:firstLine="0"/>
        <w:rPr>
          <w:sz w:val="24"/>
          <w:szCs w:val="24"/>
        </w:rPr>
      </w:pPr>
      <w:r w:rsidRPr="001A7F74">
        <w:rPr>
          <w:sz w:val="24"/>
          <w:szCs w:val="24"/>
        </w:rPr>
        <w:t xml:space="preserve">En función de lo previsto en los Criterios para la elaboración y presentación homogénea de la información financiera y de los formatos a que hace referencia la Ley de Disciplina Financiera de las Entidades Federativas y los Municipios, emitidos por el CONAC; el formato </w:t>
      </w:r>
      <w:r w:rsidRPr="001A7F74">
        <w:rPr>
          <w:b/>
          <w:sz w:val="24"/>
          <w:szCs w:val="24"/>
        </w:rPr>
        <w:t xml:space="preserve">4 </w:t>
      </w:r>
      <w:r w:rsidRPr="001A7F74">
        <w:rPr>
          <w:i/>
          <w:sz w:val="24"/>
          <w:szCs w:val="24"/>
        </w:rPr>
        <w:t>Balance Presupuestario – LDF</w:t>
      </w:r>
      <w:r w:rsidRPr="001A7F74">
        <w:rPr>
          <w:sz w:val="24"/>
          <w:szCs w:val="24"/>
        </w:rPr>
        <w:t xml:space="preserve"> se presentará en el ejercicio 2018 de forma trimestral, acumulando cada periodo del mismo, con la desagregación de la información financiera ocurrida entre el inicio y el final del periodo, así como de manera anual en la Cuenta Pública.</w:t>
      </w:r>
    </w:p>
    <w:p w:rsidR="001876E4" w:rsidRPr="001A7F74" w:rsidRDefault="001876E4" w:rsidP="001876E4">
      <w:pPr>
        <w:pStyle w:val="Texto"/>
        <w:spacing w:after="0" w:line="240" w:lineRule="auto"/>
        <w:ind w:firstLine="0"/>
        <w:rPr>
          <w:color w:val="FF0000"/>
          <w:sz w:val="24"/>
          <w:szCs w:val="24"/>
        </w:rPr>
      </w:pPr>
    </w:p>
    <w:p w:rsidR="001876E4" w:rsidRDefault="001876E4" w:rsidP="001876E4">
      <w:pPr>
        <w:pStyle w:val="Texto"/>
        <w:spacing w:after="0" w:line="240" w:lineRule="auto"/>
        <w:ind w:firstLine="0"/>
        <w:rPr>
          <w:color w:val="FF0000"/>
          <w:sz w:val="24"/>
          <w:szCs w:val="24"/>
          <w:highlight w:val="cyan"/>
        </w:rPr>
      </w:pPr>
    </w:p>
    <w:p w:rsidR="001876E4" w:rsidRPr="00183800" w:rsidRDefault="001876E4" w:rsidP="001876E4">
      <w:pPr>
        <w:pStyle w:val="Texto"/>
        <w:spacing w:after="0" w:line="240" w:lineRule="auto"/>
        <w:ind w:firstLine="0"/>
        <w:rPr>
          <w:color w:val="FF0000"/>
          <w:sz w:val="24"/>
          <w:szCs w:val="24"/>
          <w:highlight w:val="cyan"/>
        </w:rPr>
      </w:pPr>
    </w:p>
    <w:p w:rsidR="001876E4" w:rsidRDefault="001876E4" w:rsidP="001876E4">
      <w:pPr>
        <w:pStyle w:val="Texto"/>
        <w:spacing w:after="0" w:line="240" w:lineRule="auto"/>
        <w:ind w:firstLine="0"/>
        <w:jc w:val="center"/>
        <w:rPr>
          <w:b/>
          <w:sz w:val="28"/>
          <w:szCs w:val="28"/>
          <w:highlight w:val="yellow"/>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noProof/>
        </w:rPr>
      </w:pPr>
    </w:p>
    <w:p w:rsidR="001876E4" w:rsidRDefault="001876E4" w:rsidP="001876E4">
      <w:pPr>
        <w:pStyle w:val="Texto"/>
        <w:spacing w:after="0" w:line="240" w:lineRule="auto"/>
        <w:ind w:firstLine="0"/>
        <w:jc w:val="center"/>
        <w:rPr>
          <w:b/>
          <w:sz w:val="24"/>
          <w:szCs w:val="24"/>
        </w:rPr>
      </w:pPr>
      <w:r w:rsidRPr="00A75F5F">
        <w:rPr>
          <w:noProof/>
        </w:rPr>
        <w:lastRenderedPageBreak/>
        <w:drawing>
          <wp:inline distT="0" distB="0" distL="0" distR="0" wp14:anchorId="3D0995F8" wp14:editId="33CB2130">
            <wp:extent cx="5611988" cy="7105650"/>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5581" cy="7110200"/>
                    </a:xfrm>
                    <a:prstGeom prst="rect">
                      <a:avLst/>
                    </a:prstGeom>
                    <a:noFill/>
                    <a:ln>
                      <a:noFill/>
                    </a:ln>
                  </pic:spPr>
                </pic:pic>
              </a:graphicData>
            </a:graphic>
          </wp:inline>
        </w:drawing>
      </w:r>
    </w:p>
    <w:p w:rsidR="001876E4" w:rsidRDefault="001876E4" w:rsidP="001876E4">
      <w:pPr>
        <w:pStyle w:val="Texto"/>
        <w:spacing w:after="0" w:line="240" w:lineRule="auto"/>
        <w:ind w:firstLine="0"/>
        <w:jc w:val="center"/>
        <w:rPr>
          <w:b/>
          <w:sz w:val="24"/>
          <w:szCs w:val="24"/>
        </w:rPr>
      </w:pPr>
      <w:r w:rsidRPr="00FF0881">
        <w:rPr>
          <w:noProof/>
        </w:rPr>
        <w:lastRenderedPageBreak/>
        <w:drawing>
          <wp:inline distT="0" distB="0" distL="0" distR="0" wp14:anchorId="12C4FCF7" wp14:editId="2A2950FF">
            <wp:extent cx="5612130" cy="1949708"/>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1949708"/>
                    </a:xfrm>
                    <a:prstGeom prst="rect">
                      <a:avLst/>
                    </a:prstGeom>
                    <a:noFill/>
                    <a:ln>
                      <a:noFill/>
                    </a:ln>
                  </pic:spPr>
                </pic:pic>
              </a:graphicData>
            </a:graphic>
          </wp:inline>
        </w:drawing>
      </w:r>
    </w:p>
    <w:p w:rsidR="001876E4" w:rsidRPr="00545EA8" w:rsidRDefault="001876E4" w:rsidP="001876E4">
      <w:pPr>
        <w:pStyle w:val="Texto"/>
        <w:spacing w:after="0" w:line="240" w:lineRule="auto"/>
        <w:ind w:firstLine="0"/>
        <w:jc w:val="center"/>
        <w:rPr>
          <w:sz w:val="24"/>
          <w:szCs w:val="24"/>
        </w:rPr>
      </w:pPr>
    </w:p>
    <w:p w:rsidR="001876E4" w:rsidRPr="00D9667B" w:rsidRDefault="001876E4" w:rsidP="001876E4">
      <w:pPr>
        <w:pStyle w:val="Texto"/>
        <w:spacing w:after="0" w:line="240" w:lineRule="auto"/>
        <w:ind w:firstLine="0"/>
        <w:rPr>
          <w:b/>
          <w:sz w:val="24"/>
          <w:szCs w:val="24"/>
        </w:rPr>
      </w:pPr>
      <w:r w:rsidRPr="00D9667B">
        <w:rPr>
          <w:b/>
          <w:sz w:val="24"/>
          <w:szCs w:val="24"/>
        </w:rPr>
        <w:t>2.7. PREVISIÓN DE RECURSOS PARA EL FONDO DE DESASTRES NATURALES.</w:t>
      </w:r>
    </w:p>
    <w:p w:rsidR="001876E4" w:rsidRPr="0057457D" w:rsidRDefault="001876E4" w:rsidP="001876E4">
      <w:pPr>
        <w:pStyle w:val="Texto"/>
        <w:spacing w:after="0" w:line="240" w:lineRule="auto"/>
        <w:ind w:left="720" w:firstLine="0"/>
        <w:rPr>
          <w:sz w:val="24"/>
          <w:szCs w:val="24"/>
        </w:rPr>
      </w:pPr>
    </w:p>
    <w:p w:rsidR="001876E4" w:rsidRDefault="001876E4" w:rsidP="001876E4">
      <w:pPr>
        <w:spacing w:after="0" w:line="240" w:lineRule="auto"/>
        <w:rPr>
          <w:rFonts w:ascii="Arial" w:hAnsi="Arial" w:cs="Arial"/>
          <w:b/>
          <w:sz w:val="24"/>
          <w:szCs w:val="24"/>
        </w:rPr>
      </w:pPr>
      <w:r w:rsidRPr="00D9667B">
        <w:rPr>
          <w:rFonts w:ascii="Arial" w:hAnsi="Arial" w:cs="Arial"/>
          <w:b/>
          <w:sz w:val="24"/>
          <w:szCs w:val="24"/>
        </w:rPr>
        <w:t>Riesgos y desastres naturales: una cuestión global ante el cambio climático</w:t>
      </w:r>
    </w:p>
    <w:p w:rsidR="001876E4" w:rsidRPr="0057457D" w:rsidRDefault="001876E4" w:rsidP="001876E4">
      <w:pPr>
        <w:spacing w:after="0" w:line="240" w:lineRule="auto"/>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 xml:space="preserve">Las consecuencias de fenómenos naturales y otros problemas medioambientales originados por el </w:t>
      </w:r>
      <w:r w:rsidRPr="00D9667B">
        <w:rPr>
          <w:rFonts w:ascii="Arial" w:hAnsi="Arial" w:cs="Arial"/>
          <w:b/>
          <w:sz w:val="24"/>
          <w:szCs w:val="24"/>
        </w:rPr>
        <w:t>cambio climático</w:t>
      </w:r>
      <w:r w:rsidRPr="00D9667B">
        <w:rPr>
          <w:rFonts w:ascii="Arial" w:hAnsi="Arial" w:cs="Arial"/>
          <w:sz w:val="24"/>
          <w:szCs w:val="24"/>
        </w:rPr>
        <w:t xml:space="preserve"> ya han trascendido fronteras de países y regiones, y han llegado a tornarse en inminentes riesgos o desastres susceptibles de afectar a la humanidad en su conjunto, o a vastos sectores poblacionales.</w:t>
      </w:r>
    </w:p>
    <w:p w:rsidR="001876E4" w:rsidRPr="00D9667B" w:rsidRDefault="001876E4" w:rsidP="001876E4">
      <w:pPr>
        <w:spacing w:after="0" w:line="240" w:lineRule="auto"/>
        <w:jc w:val="both"/>
        <w:rPr>
          <w:rFonts w:ascii="Arial" w:hAnsi="Arial" w:cs="Arial"/>
          <w:sz w:val="24"/>
          <w:szCs w:val="24"/>
        </w:rPr>
      </w:pPr>
    </w:p>
    <w:p w:rsidR="001876E4" w:rsidRPr="00D9667B" w:rsidRDefault="001876E4" w:rsidP="001876E4">
      <w:pPr>
        <w:pStyle w:val="Texto"/>
        <w:spacing w:after="0" w:line="240" w:lineRule="auto"/>
        <w:ind w:hanging="11"/>
        <w:rPr>
          <w:i/>
          <w:sz w:val="24"/>
          <w:szCs w:val="24"/>
        </w:rPr>
      </w:pPr>
      <w:r w:rsidRPr="00D9667B">
        <w:rPr>
          <w:i/>
          <w:sz w:val="24"/>
          <w:szCs w:val="24"/>
        </w:rPr>
        <w:t>“El calentamiento global con el consecuente cambio climático ha colocado a la humanidad ante un incierto escenario. En la actualidad trae serios efectos que se traducen en perturbaciones en el delicado equilibrio y la productividad de los ecosistemas, las cuales impactan el aprovechamiento de los recursos naturales y la actividad económica. Ese fenómeno ha intensificado la fuerza de los huracanes y ciclones, provocando graves inundaciones con secuelas devastadoras que se traducen en la pérdida de vidas humanas y daños irreparables a las diversas actividades productivas, tanto en el campo como en las ciudades. Por tal motivo, son más los éxodos grupos humanos en la búsqueda de rehacer formas de vida y patrimonio, o crisis alimentarias agudas y hasta hambrunas, derivadas de la dislocación de la actividad económica.”</w:t>
      </w:r>
      <w:r w:rsidRPr="00D9667B">
        <w:rPr>
          <w:rStyle w:val="Refdenotaalpie"/>
          <w:i/>
          <w:sz w:val="24"/>
          <w:szCs w:val="24"/>
        </w:rPr>
        <w:footnoteReference w:id="3"/>
      </w:r>
      <w:r w:rsidRPr="00D9667B">
        <w:rPr>
          <w:i/>
          <w:sz w:val="24"/>
          <w:szCs w:val="24"/>
        </w:rPr>
        <w:t xml:space="preserve"> </w:t>
      </w:r>
    </w:p>
    <w:p w:rsidR="001876E4" w:rsidRPr="0057457D" w:rsidRDefault="001876E4" w:rsidP="001876E4">
      <w:pPr>
        <w:pStyle w:val="Texto"/>
        <w:spacing w:after="0" w:line="240" w:lineRule="auto"/>
        <w:ind w:left="720" w:firstLine="0"/>
        <w:rPr>
          <w:sz w:val="24"/>
          <w:szCs w:val="16"/>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 xml:space="preserve">En nuestro país los desastres naturales son sucesos periódicos, cada vez más fuertes y ampliándose a la mayor parte del territorio. Fenómenos que hasta hace poco eran considerados típicos o regulares, han variado en intensidad por el cambio del clima a nivel global, aumentando la fragilidad del entorno natural, provocando </w:t>
      </w:r>
      <w:r w:rsidRPr="00D9667B">
        <w:rPr>
          <w:rFonts w:ascii="Arial" w:hAnsi="Arial" w:cs="Arial"/>
          <w:sz w:val="24"/>
          <w:szCs w:val="24"/>
        </w:rPr>
        <w:lastRenderedPageBreak/>
        <w:t>mermas drásticas en producción y productividad en actividades esenciales como la pesca, la agricultura, la ganadería y la silvicultura.</w:t>
      </w:r>
    </w:p>
    <w:p w:rsidR="001876E4" w:rsidRPr="00D9667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Datos recientes dan cuenta de la incidencia anual de más de cuarenta frentes fríos en buena parte de las entidades federativas; de precipitaciones que saturan y rebasan arroyos, ríos, sistemas hidrológicos y diversos cuerpos de agua, ocasionando serios daños en ciudades y en actividades productivas en la industria, los servicios y el sector agropecuario; otras veces, en las mismas o en otras zonas del país, ocurren incendios forestales que destruyen la cubierta vegetal; o bien los huracanes que se centran con mayor énfasis en las zonas costeras al inicio del verano, tanto del lado del Pacífico como por el Atlántico, produciendo la destrucción de la infraestructura social y productiva, especialmente en el campo. Igual sucede a lo largo de las costas, como lo han señalado el Centro Nacional de Prevención de Desastres (CENAPRED) y la Comisión Nacional del Agua (CONAGUA).</w:t>
      </w:r>
    </w:p>
    <w:p w:rsidR="001876E4" w:rsidRPr="00D9667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Es a partir de estos acontecimientos que nuestro país comienza a tomar plena conciencia de la importancia que tiene la prevención y en concreto la protección civil. Es así que comienzan los trabajos para la creación del Fondo de Desastres porque los acontecimientos han puesto a prueba la infraestructura productiva y social del país y, evidencia con mucho el desorden urbano y territorial que permite la construcción de asentamientos, infraestructura o viviendas en lugares indebidos; son éstas muestras de indolencia o de una falta de aprendizaje para evitar que muchos fenómenos naturales desemboquen en situaciones catastróficas.</w:t>
      </w:r>
    </w:p>
    <w:p w:rsidR="001876E4" w:rsidRPr="00D9667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hAnsi="Arial" w:cs="Arial"/>
          <w:sz w:val="24"/>
          <w:szCs w:val="24"/>
        </w:rPr>
      </w:pPr>
      <w:r w:rsidRPr="00D9667B">
        <w:rPr>
          <w:rFonts w:ascii="Arial" w:hAnsi="Arial" w:cs="Arial"/>
          <w:sz w:val="24"/>
          <w:szCs w:val="24"/>
        </w:rPr>
        <w:t>En este contexto cobra especial relevancia el tema de referencia en la planificación del desarrollo y en las previsiones presupuestarias para atenderlo.</w:t>
      </w:r>
    </w:p>
    <w:p w:rsidR="001876E4" w:rsidRPr="00D9667B" w:rsidRDefault="001876E4" w:rsidP="001876E4">
      <w:pPr>
        <w:spacing w:after="0" w:line="240" w:lineRule="auto"/>
        <w:jc w:val="both"/>
        <w:rPr>
          <w:rFonts w:ascii="Arial" w:hAnsi="Arial" w:cs="Arial"/>
          <w:sz w:val="24"/>
          <w:szCs w:val="24"/>
        </w:rPr>
      </w:pPr>
    </w:p>
    <w:p w:rsidR="001876E4" w:rsidRDefault="001876E4" w:rsidP="001876E4">
      <w:pPr>
        <w:spacing w:after="0" w:line="240" w:lineRule="auto"/>
        <w:jc w:val="both"/>
        <w:rPr>
          <w:rFonts w:ascii="Arial" w:eastAsia="Times New Roman" w:hAnsi="Arial" w:cs="Arial"/>
          <w:sz w:val="24"/>
          <w:szCs w:val="24"/>
        </w:rPr>
      </w:pPr>
      <w:r w:rsidRPr="00D9667B">
        <w:rPr>
          <w:rFonts w:ascii="Arial" w:hAnsi="Arial" w:cs="Arial"/>
          <w:sz w:val="24"/>
          <w:szCs w:val="24"/>
        </w:rPr>
        <w:t xml:space="preserve">Según el Atlas Nacional de Riesgos, </w:t>
      </w:r>
      <w:r w:rsidRPr="00D9667B">
        <w:rPr>
          <w:rFonts w:ascii="Arial" w:eastAsia="Times New Roman" w:hAnsi="Arial" w:cs="Arial"/>
          <w:sz w:val="24"/>
          <w:szCs w:val="24"/>
        </w:rPr>
        <w:t>la geografía de Colima, genera diferentes tipos de riesgos a la población que van desde las costas al sur hasta las faldas del volcán.</w:t>
      </w:r>
    </w:p>
    <w:p w:rsidR="001876E4" w:rsidRPr="00D9667B" w:rsidRDefault="001876E4" w:rsidP="001876E4">
      <w:pPr>
        <w:spacing w:after="0" w:line="240" w:lineRule="auto"/>
        <w:jc w:val="both"/>
        <w:rPr>
          <w:rFonts w:ascii="Arial" w:hAnsi="Arial" w:cs="Arial"/>
          <w:sz w:val="24"/>
          <w:szCs w:val="24"/>
        </w:rPr>
      </w:pPr>
    </w:p>
    <w:p w:rsidR="001876E4" w:rsidRDefault="001876E4" w:rsidP="001876E4">
      <w:pPr>
        <w:pStyle w:val="Texto"/>
        <w:spacing w:after="0" w:line="240" w:lineRule="auto"/>
        <w:ind w:firstLine="0"/>
        <w:rPr>
          <w:sz w:val="24"/>
          <w:szCs w:val="24"/>
          <w:lang w:eastAsia="es-MX"/>
        </w:rPr>
      </w:pPr>
      <w:r w:rsidRPr="00D9667B">
        <w:rPr>
          <w:sz w:val="24"/>
          <w:szCs w:val="24"/>
          <w:lang w:eastAsia="es-MX"/>
        </w:rPr>
        <w:t xml:space="preserve">Por su propia naturaleza y ubicación se encuentra expuesta a diversas contingencias y riesgos derivados de fenómenos naturales: </w:t>
      </w:r>
    </w:p>
    <w:p w:rsidR="001876E4" w:rsidRPr="00D9667B" w:rsidRDefault="001876E4" w:rsidP="001876E4">
      <w:pPr>
        <w:pStyle w:val="Texto"/>
        <w:spacing w:after="0" w:line="240" w:lineRule="auto"/>
        <w:ind w:firstLine="0"/>
        <w:rPr>
          <w:b/>
          <w:sz w:val="24"/>
          <w:szCs w:val="24"/>
        </w:rPr>
      </w:pPr>
    </w:p>
    <w:p w:rsidR="001876E4" w:rsidRPr="00D9667B"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bCs/>
          <w:sz w:val="24"/>
          <w:szCs w:val="24"/>
        </w:rPr>
        <w:t>Fenómenos Geológicos.</w:t>
      </w:r>
    </w:p>
    <w:p w:rsidR="001876E4" w:rsidRPr="00D9667B" w:rsidRDefault="001876E4" w:rsidP="001876E4">
      <w:pPr>
        <w:pStyle w:val="Prrafodelista"/>
        <w:shd w:val="clear" w:color="auto" w:fill="FFFFFF"/>
        <w:spacing w:after="0" w:line="240" w:lineRule="auto"/>
        <w:jc w:val="both"/>
        <w:rPr>
          <w:rFonts w:ascii="Arial" w:eastAsia="Times New Roman" w:hAnsi="Arial" w:cs="Arial"/>
          <w:bCs/>
          <w:sz w:val="24"/>
          <w:szCs w:val="24"/>
        </w:rPr>
      </w:pPr>
    </w:p>
    <w:p w:rsidR="001876E4" w:rsidRPr="00D9667B"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bCs/>
          <w:sz w:val="24"/>
          <w:szCs w:val="24"/>
        </w:rPr>
        <w:t>Fenómenos Hidrometeorológicos.</w:t>
      </w:r>
    </w:p>
    <w:p w:rsidR="001876E4" w:rsidRPr="00D9667B" w:rsidRDefault="001876E4" w:rsidP="001876E4">
      <w:pPr>
        <w:pStyle w:val="Prrafodelista"/>
        <w:spacing w:after="0" w:line="240" w:lineRule="auto"/>
        <w:rPr>
          <w:rFonts w:ascii="Arial" w:eastAsia="Times New Roman" w:hAnsi="Arial" w:cs="Arial"/>
          <w:bCs/>
          <w:sz w:val="24"/>
          <w:szCs w:val="24"/>
        </w:rPr>
      </w:pPr>
    </w:p>
    <w:p w:rsidR="001876E4" w:rsidRPr="00D9667B"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bCs/>
          <w:sz w:val="24"/>
          <w:szCs w:val="24"/>
        </w:rPr>
        <w:t>Fenómenos Químicos-Tecnológicos.</w:t>
      </w:r>
    </w:p>
    <w:p w:rsidR="001876E4" w:rsidRPr="00D9667B" w:rsidRDefault="001876E4" w:rsidP="001876E4">
      <w:pPr>
        <w:pStyle w:val="Prrafodelista"/>
        <w:shd w:val="clear" w:color="auto" w:fill="FFFFFF"/>
        <w:spacing w:after="0" w:line="240" w:lineRule="auto"/>
        <w:jc w:val="both"/>
        <w:rPr>
          <w:rFonts w:ascii="Arial" w:eastAsia="Times New Roman" w:hAnsi="Arial" w:cs="Arial"/>
          <w:bCs/>
          <w:sz w:val="24"/>
          <w:szCs w:val="24"/>
        </w:rPr>
      </w:pPr>
    </w:p>
    <w:p w:rsidR="001876E4" w:rsidRPr="00D9667B"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bCs/>
          <w:sz w:val="24"/>
          <w:szCs w:val="24"/>
        </w:rPr>
        <w:t>Fenómenos Sanitario-Ecológicos.</w:t>
      </w:r>
    </w:p>
    <w:p w:rsidR="001876E4" w:rsidRPr="00D9667B" w:rsidRDefault="001876E4" w:rsidP="001876E4">
      <w:pPr>
        <w:pStyle w:val="Prrafodelista"/>
        <w:shd w:val="clear" w:color="auto" w:fill="FFFFFF"/>
        <w:spacing w:after="0" w:line="240" w:lineRule="auto"/>
        <w:jc w:val="both"/>
        <w:rPr>
          <w:rFonts w:ascii="Arial" w:eastAsia="Times New Roman" w:hAnsi="Arial" w:cs="Arial"/>
          <w:bCs/>
          <w:sz w:val="24"/>
          <w:szCs w:val="24"/>
        </w:rPr>
      </w:pPr>
    </w:p>
    <w:p w:rsidR="001876E4" w:rsidRPr="00D9667B"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bCs/>
          <w:sz w:val="24"/>
          <w:szCs w:val="24"/>
        </w:rPr>
        <w:t>Fenómenos Socio-Organizativos.</w:t>
      </w:r>
    </w:p>
    <w:p w:rsidR="001876E4" w:rsidRPr="00D9667B" w:rsidRDefault="001876E4" w:rsidP="001876E4">
      <w:pPr>
        <w:pStyle w:val="Prrafodelista"/>
        <w:shd w:val="clear" w:color="auto" w:fill="FFFFFF"/>
        <w:spacing w:after="0" w:line="240" w:lineRule="auto"/>
        <w:jc w:val="both"/>
        <w:rPr>
          <w:rFonts w:ascii="Arial" w:eastAsia="Times New Roman" w:hAnsi="Arial" w:cs="Arial"/>
          <w:bCs/>
          <w:sz w:val="24"/>
          <w:szCs w:val="24"/>
        </w:rPr>
      </w:pPr>
    </w:p>
    <w:p w:rsidR="001876E4" w:rsidRPr="00D9667B"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sz w:val="24"/>
          <w:szCs w:val="24"/>
        </w:rPr>
        <w:t>La vulnerabilidad es la propensión de los sistemas expuestos a ser afectados, es decir el grado de pérdidas esperadas, clasificable como vulnerabilidad física y social.</w:t>
      </w:r>
    </w:p>
    <w:p w:rsidR="001876E4" w:rsidRPr="00D9667B" w:rsidRDefault="001876E4" w:rsidP="001876E4">
      <w:pPr>
        <w:pStyle w:val="Prrafodelista"/>
        <w:shd w:val="clear" w:color="auto" w:fill="FFFFFF"/>
        <w:spacing w:after="0" w:line="240" w:lineRule="auto"/>
        <w:jc w:val="both"/>
        <w:rPr>
          <w:rFonts w:ascii="Arial" w:eastAsia="Times New Roman" w:hAnsi="Arial" w:cs="Arial"/>
          <w:bCs/>
          <w:sz w:val="24"/>
          <w:szCs w:val="24"/>
        </w:rPr>
      </w:pPr>
    </w:p>
    <w:p w:rsidR="001876E4" w:rsidRPr="0057457D" w:rsidRDefault="001876E4" w:rsidP="00185BC9">
      <w:pPr>
        <w:pStyle w:val="Prrafodelista"/>
        <w:numPr>
          <w:ilvl w:val="0"/>
          <w:numId w:val="6"/>
        </w:numPr>
        <w:shd w:val="clear" w:color="auto" w:fill="FFFFFF"/>
        <w:spacing w:after="0" w:line="240" w:lineRule="auto"/>
        <w:jc w:val="both"/>
        <w:rPr>
          <w:rFonts w:ascii="Arial" w:eastAsia="Times New Roman" w:hAnsi="Arial" w:cs="Arial"/>
          <w:bCs/>
          <w:sz w:val="24"/>
          <w:szCs w:val="24"/>
        </w:rPr>
      </w:pPr>
      <w:r w:rsidRPr="00D9667B">
        <w:rPr>
          <w:rFonts w:ascii="Arial" w:eastAsia="Times New Roman" w:hAnsi="Arial" w:cs="Arial"/>
          <w:sz w:val="24"/>
          <w:szCs w:val="24"/>
        </w:rPr>
        <w:t>Exposición se considera al número de vidas, bienes, productos, infraestructura local, estratégica y equipamiento urbano que son factibles de ser afectados.</w:t>
      </w:r>
    </w:p>
    <w:p w:rsidR="001876E4" w:rsidRPr="00687CA5" w:rsidRDefault="001876E4" w:rsidP="001876E4">
      <w:pPr>
        <w:pStyle w:val="Prrafodelista"/>
        <w:spacing w:after="0"/>
        <w:rPr>
          <w:rFonts w:ascii="Arial" w:eastAsia="Times New Roman" w:hAnsi="Arial" w:cs="Arial"/>
          <w:bCs/>
          <w:sz w:val="24"/>
          <w:szCs w:val="24"/>
        </w:rPr>
      </w:pPr>
    </w:p>
    <w:p w:rsidR="001876E4" w:rsidRPr="00687CA5" w:rsidRDefault="001876E4" w:rsidP="001876E4">
      <w:pPr>
        <w:pStyle w:val="NormalWeb"/>
        <w:shd w:val="clear" w:color="auto" w:fill="FFFFFF"/>
        <w:spacing w:before="0" w:beforeAutospacing="0" w:after="0" w:afterAutospacing="0"/>
        <w:jc w:val="both"/>
        <w:rPr>
          <w:rFonts w:ascii="Arial" w:hAnsi="Arial" w:cs="Arial"/>
          <w:b/>
          <w:i/>
          <w:szCs w:val="22"/>
        </w:rPr>
      </w:pPr>
      <w:r w:rsidRPr="00687CA5">
        <w:rPr>
          <w:rFonts w:ascii="Arial" w:hAnsi="Arial" w:cs="Arial"/>
          <w:i/>
          <w:szCs w:val="22"/>
        </w:rPr>
        <w:t>“Los desastres perjudican y su efecto puede ser devastador, sobre todo a las personas pobres y vulnerables. En este contexto, la incorporación de la gestión de riesgos de desastres en la planificación del desarrollo puede revertir la actual tendencia del aumento de los impactos de estos sucesos</w:t>
      </w:r>
      <w:r w:rsidRPr="00687CA5">
        <w:rPr>
          <w:rFonts w:ascii="Arial" w:hAnsi="Arial" w:cs="Arial"/>
          <w:b/>
          <w:i/>
          <w:szCs w:val="22"/>
        </w:rPr>
        <w:t>.</w:t>
      </w:r>
      <w:r w:rsidRPr="00687CA5">
        <w:rPr>
          <w:rStyle w:val="apple-converted-space"/>
          <w:rFonts w:ascii="Arial" w:hAnsi="Arial" w:cs="Arial"/>
          <w:b/>
          <w:bCs/>
          <w:i/>
          <w:szCs w:val="22"/>
        </w:rPr>
        <w:t>”</w:t>
      </w:r>
      <w:r w:rsidRPr="00687CA5">
        <w:rPr>
          <w:rFonts w:ascii="Arial" w:hAnsi="Arial" w:cs="Arial"/>
          <w:b/>
          <w:i/>
          <w:szCs w:val="22"/>
        </w:rPr>
        <w:t xml:space="preserve"> </w:t>
      </w:r>
    </w:p>
    <w:p w:rsidR="001876E4" w:rsidRPr="00164FB9" w:rsidRDefault="001876E4" w:rsidP="001876E4">
      <w:pPr>
        <w:pStyle w:val="NormalWeb"/>
        <w:shd w:val="clear" w:color="auto" w:fill="FFFFFF"/>
        <w:spacing w:before="0" w:beforeAutospacing="0" w:after="0" w:afterAutospacing="0"/>
        <w:ind w:left="567"/>
        <w:jc w:val="both"/>
        <w:rPr>
          <w:rFonts w:ascii="Arial" w:hAnsi="Arial" w:cs="Arial"/>
          <w:szCs w:val="22"/>
        </w:rPr>
      </w:pPr>
    </w:p>
    <w:p w:rsidR="001876E4" w:rsidRPr="0057457D" w:rsidRDefault="001876E4" w:rsidP="001876E4">
      <w:pPr>
        <w:pStyle w:val="NormalWeb"/>
        <w:shd w:val="clear" w:color="auto" w:fill="FFFFFF"/>
        <w:spacing w:before="0" w:beforeAutospacing="0" w:after="0" w:afterAutospacing="0"/>
        <w:jc w:val="both"/>
        <w:rPr>
          <w:rFonts w:ascii="Arial" w:hAnsi="Arial" w:cs="Arial"/>
        </w:rPr>
      </w:pPr>
      <w:r w:rsidRPr="0057457D">
        <w:rPr>
          <w:rFonts w:ascii="Arial" w:hAnsi="Arial" w:cs="Arial"/>
        </w:rPr>
        <w:t>Si los gobiernos actúan de manera decidida, se pueden salvar vidas y bienes. Sin embargo, muchas entidades en desarrollo no cuentan con las herramientas, la experiencia ni los instrumentos para incorporar las posibles consecuencias de los fenómenos naturales adversos en sus decisiones de inversión.</w:t>
      </w:r>
    </w:p>
    <w:p w:rsidR="001876E4" w:rsidRPr="0057457D" w:rsidRDefault="001876E4" w:rsidP="001876E4">
      <w:pPr>
        <w:pStyle w:val="Texto"/>
        <w:spacing w:after="0" w:line="240" w:lineRule="auto"/>
        <w:ind w:firstLine="0"/>
        <w:rPr>
          <w:sz w:val="24"/>
          <w:szCs w:val="24"/>
          <w:lang w:val="es-MX" w:eastAsia="es-MX"/>
        </w:rPr>
      </w:pPr>
    </w:p>
    <w:p w:rsidR="001876E4" w:rsidRPr="0057457D" w:rsidRDefault="001876E4" w:rsidP="001876E4">
      <w:pPr>
        <w:pStyle w:val="Texto"/>
        <w:spacing w:after="0" w:line="240" w:lineRule="auto"/>
        <w:ind w:firstLine="0"/>
        <w:rPr>
          <w:sz w:val="24"/>
          <w:szCs w:val="24"/>
        </w:rPr>
      </w:pPr>
      <w:r w:rsidRPr="0057457D">
        <w:rPr>
          <w:sz w:val="24"/>
          <w:szCs w:val="24"/>
        </w:rPr>
        <w:t xml:space="preserve">La Ley de Protección Civil del </w:t>
      </w:r>
      <w:r>
        <w:rPr>
          <w:sz w:val="24"/>
          <w:szCs w:val="24"/>
        </w:rPr>
        <w:t>Estado de Colima</w:t>
      </w:r>
      <w:r w:rsidRPr="0057457D">
        <w:rPr>
          <w:sz w:val="24"/>
          <w:szCs w:val="24"/>
        </w:rPr>
        <w:t xml:space="preserve"> precisa que:</w:t>
      </w:r>
    </w:p>
    <w:p w:rsidR="001876E4" w:rsidRPr="0057457D" w:rsidRDefault="001876E4" w:rsidP="001876E4">
      <w:pPr>
        <w:pStyle w:val="Texto"/>
        <w:spacing w:after="0" w:line="240" w:lineRule="auto"/>
        <w:rPr>
          <w:sz w:val="24"/>
          <w:szCs w:val="24"/>
        </w:rPr>
      </w:pPr>
    </w:p>
    <w:p w:rsidR="001876E4" w:rsidRPr="0057457D" w:rsidRDefault="001876E4" w:rsidP="001876E4">
      <w:pPr>
        <w:pStyle w:val="Texto"/>
        <w:spacing w:after="0" w:line="240" w:lineRule="auto"/>
        <w:ind w:firstLine="0"/>
        <w:rPr>
          <w:i/>
          <w:sz w:val="24"/>
          <w:szCs w:val="24"/>
        </w:rPr>
      </w:pPr>
      <w:r w:rsidRPr="0057457D">
        <w:rPr>
          <w:i/>
          <w:sz w:val="24"/>
          <w:szCs w:val="24"/>
        </w:rPr>
        <w:t>“La materia de protección civil es considerada</w:t>
      </w:r>
      <w:r>
        <w:rPr>
          <w:i/>
          <w:sz w:val="24"/>
          <w:szCs w:val="24"/>
        </w:rPr>
        <w:t xml:space="preserve"> dentro de nuestra Constitución </w:t>
      </w:r>
      <w:r w:rsidRPr="0057457D">
        <w:rPr>
          <w:i/>
          <w:sz w:val="24"/>
          <w:szCs w:val="24"/>
        </w:rPr>
        <w:t>como una competencia concurrente entre los distintos órdenes de gobierno: Federal, entidades federativas y municipios.”</w:t>
      </w:r>
    </w:p>
    <w:p w:rsidR="001876E4" w:rsidRPr="0057457D" w:rsidRDefault="001876E4" w:rsidP="001876E4">
      <w:pPr>
        <w:pStyle w:val="Texto"/>
        <w:spacing w:after="0" w:line="240" w:lineRule="auto"/>
        <w:rPr>
          <w:sz w:val="24"/>
          <w:szCs w:val="24"/>
        </w:rPr>
      </w:pPr>
    </w:p>
    <w:p w:rsidR="001876E4" w:rsidRPr="00D9667B" w:rsidRDefault="001876E4" w:rsidP="001876E4">
      <w:pPr>
        <w:pStyle w:val="Texto"/>
        <w:spacing w:after="0" w:line="240" w:lineRule="auto"/>
        <w:ind w:firstLine="0"/>
        <w:rPr>
          <w:sz w:val="24"/>
          <w:szCs w:val="24"/>
        </w:rPr>
      </w:pPr>
      <w:r w:rsidRPr="0057457D">
        <w:rPr>
          <w:sz w:val="22"/>
          <w:szCs w:val="24"/>
        </w:rPr>
        <w:t xml:space="preserve">Tal ordenamiento establece </w:t>
      </w:r>
      <w:r w:rsidRPr="00D9667B">
        <w:rPr>
          <w:sz w:val="24"/>
          <w:szCs w:val="24"/>
        </w:rPr>
        <w:t xml:space="preserve">las bases y mecanismos de coordinación y colaboración de dichas instancias públicas para generar una gestión integral de riesgos sustentada en una cultura de prevención en este tema. </w:t>
      </w:r>
    </w:p>
    <w:p w:rsidR="001876E4" w:rsidRPr="00D9667B" w:rsidRDefault="001876E4" w:rsidP="001876E4">
      <w:pPr>
        <w:pStyle w:val="Texto"/>
        <w:spacing w:after="0" w:line="240" w:lineRule="auto"/>
        <w:ind w:left="-284" w:firstLine="0"/>
        <w:rPr>
          <w:sz w:val="24"/>
          <w:szCs w:val="24"/>
        </w:rPr>
      </w:pPr>
    </w:p>
    <w:p w:rsidR="001876E4" w:rsidRPr="00D9667B" w:rsidRDefault="001876E4" w:rsidP="001876E4">
      <w:pPr>
        <w:pStyle w:val="Texto"/>
        <w:spacing w:after="0" w:line="240" w:lineRule="auto"/>
        <w:ind w:firstLine="0"/>
        <w:rPr>
          <w:color w:val="000000"/>
          <w:sz w:val="24"/>
          <w:szCs w:val="24"/>
        </w:rPr>
      </w:pPr>
      <w:r w:rsidRPr="00D9667B">
        <w:rPr>
          <w:sz w:val="24"/>
          <w:szCs w:val="24"/>
        </w:rPr>
        <w:t xml:space="preserve">En otro aspecto, </w:t>
      </w:r>
      <w:r w:rsidRPr="00D9667B">
        <w:rPr>
          <w:color w:val="000000"/>
          <w:sz w:val="24"/>
          <w:szCs w:val="24"/>
        </w:rPr>
        <w:t xml:space="preserve">la Ley de Disciplina Financiera de las Entidades Federativas y los Municipios establece en su Artículo 9 </w:t>
      </w:r>
      <w:r w:rsidRPr="00D9667B">
        <w:rPr>
          <w:i/>
          <w:color w:val="000000"/>
          <w:sz w:val="24"/>
          <w:szCs w:val="24"/>
        </w:rPr>
        <w:t xml:space="preserve">“El Presupuesto de Egresos de las Entidades Federativas deberá prever recursos para atender a la población afectada y los daños causados a la infraestructura pública estatal ocasionados por la ocurrencia de desastres naturales, así como para llevar a cabo acciones para prevenir y mitigar su impacto a las finanzas estatales. El monto de dichos recursos deberá estar determinado por cada Entidad Federativa, el cual como mínimo deberá corresponder al 10 por ciento de la aportación realizada por la Entidad Federativa para la reconstrucción de la infraestructura de la Entidad Federativa dañada que en </w:t>
      </w:r>
      <w:r w:rsidRPr="00D9667B">
        <w:rPr>
          <w:i/>
          <w:color w:val="000000"/>
          <w:sz w:val="24"/>
          <w:szCs w:val="24"/>
        </w:rPr>
        <w:lastRenderedPageBreak/>
        <w:t>promedio se registre durante los últimos 5 ejercicios, actualizados por el Índice Nacional de Precios al Consumidor, medido a través de las autorizaciones de recursos aprobadas por el Fondo de Desastres Naturales, y deberá ser aportado a un fideicomiso público que se constituya específicamente para dicho fin.</w:t>
      </w:r>
      <w:r w:rsidRPr="00D9667B">
        <w:rPr>
          <w:color w:val="000000"/>
          <w:sz w:val="24"/>
          <w:szCs w:val="24"/>
        </w:rPr>
        <w:t>”</w:t>
      </w:r>
    </w:p>
    <w:p w:rsidR="001876E4" w:rsidRPr="0057457D" w:rsidRDefault="001876E4" w:rsidP="001876E4">
      <w:pPr>
        <w:spacing w:after="0" w:line="240" w:lineRule="auto"/>
        <w:jc w:val="both"/>
        <w:rPr>
          <w:rFonts w:ascii="Arial" w:hAnsi="Arial" w:cs="Arial"/>
          <w:sz w:val="24"/>
        </w:rPr>
      </w:pPr>
    </w:p>
    <w:p w:rsidR="001876E4" w:rsidRPr="0057457D" w:rsidRDefault="001876E4" w:rsidP="001876E4">
      <w:pPr>
        <w:pStyle w:val="Texto"/>
        <w:spacing w:after="0" w:line="240" w:lineRule="auto"/>
        <w:ind w:firstLine="0"/>
        <w:rPr>
          <w:color w:val="000000"/>
          <w:sz w:val="24"/>
          <w:szCs w:val="24"/>
        </w:rPr>
      </w:pPr>
      <w:r w:rsidRPr="0057457D">
        <w:rPr>
          <w:color w:val="000000"/>
          <w:sz w:val="24"/>
          <w:szCs w:val="24"/>
        </w:rPr>
        <w:t>Los recursos aportados deberán ser destinados, en primer término, para financiar las obras y acciones de reconstrucción de la infraestructura estatal aprobadas en el marco de las reglas generales del Fondo de Desastres Naturales, como la contraparte de la Entidad Federativa a los programas de reconstrucción acordados con la Federación.</w:t>
      </w:r>
    </w:p>
    <w:p w:rsidR="001876E4" w:rsidRPr="00D9667B" w:rsidRDefault="001876E4" w:rsidP="001876E4">
      <w:pPr>
        <w:pStyle w:val="Texto"/>
        <w:spacing w:after="0" w:line="240" w:lineRule="auto"/>
        <w:ind w:firstLine="0"/>
        <w:rPr>
          <w:color w:val="000000"/>
          <w:sz w:val="24"/>
          <w:szCs w:val="24"/>
        </w:rPr>
      </w:pPr>
    </w:p>
    <w:p w:rsidR="001876E4" w:rsidRPr="00D9667B" w:rsidRDefault="001876E4" w:rsidP="001876E4">
      <w:pPr>
        <w:pStyle w:val="Texto"/>
        <w:spacing w:after="0" w:line="240" w:lineRule="auto"/>
        <w:ind w:firstLine="0"/>
        <w:rPr>
          <w:color w:val="000000"/>
          <w:sz w:val="24"/>
          <w:szCs w:val="24"/>
        </w:rPr>
      </w:pPr>
      <w:r w:rsidRPr="00D9667B">
        <w:rPr>
          <w:color w:val="000000"/>
          <w:sz w:val="24"/>
          <w:szCs w:val="24"/>
        </w:rPr>
        <w:t>En caso de que el saldo de los recursos del fideicomiso a que se refiere el primer párrafo de este artículo, acumule un monto que sea superior al costo promedio de reconstrucción de la infraestructura estatal dañada de los últimos 5 años de la Entidad Federativa, medido a través de las autorizaciones de recursos aprobadas por el Fondo de Desastres Naturales, la Entidad Federativa podrá utilizar el remanente que le corresponda para acciones de prevención y mitigación, los cuales podrán ser aplicados para financiar la contraparte de la Entidad Federativa de los proyectos preventivos, conforme a lo establecido en las reglas de operación del Fondo para la Prevención de Desastres Naturales.”</w:t>
      </w:r>
    </w:p>
    <w:p w:rsidR="001876E4" w:rsidRPr="00D9667B" w:rsidRDefault="001876E4" w:rsidP="001876E4">
      <w:pPr>
        <w:pStyle w:val="Texto"/>
        <w:spacing w:after="0" w:line="240" w:lineRule="auto"/>
        <w:ind w:firstLine="0"/>
        <w:rPr>
          <w:color w:val="000000"/>
          <w:sz w:val="24"/>
          <w:szCs w:val="24"/>
        </w:rPr>
      </w:pPr>
    </w:p>
    <w:p w:rsidR="001876E4" w:rsidRPr="00D9667B" w:rsidRDefault="001876E4" w:rsidP="001876E4">
      <w:pPr>
        <w:pStyle w:val="Texto"/>
        <w:spacing w:after="0" w:line="240" w:lineRule="auto"/>
        <w:ind w:firstLine="0"/>
        <w:rPr>
          <w:color w:val="000000"/>
          <w:sz w:val="24"/>
          <w:szCs w:val="24"/>
        </w:rPr>
      </w:pPr>
      <w:r w:rsidRPr="00D9667B">
        <w:rPr>
          <w:color w:val="000000"/>
          <w:sz w:val="24"/>
          <w:szCs w:val="24"/>
        </w:rPr>
        <w:t>Asimismo, la Ley de Disciplina Financiera de las Entidades Federativas y los Municipios LDFEFM en su Transitorio Quinto prevé que</w:t>
      </w:r>
      <w:r w:rsidRPr="00D9667B">
        <w:rPr>
          <w:b/>
          <w:color w:val="000000"/>
          <w:sz w:val="24"/>
          <w:szCs w:val="24"/>
        </w:rPr>
        <w:t>. - “</w:t>
      </w:r>
      <w:r w:rsidRPr="00D9667B">
        <w:rPr>
          <w:color w:val="000000"/>
          <w:sz w:val="24"/>
          <w:szCs w:val="24"/>
        </w:rPr>
        <w:t>El porcentaje a que hace referencia el artículo 9 de la Ley de Disciplina Financiera de las Entidades Federativas y los Municipios, relativo al nivel de aportación al fideicomiso para realizar acciones preventivas o atender daños ocasionados por desastres naturales, corresponderá a un 2.5 por ciento para el año 2017, 5.0 por ciento para el año 2018, 7.5 por ciento para el año 2019 y, a partir del año 2020 se observará el porcentaje es</w:t>
      </w:r>
      <w:r>
        <w:rPr>
          <w:color w:val="000000"/>
          <w:sz w:val="24"/>
          <w:szCs w:val="24"/>
        </w:rPr>
        <w:t>tablecido en el artículo citado</w:t>
      </w:r>
      <w:r w:rsidRPr="00D9667B">
        <w:rPr>
          <w:color w:val="000000"/>
          <w:sz w:val="24"/>
          <w:szCs w:val="24"/>
        </w:rPr>
        <w:t>”</w:t>
      </w:r>
      <w:r>
        <w:rPr>
          <w:color w:val="000000"/>
          <w:sz w:val="24"/>
          <w:szCs w:val="24"/>
        </w:rPr>
        <w:t>.</w:t>
      </w:r>
    </w:p>
    <w:p w:rsidR="001876E4" w:rsidRPr="00F8671B" w:rsidRDefault="001876E4" w:rsidP="001876E4">
      <w:pPr>
        <w:pStyle w:val="Texto"/>
        <w:spacing w:after="0" w:line="240" w:lineRule="auto"/>
        <w:ind w:firstLine="0"/>
        <w:rPr>
          <w:color w:val="000000"/>
          <w:sz w:val="24"/>
          <w:szCs w:val="24"/>
          <w:highlight w:val="yellow"/>
        </w:rPr>
      </w:pPr>
    </w:p>
    <w:p w:rsidR="001876E4" w:rsidRPr="001A7F74" w:rsidRDefault="001876E4" w:rsidP="001876E4">
      <w:pPr>
        <w:pStyle w:val="Texto"/>
        <w:spacing w:after="0" w:line="240" w:lineRule="auto"/>
        <w:ind w:firstLine="0"/>
        <w:rPr>
          <w:color w:val="000000"/>
          <w:sz w:val="24"/>
          <w:szCs w:val="24"/>
        </w:rPr>
      </w:pPr>
      <w:r w:rsidRPr="001A7F74">
        <w:rPr>
          <w:color w:val="000000"/>
          <w:sz w:val="24"/>
          <w:szCs w:val="24"/>
        </w:rPr>
        <w:t>A continuación, se presenta información que incluye los recursos que ha aportado la Federación y el estado para financiar obras y acciones de reconstrucción de la infraestructura estatal por desastres naturales en el marco del FONDEN.</w:t>
      </w:r>
    </w:p>
    <w:p w:rsidR="001876E4" w:rsidRDefault="001876E4" w:rsidP="001876E4">
      <w:pPr>
        <w:pStyle w:val="Texto"/>
        <w:spacing w:after="0" w:line="240" w:lineRule="auto"/>
        <w:ind w:firstLine="0"/>
        <w:jc w:val="center"/>
        <w:rPr>
          <w:color w:val="000000"/>
          <w:sz w:val="24"/>
          <w:szCs w:val="24"/>
          <w:highlight w:val="yellow"/>
        </w:rPr>
      </w:pPr>
    </w:p>
    <w:p w:rsidR="001876E4" w:rsidRPr="00F8671B" w:rsidRDefault="001876E4" w:rsidP="001876E4">
      <w:pPr>
        <w:pStyle w:val="Texto"/>
        <w:spacing w:after="0" w:line="240" w:lineRule="auto"/>
        <w:ind w:firstLine="0"/>
        <w:jc w:val="center"/>
        <w:rPr>
          <w:color w:val="000000"/>
          <w:sz w:val="24"/>
          <w:szCs w:val="24"/>
          <w:highlight w:val="yellow"/>
        </w:rPr>
      </w:pPr>
      <w:r w:rsidRPr="00A75F5F">
        <w:rPr>
          <w:noProof/>
        </w:rPr>
        <w:lastRenderedPageBreak/>
        <w:drawing>
          <wp:inline distT="0" distB="0" distL="0" distR="0" wp14:anchorId="0E150222" wp14:editId="56FF8E5E">
            <wp:extent cx="5612130" cy="1561831"/>
            <wp:effectExtent l="0" t="0" r="762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1561831"/>
                    </a:xfrm>
                    <a:prstGeom prst="rect">
                      <a:avLst/>
                    </a:prstGeom>
                    <a:noFill/>
                    <a:ln>
                      <a:noFill/>
                    </a:ln>
                  </pic:spPr>
                </pic:pic>
              </a:graphicData>
            </a:graphic>
          </wp:inline>
        </w:drawing>
      </w:r>
    </w:p>
    <w:p w:rsidR="001876E4" w:rsidRPr="00BA022A" w:rsidRDefault="001876E4" w:rsidP="001876E4">
      <w:pPr>
        <w:pStyle w:val="Texto"/>
        <w:spacing w:after="0" w:line="240" w:lineRule="auto"/>
        <w:ind w:firstLine="0"/>
        <w:rPr>
          <w:sz w:val="24"/>
          <w:szCs w:val="24"/>
          <w:highlight w:val="yellow"/>
        </w:rPr>
      </w:pPr>
    </w:p>
    <w:p w:rsidR="001876E4" w:rsidRPr="00957173" w:rsidRDefault="001876E4" w:rsidP="001876E4">
      <w:pPr>
        <w:pStyle w:val="Texto"/>
        <w:spacing w:after="0" w:line="240" w:lineRule="auto"/>
        <w:ind w:firstLine="0"/>
        <w:rPr>
          <w:sz w:val="24"/>
          <w:szCs w:val="24"/>
        </w:rPr>
      </w:pPr>
      <w:r w:rsidRPr="00957173">
        <w:rPr>
          <w:sz w:val="24"/>
          <w:szCs w:val="24"/>
        </w:rPr>
        <w:t>Para el ejercicio fiscal 2018 se estimó una cantidad de 25 millones de pesos en la partida 79101 denominada Fondo de Desastres Naturales que representa la aportación estatal al FONDEN para atender a la población y a la infraestructura dañada en caso de desastres naturales.</w:t>
      </w:r>
    </w:p>
    <w:p w:rsidR="001876E4" w:rsidRPr="00957173" w:rsidRDefault="001876E4" w:rsidP="001876E4">
      <w:pPr>
        <w:pStyle w:val="Texto"/>
        <w:spacing w:after="0" w:line="240" w:lineRule="auto"/>
        <w:ind w:firstLine="0"/>
        <w:rPr>
          <w:sz w:val="24"/>
          <w:szCs w:val="24"/>
          <w:highlight w:val="yellow"/>
        </w:rPr>
      </w:pPr>
    </w:p>
    <w:p w:rsidR="001876E4" w:rsidRPr="00D9667B" w:rsidRDefault="001876E4" w:rsidP="001876E4">
      <w:pPr>
        <w:pStyle w:val="Texto"/>
        <w:spacing w:after="0" w:line="240" w:lineRule="auto"/>
        <w:ind w:firstLine="0"/>
        <w:rPr>
          <w:color w:val="222222"/>
          <w:sz w:val="24"/>
          <w:szCs w:val="24"/>
        </w:rPr>
      </w:pPr>
      <w:r w:rsidRPr="00D9667B">
        <w:rPr>
          <w:sz w:val="24"/>
          <w:szCs w:val="24"/>
        </w:rPr>
        <w:t>En línea con lo anterior,</w:t>
      </w:r>
      <w:r>
        <w:rPr>
          <w:sz w:val="24"/>
          <w:szCs w:val="24"/>
        </w:rPr>
        <w:t xml:space="preserve"> el Gobierno del Estado de Colima adquirirá un seguro de riesgo catastrófico, en apego a lo estipulado en el artículo 18 de la Ley General de Protección Civil , como instrumento de administración y transferencia de riesgos para la cobertura de daños causados por un desastre natural en los bienes e infraestructura de la entidad.</w:t>
      </w:r>
    </w:p>
    <w:p w:rsidR="001876E4" w:rsidRPr="00D9667B" w:rsidRDefault="001876E4" w:rsidP="001876E4">
      <w:pPr>
        <w:pStyle w:val="Texto"/>
        <w:spacing w:after="0" w:line="240" w:lineRule="auto"/>
        <w:ind w:firstLine="0"/>
        <w:rPr>
          <w:color w:val="222222"/>
          <w:sz w:val="24"/>
          <w:szCs w:val="24"/>
        </w:rPr>
      </w:pPr>
    </w:p>
    <w:p w:rsidR="001876E4" w:rsidRPr="002F2B88" w:rsidRDefault="001876E4" w:rsidP="001876E4">
      <w:pPr>
        <w:pStyle w:val="Texto"/>
        <w:spacing w:after="0" w:line="240" w:lineRule="auto"/>
        <w:ind w:firstLine="0"/>
        <w:rPr>
          <w:b/>
          <w:sz w:val="24"/>
          <w:szCs w:val="24"/>
        </w:rPr>
      </w:pPr>
      <w:r w:rsidRPr="002F2B88">
        <w:rPr>
          <w:b/>
          <w:color w:val="222222"/>
          <w:sz w:val="24"/>
          <w:szCs w:val="24"/>
          <w:lang w:val="es-MX" w:eastAsia="es-MX"/>
        </w:rPr>
        <w:t xml:space="preserve">2.8. </w:t>
      </w:r>
      <w:r w:rsidRPr="002F2B88">
        <w:rPr>
          <w:b/>
          <w:sz w:val="24"/>
          <w:szCs w:val="24"/>
        </w:rPr>
        <w:t>INCLUSIÓN DE UNA SECCIÓN ESPECÍFICA DE LAS EROGACIONES CORRESPONDIENTES AL GASTO EN SERVICIOS PERSONALES.</w:t>
      </w:r>
    </w:p>
    <w:p w:rsidR="001876E4" w:rsidRPr="002F2B88" w:rsidRDefault="001876E4" w:rsidP="001876E4">
      <w:pPr>
        <w:pStyle w:val="Texto"/>
        <w:spacing w:after="0" w:line="240" w:lineRule="auto"/>
        <w:ind w:firstLine="0"/>
        <w:jc w:val="left"/>
        <w:rPr>
          <w:sz w:val="24"/>
          <w:szCs w:val="24"/>
        </w:rPr>
      </w:pPr>
    </w:p>
    <w:p w:rsidR="001876E4" w:rsidRPr="002F2B88" w:rsidRDefault="001876E4" w:rsidP="001876E4">
      <w:pPr>
        <w:pStyle w:val="Texto"/>
        <w:spacing w:after="0" w:line="240" w:lineRule="auto"/>
        <w:ind w:firstLine="0"/>
        <w:rPr>
          <w:b/>
          <w:sz w:val="24"/>
          <w:szCs w:val="24"/>
        </w:rPr>
      </w:pPr>
      <w:r w:rsidRPr="002F2B88">
        <w:rPr>
          <w:b/>
          <w:sz w:val="24"/>
          <w:szCs w:val="24"/>
        </w:rPr>
        <w:t>Servicios Personales</w:t>
      </w:r>
    </w:p>
    <w:p w:rsidR="001876E4" w:rsidRPr="002F2B88" w:rsidRDefault="001876E4" w:rsidP="001876E4">
      <w:pPr>
        <w:pStyle w:val="Texto"/>
        <w:spacing w:after="0" w:line="240" w:lineRule="auto"/>
        <w:ind w:firstLine="0"/>
        <w:rPr>
          <w:sz w:val="24"/>
          <w:szCs w:val="24"/>
        </w:rPr>
      </w:pPr>
    </w:p>
    <w:p w:rsidR="001876E4" w:rsidRPr="002F2B88" w:rsidRDefault="001876E4" w:rsidP="001876E4">
      <w:pPr>
        <w:pStyle w:val="Texto"/>
        <w:spacing w:after="0" w:line="240" w:lineRule="auto"/>
        <w:ind w:firstLine="0"/>
        <w:rPr>
          <w:sz w:val="24"/>
          <w:szCs w:val="24"/>
        </w:rPr>
      </w:pPr>
      <w:r w:rsidRPr="002F2B88">
        <w:rPr>
          <w:sz w:val="24"/>
          <w:szCs w:val="24"/>
        </w:rPr>
        <w:t>Los servicios personales se refieren a las remuneraciones del personal operativo y de mando al servicio de los Poderes y Entes Autónomos, de las Dependencias y Entidades; corresponden a sueldos, salarios, dietas, honorarios asimilables al salario, prestaciones y gastos de seguridad social, obligaciones laborales y otras prestaciones derivadas de una relación laboral, de carácter permanente o transitorio.</w:t>
      </w:r>
    </w:p>
    <w:p w:rsidR="001876E4" w:rsidRPr="002F2B88" w:rsidRDefault="001876E4" w:rsidP="001876E4">
      <w:pPr>
        <w:pStyle w:val="Texto"/>
        <w:spacing w:after="0" w:line="240" w:lineRule="auto"/>
        <w:ind w:firstLine="0"/>
        <w:rPr>
          <w:sz w:val="24"/>
          <w:szCs w:val="24"/>
        </w:rPr>
      </w:pPr>
    </w:p>
    <w:p w:rsidR="001876E4" w:rsidRPr="002F2B88" w:rsidRDefault="001876E4" w:rsidP="001876E4">
      <w:pPr>
        <w:pStyle w:val="Texto"/>
        <w:spacing w:after="0" w:line="240" w:lineRule="auto"/>
        <w:ind w:firstLine="0"/>
        <w:rPr>
          <w:sz w:val="24"/>
          <w:szCs w:val="24"/>
        </w:rPr>
      </w:pPr>
      <w:r w:rsidRPr="002F2B88">
        <w:rPr>
          <w:sz w:val="24"/>
          <w:szCs w:val="24"/>
        </w:rPr>
        <w:t xml:space="preserve">La importancia del gasto en servicios personales como agregado presupuestario, y desde el punto de vista de la clasificación económica, radica en la cobertura que llevan a cabo las diferentes dependencias gubernamentales de las percepciones para el personal, incluyendo la operación de programas prioritarios de los sectores de salud, educativo, de seguridad pública, entre otros. </w:t>
      </w:r>
    </w:p>
    <w:p w:rsidR="001876E4" w:rsidRPr="002F2B88" w:rsidRDefault="001876E4" w:rsidP="001876E4">
      <w:pPr>
        <w:pStyle w:val="Texto"/>
        <w:spacing w:after="0" w:line="240" w:lineRule="auto"/>
        <w:ind w:firstLine="0"/>
        <w:rPr>
          <w:sz w:val="24"/>
          <w:szCs w:val="24"/>
        </w:rPr>
      </w:pPr>
    </w:p>
    <w:p w:rsidR="001876E4" w:rsidRPr="002F2B88" w:rsidRDefault="001876E4" w:rsidP="001876E4">
      <w:pPr>
        <w:pStyle w:val="Texto"/>
        <w:spacing w:after="0" w:line="240" w:lineRule="auto"/>
        <w:ind w:firstLine="0"/>
        <w:rPr>
          <w:sz w:val="24"/>
          <w:szCs w:val="24"/>
        </w:rPr>
      </w:pPr>
      <w:r w:rsidRPr="002F2B88">
        <w:rPr>
          <w:sz w:val="24"/>
          <w:szCs w:val="24"/>
        </w:rPr>
        <w:lastRenderedPageBreak/>
        <w:t xml:space="preserve">El control de las erogaciones en servicios personales debe ser utilizado como una herramienta de la política de gasto orientada a la responsabilidad fiscal, que cobra mayor relevancia en contextos caracterizados por menores ingresos disponibles. </w:t>
      </w:r>
    </w:p>
    <w:p w:rsidR="001876E4" w:rsidRPr="002F2B88" w:rsidRDefault="001876E4" w:rsidP="001876E4">
      <w:pPr>
        <w:pStyle w:val="Texto"/>
        <w:spacing w:after="0" w:line="240" w:lineRule="auto"/>
        <w:ind w:firstLine="0"/>
        <w:rPr>
          <w:sz w:val="24"/>
          <w:szCs w:val="24"/>
        </w:rPr>
      </w:pPr>
    </w:p>
    <w:p w:rsidR="001876E4" w:rsidRPr="002F2B88" w:rsidRDefault="001876E4" w:rsidP="001876E4">
      <w:pPr>
        <w:pStyle w:val="Texto"/>
        <w:spacing w:after="0" w:line="240" w:lineRule="auto"/>
        <w:ind w:firstLine="0"/>
        <w:rPr>
          <w:sz w:val="24"/>
          <w:szCs w:val="24"/>
        </w:rPr>
      </w:pPr>
      <w:r w:rsidRPr="002F2B88">
        <w:rPr>
          <w:sz w:val="24"/>
          <w:szCs w:val="24"/>
        </w:rPr>
        <w:t>El proyecto de presupuesto de egresos del Estado para el ejercicio fiscal 2018, incluye en su iniciativa de Decreto, una sección específica de las erogaciones correspondientes al gasto en servicios personales, en donde se incluyen diversos postulados que atienden lo previsto en la normatividad vigente en la materia.</w:t>
      </w:r>
    </w:p>
    <w:p w:rsidR="001876E4" w:rsidRPr="002F2B88" w:rsidRDefault="001876E4" w:rsidP="001876E4">
      <w:pPr>
        <w:pStyle w:val="Texto"/>
        <w:spacing w:after="0" w:line="240" w:lineRule="auto"/>
        <w:ind w:firstLine="0"/>
        <w:rPr>
          <w:sz w:val="24"/>
          <w:szCs w:val="24"/>
        </w:rPr>
      </w:pPr>
    </w:p>
    <w:p w:rsidR="001876E4" w:rsidRPr="002F2B88" w:rsidRDefault="001876E4" w:rsidP="001876E4">
      <w:pPr>
        <w:pStyle w:val="Texto"/>
        <w:spacing w:after="0" w:line="240" w:lineRule="auto"/>
        <w:ind w:firstLine="0"/>
        <w:rPr>
          <w:sz w:val="24"/>
          <w:szCs w:val="24"/>
        </w:rPr>
      </w:pPr>
      <w:r w:rsidRPr="002F2B88">
        <w:rPr>
          <w:sz w:val="24"/>
          <w:szCs w:val="24"/>
        </w:rPr>
        <w:t>Entre los aspectos que se incluyen se encuentran los siguientes:</w:t>
      </w:r>
    </w:p>
    <w:p w:rsidR="001876E4" w:rsidRPr="002F2B88" w:rsidRDefault="001876E4" w:rsidP="001876E4">
      <w:pPr>
        <w:pStyle w:val="Texto"/>
        <w:spacing w:after="0" w:line="240" w:lineRule="auto"/>
        <w:ind w:firstLine="0"/>
        <w:rPr>
          <w:sz w:val="24"/>
          <w:szCs w:val="24"/>
        </w:rPr>
      </w:pPr>
    </w:p>
    <w:p w:rsidR="001876E4" w:rsidRPr="002F2B88" w:rsidRDefault="001876E4" w:rsidP="001876E4">
      <w:pPr>
        <w:pStyle w:val="NormalWeb"/>
        <w:shd w:val="clear" w:color="auto" w:fill="FFFFFF"/>
        <w:spacing w:before="0" w:beforeAutospacing="0" w:after="0" w:afterAutospacing="0"/>
        <w:jc w:val="both"/>
        <w:rPr>
          <w:rFonts w:ascii="Arial" w:hAnsi="Arial" w:cs="Arial"/>
          <w:color w:val="000000"/>
        </w:rPr>
      </w:pPr>
      <w:r w:rsidRPr="002F2B88">
        <w:rPr>
          <w:rFonts w:ascii="Arial" w:hAnsi="Arial" w:cs="Arial"/>
          <w:color w:val="000000"/>
        </w:rPr>
        <w:t>Las remuneraciones de los servidores públicos, desglosando las percepciones ordinarias y extraordinarias, e incluyendo las erogaciones por concepto de obligaciones de carácter fiscal y de seguridad social inherentes a dichas remuneraciones, y las previsiones salariales y económicas para cubrir los incrementos salariales, la creación de plazas y otras medidas económicas de índole laboral.</w:t>
      </w:r>
    </w:p>
    <w:p w:rsidR="001876E4" w:rsidRPr="00F8671B" w:rsidRDefault="001876E4" w:rsidP="001876E4">
      <w:pPr>
        <w:pStyle w:val="NormalWeb"/>
        <w:shd w:val="clear" w:color="auto" w:fill="FFFFFF"/>
        <w:spacing w:before="0" w:beforeAutospacing="0" w:after="0" w:afterAutospacing="0"/>
        <w:jc w:val="both"/>
        <w:rPr>
          <w:rFonts w:ascii="Arial" w:hAnsi="Arial" w:cs="Arial"/>
          <w:color w:val="222222"/>
          <w:highlight w:val="yellow"/>
        </w:rPr>
      </w:pPr>
    </w:p>
    <w:p w:rsidR="001876E4" w:rsidRPr="00D9667B" w:rsidRDefault="001876E4" w:rsidP="001876E4">
      <w:pPr>
        <w:pStyle w:val="Texto"/>
        <w:spacing w:after="0" w:line="240" w:lineRule="auto"/>
        <w:ind w:firstLine="0"/>
        <w:rPr>
          <w:sz w:val="24"/>
          <w:szCs w:val="24"/>
        </w:rPr>
      </w:pPr>
      <w:r w:rsidRPr="00D9667B">
        <w:rPr>
          <w:sz w:val="24"/>
          <w:szCs w:val="24"/>
        </w:rPr>
        <w:t>Asimismo, se incorpora como un anexo el Tabulador de sueldos del Poder Ejecutivo del Estado, así como el Tabulador del Magisterio Federalizado.</w:t>
      </w:r>
    </w:p>
    <w:p w:rsidR="001876E4" w:rsidRPr="004F51E4" w:rsidRDefault="001876E4" w:rsidP="001876E4">
      <w:pPr>
        <w:pStyle w:val="Texto"/>
        <w:spacing w:after="0" w:line="240" w:lineRule="auto"/>
        <w:ind w:firstLine="0"/>
        <w:rPr>
          <w:sz w:val="24"/>
          <w:szCs w:val="24"/>
          <w:highlight w:val="yellow"/>
        </w:rPr>
      </w:pPr>
    </w:p>
    <w:p w:rsidR="001876E4" w:rsidRDefault="001876E4" w:rsidP="001876E4">
      <w:pPr>
        <w:pStyle w:val="Texto"/>
        <w:spacing w:after="0" w:line="240" w:lineRule="auto"/>
        <w:ind w:firstLine="0"/>
        <w:rPr>
          <w:b/>
          <w:sz w:val="24"/>
          <w:szCs w:val="24"/>
        </w:rPr>
      </w:pPr>
      <w:r w:rsidRPr="00D9667B">
        <w:rPr>
          <w:b/>
          <w:sz w:val="24"/>
          <w:szCs w:val="24"/>
        </w:rPr>
        <w:t>2.9. RECURSOS PARA CUBRIR LOS ADEUDOS DEL EJERCICIO FISCAL ANTERIOR (ADEFAS).</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ANOTACION"/>
        <w:spacing w:before="0" w:after="0" w:line="240" w:lineRule="auto"/>
        <w:jc w:val="both"/>
        <w:rPr>
          <w:rFonts w:ascii="Arial" w:hAnsi="Arial" w:cs="Arial"/>
          <w:b w:val="0"/>
          <w:sz w:val="24"/>
          <w:szCs w:val="24"/>
          <w:lang w:val="es-MX"/>
        </w:rPr>
      </w:pPr>
      <w:r w:rsidRPr="00D9667B">
        <w:rPr>
          <w:rFonts w:ascii="Arial" w:hAnsi="Arial" w:cs="Arial"/>
          <w:b w:val="0"/>
          <w:sz w:val="24"/>
          <w:szCs w:val="24"/>
        </w:rPr>
        <w:t xml:space="preserve">Según lo previsto en el </w:t>
      </w:r>
      <w:r w:rsidRPr="00D9667B">
        <w:rPr>
          <w:rFonts w:ascii="Arial" w:hAnsi="Arial" w:cs="Arial"/>
          <w:b w:val="0"/>
          <w:sz w:val="24"/>
          <w:szCs w:val="24"/>
          <w:lang w:val="es-MX"/>
        </w:rPr>
        <w:t>Clasificador por Objeto del Gasto, las ADEFAS se definen como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sz w:val="24"/>
          <w:szCs w:val="24"/>
        </w:rPr>
      </w:pPr>
      <w:r w:rsidRPr="00D9667B">
        <w:rPr>
          <w:sz w:val="24"/>
          <w:szCs w:val="24"/>
        </w:rPr>
        <w:t xml:space="preserve">Para estimar los recursos de ADEFAS, se atendió lo previsto en el artículo 12 de la Ley de Disciplina Financiera de las Entidades Federativas y los Municipios y a su Transitorio Séptimo, </w:t>
      </w:r>
      <w:r w:rsidRPr="00D9667B">
        <w:rPr>
          <w:color w:val="000000"/>
          <w:sz w:val="24"/>
          <w:szCs w:val="24"/>
        </w:rPr>
        <w:t>que señala:</w:t>
      </w:r>
      <w:r w:rsidRPr="00D9667B">
        <w:rPr>
          <w:b/>
          <w:color w:val="000000"/>
          <w:sz w:val="24"/>
          <w:szCs w:val="24"/>
        </w:rPr>
        <w:t xml:space="preserve"> “</w:t>
      </w:r>
      <w:r w:rsidRPr="00D9667B">
        <w:rPr>
          <w:i/>
          <w:color w:val="000000"/>
          <w:sz w:val="24"/>
          <w:szCs w:val="24"/>
        </w:rPr>
        <w:t>Artículo 12</w:t>
      </w:r>
      <w:r w:rsidRPr="00D9667B">
        <w:rPr>
          <w:b/>
          <w:i/>
          <w:color w:val="000000"/>
          <w:sz w:val="24"/>
          <w:szCs w:val="24"/>
        </w:rPr>
        <w:t xml:space="preserve"> </w:t>
      </w:r>
      <w:r w:rsidRPr="00D9667B">
        <w:rPr>
          <w:i/>
          <w:sz w:val="24"/>
          <w:szCs w:val="24"/>
        </w:rPr>
        <w:t>Los recursos para cubrir adeudos del ejercicio fiscal anterior, previstos en el proyecto de Presupuesto de Egresos, podrán ser hasta por el 2 por ciento de los Ingresos totales de la respectiva Entidad Federativa</w:t>
      </w:r>
      <w:r w:rsidRPr="00D9667B">
        <w:rPr>
          <w:sz w:val="24"/>
          <w:szCs w:val="24"/>
        </w:rPr>
        <w:t>.”</w:t>
      </w:r>
    </w:p>
    <w:p w:rsidR="001876E4" w:rsidRPr="00D9667B" w:rsidRDefault="001876E4" w:rsidP="001876E4">
      <w:pPr>
        <w:pStyle w:val="Texto"/>
        <w:spacing w:after="0" w:line="240" w:lineRule="auto"/>
        <w:ind w:firstLine="0"/>
        <w:rPr>
          <w:sz w:val="24"/>
          <w:szCs w:val="24"/>
        </w:rPr>
      </w:pPr>
    </w:p>
    <w:p w:rsidR="001876E4" w:rsidRPr="00D9667B" w:rsidRDefault="001876E4" w:rsidP="001876E4">
      <w:pPr>
        <w:pStyle w:val="Texto"/>
        <w:spacing w:after="0" w:line="240" w:lineRule="auto"/>
        <w:ind w:firstLine="0"/>
        <w:rPr>
          <w:color w:val="000000"/>
          <w:sz w:val="24"/>
          <w:szCs w:val="24"/>
        </w:rPr>
      </w:pPr>
      <w:r w:rsidRPr="00D9667B">
        <w:rPr>
          <w:color w:val="000000"/>
          <w:sz w:val="24"/>
          <w:szCs w:val="24"/>
        </w:rPr>
        <w:t xml:space="preserve">El Transitorio Séptimo de dicho ordenamiento prevé: </w:t>
      </w:r>
      <w:r w:rsidRPr="00D9667B">
        <w:rPr>
          <w:b/>
          <w:color w:val="000000"/>
          <w:sz w:val="24"/>
          <w:szCs w:val="24"/>
        </w:rPr>
        <w:t>“</w:t>
      </w:r>
      <w:r w:rsidRPr="00D9667B">
        <w:rPr>
          <w:i/>
          <w:color w:val="000000"/>
          <w:sz w:val="24"/>
          <w:szCs w:val="24"/>
        </w:rPr>
        <w:t xml:space="preserve">El porcentaje a que hace referencia el artículo 12 de la Ley de Disciplina Financiera de las Entidades </w:t>
      </w:r>
      <w:r w:rsidRPr="00D9667B">
        <w:rPr>
          <w:i/>
          <w:color w:val="000000"/>
          <w:sz w:val="24"/>
          <w:szCs w:val="24"/>
        </w:rPr>
        <w:lastRenderedPageBreak/>
        <w:t xml:space="preserve">Federativas y los Municipios, relativo a los adeudos del ejercicio fiscal anterior de las Entidades Federativas, </w:t>
      </w:r>
      <w:r w:rsidRPr="00D9667B">
        <w:rPr>
          <w:i/>
          <w:sz w:val="24"/>
          <w:szCs w:val="24"/>
        </w:rPr>
        <w:t>será del 5 por ciento para el ejercicio 2017</w:t>
      </w:r>
      <w:r w:rsidRPr="00D9667B">
        <w:rPr>
          <w:i/>
          <w:color w:val="000000"/>
          <w:sz w:val="24"/>
          <w:szCs w:val="24"/>
        </w:rPr>
        <w:t>, 4 por ciento para el 2018, 3 por ciento para el 2019 y, a partir del 2020 se observará el porcentaje establecido en el artículo citado</w:t>
      </w:r>
      <w:r w:rsidRPr="00D9667B">
        <w:rPr>
          <w:color w:val="000000"/>
          <w:sz w:val="24"/>
          <w:szCs w:val="24"/>
        </w:rPr>
        <w:t>.”</w:t>
      </w:r>
    </w:p>
    <w:p w:rsidR="001876E4" w:rsidRPr="00F8671B" w:rsidRDefault="001876E4" w:rsidP="001876E4">
      <w:pPr>
        <w:pStyle w:val="Texto"/>
        <w:spacing w:after="0" w:line="240" w:lineRule="auto"/>
        <w:rPr>
          <w:color w:val="000000"/>
          <w:sz w:val="24"/>
          <w:szCs w:val="24"/>
          <w:highlight w:val="yellow"/>
        </w:rPr>
      </w:pPr>
    </w:p>
    <w:p w:rsidR="001876E4" w:rsidRPr="00987B53" w:rsidRDefault="001876E4" w:rsidP="001876E4">
      <w:pPr>
        <w:pStyle w:val="Texto"/>
        <w:spacing w:after="0" w:line="240" w:lineRule="auto"/>
        <w:ind w:firstLine="0"/>
        <w:rPr>
          <w:color w:val="000000"/>
          <w:sz w:val="24"/>
          <w:szCs w:val="24"/>
        </w:rPr>
      </w:pPr>
      <w:r w:rsidRPr="00987B53">
        <w:rPr>
          <w:color w:val="000000"/>
          <w:sz w:val="24"/>
          <w:szCs w:val="24"/>
        </w:rPr>
        <w:t xml:space="preserve">En esa tesitura, para 2018 el porcentaje de las ADEFAS presupuestadas representan </w:t>
      </w:r>
      <w:r w:rsidRPr="00987B53">
        <w:rPr>
          <w:sz w:val="24"/>
          <w:szCs w:val="24"/>
        </w:rPr>
        <w:t>el 0.3</w:t>
      </w:r>
      <w:r>
        <w:rPr>
          <w:sz w:val="24"/>
          <w:szCs w:val="24"/>
        </w:rPr>
        <w:t>4</w:t>
      </w:r>
      <w:r w:rsidRPr="00987B53">
        <w:rPr>
          <w:sz w:val="24"/>
          <w:szCs w:val="24"/>
        </w:rPr>
        <w:t xml:space="preserve"> por ciento de los ingresos totales, monto</w:t>
      </w:r>
      <w:r w:rsidRPr="00987B53">
        <w:rPr>
          <w:color w:val="000000"/>
          <w:sz w:val="24"/>
          <w:szCs w:val="24"/>
        </w:rPr>
        <w:t xml:space="preserve"> significativamente inferior al 4 por ciento máximo permitido por la LDF para 2018 como se muestra en el siguiente cuadro:</w:t>
      </w: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r w:rsidRPr="00A75F5F">
        <w:rPr>
          <w:noProof/>
        </w:rPr>
        <w:drawing>
          <wp:inline distT="0" distB="0" distL="0" distR="0" wp14:anchorId="250598F2" wp14:editId="62C94BDC">
            <wp:extent cx="5612130" cy="2208947"/>
            <wp:effectExtent l="0" t="0" r="762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208947"/>
                    </a:xfrm>
                    <a:prstGeom prst="rect">
                      <a:avLst/>
                    </a:prstGeom>
                    <a:noFill/>
                    <a:ln>
                      <a:noFill/>
                    </a:ln>
                  </pic:spPr>
                </pic:pic>
              </a:graphicData>
            </a:graphic>
          </wp:inline>
        </w:drawing>
      </w: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Pr="00F8671B"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Default="001876E4" w:rsidP="001876E4">
      <w:pPr>
        <w:pStyle w:val="Texto"/>
        <w:spacing w:after="0" w:line="240" w:lineRule="auto"/>
        <w:ind w:firstLine="0"/>
        <w:rPr>
          <w:sz w:val="24"/>
          <w:szCs w:val="24"/>
          <w:highlight w:val="yellow"/>
          <w:lang w:val="es-MX"/>
        </w:rPr>
      </w:pPr>
    </w:p>
    <w:p w:rsidR="001876E4" w:rsidRPr="001A7F74" w:rsidRDefault="001876E4" w:rsidP="001876E4">
      <w:pPr>
        <w:pStyle w:val="Texto"/>
        <w:spacing w:after="0" w:line="240" w:lineRule="auto"/>
        <w:ind w:firstLine="0"/>
        <w:rPr>
          <w:sz w:val="36"/>
          <w:szCs w:val="36"/>
          <w:lang w:val="es-MX"/>
        </w:rPr>
      </w:pPr>
    </w:p>
    <w:p w:rsidR="001876E4" w:rsidRDefault="001876E4" w:rsidP="00276E88">
      <w:pPr>
        <w:spacing w:after="0" w:line="240" w:lineRule="auto"/>
        <w:jc w:val="both"/>
        <w:rPr>
          <w:rFonts w:ascii="Arial" w:hAnsi="Arial" w:cs="Arial"/>
          <w:sz w:val="24"/>
        </w:rPr>
      </w:pPr>
    </w:p>
    <w:p w:rsidR="001876E4" w:rsidRPr="001876E4" w:rsidRDefault="001876E4" w:rsidP="001876E4">
      <w:pPr>
        <w:spacing w:after="0" w:line="240" w:lineRule="auto"/>
        <w:rPr>
          <w:rFonts w:ascii="Arial" w:eastAsia="Times New Roman" w:hAnsi="Arial" w:cs="Arial"/>
          <w:sz w:val="24"/>
          <w:szCs w:val="24"/>
          <w:lang w:eastAsia="es-ES"/>
        </w:rPr>
      </w:pPr>
      <w:r w:rsidRPr="001876E4">
        <w:rPr>
          <w:rFonts w:ascii="Arial" w:eastAsia="Times New Roman" w:hAnsi="Arial" w:cs="Arial"/>
          <w:sz w:val="24"/>
          <w:szCs w:val="24"/>
          <w:lang w:eastAsia="es-ES"/>
        </w:rPr>
        <w:lastRenderedPageBreak/>
        <w:tab/>
      </w: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36"/>
          <w:szCs w:val="36"/>
          <w:lang w:eastAsia="es-ES"/>
        </w:rPr>
      </w:pPr>
    </w:p>
    <w:p w:rsidR="001876E4" w:rsidRPr="001876E4" w:rsidRDefault="001876E4" w:rsidP="001876E4">
      <w:pPr>
        <w:spacing w:after="0" w:line="240" w:lineRule="auto"/>
        <w:jc w:val="both"/>
        <w:rPr>
          <w:rFonts w:ascii="Arial" w:eastAsia="Times New Roman" w:hAnsi="Arial" w:cs="Arial"/>
          <w:b/>
          <w:sz w:val="36"/>
          <w:szCs w:val="36"/>
          <w:lang w:eastAsia="es-ES"/>
        </w:rPr>
      </w:pPr>
      <w:r w:rsidRPr="001876E4">
        <w:rPr>
          <w:rFonts w:ascii="Arial" w:eastAsia="Times New Roman" w:hAnsi="Arial" w:cs="Arial"/>
          <w:b/>
          <w:sz w:val="36"/>
          <w:szCs w:val="36"/>
          <w:lang w:eastAsia="es-ES"/>
        </w:rPr>
        <w:t>TOMO III. INICIATIVA DE DECRETO DEL PRESUPUESTO DE EGRESOS DEL ESTADO DE COLIMA PARA EL EJERCICIO FISCAL 2018</w:t>
      </w: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rPr>
          <w:rFonts w:ascii="Arial" w:eastAsia="Times New Roman" w:hAnsi="Arial" w:cs="Arial"/>
          <w:sz w:val="24"/>
          <w:szCs w:val="24"/>
          <w:lang w:eastAsia="es-ES"/>
        </w:rPr>
      </w:pPr>
      <w:r w:rsidRPr="001876E4">
        <w:rPr>
          <w:rFonts w:ascii="Arial" w:hAnsi="Arial"/>
          <w:sz w:val="24"/>
          <w:szCs w:val="24"/>
        </w:rPr>
        <w:br w:type="page"/>
      </w:r>
    </w:p>
    <w:p w:rsidR="001876E4" w:rsidRPr="001876E4" w:rsidRDefault="001876E4" w:rsidP="00185BC9">
      <w:pPr>
        <w:numPr>
          <w:ilvl w:val="0"/>
          <w:numId w:val="4"/>
        </w:numPr>
        <w:pBdr>
          <w:top w:val="single" w:sz="12" w:space="1" w:color="auto"/>
          <w:left w:val="single" w:sz="12" w:space="4" w:color="auto"/>
          <w:bottom w:val="single" w:sz="12" w:space="1" w:color="auto"/>
          <w:right w:val="single" w:sz="12" w:space="4" w:color="auto"/>
        </w:pBdr>
        <w:spacing w:after="0" w:line="240" w:lineRule="auto"/>
        <w:ind w:hanging="720"/>
        <w:jc w:val="both"/>
        <w:rPr>
          <w:rFonts w:ascii="Arial" w:eastAsia="Times New Roman" w:hAnsi="Arial" w:cs="Arial"/>
          <w:b/>
          <w:sz w:val="28"/>
          <w:szCs w:val="28"/>
          <w:lang w:eastAsia="es-ES"/>
        </w:rPr>
      </w:pPr>
      <w:r w:rsidRPr="001876E4">
        <w:rPr>
          <w:rFonts w:ascii="Arial" w:eastAsia="Times New Roman" w:hAnsi="Arial" w:cs="Arial"/>
          <w:b/>
          <w:sz w:val="28"/>
          <w:szCs w:val="28"/>
          <w:lang w:eastAsia="es-ES"/>
        </w:rPr>
        <w:lastRenderedPageBreak/>
        <w:t>DISPOSICIONES DEL PRESUPUESTO DE EGRESOS</w:t>
      </w:r>
    </w:p>
    <w:p w:rsidR="001876E4" w:rsidRPr="001876E4" w:rsidRDefault="001876E4" w:rsidP="001876E4">
      <w:pPr>
        <w:spacing w:after="0" w:line="240" w:lineRule="auto"/>
        <w:jc w:val="both"/>
        <w:rPr>
          <w:rFonts w:ascii="Arial" w:eastAsia="Times New Roman" w:hAnsi="Arial" w:cs="Arial"/>
          <w:sz w:val="24"/>
          <w:szCs w:val="24"/>
          <w:lang w:eastAsia="es-ES"/>
        </w:rPr>
      </w:pPr>
    </w:p>
    <w:p w:rsidR="001876E4" w:rsidRPr="001876E4" w:rsidRDefault="001876E4" w:rsidP="001876E4">
      <w:pPr>
        <w:spacing w:after="0" w:line="240" w:lineRule="auto"/>
        <w:jc w:val="both"/>
        <w:rPr>
          <w:rFonts w:ascii="Arial" w:hAnsi="Arial" w:cs="Arial"/>
          <w:sz w:val="24"/>
          <w:szCs w:val="24"/>
        </w:rPr>
      </w:pPr>
      <w:r w:rsidRPr="001876E4">
        <w:rPr>
          <w:rFonts w:ascii="Arial" w:hAnsi="Arial" w:cs="Arial"/>
          <w:sz w:val="24"/>
          <w:szCs w:val="24"/>
        </w:rPr>
        <w:t>El Estado de Colima se fortalece y es el momento de generar mejores resultados, por alcanzar más metas en beneficio de las familias colimenses.</w:t>
      </w:r>
    </w:p>
    <w:p w:rsidR="001876E4" w:rsidRPr="001876E4" w:rsidRDefault="001876E4" w:rsidP="001876E4">
      <w:pPr>
        <w:spacing w:after="0" w:line="240" w:lineRule="auto"/>
        <w:jc w:val="both"/>
        <w:rPr>
          <w:rFonts w:ascii="Arial" w:hAnsi="Arial" w:cs="Arial"/>
          <w:sz w:val="24"/>
          <w:szCs w:val="24"/>
        </w:rPr>
      </w:pPr>
    </w:p>
    <w:p w:rsidR="001876E4" w:rsidRPr="001876E4" w:rsidRDefault="001876E4" w:rsidP="001876E4">
      <w:pPr>
        <w:spacing w:after="0" w:line="240" w:lineRule="auto"/>
        <w:jc w:val="both"/>
        <w:rPr>
          <w:rFonts w:ascii="Arial" w:hAnsi="Arial" w:cs="Arial"/>
          <w:sz w:val="24"/>
          <w:szCs w:val="24"/>
        </w:rPr>
      </w:pPr>
      <w:r w:rsidRPr="001876E4">
        <w:rPr>
          <w:rFonts w:ascii="Arial" w:hAnsi="Arial" w:cs="Arial"/>
          <w:sz w:val="24"/>
          <w:szCs w:val="24"/>
        </w:rPr>
        <w:t>Una vez que se logró detener el deterioro, se ha iniciado con el proceso de recuperación estatal, el cual una vez que se alcance plenamente, permitirá caminar hacia la consolidación.</w:t>
      </w:r>
    </w:p>
    <w:p w:rsidR="001876E4" w:rsidRPr="001876E4" w:rsidRDefault="001876E4" w:rsidP="001876E4">
      <w:pPr>
        <w:spacing w:after="0" w:line="240" w:lineRule="auto"/>
        <w:jc w:val="both"/>
        <w:rPr>
          <w:rFonts w:ascii="Arial" w:hAnsi="Arial" w:cs="Arial"/>
          <w:sz w:val="24"/>
          <w:szCs w:val="24"/>
        </w:rPr>
      </w:pPr>
    </w:p>
    <w:p w:rsidR="001876E4" w:rsidRPr="001876E4" w:rsidRDefault="001876E4" w:rsidP="001876E4">
      <w:pPr>
        <w:spacing w:after="0" w:line="240" w:lineRule="auto"/>
        <w:jc w:val="both"/>
        <w:rPr>
          <w:rFonts w:ascii="Arial" w:hAnsi="Arial" w:cs="Arial"/>
          <w:sz w:val="24"/>
          <w:szCs w:val="24"/>
        </w:rPr>
      </w:pPr>
      <w:r w:rsidRPr="001876E4">
        <w:rPr>
          <w:rFonts w:ascii="Arial" w:hAnsi="Arial" w:cs="Arial"/>
          <w:sz w:val="24"/>
          <w:szCs w:val="24"/>
        </w:rPr>
        <w:t>Nuestro compromiso es el progresivo fortalecimiento de las finanzas públicas. En ese tenor se elaboró el presente proyecto de Presupuesto de Egresos el cual busca contribuir a continuar impulsando el desarrollo integral del Estado.</w:t>
      </w:r>
    </w:p>
    <w:p w:rsidR="001876E4" w:rsidRPr="001876E4" w:rsidRDefault="001876E4" w:rsidP="001876E4">
      <w:pPr>
        <w:spacing w:after="0" w:line="240" w:lineRule="auto"/>
        <w:jc w:val="both"/>
        <w:rPr>
          <w:rFonts w:ascii="Arial" w:hAnsi="Arial" w:cs="Arial"/>
          <w:sz w:val="24"/>
          <w:szCs w:val="24"/>
        </w:rPr>
      </w:pPr>
    </w:p>
    <w:p w:rsidR="001876E4" w:rsidRPr="001876E4" w:rsidRDefault="001876E4" w:rsidP="001876E4">
      <w:pPr>
        <w:spacing w:after="0" w:line="240" w:lineRule="auto"/>
        <w:jc w:val="both"/>
        <w:rPr>
          <w:rFonts w:ascii="Arial" w:hAnsi="Arial" w:cs="Arial"/>
          <w:sz w:val="24"/>
          <w:szCs w:val="24"/>
        </w:rPr>
      </w:pPr>
      <w:r w:rsidRPr="001876E4">
        <w:rPr>
          <w:rFonts w:ascii="Arial" w:hAnsi="Arial" w:cs="Arial"/>
          <w:sz w:val="24"/>
          <w:szCs w:val="24"/>
        </w:rPr>
        <w:t xml:space="preserve">El gasto total del Proyecto de Presupuesto de Egresos del Estado de Colima, para el Ejercicio Fiscal 2018 que se somete al análisis y valoración de la Legislatura Estatal, asciende a la cantidad de </w:t>
      </w:r>
      <w:r w:rsidRPr="001876E4">
        <w:rPr>
          <w:rFonts w:ascii="Arial" w:hAnsi="Arial" w:cs="Arial"/>
          <w:b/>
          <w:sz w:val="24"/>
          <w:szCs w:val="24"/>
        </w:rPr>
        <w:t xml:space="preserve">$16,730,371,000 </w:t>
      </w:r>
      <w:r w:rsidRPr="001876E4">
        <w:rPr>
          <w:rFonts w:ascii="Arial" w:eastAsia="Calibri" w:hAnsi="Arial" w:cs="Arial"/>
          <w:sz w:val="24"/>
          <w:szCs w:val="24"/>
          <w:lang w:val="es-ES" w:eastAsia="en-US"/>
        </w:rPr>
        <w:t>(Dieciséis Mil Setecientos Treinta Millones Trescientos Setenta y Un Mil Pesos 00/100 M.N.)</w:t>
      </w:r>
      <w:r w:rsidRPr="001876E4">
        <w:rPr>
          <w:rFonts w:ascii="Arial" w:hAnsi="Arial" w:cs="Arial"/>
          <w:sz w:val="24"/>
          <w:szCs w:val="24"/>
        </w:rPr>
        <w:t xml:space="preserve">, monto superior en </w:t>
      </w:r>
      <w:r w:rsidRPr="001876E4">
        <w:rPr>
          <w:rFonts w:ascii="Arial" w:hAnsi="Arial" w:cs="Arial"/>
          <w:b/>
          <w:sz w:val="24"/>
          <w:szCs w:val="24"/>
        </w:rPr>
        <w:t>7.8</w:t>
      </w:r>
      <w:r w:rsidRPr="001876E4">
        <w:rPr>
          <w:rFonts w:ascii="Arial" w:hAnsi="Arial" w:cs="Arial"/>
          <w:sz w:val="24"/>
          <w:szCs w:val="24"/>
        </w:rPr>
        <w:t xml:space="preserve"> por ciento al aprobado para el Ejercicio Fiscal 2017.</w:t>
      </w:r>
    </w:p>
    <w:p w:rsidR="001876E4" w:rsidRPr="001876E4" w:rsidRDefault="001876E4" w:rsidP="001876E4">
      <w:pPr>
        <w:spacing w:after="0" w:line="240" w:lineRule="auto"/>
        <w:jc w:val="both"/>
        <w:rPr>
          <w:rFonts w:ascii="Arial" w:hAnsi="Arial" w:cs="Arial"/>
          <w:sz w:val="24"/>
          <w:szCs w:val="24"/>
        </w:rPr>
      </w:pPr>
    </w:p>
    <w:p w:rsidR="001876E4" w:rsidRPr="001876E4" w:rsidRDefault="001876E4" w:rsidP="001876E4">
      <w:pPr>
        <w:spacing w:after="0" w:line="240" w:lineRule="auto"/>
        <w:jc w:val="both"/>
        <w:rPr>
          <w:rFonts w:ascii="Arial" w:hAnsi="Arial" w:cs="Arial"/>
          <w:sz w:val="24"/>
          <w:szCs w:val="24"/>
        </w:rPr>
      </w:pPr>
      <w:r w:rsidRPr="001876E4">
        <w:rPr>
          <w:rFonts w:ascii="Arial" w:hAnsi="Arial" w:cs="Arial"/>
          <w:sz w:val="24"/>
          <w:szCs w:val="24"/>
        </w:rPr>
        <w:t>Por todo lo expuesto y fundado, someto a la consideración de esa Honorable Asamblea, la siguiente Iniciativa con Proyecto de:</w:t>
      </w: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spacing w:after="0" w:line="240" w:lineRule="auto"/>
        <w:jc w:val="center"/>
        <w:rPr>
          <w:rFonts w:ascii="Arial" w:eastAsia="Times New Roman" w:hAnsi="Arial" w:cs="Arial"/>
          <w:b/>
          <w:sz w:val="24"/>
          <w:szCs w:val="24"/>
          <w:lang w:val="es-ES" w:eastAsia="es-ES"/>
        </w:rPr>
      </w:pPr>
      <w:r w:rsidRPr="001876E4">
        <w:rPr>
          <w:rFonts w:ascii="Arial" w:eastAsia="Times New Roman" w:hAnsi="Arial" w:cs="Arial"/>
          <w:b/>
          <w:sz w:val="24"/>
          <w:szCs w:val="24"/>
          <w:lang w:val="es-ES" w:eastAsia="es-ES"/>
        </w:rPr>
        <w:t>DECRETO</w:t>
      </w: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spacing w:after="0" w:line="240" w:lineRule="auto"/>
        <w:jc w:val="both"/>
        <w:rPr>
          <w:rFonts w:ascii="Arial" w:eastAsia="Times New Roman" w:hAnsi="Arial" w:cs="Arial"/>
          <w:sz w:val="24"/>
          <w:szCs w:val="24"/>
          <w:lang w:val="es-ES" w:eastAsia="es-ES"/>
        </w:rPr>
      </w:pPr>
      <w:r w:rsidRPr="001876E4">
        <w:rPr>
          <w:rFonts w:ascii="Arial" w:eastAsia="Times New Roman" w:hAnsi="Arial" w:cs="Arial"/>
          <w:b/>
          <w:sz w:val="24"/>
          <w:szCs w:val="24"/>
          <w:lang w:val="es-ES" w:eastAsia="es-ES"/>
        </w:rPr>
        <w:t>ÚNICO</w:t>
      </w:r>
      <w:r w:rsidRPr="001876E4">
        <w:rPr>
          <w:rFonts w:ascii="Arial" w:eastAsia="Times New Roman" w:hAnsi="Arial" w:cs="Arial"/>
          <w:sz w:val="24"/>
          <w:szCs w:val="24"/>
          <w:lang w:val="es-ES" w:eastAsia="es-ES"/>
        </w:rPr>
        <w:t>. Se</w:t>
      </w:r>
      <w:r w:rsidRPr="001876E4">
        <w:rPr>
          <w:rFonts w:ascii="Arial" w:eastAsia="Times New Roman" w:hAnsi="Arial" w:cs="Arial"/>
          <w:b/>
          <w:sz w:val="24"/>
          <w:szCs w:val="24"/>
          <w:lang w:val="es-ES" w:eastAsia="es-ES"/>
        </w:rPr>
        <w:t xml:space="preserve"> </w:t>
      </w:r>
      <w:r w:rsidRPr="001876E4">
        <w:rPr>
          <w:rFonts w:ascii="Arial" w:eastAsia="Times New Roman" w:hAnsi="Arial" w:cs="Arial"/>
          <w:sz w:val="24"/>
          <w:szCs w:val="24"/>
          <w:lang w:val="es-ES" w:eastAsia="es-ES"/>
        </w:rPr>
        <w:t xml:space="preserve">aprueba el Presupuesto de Egresos del Estado de Colima para el Ejercicio Fiscal 2018, en los siguientes términos: </w:t>
      </w:r>
    </w:p>
    <w:p w:rsidR="001876E4" w:rsidRPr="001876E4" w:rsidRDefault="001876E4" w:rsidP="001876E4">
      <w:pPr>
        <w:spacing w:after="0" w:line="240" w:lineRule="auto"/>
        <w:jc w:val="both"/>
        <w:rPr>
          <w:rFonts w:ascii="Arial" w:eastAsia="Times New Roman" w:hAnsi="Arial" w:cs="Arial"/>
          <w:color w:val="000000" w:themeColor="text1"/>
          <w:sz w:val="24"/>
          <w:szCs w:val="24"/>
          <w:lang w:val="es-ES" w:eastAsia="es-ES"/>
        </w:rPr>
      </w:pPr>
    </w:p>
    <w:p w:rsidR="001876E4" w:rsidRPr="001876E4" w:rsidRDefault="001876E4" w:rsidP="001876E4">
      <w:pPr>
        <w:spacing w:after="0" w:line="240" w:lineRule="auto"/>
        <w:jc w:val="both"/>
        <w:rPr>
          <w:rFonts w:ascii="Arial" w:eastAsia="Times New Roman" w:hAnsi="Arial" w:cs="Arial"/>
          <w:color w:val="000000" w:themeColor="text1"/>
          <w:sz w:val="24"/>
          <w:szCs w:val="24"/>
          <w:lang w:val="es-ES" w:eastAsia="es-ES"/>
        </w:rPr>
      </w:pPr>
    </w:p>
    <w:p w:rsidR="001876E4" w:rsidRPr="001876E4" w:rsidRDefault="001876E4" w:rsidP="001876E4">
      <w:pPr>
        <w:autoSpaceDE w:val="0"/>
        <w:autoSpaceDN w:val="0"/>
        <w:adjustRightInd w:val="0"/>
        <w:spacing w:after="0" w:line="240" w:lineRule="auto"/>
        <w:jc w:val="center"/>
        <w:rPr>
          <w:rFonts w:ascii="Arial" w:hAnsi="Arial" w:cs="Arial"/>
          <w:b/>
          <w:bCs/>
          <w:sz w:val="28"/>
          <w:szCs w:val="28"/>
        </w:rPr>
      </w:pPr>
      <w:r w:rsidRPr="001876E4">
        <w:rPr>
          <w:rFonts w:ascii="Arial" w:hAnsi="Arial" w:cs="Arial"/>
          <w:b/>
          <w:bCs/>
          <w:sz w:val="28"/>
          <w:szCs w:val="28"/>
        </w:rPr>
        <w:t xml:space="preserve">PRESUPUESTO DE EGRESOS DEL ESTADO DE COLIMA </w:t>
      </w:r>
    </w:p>
    <w:p w:rsidR="001876E4" w:rsidRPr="001876E4" w:rsidRDefault="001876E4" w:rsidP="001876E4">
      <w:pPr>
        <w:autoSpaceDE w:val="0"/>
        <w:autoSpaceDN w:val="0"/>
        <w:adjustRightInd w:val="0"/>
        <w:spacing w:after="0" w:line="240" w:lineRule="auto"/>
        <w:jc w:val="center"/>
        <w:rPr>
          <w:rFonts w:ascii="Arial" w:hAnsi="Arial" w:cs="Arial"/>
          <w:b/>
          <w:bCs/>
          <w:sz w:val="28"/>
          <w:szCs w:val="28"/>
        </w:rPr>
      </w:pPr>
      <w:r w:rsidRPr="001876E4">
        <w:rPr>
          <w:rFonts w:ascii="Arial" w:hAnsi="Arial" w:cs="Arial"/>
          <w:b/>
          <w:bCs/>
          <w:sz w:val="28"/>
          <w:szCs w:val="28"/>
        </w:rPr>
        <w:t>PARA EL EJERCICIO FISCAL 2018</w:t>
      </w:r>
    </w:p>
    <w:p w:rsidR="001876E4" w:rsidRPr="001876E4" w:rsidRDefault="001876E4" w:rsidP="001876E4">
      <w:pPr>
        <w:autoSpaceDE w:val="0"/>
        <w:autoSpaceDN w:val="0"/>
        <w:adjustRightInd w:val="0"/>
        <w:spacing w:after="0" w:line="240" w:lineRule="auto"/>
        <w:jc w:val="center"/>
        <w:rPr>
          <w:rFonts w:ascii="Arial" w:hAnsi="Arial" w:cs="Arial"/>
          <w:b/>
          <w:bCs/>
          <w:sz w:val="28"/>
          <w:szCs w:val="28"/>
        </w:rPr>
      </w:pPr>
    </w:p>
    <w:p w:rsidR="001876E4" w:rsidRPr="001876E4" w:rsidRDefault="001876E4" w:rsidP="001876E4">
      <w:pPr>
        <w:autoSpaceDE w:val="0"/>
        <w:autoSpaceDN w:val="0"/>
        <w:adjustRightInd w:val="0"/>
        <w:spacing w:after="0" w:line="240" w:lineRule="auto"/>
        <w:jc w:val="center"/>
        <w:rPr>
          <w:rFonts w:ascii="Arial" w:hAnsi="Arial" w:cs="Arial"/>
          <w:b/>
          <w:bCs/>
          <w:sz w:val="24"/>
          <w:szCs w:val="24"/>
        </w:rPr>
      </w:pPr>
    </w:p>
    <w:p w:rsidR="001876E4" w:rsidRPr="001876E4" w:rsidRDefault="001876E4" w:rsidP="001876E4">
      <w:pPr>
        <w:spacing w:after="0" w:line="240" w:lineRule="auto"/>
        <w:jc w:val="center"/>
        <w:rPr>
          <w:rFonts w:ascii="Arial" w:eastAsia="Calibri" w:hAnsi="Arial" w:cs="Arial"/>
          <w:b/>
          <w:sz w:val="24"/>
          <w:szCs w:val="24"/>
          <w:lang w:val="es-ES" w:eastAsia="en-US"/>
        </w:rPr>
      </w:pPr>
      <w:bookmarkStart w:id="0" w:name="_Toc465292955"/>
      <w:bookmarkStart w:id="1" w:name="_Toc465292883"/>
      <w:r w:rsidRPr="001876E4">
        <w:rPr>
          <w:rFonts w:ascii="Arial" w:eastAsia="Calibri" w:hAnsi="Arial" w:cs="Arial"/>
          <w:b/>
          <w:sz w:val="24"/>
          <w:szCs w:val="24"/>
          <w:lang w:val="es-ES" w:eastAsia="en-US"/>
        </w:rPr>
        <w:t>TÍTULO PRIMERO</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DE LAS ASIGNACIONES DEL PRESUPUESTO DE EGRESOS DEL ESTADO</w:t>
      </w:r>
    </w:p>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keepNext/>
        <w:keepLines/>
        <w:spacing w:after="0" w:line="240" w:lineRule="auto"/>
        <w:ind w:left="1" w:hanging="1"/>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CAPÍTULO I</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 xml:space="preserve"> DISPOSICIONES GENERALES</w:t>
      </w:r>
    </w:p>
    <w:p w:rsidR="001876E4" w:rsidRPr="001876E4" w:rsidRDefault="001876E4" w:rsidP="001876E4">
      <w:pPr>
        <w:spacing w:after="0" w:line="240" w:lineRule="auto"/>
        <w:jc w:val="both"/>
        <w:rPr>
          <w:rFonts w:ascii="Arial" w:eastAsia="Calibri" w:hAnsi="Arial" w:cs="Arial"/>
          <w:b/>
          <w:sz w:val="24"/>
          <w:szCs w:val="24"/>
          <w:lang w:eastAsia="en-US"/>
        </w:rPr>
      </w:pPr>
    </w:p>
    <w:p w:rsidR="001876E4" w:rsidRPr="001876E4" w:rsidRDefault="001876E4" w:rsidP="001876E4">
      <w:pPr>
        <w:spacing w:after="0" w:line="240" w:lineRule="auto"/>
        <w:jc w:val="both"/>
        <w:rPr>
          <w:rFonts w:ascii="Arial" w:eastAsia="Calibri" w:hAnsi="Arial" w:cs="Arial"/>
          <w:b/>
          <w:sz w:val="24"/>
          <w:szCs w:val="24"/>
          <w:lang w:eastAsia="en-US"/>
        </w:rPr>
      </w:pPr>
    </w:p>
    <w:p w:rsidR="001876E4" w:rsidRPr="001876E4" w:rsidRDefault="001876E4" w:rsidP="001876E4">
      <w:pPr>
        <w:spacing w:after="0" w:line="240" w:lineRule="auto"/>
        <w:jc w:val="both"/>
        <w:rPr>
          <w:rFonts w:ascii="Arial" w:eastAsia="Calibri" w:hAnsi="Arial" w:cs="Arial"/>
          <w:sz w:val="24"/>
          <w:szCs w:val="24"/>
          <w:lang w:eastAsia="en-US"/>
        </w:rPr>
      </w:pPr>
      <w:r w:rsidRPr="001876E4">
        <w:rPr>
          <w:rFonts w:ascii="Arial" w:eastAsia="Calibri" w:hAnsi="Arial" w:cs="Arial"/>
          <w:b/>
          <w:sz w:val="24"/>
          <w:szCs w:val="24"/>
          <w:lang w:eastAsia="en-US"/>
        </w:rPr>
        <w:lastRenderedPageBreak/>
        <w:t>Artículo 1</w:t>
      </w:r>
      <w:r w:rsidRPr="001876E4">
        <w:rPr>
          <w:rFonts w:ascii="Arial" w:eastAsia="Calibri" w:hAnsi="Arial" w:cs="Arial"/>
          <w:sz w:val="24"/>
          <w:szCs w:val="24"/>
          <w:lang w:eastAsia="en-US"/>
        </w:rPr>
        <w:t>. El presente Decreto tiene por objeto regular la asignación, ejercicio, control y evaluación del gasto público del Estado de Colima para el Ejercicio Fiscal 2018.</w:t>
      </w:r>
    </w:p>
    <w:p w:rsidR="001876E4" w:rsidRPr="001876E4" w:rsidRDefault="001876E4" w:rsidP="001876E4">
      <w:pPr>
        <w:spacing w:after="0" w:line="240" w:lineRule="auto"/>
        <w:jc w:val="both"/>
        <w:rPr>
          <w:rFonts w:ascii="Arial" w:eastAsia="Calibri" w:hAnsi="Arial" w:cs="Arial"/>
          <w:sz w:val="24"/>
          <w:szCs w:val="24"/>
          <w:lang w:eastAsia="en-US"/>
        </w:rPr>
      </w:pPr>
    </w:p>
    <w:p w:rsidR="001876E4" w:rsidRPr="001876E4" w:rsidRDefault="001876E4" w:rsidP="001876E4">
      <w:pPr>
        <w:spacing w:after="0" w:line="240" w:lineRule="auto"/>
        <w:jc w:val="both"/>
        <w:rPr>
          <w:rFonts w:ascii="Arial" w:eastAsia="Calibri" w:hAnsi="Arial" w:cs="Arial"/>
          <w:sz w:val="24"/>
          <w:szCs w:val="24"/>
          <w:lang w:eastAsia="en-US"/>
        </w:rPr>
      </w:pPr>
      <w:r w:rsidRPr="001876E4">
        <w:rPr>
          <w:rFonts w:ascii="Arial" w:eastAsia="Calibri" w:hAnsi="Arial" w:cs="Arial"/>
          <w:sz w:val="24"/>
          <w:szCs w:val="24"/>
          <w:lang w:eastAsia="en-US"/>
        </w:rPr>
        <w:t xml:space="preserve">La asignación, ejercicio, control y evaluación del gasto público del Gobierno del Estado de Colima para el Ejercicio 2018, se sujetará a las disposiciones contenidas en el presente Decreto, así como en: la Ley de Presupuesto y Responsabilidad Hacendaria del Estado de Colima; Ley General de Contabilidad Gubernamental; Ley de Disciplina Financiera de las Entidades Federativas y los Municipios; Ley de Coordinación Fiscal; </w:t>
      </w:r>
      <w:r w:rsidRPr="001876E4">
        <w:rPr>
          <w:rFonts w:ascii="Arial" w:eastAsia="Times New Roman" w:hAnsi="Arial" w:cs="Arial"/>
          <w:sz w:val="24"/>
          <w:szCs w:val="24"/>
          <w:lang w:eastAsia="en-US"/>
        </w:rPr>
        <w:t xml:space="preserve">Ley General de Responsabilidades Administrativas; </w:t>
      </w:r>
      <w:r w:rsidRPr="001876E4">
        <w:rPr>
          <w:rFonts w:ascii="Arial" w:eastAsia="Calibri" w:hAnsi="Arial" w:cs="Arial"/>
          <w:sz w:val="24"/>
          <w:szCs w:val="24"/>
          <w:lang w:eastAsia="en-US"/>
        </w:rPr>
        <w:t>Ley que Fija las Bases para las Remuneraciones de los Servidores Públicos del Estado y los Municipios; Ley de Fiscalización Superior del Estado; Ley de Adquisiciones, Arrendamientos y Servicios del Sector Público del Estado de Colima; Ley Estatal de Obras Públicas; Ley de Coordinación Fiscal del Estado; y las demás disposiciones aplicables en la materia.</w:t>
      </w:r>
    </w:p>
    <w:p w:rsidR="001876E4" w:rsidRPr="001876E4" w:rsidRDefault="001876E4" w:rsidP="001876E4">
      <w:pPr>
        <w:spacing w:after="0" w:line="240" w:lineRule="auto"/>
        <w:jc w:val="both"/>
        <w:rPr>
          <w:rFonts w:ascii="Arial" w:eastAsia="Calibri" w:hAnsi="Arial" w:cs="Arial"/>
          <w:sz w:val="24"/>
          <w:szCs w:val="24"/>
          <w:lang w:eastAsia="en-US"/>
        </w:rPr>
      </w:pPr>
    </w:p>
    <w:p w:rsidR="001876E4" w:rsidRPr="001876E4" w:rsidRDefault="001876E4" w:rsidP="001876E4">
      <w:pPr>
        <w:spacing w:after="0" w:line="240" w:lineRule="auto"/>
        <w:jc w:val="both"/>
        <w:rPr>
          <w:rFonts w:ascii="Arial" w:eastAsia="Calibri" w:hAnsi="Arial" w:cs="Arial"/>
          <w:sz w:val="24"/>
          <w:szCs w:val="24"/>
          <w:lang w:eastAsia="en-US"/>
        </w:rPr>
      </w:pPr>
      <w:r w:rsidRPr="001876E4">
        <w:rPr>
          <w:rFonts w:ascii="Arial" w:eastAsia="Calibri" w:hAnsi="Arial" w:cs="Arial"/>
          <w:sz w:val="24"/>
          <w:szCs w:val="24"/>
          <w:lang w:eastAsia="en-US"/>
        </w:rPr>
        <w:t>La Secretaría de Planeación y Finanzas estará facultada para interpretar las disposiciones de este Decreto, para efectos administrativos.</w:t>
      </w:r>
    </w:p>
    <w:p w:rsidR="001876E4" w:rsidRPr="001876E4" w:rsidRDefault="001876E4" w:rsidP="001876E4">
      <w:pPr>
        <w:spacing w:after="0" w:line="240" w:lineRule="auto"/>
        <w:jc w:val="both"/>
        <w:rPr>
          <w:rFonts w:ascii="Arial" w:eastAsia="Calibri" w:hAnsi="Arial" w:cs="Arial"/>
          <w:sz w:val="24"/>
          <w:szCs w:val="24"/>
          <w:lang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w:t>
      </w:r>
      <w:r w:rsidRPr="001876E4">
        <w:rPr>
          <w:rFonts w:ascii="Arial" w:eastAsia="Calibri" w:hAnsi="Arial" w:cs="Arial"/>
          <w:sz w:val="24"/>
          <w:szCs w:val="24"/>
          <w:lang w:val="es-ES" w:eastAsia="en-US"/>
        </w:rPr>
        <w:t>.  Para los efectos de este Decreto, en singular o plural, se entenderá por:</w:t>
      </w:r>
    </w:p>
    <w:p w:rsidR="001876E4" w:rsidRPr="001876E4" w:rsidRDefault="001876E4" w:rsidP="001876E4">
      <w:pPr>
        <w:spacing w:after="0" w:line="240" w:lineRule="auto"/>
        <w:ind w:left="709" w:hanging="709"/>
        <w:jc w:val="both"/>
        <w:rPr>
          <w:rFonts w:ascii="Arial" w:eastAsia="Calibri" w:hAnsi="Arial" w:cs="Arial"/>
          <w:sz w:val="24"/>
          <w:szCs w:val="24"/>
          <w:lang w:val="es-ES" w:eastAsia="en-US"/>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Acuerdo de Sectorización</w:t>
      </w:r>
      <w:r w:rsidRPr="001876E4">
        <w:rPr>
          <w:rFonts w:ascii="Arial" w:eastAsia="Times New Roman" w:hAnsi="Arial" w:cs="Arial"/>
          <w:sz w:val="24"/>
          <w:szCs w:val="24"/>
        </w:rPr>
        <w:t>: Al Acuerdo de Sectorización de los Organismos Descentralizados y Desconcentrados del Estado de Colima;</w:t>
      </w:r>
    </w:p>
    <w:p w:rsidR="001876E4" w:rsidRPr="001876E4" w:rsidRDefault="001876E4" w:rsidP="001876E4">
      <w:pPr>
        <w:spacing w:before="120" w:after="0" w:line="240" w:lineRule="auto"/>
        <w:ind w:left="709"/>
        <w:contextualSpacing/>
        <w:jc w:val="both"/>
        <w:rPr>
          <w:rFonts w:ascii="Arial" w:eastAsia="Times New Roman" w:hAnsi="Arial" w:cs="Arial"/>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Adecuaciones Presupuestarias</w:t>
      </w:r>
      <w:r w:rsidRPr="001876E4">
        <w:rPr>
          <w:rFonts w:ascii="Arial" w:eastAsia="Times New Roman" w:hAnsi="Arial" w:cs="Arial"/>
          <w:sz w:val="24"/>
          <w:szCs w:val="24"/>
        </w:rPr>
        <w:t>: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de Planeación y Finanzas, siempre que permitan un mejor cumplimiento de los objetivos y metas de los Programas Presupuestarios a cargo de los Ejecutores de Gasto;</w:t>
      </w:r>
    </w:p>
    <w:p w:rsidR="001876E4" w:rsidRPr="001876E4" w:rsidRDefault="001876E4" w:rsidP="001876E4">
      <w:pPr>
        <w:spacing w:after="0" w:line="240" w:lineRule="auto"/>
        <w:ind w:left="709" w:hanging="709"/>
        <w:contextualSpacing/>
        <w:jc w:val="both"/>
        <w:rPr>
          <w:rFonts w:ascii="Arial" w:eastAsia="Times New Roman" w:hAnsi="Arial" w:cs="Arial"/>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Adeudos de Ejercicios Fiscales Anteriores (ADEFAS)</w:t>
      </w:r>
      <w:r w:rsidRPr="001876E4">
        <w:rPr>
          <w:rFonts w:ascii="Arial" w:eastAsia="Times New Roman" w:hAnsi="Arial" w:cs="Arial"/>
          <w:sz w:val="24"/>
          <w:szCs w:val="24"/>
        </w:rPr>
        <w:t>: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1876E4" w:rsidRPr="001876E4" w:rsidRDefault="001876E4" w:rsidP="001876E4">
      <w:pPr>
        <w:spacing w:after="0" w:line="240" w:lineRule="auto"/>
        <w:rPr>
          <w:rFonts w:ascii="Arial" w:eastAsia="Times New Roman" w:hAnsi="Arial"/>
          <w:sz w:val="24"/>
          <w:highlight w:val="yellow"/>
        </w:rPr>
      </w:pPr>
    </w:p>
    <w:p w:rsidR="001876E4" w:rsidRPr="001876E4" w:rsidRDefault="001876E4" w:rsidP="00185BC9">
      <w:pPr>
        <w:numPr>
          <w:ilvl w:val="0"/>
          <w:numId w:val="20"/>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b/>
          <w:sz w:val="24"/>
          <w:szCs w:val="24"/>
        </w:rPr>
        <w:lastRenderedPageBreak/>
        <w:t>Ahorros Presupuestarios</w:t>
      </w:r>
      <w:r w:rsidRPr="001876E4">
        <w:rPr>
          <w:rFonts w:ascii="Arial" w:eastAsia="Times New Roman" w:hAnsi="Arial" w:cs="Arial"/>
          <w:sz w:val="24"/>
          <w:szCs w:val="24"/>
        </w:rPr>
        <w:t>: Los remanentes de recursos del presupuesto modificado una vez que se hayan cumplido los objetivos y las metas establecidas en el Presupuesto de Egresos;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Amortización de la Deuda y Disminución de Pasivos</w:t>
      </w:r>
      <w:r w:rsidRPr="001876E4">
        <w:rPr>
          <w:rFonts w:ascii="Arial" w:eastAsia="Times New Roman" w:hAnsi="Arial" w:cs="Arial"/>
          <w:sz w:val="24"/>
          <w:szCs w:val="24"/>
        </w:rPr>
        <w:t>: La cancelación mediante pago o cualquier forma por la cual se extinga la obligación principal de los pasivos contraídos por el Gobierno del Estado;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Anexo Enfoque Transversal del Presupuesto</w:t>
      </w:r>
      <w:r w:rsidRPr="001876E4">
        <w:rPr>
          <w:rFonts w:ascii="Arial" w:eastAsia="Times New Roman" w:hAnsi="Arial" w:cs="Arial"/>
          <w:sz w:val="24"/>
          <w:szCs w:val="24"/>
        </w:rPr>
        <w:t>: Los anexos del Presupuesto donde concurren Programas Presupuestarios, componentes de éstos y/o Unidades Responsables, cuyos recursos son destinados a obras, acciones y servicios vinculados con el desarrollo de los siguientes sectores: Igualdad Sustantiva; Desarrollo de los Jóvenes; Atención a Grupos en Situación de Vulnerabilidad; Mitigación de los Efectos del Cambio Climático; Atención a Niños, Niñas y Adolescentes; Transparencia y Rendición de Cuentas; Agenda 20-30 Desarrollo Sostenible; y Sistema Estatal Anticorrupción;</w:t>
      </w:r>
    </w:p>
    <w:p w:rsidR="001876E4" w:rsidRPr="001876E4" w:rsidRDefault="001876E4" w:rsidP="001876E4">
      <w:pPr>
        <w:spacing w:after="0" w:line="240" w:lineRule="auto"/>
        <w:ind w:left="709" w:hanging="709"/>
        <w:contextualSpacing/>
        <w:jc w:val="both"/>
        <w:rPr>
          <w:rFonts w:ascii="Arial" w:eastAsia="Times New Roman" w:hAnsi="Arial" w:cs="Arial"/>
          <w:b/>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Asignaciones Presupuestales</w:t>
      </w:r>
      <w:r w:rsidRPr="001876E4">
        <w:rPr>
          <w:rFonts w:ascii="Arial" w:eastAsia="Times New Roman" w:hAnsi="Arial" w:cs="Arial"/>
          <w:sz w:val="24"/>
          <w:szCs w:val="24"/>
        </w:rPr>
        <w:t>: Las previsiones de Gasto Público aprobadas, mediante el Presupuesto de Egresos del Estado, que realiza el Titular del Poder Ejecutivo del Estado a través de la Secretaría de Planeación y Finanzas y los Ejecutores de Gasto;</w:t>
      </w:r>
    </w:p>
    <w:p w:rsidR="001876E4" w:rsidRPr="001876E4" w:rsidRDefault="001876E4" w:rsidP="001876E4">
      <w:pPr>
        <w:spacing w:before="120" w:after="0" w:line="240" w:lineRule="auto"/>
        <w:ind w:left="709"/>
        <w:contextualSpacing/>
        <w:jc w:val="both"/>
        <w:rPr>
          <w:rFonts w:ascii="Arial" w:eastAsia="Times New Roman" w:hAnsi="Arial" w:cs="Arial"/>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Instituciones de Asistencia Privada</w:t>
      </w:r>
      <w:r w:rsidRPr="001876E4">
        <w:rPr>
          <w:rFonts w:ascii="Arial" w:eastAsia="Times New Roman" w:hAnsi="Arial" w:cs="Arial"/>
          <w:sz w:val="24"/>
          <w:szCs w:val="24"/>
        </w:rPr>
        <w:t>: Entidades con personalidad jurídica y patrimonio propios, sin propósitos de lucro que, con bienes de propiedad particular, que ejecutan actos de asistencia social sin designar individualmente a los beneficiarios, y son reguladas por la Ley de Instituciones de Asistencia Privada para 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Ayudas</w:t>
      </w:r>
      <w:r w:rsidRPr="001876E4">
        <w:rPr>
          <w:rFonts w:ascii="Arial" w:eastAsia="Times New Roman" w:hAnsi="Arial" w:cs="Arial"/>
          <w:sz w:val="24"/>
          <w:szCs w:val="24"/>
        </w:rPr>
        <w:t>: Las aportaciones de recursos públicos en numerario o en especie otorgadas por el Gobierno del Estado con base en los objetivos y metas de los Programas Presupuestarios;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Balance Presupuestario</w:t>
      </w:r>
      <w:r w:rsidRPr="001876E4">
        <w:rPr>
          <w:rFonts w:ascii="Arial" w:eastAsia="Times New Roman" w:hAnsi="Arial" w:cs="Arial"/>
          <w:sz w:val="24"/>
          <w:szCs w:val="24"/>
        </w:rPr>
        <w:t>: La diferencia entre los Ingresos totales incluidos en la Ley de Ingresos, y los gastos totales considerados en el Presupuesto de Egresos, con excepción de la amortización de la deuda;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Balance Presupuestario de Recursos Disponibles</w:t>
      </w:r>
      <w:r w:rsidRPr="001876E4">
        <w:rPr>
          <w:rFonts w:ascii="Arial" w:eastAsia="Times New Roman" w:hAnsi="Arial" w:cs="Arial"/>
          <w:sz w:val="24"/>
          <w:szCs w:val="24"/>
        </w:rPr>
        <w:t xml:space="preserve">: La diferencia entre los Ingresos de Libre Disposición, incluidos en la Ley de Ingresos, más el </w:t>
      </w:r>
      <w:r w:rsidRPr="001876E4">
        <w:rPr>
          <w:rFonts w:ascii="Arial" w:eastAsia="Times New Roman" w:hAnsi="Arial" w:cs="Arial"/>
          <w:sz w:val="24"/>
          <w:szCs w:val="24"/>
        </w:rPr>
        <w:lastRenderedPageBreak/>
        <w:t>Financiamiento Neto y los Gastos No Etiquetados considerados en el Presupuesto de Egresos, con excepción de la amortización de la deuda;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Capítulo de Gasto</w:t>
      </w:r>
      <w:r w:rsidRPr="001876E4">
        <w:rPr>
          <w:rFonts w:ascii="Arial" w:eastAsia="Times New Roman" w:hAnsi="Arial" w:cs="Arial"/>
          <w:sz w:val="24"/>
          <w:szCs w:val="24"/>
        </w:rPr>
        <w:t>: Al mayor nivel de agregación que identifica el conjunto homogéneo y ordenado de los bienes y servicios requeridos por los Entes Públicos;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Funcional del Gasto</w:t>
      </w:r>
      <w:r w:rsidRPr="001876E4">
        <w:rPr>
          <w:rFonts w:ascii="Arial" w:eastAsia="Times New Roman" w:hAnsi="Arial" w:cs="Arial"/>
          <w:sz w:val="24"/>
          <w:szCs w:val="24"/>
        </w:rPr>
        <w:t>: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por Objeto del Gasto</w:t>
      </w:r>
      <w:r w:rsidRPr="001876E4">
        <w:rPr>
          <w:rFonts w:ascii="Arial" w:eastAsia="Times New Roman" w:hAnsi="Arial" w:cs="Arial"/>
          <w:sz w:val="24"/>
          <w:szCs w:val="24"/>
        </w:rPr>
        <w:t>: El instrumento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y que permite conocer en qué se gasta;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por Fuentes de Financiamiento</w:t>
      </w:r>
      <w:r w:rsidRPr="001876E4">
        <w:rPr>
          <w:rFonts w:ascii="Arial" w:eastAsia="Times New Roman" w:hAnsi="Arial" w:cs="Arial"/>
          <w:sz w:val="24"/>
          <w:szCs w:val="24"/>
        </w:rPr>
        <w:t>: La que presenta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Económica de los Ingresos, de los Gastos y del Financiamiento de los Entes Públicos</w:t>
      </w:r>
      <w:r w:rsidRPr="001876E4">
        <w:rPr>
          <w:rFonts w:ascii="Arial" w:eastAsia="Times New Roman" w:hAnsi="Arial" w:cs="Arial"/>
          <w:sz w:val="24"/>
          <w:szCs w:val="24"/>
        </w:rPr>
        <w:t>: La Clasificación Económica de las transacciones de los Entes Públicos permite ordenar a éstas de acuerdo con su naturaleza económica, con el propósito general de analizar y evaluar el impacto de la política y gestión fiscal y sus componentes sobre la economía en general;</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Administrativa</w:t>
      </w:r>
      <w:r w:rsidRPr="001876E4">
        <w:rPr>
          <w:rFonts w:ascii="Arial" w:eastAsia="Times New Roman" w:hAnsi="Arial" w:cs="Arial"/>
          <w:sz w:val="24"/>
          <w:szCs w:val="24"/>
        </w:rPr>
        <w:t xml:space="preserve">: La que tiene como objetivo identificar el agente que realiza la erogación de los recursos públicos, se desglosa a través </w:t>
      </w:r>
      <w:r w:rsidRPr="001876E4">
        <w:rPr>
          <w:rFonts w:ascii="Arial" w:eastAsia="Times New Roman" w:hAnsi="Arial" w:cs="Arial"/>
          <w:sz w:val="24"/>
          <w:szCs w:val="24"/>
        </w:rPr>
        <w:lastRenderedPageBreak/>
        <w:t>de asignaciones denominadas ramos presupuestarios como el de la Administración Pública, de los Poderes, o de los Organismos Autónomos;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Programática</w:t>
      </w:r>
      <w:r w:rsidRPr="001876E4">
        <w:rPr>
          <w:rFonts w:ascii="Arial" w:eastAsia="Times New Roman" w:hAnsi="Arial" w:cs="Arial"/>
          <w:sz w:val="24"/>
          <w:szCs w:val="24"/>
        </w:rPr>
        <w:t>: La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Presupuestario y establece las acciones concretas para obtener los fines deseados;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Clasificación por Tipo de Gasto</w:t>
      </w:r>
      <w:r w:rsidRPr="001876E4">
        <w:rPr>
          <w:rFonts w:ascii="Arial" w:eastAsia="Times New Roman" w:hAnsi="Arial" w:cs="Arial"/>
          <w:sz w:val="24"/>
          <w:szCs w:val="24"/>
        </w:rPr>
        <w:t>: La que relaciona las transacciones públicas que generan los grandes agregados de la clasificación económica presentándolos en: Corriente, de Capital, Amortización de la Deuda y Disminución de Pasivos, Pensiones y Jubilaciones y Participaciones;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Criterios Generales de Política Económica</w:t>
      </w:r>
      <w:r w:rsidRPr="001876E4">
        <w:rPr>
          <w:rFonts w:ascii="Arial" w:eastAsia="Times New Roman" w:hAnsi="Arial" w:cs="Arial"/>
          <w:sz w:val="24"/>
          <w:szCs w:val="24"/>
        </w:rPr>
        <w:t>: El documento enviado por el Ejecutivo Federal al Congreso de la Unión, en los términos del artículo 42, fracción III, inciso a), de la Ley Federal de Presupuesto y Responsabilidad Hacendaria, que sirve de base para la elaboración de la Ley de Ingresos y el Presupuesto de Egresos de la Federación;</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Concepto</w:t>
      </w:r>
      <w:r w:rsidRPr="001876E4">
        <w:rPr>
          <w:rFonts w:ascii="Arial" w:eastAsia="Times New Roman" w:hAnsi="Arial" w:cs="Arial"/>
          <w:sz w:val="24"/>
          <w:szCs w:val="24"/>
        </w:rPr>
        <w:t>: Los subconjuntos homogéneos y ordenados en forma específica, producto de la desagregación de los bienes y servicios, incluidos en cada capítulo de gasto;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Congreso del Estado</w:t>
      </w:r>
      <w:r w:rsidRPr="001876E4">
        <w:rPr>
          <w:rFonts w:ascii="Arial" w:eastAsia="Times New Roman" w:hAnsi="Arial" w:cs="Arial"/>
          <w:sz w:val="24"/>
          <w:szCs w:val="24"/>
        </w:rPr>
        <w:t>: El H. Congreso del Estado Libre y Soberano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Contraloría General</w:t>
      </w:r>
      <w:r w:rsidRPr="001876E4">
        <w:rPr>
          <w:rFonts w:ascii="Arial" w:eastAsia="Times New Roman" w:hAnsi="Arial" w:cs="Arial"/>
          <w:sz w:val="24"/>
          <w:szCs w:val="24"/>
        </w:rPr>
        <w:t>: La Contraloría General del Estado;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Dependencias de la Administración Pública Centralizada</w:t>
      </w:r>
      <w:r w:rsidRPr="001876E4">
        <w:rPr>
          <w:rFonts w:ascii="Arial" w:eastAsia="Times New Roman" w:hAnsi="Arial" w:cs="Arial"/>
          <w:sz w:val="24"/>
          <w:szCs w:val="24"/>
        </w:rPr>
        <w:t>: La Oficina del Gobernador, las Secretarías, la Consejería Jurídica y los órganos desconcentrados del Estado, de conformidad a lo establecido en la Ley Orgánica de la Administración Pública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Deuda Contingente</w:t>
      </w:r>
      <w:r w:rsidRPr="001876E4">
        <w:rPr>
          <w:rFonts w:ascii="Arial" w:eastAsia="Times New Roman" w:hAnsi="Arial" w:cs="Arial"/>
          <w:sz w:val="24"/>
          <w:szCs w:val="24"/>
        </w:rPr>
        <w:t xml:space="preserve">: Cualquier Financiamiento sin fuente o garantía de pago definida, que sea asumida de manera solidaria o subsidiaria por la Entidad Federativa con sus Municipios, Organismos Descentralizados y empresas de participación estatal mayoritaria y Fideicomisos; </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Disciplina Financiera</w:t>
      </w:r>
      <w:r w:rsidRPr="001876E4">
        <w:rPr>
          <w:rFonts w:ascii="Arial" w:eastAsia="Times New Roman" w:hAnsi="Arial" w:cs="Arial"/>
          <w:sz w:val="24"/>
          <w:szCs w:val="24"/>
        </w:rPr>
        <w:t>: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el empleo y la estabilidad del sistema financiero;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b/>
          <w:sz w:val="24"/>
          <w:szCs w:val="24"/>
        </w:rPr>
        <w:t>Entidades de la Administración Pública Paraestatal</w:t>
      </w:r>
      <w:r w:rsidRPr="001876E4">
        <w:rPr>
          <w:rFonts w:ascii="Arial" w:eastAsia="Times New Roman" w:hAnsi="Arial" w:cs="Arial"/>
          <w:sz w:val="24"/>
          <w:szCs w:val="24"/>
        </w:rPr>
        <w:t>: Los organismos descentralizados, empresas de participación estatal mayoritaria y a los fideicomisos públicos, que de conformidad a lo establecido por la Ley Orgánica de la Administración Pública del Estado de Colima, sean considerados parte de la administración pública paraestatal;</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Entes Públicos</w:t>
      </w:r>
      <w:r w:rsidRPr="001876E4">
        <w:rPr>
          <w:rFonts w:ascii="Arial" w:eastAsia="Times New Roman" w:hAnsi="Arial" w:cs="Arial"/>
          <w:sz w:val="24"/>
          <w:szCs w:val="24"/>
        </w:rPr>
        <w:t>: Los Poderes Ejecutivo, Legislativo y Judicial; los Órganos Estatales Autónomos; los organismos descentralizados, empresas de participación estatal mayoritaria y fideicomisos del Estado, así como cualquier otro Ente sobre el que el Estado tenga control sobre sus decisiones o acciones;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Estado</w:t>
      </w:r>
      <w:r w:rsidRPr="001876E4">
        <w:rPr>
          <w:rFonts w:ascii="Arial" w:eastAsia="Times New Roman" w:hAnsi="Arial" w:cs="Arial"/>
          <w:sz w:val="24"/>
          <w:szCs w:val="24"/>
        </w:rPr>
        <w:t>: El Estado Libre y Soberano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color w:val="FF0000"/>
          <w:sz w:val="24"/>
          <w:szCs w:val="24"/>
        </w:rPr>
      </w:pPr>
      <w:r w:rsidRPr="001876E4">
        <w:rPr>
          <w:rFonts w:ascii="Arial" w:eastAsia="Times New Roman" w:hAnsi="Arial" w:cs="Arial"/>
          <w:b/>
          <w:sz w:val="24"/>
          <w:szCs w:val="24"/>
        </w:rPr>
        <w:t>Evaluación del Desempeño</w:t>
      </w:r>
      <w:r w:rsidRPr="001876E4">
        <w:rPr>
          <w:rFonts w:ascii="Arial" w:eastAsia="Times New Roman" w:hAnsi="Arial" w:cs="Arial"/>
          <w:sz w:val="24"/>
          <w:szCs w:val="24"/>
        </w:rPr>
        <w:t>: El resultado de la medición sistemática, objetiva y multidisciplinaria, del grado de cumplimiento de los programas presupuestarios con base a indicadores;</w:t>
      </w:r>
      <w:r w:rsidRPr="001876E4">
        <w:rPr>
          <w:rFonts w:ascii="Arial" w:eastAsia="Times New Roman" w:hAnsi="Arial" w:cs="Arial"/>
          <w:sz w:val="24"/>
          <w:szCs w:val="24"/>
        </w:rPr>
        <w:cr/>
      </w: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Fideicomisos Públicos</w:t>
      </w:r>
      <w:r w:rsidRPr="001876E4">
        <w:rPr>
          <w:rFonts w:ascii="Arial" w:eastAsia="Times New Roman" w:hAnsi="Arial" w:cs="Arial"/>
          <w:sz w:val="24"/>
          <w:szCs w:val="24"/>
        </w:rPr>
        <w:t>: Aquellos que el gobierno estatal o alguna de las demás entidades paraestatales constituyen, con el propósito de auxiliar al Ejecutivo del Estado en la realización de las funciones que le corresponden o en el impulso de áreas prioritarias del desarrollo, que cuenten con una estructura orgánica análoga a las otras entidades y que tengan comités técnicos;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Gasto Corriente</w:t>
      </w:r>
      <w:r w:rsidRPr="001876E4">
        <w:rPr>
          <w:rFonts w:ascii="Arial" w:eastAsia="Times New Roman" w:hAnsi="Arial" w:cs="Arial"/>
          <w:sz w:val="24"/>
          <w:szCs w:val="24"/>
        </w:rPr>
        <w:t>: Al conjunto de erogaciones que no tienen como contrapartida la creación de activos, sino que constituyen un acto de consumo. Se refiere a los gastos en recursos humanos y de compra de bienes y servicios, necesarios para la administración y operación gubernamental;</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lastRenderedPageBreak/>
        <w:t>Gasto Federalizado</w:t>
      </w:r>
      <w:r w:rsidRPr="001876E4">
        <w:rPr>
          <w:rFonts w:ascii="Arial" w:eastAsia="Times New Roman" w:hAnsi="Arial" w:cs="Arial"/>
          <w:sz w:val="24"/>
          <w:szCs w:val="24"/>
        </w:rPr>
        <w:t>: El gasto federalizado o descentralizado se integra por los recursos públicos que el Gobierno Federal transfiere al Estado y a los Municipios para que estos últimos afronten sus necesidades de gasto en materia de educación, salud, infraestructura e inversión social, seguridad pública, entre otros rubros;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Gasto de Inversión o Capital</w:t>
      </w:r>
      <w:r w:rsidRPr="001876E4">
        <w:rPr>
          <w:rFonts w:ascii="Arial" w:eastAsia="Times New Roman" w:hAnsi="Arial" w:cs="Arial"/>
          <w:sz w:val="24"/>
          <w:szCs w:val="24"/>
        </w:rPr>
        <w:t>: Las erogaciones que realizan las Dependencias de la Administración Pública Centralizada y Entidades de la Administración Pública Paraestatal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Gasto Etiquetado</w:t>
      </w:r>
      <w:r w:rsidRPr="001876E4">
        <w:rPr>
          <w:rFonts w:ascii="Arial" w:eastAsia="Times New Roman" w:hAnsi="Arial" w:cs="Arial"/>
          <w:sz w:val="24"/>
          <w:szCs w:val="24"/>
        </w:rPr>
        <w:t>: 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Gasto No Etiquetado</w:t>
      </w:r>
      <w:r w:rsidRPr="001876E4">
        <w:rPr>
          <w:rFonts w:ascii="Arial" w:eastAsia="Times New Roman" w:hAnsi="Arial" w:cs="Arial"/>
          <w:sz w:val="24"/>
          <w:szCs w:val="24"/>
        </w:rPr>
        <w:t xml:space="preserve">: Las erogaciones que realizan las Entidades Federativas y los Municipios con cargo a sus Ingresos de libre disposición y Financiamientos; </w:t>
      </w:r>
    </w:p>
    <w:p w:rsidR="001876E4" w:rsidRPr="001876E4" w:rsidRDefault="001876E4" w:rsidP="001876E4">
      <w:pPr>
        <w:spacing w:after="0" w:line="240" w:lineRule="auto"/>
        <w:ind w:left="709" w:hanging="709"/>
        <w:contextualSpacing/>
        <w:jc w:val="both"/>
        <w:rPr>
          <w:rFonts w:ascii="Arial" w:eastAsia="Times New Roman" w:hAnsi="Arial" w:cs="Arial"/>
          <w:b/>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Gasto No Programable</w:t>
      </w:r>
      <w:r w:rsidRPr="001876E4">
        <w:rPr>
          <w:rFonts w:ascii="Arial" w:eastAsia="Times New Roman" w:hAnsi="Arial" w:cs="Arial"/>
          <w:sz w:val="24"/>
          <w:szCs w:val="24"/>
        </w:rPr>
        <w:t>: Los recursos que se destinan al cumplimiento de los fines y funciones propias del Estado y que por su naturaleza no están asociados a Programas Presupuestarios específicos;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Gasto Programable</w:t>
      </w:r>
      <w:r w:rsidRPr="001876E4">
        <w:rPr>
          <w:rFonts w:ascii="Arial" w:eastAsia="Times New Roman" w:hAnsi="Arial" w:cs="Arial"/>
          <w:sz w:val="24"/>
          <w:szCs w:val="24"/>
        </w:rPr>
        <w:t>: Los recursos que se destinan al cumplimiento de los fines y funciones propias del Estado, por lo cual están directamente relacionados con los Programas Presupuestarios a cargo de los Ejecutores de Gasto previamente establecidos para alcanzar los objetivos y metas, que tienen un efecto directo en la actividad económica y social;</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 w:val="left" w:pos="993"/>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Igualdad de Género</w:t>
      </w:r>
      <w:r w:rsidRPr="001876E4">
        <w:rPr>
          <w:rFonts w:ascii="Arial" w:eastAsia="Times New Roman" w:hAnsi="Arial" w:cs="Arial"/>
          <w:sz w:val="24"/>
          <w:szCs w:val="24"/>
        </w:rPr>
        <w:t>: La 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lastRenderedPageBreak/>
        <w:t>Igualdad Sustantiva</w:t>
      </w:r>
      <w:r w:rsidRPr="001876E4">
        <w:rPr>
          <w:rFonts w:ascii="Arial" w:eastAsia="Times New Roman" w:hAnsi="Arial" w:cs="Arial"/>
          <w:sz w:val="24"/>
          <w:szCs w:val="24"/>
        </w:rPr>
        <w:t>: El acceso al mismo trato y oportunidades para el reconocimiento, goce o ejercicio de los derechos humanos y las libertades fundamentales;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Indicador</w:t>
      </w:r>
      <w:r w:rsidRPr="001876E4">
        <w:rPr>
          <w:rFonts w:ascii="Arial" w:eastAsia="Times New Roman" w:hAnsi="Arial" w:cs="Arial"/>
          <w:sz w:val="24"/>
          <w:szCs w:val="24"/>
        </w:rPr>
        <w:t>: La expresión cuantitativa o, en su caso, cualitativa que proporciona un medio sencillo y fiable para medir logros, reflejar los cambios vinculados con las acciones del Programa Presupuestario, monitorear y evaluar resultados;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Ingresos de Libre Disposición</w:t>
      </w:r>
      <w:r w:rsidRPr="001876E4">
        <w:rPr>
          <w:rFonts w:ascii="Arial" w:eastAsia="Times New Roman" w:hAnsi="Arial" w:cs="Arial"/>
          <w:sz w:val="24"/>
          <w:szCs w:val="24"/>
        </w:rPr>
        <w:t>: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Ingresos Excedentes</w:t>
      </w:r>
      <w:r w:rsidRPr="001876E4">
        <w:rPr>
          <w:rFonts w:ascii="Arial" w:eastAsia="Times New Roman" w:hAnsi="Arial" w:cs="Arial"/>
          <w:sz w:val="24"/>
          <w:szCs w:val="24"/>
        </w:rPr>
        <w:t>: Los recursos públicos que durante el Ejercicio Fiscal se obtienen adicionalmente a los aprobados en la Ley de Ingresos del Estado vigente;</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Ley de Disciplina Financiera</w:t>
      </w:r>
      <w:r w:rsidRPr="001876E4">
        <w:rPr>
          <w:rFonts w:ascii="Arial" w:eastAsia="Times New Roman" w:hAnsi="Arial" w:cs="Arial"/>
          <w:sz w:val="24"/>
          <w:szCs w:val="24"/>
        </w:rPr>
        <w:t>: Ley de Disciplina Financiera de las Entidades Federativas y los Municipios;</w:t>
      </w:r>
    </w:p>
    <w:p w:rsidR="001876E4" w:rsidRPr="001876E4" w:rsidRDefault="001876E4" w:rsidP="001876E4">
      <w:pPr>
        <w:spacing w:before="120" w:after="0" w:line="240" w:lineRule="auto"/>
        <w:ind w:left="709"/>
        <w:contextualSpacing/>
        <w:jc w:val="both"/>
        <w:rPr>
          <w:rFonts w:ascii="Arial" w:eastAsia="Times New Roman" w:hAnsi="Arial" w:cs="Arial"/>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Ley General de Contabilidad</w:t>
      </w:r>
      <w:r w:rsidRPr="001876E4">
        <w:rPr>
          <w:rFonts w:ascii="Arial" w:eastAsia="Times New Roman" w:hAnsi="Arial" w:cs="Arial"/>
          <w:sz w:val="24"/>
          <w:szCs w:val="24"/>
        </w:rPr>
        <w:t>: La Ley General de Contabilidad Gubernamental;</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Ley de Presupuesto</w:t>
      </w:r>
      <w:r w:rsidRPr="001876E4">
        <w:rPr>
          <w:rFonts w:ascii="Arial" w:eastAsia="Times New Roman" w:hAnsi="Arial" w:cs="Arial"/>
          <w:sz w:val="24"/>
          <w:szCs w:val="24"/>
        </w:rPr>
        <w:t>: La Ley de Presupuesto y Responsabilidad Hacendaria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Matriz de Indicadores para Resultados</w:t>
      </w:r>
      <w:r w:rsidRPr="001876E4">
        <w:rPr>
          <w:rFonts w:ascii="Arial" w:eastAsia="Times New Roman" w:hAnsi="Arial" w:cs="Arial"/>
          <w:sz w:val="24"/>
          <w:szCs w:val="24"/>
        </w:rPr>
        <w:t>: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que influyen en el cumplimiento de los objetivos;</w:t>
      </w:r>
    </w:p>
    <w:p w:rsidR="001876E4" w:rsidRPr="001876E4" w:rsidRDefault="001876E4" w:rsidP="001876E4">
      <w:pPr>
        <w:spacing w:before="120" w:after="0" w:line="240" w:lineRule="auto"/>
        <w:ind w:left="709"/>
        <w:contextualSpacing/>
        <w:jc w:val="both"/>
        <w:rPr>
          <w:rFonts w:ascii="Arial" w:eastAsia="Times New Roman" w:hAnsi="Arial" w:cs="Arial"/>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sz w:val="24"/>
          <w:szCs w:val="24"/>
        </w:rPr>
        <w:lastRenderedPageBreak/>
        <w:t xml:space="preserve"> </w:t>
      </w:r>
      <w:r w:rsidRPr="001876E4">
        <w:rPr>
          <w:rFonts w:ascii="Arial" w:eastAsia="Times New Roman" w:hAnsi="Arial" w:cs="Arial"/>
          <w:b/>
          <w:sz w:val="24"/>
          <w:szCs w:val="24"/>
        </w:rPr>
        <w:t>Organizaciones de la Sociedad Civil</w:t>
      </w:r>
      <w:r w:rsidRPr="001876E4">
        <w:rPr>
          <w:rFonts w:ascii="Arial" w:eastAsia="Times New Roman" w:hAnsi="Arial" w:cs="Arial"/>
          <w:sz w:val="24"/>
          <w:szCs w:val="24"/>
        </w:rPr>
        <w:t>: Las Organizaciones de la Sociedad Civil a que se refieren los artículos 1 y 2 de la Ley de Fomento a las Organizaciones de la Sociedad Civil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Órganos Estatales Autónomos:</w:t>
      </w:r>
      <w:r w:rsidRPr="001876E4">
        <w:rPr>
          <w:rFonts w:ascii="Arial" w:eastAsia="Times New Roman" w:hAnsi="Arial" w:cs="Arial"/>
          <w:sz w:val="24"/>
          <w:szCs w:val="24"/>
        </w:rPr>
        <w:t xml:space="preserve"> Los órganos estatales de carácter autónomo en el ejercicio de sus funciones y en su administración, con personalidad jurídica y patrimonio propios, creados por disposición expresa de la Constitución Política del Estado Libre y Soberano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Partida</w:t>
      </w:r>
      <w:r w:rsidRPr="001876E4">
        <w:rPr>
          <w:rFonts w:ascii="Arial" w:eastAsia="Times New Roman" w:hAnsi="Arial" w:cs="Arial"/>
          <w:sz w:val="24"/>
          <w:szCs w:val="24"/>
        </w:rPr>
        <w:t>: El nivel de agregación más específico en el cual se describen las expresiones concretas y detalladas de los bienes y servicios que se adquieren y se compone de: a) Partida Genérica, b) Partida Específica;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tabs>
          <w:tab w:val="left" w:pos="851"/>
        </w:tabs>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Perspectiva de Género</w:t>
      </w:r>
      <w:r w:rsidRPr="001876E4">
        <w:rPr>
          <w:rFonts w:ascii="Arial" w:eastAsia="Times New Roman" w:hAnsi="Arial" w:cs="Arial"/>
          <w:sz w:val="24"/>
          <w:szCs w:val="24"/>
        </w:rPr>
        <w:t>: Es una visión científica, analítica y política sobre las mujeres y los hombres. Se propone eliminar las causas de la opresión de género como la desigualdad, la injusticia y la jerarquización de las personas basada en el género;</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Plan Estatal</w:t>
      </w:r>
      <w:r w:rsidRPr="001876E4">
        <w:rPr>
          <w:rFonts w:ascii="Arial" w:eastAsia="Times New Roman" w:hAnsi="Arial" w:cs="Arial"/>
          <w:sz w:val="24"/>
          <w:szCs w:val="24"/>
        </w:rPr>
        <w:t>: El Plan Estatal de Desarrollo vigente;</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Poder Judicial</w:t>
      </w:r>
      <w:r w:rsidRPr="001876E4">
        <w:rPr>
          <w:rFonts w:ascii="Arial" w:eastAsia="Times New Roman" w:hAnsi="Arial" w:cs="Arial"/>
          <w:sz w:val="24"/>
          <w:szCs w:val="24"/>
        </w:rPr>
        <w:t>: El Poder Judicial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Presupuesto basado en Resultados</w:t>
      </w:r>
      <w:r w:rsidRPr="001876E4">
        <w:rPr>
          <w:rFonts w:ascii="Arial" w:eastAsia="Times New Roman" w:hAnsi="Arial" w:cs="Arial"/>
          <w:sz w:val="24"/>
          <w:szCs w:val="24"/>
        </w:rPr>
        <w:t xml:space="preserve">: El instrumento metodológico y el modelo de cultura organizacional cuyo objetivo es que los recursos públicos se asignen prioritariamente a los Programas Presupuestarios que generan más beneficios a la población y que se corrija el diseño de aquellos que no están funcionando correctamente. Un presupuesto con enfoque en el logro de resultados consiste en que los órganos públicos establezcan de manera puntual los objetivos que se alcanzarán con los recursos que se asignen a sus respectivos programas y que el grado de consecución de dichos objetivos pueda ser efectivamente confirmado mediante el Sistema de Evaluación del Desempeño; </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Programa Presupuestario</w:t>
      </w:r>
      <w:r w:rsidRPr="001876E4">
        <w:rPr>
          <w:rFonts w:ascii="Arial" w:eastAsia="Times New Roman" w:hAnsi="Arial" w:cs="Arial"/>
          <w:sz w:val="24"/>
          <w:szCs w:val="24"/>
        </w:rPr>
        <w:t>: La categoría que permite organizar, en forma representativa y homogénea, las asignaciones de recursos para que los Ejecutores de gasto cumplan con sus objetivos y metas;</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Secretaría</w:t>
      </w:r>
      <w:r w:rsidRPr="001876E4">
        <w:rPr>
          <w:rFonts w:ascii="Arial" w:eastAsia="Times New Roman" w:hAnsi="Arial" w:cs="Arial"/>
          <w:sz w:val="24"/>
          <w:szCs w:val="24"/>
        </w:rPr>
        <w:t>: La Secretaría Planeación y Finanzas del Gobierno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lastRenderedPageBreak/>
        <w:t>Secretaría de Administración</w:t>
      </w:r>
      <w:r w:rsidRPr="001876E4">
        <w:rPr>
          <w:rFonts w:ascii="Arial" w:eastAsia="Times New Roman" w:hAnsi="Arial" w:cs="Arial"/>
          <w:sz w:val="24"/>
          <w:szCs w:val="24"/>
        </w:rPr>
        <w:t>: La Secretaría de Administración y Gestión Pública del Gobierno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Secretario de Planeación y Finanzas</w:t>
      </w:r>
      <w:r w:rsidRPr="001876E4">
        <w:rPr>
          <w:rFonts w:ascii="Arial" w:eastAsia="Times New Roman" w:hAnsi="Arial" w:cs="Arial"/>
          <w:sz w:val="24"/>
          <w:szCs w:val="24"/>
        </w:rPr>
        <w:t>: Él Secretario de Planeación y Finanzas del Gobierno del Estado de Colima;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Sistema de Evaluación del Desempeño</w:t>
      </w:r>
      <w:r w:rsidRPr="001876E4">
        <w:rPr>
          <w:rFonts w:ascii="Arial" w:eastAsia="Times New Roman" w:hAnsi="Arial" w:cs="Arial"/>
          <w:sz w:val="24"/>
          <w:szCs w:val="24"/>
        </w:rPr>
        <w:t xml:space="preserve">: El conjunto de elementos metodológicos que permiten realizar una valoración objetiva del desempeño de los Programas Presupuestarios, bajo los principios de verificación del grado de cumplimiento de los objetivos y metas, con base en indicadores estratégicos y de gestión que permitan conocer el impacto social de los Programas Presupuestarios y de los proyectos; </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b/>
          <w:sz w:val="24"/>
          <w:szCs w:val="24"/>
        </w:rPr>
        <w:t>Subsidios</w:t>
      </w:r>
      <w:r w:rsidRPr="001876E4">
        <w:rPr>
          <w:rFonts w:ascii="Arial" w:eastAsia="Times New Roman" w:hAnsi="Arial" w:cs="Arial"/>
          <w:sz w:val="24"/>
          <w:szCs w:val="24"/>
        </w:rPr>
        <w:t>: Las asignaciones de recursos públicos previstas en el Presupuesto de Egresos que, a través de las Dependencias de la Administración Pública Centralizada, Entidades de la Administración Pública Paraestatal y Órganos Estatales Autónomos, se otorgan a los diferentes sectores de la sociedad o a organizaciones públicas y privadas para fomentar el desarrollo de actividades sociales o económicas prioritarias y de interés genera;</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Titular del Poder Ejecutivo</w:t>
      </w:r>
      <w:r w:rsidRPr="001876E4">
        <w:rPr>
          <w:rFonts w:ascii="Arial" w:eastAsia="Times New Roman" w:hAnsi="Arial" w:cs="Arial"/>
          <w:sz w:val="24"/>
          <w:szCs w:val="24"/>
        </w:rPr>
        <w:t>: el Gobernador Constitucional del Estado Libre y Soberano de Colima;</w:t>
      </w:r>
    </w:p>
    <w:p w:rsidR="001876E4" w:rsidRPr="001876E4" w:rsidRDefault="001876E4" w:rsidP="001876E4">
      <w:pPr>
        <w:spacing w:after="0" w:line="240" w:lineRule="auto"/>
        <w:ind w:left="720"/>
        <w:contextualSpacing/>
        <w:rPr>
          <w:rFonts w:ascii="Arial" w:eastAsia="Times New Roman" w:hAnsi="Arial" w:cs="Arial"/>
          <w:b/>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Transferencias</w:t>
      </w:r>
      <w:r w:rsidRPr="001876E4">
        <w:rPr>
          <w:rFonts w:ascii="Arial" w:eastAsia="Times New Roman" w:hAnsi="Arial" w:cs="Arial"/>
          <w:sz w:val="24"/>
          <w:szCs w:val="24"/>
        </w:rPr>
        <w:t>: Los recursos públicos previstos en el Presupuesto de Egresos del Estado para el cumplimiento de los objetivos y metas de los Programas Presupuestarios y la prestación de los bienes y servicios públicos a cargo de los Poderes, Órganos Estatales Autónomos y Entidades de la Administración Pública Paraestatal;</w:t>
      </w:r>
    </w:p>
    <w:p w:rsidR="001876E4" w:rsidRPr="001876E4" w:rsidRDefault="001876E4" w:rsidP="001876E4">
      <w:pPr>
        <w:spacing w:after="0" w:line="240" w:lineRule="auto"/>
        <w:ind w:left="709" w:hanging="709"/>
        <w:contextualSpacing/>
        <w:jc w:val="both"/>
        <w:rPr>
          <w:rFonts w:ascii="Arial" w:eastAsia="Times New Roman" w:hAnsi="Arial" w:cs="Arial"/>
          <w:strike/>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trike/>
          <w:sz w:val="24"/>
          <w:szCs w:val="24"/>
        </w:rPr>
      </w:pPr>
      <w:r w:rsidRPr="001876E4">
        <w:rPr>
          <w:rFonts w:ascii="Arial" w:eastAsia="Times New Roman" w:hAnsi="Arial" w:cs="Arial"/>
          <w:b/>
          <w:sz w:val="24"/>
          <w:szCs w:val="24"/>
        </w:rPr>
        <w:t>Transferencias Federales Etiquetadas</w:t>
      </w:r>
      <w:r w:rsidRPr="001876E4">
        <w:rPr>
          <w:rFonts w:ascii="Arial" w:eastAsia="Times New Roman" w:hAnsi="Arial" w:cs="Arial"/>
          <w:sz w:val="24"/>
          <w:szCs w:val="24"/>
        </w:rPr>
        <w:t xml:space="preserve">: Los recursos que reciben de la Federación el Gobierno del Estado y los Municipios,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 </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lastRenderedPageBreak/>
        <w:t>Unidad Presupuestal</w:t>
      </w:r>
      <w:r w:rsidRPr="001876E4">
        <w:rPr>
          <w:rFonts w:ascii="Arial" w:eastAsia="Times New Roman" w:hAnsi="Arial" w:cs="Arial"/>
          <w:sz w:val="24"/>
          <w:szCs w:val="24"/>
        </w:rPr>
        <w:t>: Las Dependencias de la Administración Pública Centralizada, Entidades de la Administración Pública Paraestatal y Órganos Estatales Autónomos que tiene a su cargo la administración de los recursos financieros, humanos, materiales y los servicios generales y sociales, a  fin de cumplir con eficacia y eficiencia la misión que le ha sido conferida en las disposiciones legales y reglamentarias; y</w:t>
      </w:r>
    </w:p>
    <w:p w:rsidR="001876E4" w:rsidRPr="001876E4" w:rsidRDefault="001876E4" w:rsidP="001876E4">
      <w:pPr>
        <w:spacing w:after="0" w:line="240" w:lineRule="auto"/>
        <w:ind w:left="709" w:hanging="709"/>
        <w:contextualSpacing/>
        <w:jc w:val="both"/>
        <w:rPr>
          <w:rFonts w:ascii="Arial" w:eastAsia="Times New Roman" w:hAnsi="Arial" w:cs="Arial"/>
          <w:color w:val="FF0000"/>
          <w:sz w:val="24"/>
          <w:szCs w:val="24"/>
        </w:rPr>
      </w:pPr>
    </w:p>
    <w:p w:rsidR="001876E4" w:rsidRPr="001876E4" w:rsidRDefault="001876E4" w:rsidP="00185BC9">
      <w:pPr>
        <w:numPr>
          <w:ilvl w:val="0"/>
          <w:numId w:val="20"/>
        </w:numPr>
        <w:spacing w:before="120" w:after="0" w:line="240" w:lineRule="auto"/>
        <w:ind w:left="709" w:hanging="709"/>
        <w:contextualSpacing/>
        <w:jc w:val="both"/>
        <w:rPr>
          <w:rFonts w:ascii="Arial" w:eastAsia="Times New Roman" w:hAnsi="Arial" w:cs="Arial"/>
          <w:sz w:val="24"/>
          <w:szCs w:val="24"/>
        </w:rPr>
      </w:pPr>
      <w:r w:rsidRPr="001876E4">
        <w:rPr>
          <w:rFonts w:ascii="Arial" w:eastAsia="Times New Roman" w:hAnsi="Arial" w:cs="Arial"/>
          <w:b/>
          <w:sz w:val="24"/>
          <w:szCs w:val="24"/>
        </w:rPr>
        <w:t>Unidad Responsable</w:t>
      </w:r>
      <w:r w:rsidRPr="001876E4">
        <w:rPr>
          <w:rFonts w:ascii="Arial" w:eastAsia="Times New Roman" w:hAnsi="Arial" w:cs="Arial"/>
          <w:sz w:val="24"/>
          <w:szCs w:val="24"/>
        </w:rPr>
        <w:t xml:space="preserve">: Las Unidades Administrativas subordinadas a las Unidades Presupuestales, en las que se desconcentran parte del ejercicio presupuestal y se les encomienda la ejecución de actividades, Programas Presupuestarios y proyectos para el cumplimiento de los objetivos, líneas de acción y metas establecidos en el Plan Estatal de Desarrollo. </w:t>
      </w:r>
    </w:p>
    <w:p w:rsidR="001876E4" w:rsidRPr="001876E4" w:rsidRDefault="001876E4" w:rsidP="001876E4">
      <w:pPr>
        <w:spacing w:after="0" w:line="240" w:lineRule="auto"/>
        <w:ind w:left="709" w:hanging="709"/>
        <w:contextualSpacing/>
        <w:jc w:val="both"/>
        <w:rPr>
          <w:rFonts w:ascii="Arial" w:eastAsia="Times New Roman" w:hAnsi="Arial" w:cs="Arial"/>
          <w:sz w:val="24"/>
          <w:szCs w:val="24"/>
        </w:rPr>
      </w:pPr>
    </w:p>
    <w:p w:rsidR="001876E4" w:rsidRPr="001876E4" w:rsidRDefault="001876E4" w:rsidP="001876E4">
      <w:pPr>
        <w:tabs>
          <w:tab w:val="left" w:pos="993"/>
        </w:tabs>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Cualquier otro término no contemplado en el presente artículo, se deberá entender conforme al glosario de la Ley General de Contabilidad, Ley de Disciplina Financiera, </w:t>
      </w:r>
      <w:r w:rsidRPr="001876E4">
        <w:rPr>
          <w:rFonts w:ascii="Arial" w:eastAsia="Calibri" w:hAnsi="Arial" w:cs="Arial"/>
          <w:sz w:val="24"/>
          <w:szCs w:val="24"/>
          <w:lang w:eastAsia="en-US"/>
        </w:rPr>
        <w:t>Ley de Presupuesto</w:t>
      </w:r>
      <w:r w:rsidRPr="001876E4">
        <w:rPr>
          <w:rFonts w:ascii="Arial" w:eastAsia="Calibri" w:hAnsi="Arial" w:cs="Arial"/>
          <w:sz w:val="24"/>
          <w:szCs w:val="24"/>
          <w:lang w:val="es-ES" w:eastAsia="en-US"/>
        </w:rPr>
        <w:t>, y las demás leyes de la materia.</w:t>
      </w:r>
    </w:p>
    <w:p w:rsidR="001876E4" w:rsidRPr="001876E4" w:rsidRDefault="001876E4" w:rsidP="001876E4">
      <w:pPr>
        <w:tabs>
          <w:tab w:val="left" w:pos="993"/>
        </w:tabs>
        <w:spacing w:after="0" w:line="240" w:lineRule="auto"/>
        <w:contextualSpacing/>
        <w:jc w:val="both"/>
        <w:rPr>
          <w:rFonts w:ascii="Arial" w:eastAsia="Times New Roman" w:hAnsi="Arial" w:cs="Arial"/>
          <w:sz w:val="24"/>
          <w:szCs w:val="24"/>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w:t>
      </w:r>
      <w:r w:rsidRPr="001876E4">
        <w:rPr>
          <w:rFonts w:ascii="Arial" w:eastAsia="Calibri" w:hAnsi="Arial" w:cs="Arial"/>
          <w:sz w:val="24"/>
          <w:szCs w:val="24"/>
          <w:lang w:val="es-ES" w:eastAsia="en-US"/>
        </w:rPr>
        <w:t xml:space="preserve"> En la celebración y suscripción de Convenios o Acuerdos en los que se comprometa el patrimonio económico, o el erario del Estado, será obligatoria la intervención de la Secretaría.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Asimismo, los titulares de las Dependencias de la Administración Pública Centralizada y Entidades de la Administración Pública Paraestatal deberán precisar las fuentes de financiamiento de los recursos que sustentarán dichos Convenios o Acuerdos y deberán darlas a conocer con oportunidad a dicha Secretaría.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w:t>
      </w:r>
      <w:r w:rsidRPr="001876E4">
        <w:rPr>
          <w:rFonts w:ascii="Arial" w:eastAsia="Calibri" w:hAnsi="Arial" w:cs="Arial"/>
          <w:sz w:val="24"/>
          <w:szCs w:val="24"/>
          <w:lang w:val="es-ES" w:eastAsia="en-US"/>
        </w:rPr>
        <w:t xml:space="preserve"> Los Titulares de los Entes Públicos, en el ejercicio de sus presupuestos aprobados, sin menoscabo de las responsabilidades y atribuciones que les correspondan, serán directamente responsables de lo siguiente: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1"/>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El ejercicio del presupuesto se apegará a los principios de eficiencia, eficacia, economía, transparencia, honradez, legalidad, honestidad, racionalidad, austeridad, control y rendición de cuentas; en apego a lo previsto en los artículos 134 de la Constitución Política de los Estados Unidos Mexicanos, 107 de la Constitución Política del Estado Libre y Soberano de Colima, y en lo dispuesto por la Ley de Disciplina Financiera;</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lang w:val="es-ES"/>
        </w:rPr>
      </w:pPr>
    </w:p>
    <w:p w:rsidR="001876E4" w:rsidRPr="001876E4" w:rsidRDefault="001876E4" w:rsidP="00185BC9">
      <w:pPr>
        <w:numPr>
          <w:ilvl w:val="0"/>
          <w:numId w:val="21"/>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 xml:space="preserve">En la ejecución del gasto público deberán considerar como único eje articulador el Plan Estatal, en apego a lo previsto en el artículo 12 de la Ley de Planeación Democrática para el Desarrollo del Estado de Colima; </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1"/>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Consolidar la estructura presupuestaria que facilite la ejecución de los Programas Presupuestarios y Proyectos; y</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1"/>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Afianzar el Presupuesto basado en Resultados y el Sistema de Evaluación del Desempeño.</w:t>
      </w:r>
    </w:p>
    <w:p w:rsidR="001876E4" w:rsidRPr="001876E4" w:rsidRDefault="001876E4" w:rsidP="001876E4">
      <w:pPr>
        <w:spacing w:after="0" w:line="240" w:lineRule="auto"/>
        <w:rPr>
          <w:rFonts w:ascii="Arial" w:eastAsia="Times New Roman" w:hAnsi="Arial"/>
          <w:sz w:val="24"/>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5. </w:t>
      </w:r>
      <w:r w:rsidRPr="001876E4">
        <w:rPr>
          <w:rFonts w:ascii="Arial" w:eastAsia="Calibri" w:hAnsi="Arial" w:cs="Arial"/>
          <w:sz w:val="24"/>
          <w:szCs w:val="24"/>
          <w:lang w:val="es-ES" w:eastAsia="en-US"/>
        </w:rPr>
        <w:t>Toda propuesta de aumento o creación de gasto del Presupuesto de Egresos, deberá acompañarse con la correspondiente iniciativa de ingreso o compensarse con reducciones en otras previsiones de gasto.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No procederá pago alguno que no esté comprendido en el Presupuesto de Egresos, determinado por Ley posterior o con cargo a Ingresos excedentes.</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6. </w:t>
      </w:r>
      <w:r w:rsidRPr="001876E4">
        <w:rPr>
          <w:rFonts w:ascii="Arial" w:eastAsia="Calibri" w:hAnsi="Arial" w:cs="Arial"/>
          <w:sz w:val="24"/>
          <w:szCs w:val="24"/>
          <w:lang w:val="es-ES" w:eastAsia="en-US"/>
        </w:rPr>
        <w:t>La Secretaría realizará una estimación del impacto presupuestario que generen las iniciativas de Ley o Decreto que se presenten a la consideración del Congreso del Estado. Asimismo, realizará las estimaciones sobre el impacto presupuestario que se llegue a ocasionar con la celebración y suscripción de convenios o acuerdos, y con las disposiciones administrativas que propongan las Dependencias de la Administración Pública Centralizada y Entidades de la Administración Pública Paraestatal, que impliquen costos para su implementación, en los términos que marca la legislación en la materia.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Para estimar el impacto presupuestario que podría generar la aplicación de las disposiciones contenidas en la iniciativa de Ley o Decreto, es necesario que el ente público al que corresponda su ejecución, cuantifique mediante un estudio detallado y sustentado, los recursos públicos que se requerirían para ese efecto, por ser éste, el que cuenta con la información exacta para determinarlo. El estudio correspondiente a las iniciativas de Ley o Decreto, deberá ser remitido al Congreso del Estado.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costo de implementación de las disposiciones contenidas en las iniciativas de Ley o Decreto, deberá contribuir al Balance presupuestario sostenible de conformidad con lo señalado en el artículo 6 de la Ley de Disciplina Financiera.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7. </w:t>
      </w:r>
      <w:r w:rsidRPr="001876E4">
        <w:rPr>
          <w:rFonts w:ascii="Arial" w:eastAsia="Calibri" w:hAnsi="Arial" w:cs="Arial"/>
          <w:sz w:val="24"/>
          <w:szCs w:val="24"/>
          <w:lang w:val="es-ES" w:eastAsia="en-US"/>
        </w:rPr>
        <w:t xml:space="preserve">En caso de que el Congreso del Estado modifique la Ley de Ingresos del Estado de Colima para el Ejercicio Fiscal 2018  y el Presupuesto de Egresos del Estado de Colima para el Ejercicio Fiscal 2018 de tal manera que genere un Balance Presupuestario de recursos disponibles negativo, deberá motivar su decisión </w:t>
      </w:r>
      <w:r w:rsidRPr="001876E4">
        <w:rPr>
          <w:rFonts w:ascii="Arial" w:eastAsia="Calibri" w:hAnsi="Arial" w:cs="Arial"/>
          <w:sz w:val="24"/>
          <w:szCs w:val="24"/>
          <w:lang w:val="es-ES" w:eastAsia="en-US"/>
        </w:rPr>
        <w:lastRenderedPageBreak/>
        <w:t>sujetándose a lo dispuesto en el artículo 6 fracciones I y II de la Ley de Disciplina Financiera.</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w:t>
      </w:r>
      <w:r w:rsidRPr="001876E4">
        <w:rPr>
          <w:rFonts w:ascii="Arial" w:eastAsia="Calibri" w:hAnsi="Arial" w:cs="Arial"/>
          <w:sz w:val="24"/>
          <w:szCs w:val="24"/>
          <w:lang w:val="es-ES" w:eastAsia="en-US"/>
        </w:rPr>
        <w:t xml:space="preserve">. La Secretaría garantizará que toda la información presupuestaria y de ingresos cumpla con lo previsto en la </w:t>
      </w:r>
      <w:r w:rsidRPr="001876E4">
        <w:rPr>
          <w:rFonts w:ascii="Arial" w:eastAsia="Calibri" w:hAnsi="Arial" w:cs="Arial"/>
          <w:sz w:val="24"/>
          <w:szCs w:val="24"/>
          <w:lang w:eastAsia="en-US"/>
        </w:rPr>
        <w:t>Ley de Presupuesto</w:t>
      </w:r>
      <w:r w:rsidRPr="001876E4">
        <w:rPr>
          <w:rFonts w:ascii="Arial" w:eastAsia="Calibri" w:hAnsi="Arial" w:cs="Arial"/>
          <w:sz w:val="24"/>
          <w:szCs w:val="24"/>
          <w:lang w:val="es-ES" w:eastAsia="en-US"/>
        </w:rPr>
        <w:t>, en la Ley General de Contabilidad y en la Ley de Disciplina Financiera.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Todas las asignaciones presupuestarias del presente Decreto y de documentos de la materia deberán cumplir con lo dispuesto por la Ley de Transparencia y Acceso a la Información Pública del Estado de Colima.</w:t>
      </w:r>
    </w:p>
    <w:p w:rsidR="001876E4" w:rsidRPr="001876E4" w:rsidRDefault="001876E4" w:rsidP="001876E4">
      <w:pPr>
        <w:spacing w:after="0" w:line="240" w:lineRule="auto"/>
        <w:rPr>
          <w:rFonts w:ascii="Arial" w:eastAsia="Calibri" w:hAnsi="Arial" w:cs="Arial"/>
          <w:sz w:val="24"/>
          <w:szCs w:val="24"/>
          <w:lang w:val="es-ES" w:eastAsia="en-US"/>
        </w:rPr>
      </w:pPr>
    </w:p>
    <w:p w:rsidR="001876E4" w:rsidRPr="001876E4" w:rsidRDefault="001876E4" w:rsidP="001876E4">
      <w:pPr>
        <w:spacing w:after="0" w:line="240" w:lineRule="auto"/>
        <w:rPr>
          <w:rFonts w:ascii="Arial" w:eastAsia="Calibri" w:hAnsi="Arial" w:cs="Arial"/>
          <w:sz w:val="24"/>
          <w:szCs w:val="24"/>
          <w:lang w:val="es-ES" w:eastAsia="en-US"/>
        </w:rPr>
      </w:pPr>
    </w:p>
    <w:p w:rsidR="001876E4" w:rsidRPr="001876E4" w:rsidRDefault="001876E4" w:rsidP="001876E4">
      <w:pPr>
        <w:spacing w:after="0" w:line="240" w:lineRule="auto"/>
        <w:rPr>
          <w:rFonts w:ascii="Arial" w:eastAsia="Calibri" w:hAnsi="Arial" w:cs="Arial"/>
          <w:sz w:val="24"/>
          <w:szCs w:val="24"/>
          <w:lang w:val="es-ES" w:eastAsia="en-US"/>
        </w:rPr>
      </w:pPr>
    </w:p>
    <w:p w:rsidR="001876E4" w:rsidRPr="001876E4" w:rsidRDefault="001876E4" w:rsidP="001876E4">
      <w:pPr>
        <w:spacing w:after="0" w:line="240" w:lineRule="auto"/>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 xml:space="preserve">CAPÍTULO II </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DE LOS INGRESOS Y DE LAS EROGACIONES</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9</w:t>
      </w:r>
      <w:r w:rsidRPr="001876E4">
        <w:rPr>
          <w:rFonts w:ascii="Arial" w:eastAsia="Calibri" w:hAnsi="Arial" w:cs="Arial"/>
          <w:sz w:val="24"/>
          <w:szCs w:val="24"/>
          <w:lang w:val="es-ES" w:eastAsia="en-US"/>
        </w:rPr>
        <w:t xml:space="preserve">. La forma en que se integran los ingresos del Estado, de acuerdo con la </w:t>
      </w:r>
      <w:r w:rsidRPr="001876E4">
        <w:rPr>
          <w:rFonts w:ascii="Arial" w:eastAsia="Calibri" w:hAnsi="Arial" w:cs="Arial"/>
          <w:b/>
          <w:sz w:val="24"/>
          <w:szCs w:val="24"/>
          <w:lang w:val="es-ES" w:eastAsia="en-US"/>
        </w:rPr>
        <w:t>Clasificación por Fuentes de Financiamiento</w:t>
      </w:r>
      <w:r w:rsidRPr="001876E4">
        <w:rPr>
          <w:rFonts w:ascii="Arial" w:eastAsia="Calibri" w:hAnsi="Arial" w:cs="Arial"/>
          <w:sz w:val="24"/>
          <w:szCs w:val="24"/>
          <w:lang w:val="es-ES" w:eastAsia="en-US"/>
        </w:rPr>
        <w:t>, es la siguiente: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 Clasificación por Fuentes de Financiamiento</w:t>
      </w:r>
    </w:p>
    <w:tbl>
      <w:tblPr>
        <w:tblStyle w:val="Tablaconcuadrcula2"/>
        <w:tblW w:w="0" w:type="auto"/>
        <w:jc w:val="center"/>
        <w:tblLook w:val="04A0" w:firstRow="1" w:lastRow="0" w:firstColumn="1" w:lastColumn="0" w:noHBand="0" w:noVBand="1"/>
      </w:tblPr>
      <w:tblGrid>
        <w:gridCol w:w="665"/>
        <w:gridCol w:w="4433"/>
        <w:gridCol w:w="1843"/>
      </w:tblGrid>
      <w:tr w:rsidR="001876E4" w:rsidRPr="001876E4" w:rsidTr="00947D11">
        <w:trPr>
          <w:trHeight w:val="283"/>
          <w:jc w:val="center"/>
        </w:trPr>
        <w:tc>
          <w:tcPr>
            <w:tcW w:w="665" w:type="dxa"/>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No.</w:t>
            </w:r>
          </w:p>
        </w:tc>
        <w:tc>
          <w:tcPr>
            <w:tcW w:w="4433" w:type="dxa"/>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Concepto</w:t>
            </w:r>
          </w:p>
        </w:tc>
        <w:tc>
          <w:tcPr>
            <w:tcW w:w="1843" w:type="dxa"/>
            <w:vAlign w:val="center"/>
            <w:hideMark/>
          </w:tcPr>
          <w:p w:rsidR="001876E4" w:rsidRPr="001876E4" w:rsidRDefault="001876E4" w:rsidP="001876E4">
            <w:pPr>
              <w:jc w:val="right"/>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b/>
                <w:sz w:val="20"/>
              </w:rPr>
            </w:pPr>
            <w:r w:rsidRPr="001876E4">
              <w:rPr>
                <w:rFonts w:ascii="Arial" w:hAnsi="Arial" w:cs="Arial"/>
                <w:b/>
                <w:sz w:val="20"/>
              </w:rPr>
              <w:t>1</w:t>
            </w:r>
          </w:p>
        </w:tc>
        <w:tc>
          <w:tcPr>
            <w:tcW w:w="4433" w:type="dxa"/>
            <w:vAlign w:val="center"/>
          </w:tcPr>
          <w:p w:rsidR="001876E4" w:rsidRPr="001876E4" w:rsidRDefault="001876E4" w:rsidP="001876E4">
            <w:pPr>
              <w:jc w:val="both"/>
              <w:rPr>
                <w:rFonts w:ascii="Arial" w:hAnsi="Arial" w:cs="Arial"/>
                <w:b/>
                <w:sz w:val="20"/>
              </w:rPr>
            </w:pPr>
            <w:r w:rsidRPr="001876E4">
              <w:rPr>
                <w:rFonts w:ascii="Arial" w:hAnsi="Arial" w:cs="Arial"/>
                <w:b/>
                <w:sz w:val="20"/>
              </w:rPr>
              <w:t>No Etiquetado</w:t>
            </w:r>
          </w:p>
        </w:tc>
        <w:tc>
          <w:tcPr>
            <w:tcW w:w="1843" w:type="dxa"/>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7,069,661,665</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11.</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Recursos Fiscales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2,299,601,812</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12.</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Financiamientos Internos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13.</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Financiamientos Externos</w:t>
            </w:r>
          </w:p>
        </w:tc>
        <w:tc>
          <w:tcPr>
            <w:tcW w:w="1843" w:type="dxa"/>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14.</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Ingresos Propios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15.</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Recursos Federales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4,770,059,853</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16.</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Recursos Estatales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17.</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Otros Recursos de Libre Disposición</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b/>
                <w:sz w:val="20"/>
              </w:rPr>
            </w:pPr>
            <w:r w:rsidRPr="001876E4">
              <w:rPr>
                <w:rFonts w:ascii="Arial" w:hAnsi="Arial" w:cs="Arial"/>
                <w:b/>
                <w:sz w:val="20"/>
              </w:rPr>
              <w:t>2</w:t>
            </w:r>
          </w:p>
        </w:tc>
        <w:tc>
          <w:tcPr>
            <w:tcW w:w="4433" w:type="dxa"/>
            <w:vAlign w:val="center"/>
          </w:tcPr>
          <w:p w:rsidR="001876E4" w:rsidRPr="001876E4" w:rsidRDefault="001876E4" w:rsidP="001876E4">
            <w:pPr>
              <w:jc w:val="both"/>
              <w:rPr>
                <w:rFonts w:ascii="Arial" w:hAnsi="Arial" w:cs="Arial"/>
                <w:b/>
                <w:sz w:val="20"/>
              </w:rPr>
            </w:pPr>
            <w:r w:rsidRPr="001876E4">
              <w:rPr>
                <w:rFonts w:ascii="Arial" w:hAnsi="Arial" w:cs="Arial"/>
                <w:b/>
                <w:sz w:val="20"/>
              </w:rPr>
              <w:t>Etiquetado</w:t>
            </w:r>
          </w:p>
        </w:tc>
        <w:tc>
          <w:tcPr>
            <w:tcW w:w="1843" w:type="dxa"/>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9,660,709,335</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25.</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Recursos Federales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9,660,709,335</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26.</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Recursos Estatales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sz w:val="20"/>
              </w:rPr>
            </w:pPr>
            <w:r w:rsidRPr="001876E4">
              <w:rPr>
                <w:rFonts w:ascii="Arial" w:hAnsi="Arial" w:cs="Arial"/>
                <w:sz w:val="20"/>
              </w:rPr>
              <w:t>27.</w:t>
            </w:r>
          </w:p>
        </w:tc>
        <w:tc>
          <w:tcPr>
            <w:tcW w:w="4433" w:type="dxa"/>
            <w:vAlign w:val="center"/>
          </w:tcPr>
          <w:p w:rsidR="001876E4" w:rsidRPr="001876E4" w:rsidRDefault="001876E4" w:rsidP="001876E4">
            <w:pPr>
              <w:jc w:val="both"/>
              <w:rPr>
                <w:rFonts w:ascii="Arial" w:hAnsi="Arial" w:cs="Arial"/>
                <w:sz w:val="20"/>
              </w:rPr>
            </w:pPr>
            <w:r w:rsidRPr="001876E4">
              <w:rPr>
                <w:rFonts w:ascii="Arial" w:hAnsi="Arial" w:cs="Arial"/>
                <w:sz w:val="20"/>
              </w:rPr>
              <w:t>Otros Recursos de Transferencias Federales Etiquetadas</w:t>
            </w:r>
          </w:p>
        </w:tc>
        <w:tc>
          <w:tcPr>
            <w:tcW w:w="1843"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65" w:type="dxa"/>
            <w:vAlign w:val="center"/>
          </w:tcPr>
          <w:p w:rsidR="001876E4" w:rsidRPr="001876E4" w:rsidRDefault="001876E4" w:rsidP="001876E4">
            <w:pPr>
              <w:jc w:val="center"/>
              <w:rPr>
                <w:rFonts w:ascii="Arial" w:hAnsi="Arial" w:cs="Arial"/>
                <w:b/>
                <w:sz w:val="20"/>
              </w:rPr>
            </w:pPr>
          </w:p>
        </w:tc>
        <w:tc>
          <w:tcPr>
            <w:tcW w:w="4433" w:type="dxa"/>
            <w:vAlign w:val="center"/>
          </w:tcPr>
          <w:p w:rsidR="001876E4" w:rsidRPr="001876E4" w:rsidRDefault="001876E4" w:rsidP="001876E4">
            <w:pPr>
              <w:jc w:val="center"/>
              <w:rPr>
                <w:rFonts w:ascii="Arial" w:hAnsi="Arial" w:cs="Arial"/>
                <w:b/>
                <w:sz w:val="20"/>
              </w:rPr>
            </w:pPr>
            <w:r w:rsidRPr="001876E4">
              <w:rPr>
                <w:rFonts w:ascii="Arial" w:hAnsi="Arial" w:cs="Arial"/>
                <w:b/>
                <w:sz w:val="20"/>
              </w:rPr>
              <w:t>Total</w:t>
            </w:r>
          </w:p>
        </w:tc>
        <w:tc>
          <w:tcPr>
            <w:tcW w:w="1843" w:type="dxa"/>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10</w:t>
      </w:r>
      <w:r w:rsidRPr="001876E4">
        <w:rPr>
          <w:rFonts w:ascii="Arial" w:eastAsia="Calibri" w:hAnsi="Arial" w:cs="Arial"/>
          <w:sz w:val="24"/>
          <w:szCs w:val="24"/>
          <w:lang w:val="es-ES" w:eastAsia="en-US"/>
        </w:rPr>
        <w:t xml:space="preserve">. El gasto neto total previsto en el Presupuesto de Egresos del Estado de Colima para el Ejercicio Fiscal 2018, asciende a la cantidad de </w:t>
      </w:r>
      <w:r w:rsidRPr="001876E4">
        <w:rPr>
          <w:rFonts w:ascii="Arial" w:eastAsia="Calibri" w:hAnsi="Arial" w:cs="Arial"/>
          <w:sz w:val="24"/>
          <w:szCs w:val="24"/>
          <w:lang w:val="es-ES" w:eastAsia="en-US"/>
        </w:rPr>
        <w:br/>
      </w:r>
      <w:r w:rsidRPr="001876E4">
        <w:rPr>
          <w:rFonts w:ascii="Arial" w:eastAsia="Calibri" w:hAnsi="Arial" w:cs="Arial"/>
          <w:b/>
          <w:sz w:val="24"/>
          <w:szCs w:val="24"/>
          <w:lang w:val="es-ES" w:eastAsia="en-US"/>
        </w:rPr>
        <w:lastRenderedPageBreak/>
        <w:t>$</w:t>
      </w:r>
      <w:r w:rsidRPr="001876E4">
        <w:rPr>
          <w:rFonts w:ascii="Arial" w:hAnsi="Arial"/>
          <w:sz w:val="24"/>
        </w:rPr>
        <w:t xml:space="preserve"> </w:t>
      </w:r>
      <w:r w:rsidRPr="001876E4">
        <w:rPr>
          <w:rFonts w:ascii="Arial" w:eastAsia="Calibri" w:hAnsi="Arial" w:cs="Arial"/>
          <w:b/>
          <w:sz w:val="24"/>
          <w:szCs w:val="24"/>
          <w:lang w:val="es-ES" w:eastAsia="en-US"/>
        </w:rPr>
        <w:t xml:space="preserve">16,730,371,000 </w:t>
      </w:r>
      <w:r w:rsidRPr="001876E4">
        <w:rPr>
          <w:rFonts w:ascii="Arial" w:eastAsia="Calibri" w:hAnsi="Arial" w:cs="Arial"/>
          <w:sz w:val="24"/>
          <w:szCs w:val="24"/>
          <w:lang w:val="es-ES" w:eastAsia="en-US"/>
        </w:rPr>
        <w:t xml:space="preserve">(Dieciséis Mil Setecientos Treinta Millones Trescientos Setenta y Un Mil Pesos 00/100 M.N.) y corresponde al total de los ingresos aprobados en la </w:t>
      </w:r>
      <w:r w:rsidRPr="001876E4">
        <w:rPr>
          <w:rFonts w:ascii="Arial" w:eastAsia="Calibri" w:hAnsi="Arial" w:cs="Arial"/>
          <w:b/>
          <w:sz w:val="24"/>
          <w:szCs w:val="24"/>
          <w:lang w:val="es-ES" w:eastAsia="en-US"/>
        </w:rPr>
        <w:t>Ley de Ingresos del Estado de Colima para el Ejercicio Fiscal 2018</w:t>
      </w:r>
      <w:r w:rsidRPr="001876E4">
        <w:rPr>
          <w:rFonts w:ascii="Arial" w:eastAsia="Calibri" w:hAnsi="Arial" w:cs="Arial"/>
          <w:sz w:val="24"/>
          <w:szCs w:val="24"/>
          <w:lang w:val="es-ES" w:eastAsia="en-US"/>
        </w:rPr>
        <w:t>; su asignación se hará de acuerdo a lo estipulado en el presente capítulo.</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11</w:t>
      </w:r>
      <w:r w:rsidRPr="001876E4">
        <w:rPr>
          <w:rFonts w:ascii="Arial" w:eastAsia="Calibri" w:hAnsi="Arial" w:cs="Arial"/>
          <w:sz w:val="24"/>
          <w:szCs w:val="24"/>
          <w:lang w:val="es-ES" w:eastAsia="en-US"/>
        </w:rPr>
        <w:t xml:space="preserve">. De acuerdo con la </w:t>
      </w:r>
      <w:r w:rsidRPr="001876E4">
        <w:rPr>
          <w:rFonts w:ascii="Arial" w:eastAsia="Calibri" w:hAnsi="Arial" w:cs="Arial"/>
          <w:b/>
          <w:sz w:val="24"/>
          <w:szCs w:val="24"/>
          <w:lang w:val="es-ES" w:eastAsia="en-US"/>
        </w:rPr>
        <w:t>Clasificación por Tipo de Gasto</w:t>
      </w:r>
      <w:r w:rsidRPr="001876E4">
        <w:rPr>
          <w:rFonts w:ascii="Arial" w:eastAsia="Calibri" w:hAnsi="Arial" w:cs="Arial"/>
          <w:sz w:val="24"/>
          <w:szCs w:val="24"/>
          <w:lang w:val="es-ES" w:eastAsia="en-US"/>
        </w:rPr>
        <w:t>, el Presupuesto de Egresos del Estado de Colima para el Ejercicio Fiscal 2018 se distribuye de la siguiente forma: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 Clasificación por Tipo de Gasto</w:t>
      </w:r>
    </w:p>
    <w:tbl>
      <w:tblPr>
        <w:tblStyle w:val="Tablaconcuadrcula2"/>
        <w:tblW w:w="0" w:type="auto"/>
        <w:tblInd w:w="562" w:type="dxa"/>
        <w:tblLook w:val="04A0" w:firstRow="1" w:lastRow="0" w:firstColumn="1" w:lastColumn="0" w:noHBand="0" w:noVBand="1"/>
      </w:tblPr>
      <w:tblGrid>
        <w:gridCol w:w="559"/>
        <w:gridCol w:w="5224"/>
        <w:gridCol w:w="1730"/>
      </w:tblGrid>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No.</w:t>
            </w: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Categorías</w:t>
            </w:r>
          </w:p>
        </w:tc>
        <w:tc>
          <w:tcPr>
            <w:tcW w:w="173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bCs/>
                <w:sz w:val="20"/>
                <w:szCs w:val="20"/>
              </w:rPr>
              <w:t>Asignación Presupuestal</w:t>
            </w:r>
          </w:p>
        </w:tc>
      </w:tr>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w:t>
            </w: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Gasto Corriente</w:t>
            </w:r>
          </w:p>
        </w:tc>
        <w:tc>
          <w:tcPr>
            <w:tcW w:w="173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13,121,387,642</w:t>
            </w:r>
          </w:p>
        </w:tc>
      </w:tr>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w:t>
            </w: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Gasto de Capital</w:t>
            </w:r>
          </w:p>
        </w:tc>
        <w:tc>
          <w:tcPr>
            <w:tcW w:w="173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382,495,382</w:t>
            </w:r>
          </w:p>
        </w:tc>
      </w:tr>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w:t>
            </w: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Amortización de la Deuda y Disminución de Pasivos</w:t>
            </w:r>
          </w:p>
        </w:tc>
        <w:tc>
          <w:tcPr>
            <w:tcW w:w="173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451,079,562</w:t>
            </w:r>
          </w:p>
        </w:tc>
      </w:tr>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w:t>
            </w: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Pensiones y Jubilaciones</w:t>
            </w:r>
          </w:p>
        </w:tc>
        <w:tc>
          <w:tcPr>
            <w:tcW w:w="173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755,335,364</w:t>
            </w:r>
          </w:p>
        </w:tc>
      </w:tr>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w:t>
            </w: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Participaciones</w:t>
            </w:r>
          </w:p>
        </w:tc>
        <w:tc>
          <w:tcPr>
            <w:tcW w:w="173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2,020,073,050</w:t>
            </w:r>
          </w:p>
        </w:tc>
      </w:tr>
      <w:tr w:rsidR="001876E4" w:rsidRPr="001876E4" w:rsidTr="00947D11">
        <w:trPr>
          <w:trHeight w:val="283"/>
        </w:trPr>
        <w:tc>
          <w:tcPr>
            <w:tcW w:w="559"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rPr>
                <w:rFonts w:ascii="Arial" w:hAnsi="Arial" w:cs="Arial"/>
                <w:b/>
                <w:sz w:val="20"/>
                <w:szCs w:val="20"/>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Total</w:t>
            </w:r>
          </w:p>
        </w:tc>
        <w:tc>
          <w:tcPr>
            <w:tcW w:w="173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12</w:t>
      </w:r>
      <w:r w:rsidRPr="001876E4">
        <w:rPr>
          <w:rFonts w:ascii="Arial" w:eastAsia="Calibri" w:hAnsi="Arial" w:cs="Arial"/>
          <w:sz w:val="24"/>
          <w:szCs w:val="24"/>
          <w:lang w:val="es-ES" w:eastAsia="en-US"/>
        </w:rPr>
        <w:t xml:space="preserve">. De acuerdo con la </w:t>
      </w:r>
      <w:r w:rsidRPr="001876E4">
        <w:rPr>
          <w:rFonts w:ascii="Arial" w:eastAsia="Calibri" w:hAnsi="Arial" w:cs="Arial"/>
          <w:b/>
          <w:sz w:val="24"/>
          <w:szCs w:val="24"/>
          <w:lang w:val="es-ES" w:eastAsia="en-US"/>
        </w:rPr>
        <w:t>Clasificación por Objeto del Gasto</w:t>
      </w:r>
      <w:r w:rsidRPr="001876E4">
        <w:rPr>
          <w:rFonts w:ascii="Arial" w:eastAsia="Calibri" w:hAnsi="Arial" w:cs="Arial"/>
          <w:sz w:val="24"/>
          <w:szCs w:val="24"/>
          <w:lang w:val="es-ES" w:eastAsia="en-US"/>
        </w:rPr>
        <w:t xml:space="preserve">, el Presupuesto de Egresos del Estado de Colima para el Ejercicio Fiscal 2018 se distribuye de la siguiente forma: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3. Clasificación por Objeto del Gasto </w:t>
      </w:r>
      <w:r w:rsidRPr="001876E4">
        <w:rPr>
          <w:rFonts w:ascii="Arial" w:eastAsia="Times New Roman" w:hAnsi="Arial" w:cs="Times New Roman"/>
          <w:b/>
          <w:szCs w:val="26"/>
          <w:lang w:val="es-ES" w:eastAsia="en-US"/>
        </w:rPr>
        <w:br/>
        <w:t>(Capítulo)</w:t>
      </w:r>
    </w:p>
    <w:tbl>
      <w:tblPr>
        <w:tblStyle w:val="Tablaconcuadrcula2"/>
        <w:tblW w:w="0" w:type="auto"/>
        <w:jc w:val="center"/>
        <w:tblLook w:val="04A0" w:firstRow="1" w:lastRow="0" w:firstColumn="1" w:lastColumn="0" w:noHBand="0" w:noVBand="1"/>
      </w:tblPr>
      <w:tblGrid>
        <w:gridCol w:w="1016"/>
        <w:gridCol w:w="5497"/>
        <w:gridCol w:w="1607"/>
      </w:tblGrid>
      <w:tr w:rsidR="001876E4" w:rsidRPr="001876E4" w:rsidTr="00947D11">
        <w:trPr>
          <w:trHeight w:val="270"/>
          <w:jc w:val="center"/>
        </w:trPr>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jc w:val="center"/>
              <w:rPr>
                <w:rFonts w:ascii="Arial" w:hAnsi="Arial" w:cs="Arial"/>
                <w:b/>
                <w:sz w:val="20"/>
              </w:rPr>
            </w:pPr>
            <w:r w:rsidRPr="001876E4">
              <w:rPr>
                <w:rFonts w:ascii="Arial" w:hAnsi="Arial" w:cs="Arial"/>
                <w:b/>
                <w:sz w:val="20"/>
              </w:rPr>
              <w:t>Capítulo</w:t>
            </w:r>
          </w:p>
        </w:tc>
        <w:tc>
          <w:tcPr>
            <w:tcW w:w="5497"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jc w:val="center"/>
              <w:rPr>
                <w:rFonts w:ascii="Arial" w:hAnsi="Arial" w:cs="Arial"/>
                <w:b/>
                <w:sz w:val="20"/>
              </w:rPr>
            </w:pPr>
            <w:r w:rsidRPr="001876E4">
              <w:rPr>
                <w:rFonts w:ascii="Arial" w:hAnsi="Arial" w:cs="Arial"/>
                <w:b/>
                <w:sz w:val="20"/>
              </w:rPr>
              <w:t>Concepto</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jc w:val="center"/>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rPr>
                <w:rFonts w:ascii="Arial" w:hAnsi="Arial" w:cs="Arial"/>
                <w:b/>
                <w:sz w:val="20"/>
              </w:rPr>
            </w:pPr>
          </w:p>
        </w:tc>
        <w:tc>
          <w:tcPr>
            <w:tcW w:w="5497"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rPr>
                <w:rFonts w:ascii="Arial" w:hAnsi="Arial" w:cs="Arial"/>
                <w:b/>
                <w:sz w:val="20"/>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jc w:val="right"/>
              <w:rPr>
                <w:rFonts w:ascii="Arial" w:hAnsi="Arial" w:cs="Arial"/>
                <w:b/>
                <w:sz w:val="20"/>
                <w:szCs w:val="20"/>
              </w:rPr>
            </w:pP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10000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Servicios Personales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2,213,544,864</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20000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Materiales y Suministros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212,336,957</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30000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Servicios Generales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489,211,565</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40000</w:t>
            </w:r>
          </w:p>
        </w:tc>
        <w:tc>
          <w:tcPr>
            <w:tcW w:w="5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Transferencias, Asignaciones, Subsidios y Otras Ayudas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10,961,629,620</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50000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Bienes Muebles, Inmuebles e Intangibles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71,568,382</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60000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Inversión Pública</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284,127,000</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70000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Inversiones Financieras y Otras Provisiones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26,800,000</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80000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Participaciones y Aportaciones</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2,020,073,050</w:t>
            </w:r>
          </w:p>
        </w:tc>
      </w:tr>
      <w:tr w:rsidR="001876E4" w:rsidRPr="001876E4" w:rsidTr="00947D11">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sz w:val="20"/>
              </w:rPr>
            </w:pPr>
            <w:r w:rsidRPr="001876E4">
              <w:rPr>
                <w:rFonts w:ascii="Arial" w:hAnsi="Arial" w:cs="Arial"/>
                <w:sz w:val="20"/>
              </w:rPr>
              <w:t>90000</w:t>
            </w: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r w:rsidRPr="001876E4">
              <w:rPr>
                <w:rFonts w:ascii="Arial" w:hAnsi="Arial" w:cs="Arial"/>
                <w:sz w:val="20"/>
              </w:rPr>
              <w:t>Deuda Pública</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color w:val="000000"/>
                <w:sz w:val="20"/>
                <w:szCs w:val="20"/>
              </w:rPr>
            </w:pPr>
            <w:r w:rsidRPr="001876E4">
              <w:rPr>
                <w:rFonts w:ascii="Arial" w:hAnsi="Arial" w:cs="Arial"/>
                <w:color w:val="000000"/>
                <w:sz w:val="20"/>
                <w:szCs w:val="20"/>
              </w:rPr>
              <w:t>451,079,562</w:t>
            </w:r>
          </w:p>
        </w:tc>
      </w:tr>
      <w:tr w:rsidR="001876E4" w:rsidRPr="001876E4" w:rsidTr="00947D11">
        <w:trPr>
          <w:trHeight w:val="216"/>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both"/>
              <w:rPr>
                <w:rFonts w:ascii="Arial" w:hAnsi="Arial" w:cs="Arial"/>
                <w:sz w:val="20"/>
              </w:rPr>
            </w:pPr>
          </w:p>
        </w:tc>
        <w:tc>
          <w:tcPr>
            <w:tcW w:w="549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before="40" w:after="40"/>
              <w:jc w:val="center"/>
              <w:rPr>
                <w:rFonts w:ascii="Arial" w:hAnsi="Arial" w:cs="Arial"/>
                <w:b/>
                <w:bCs/>
                <w:sz w:val="20"/>
              </w:rPr>
            </w:pPr>
            <w:r w:rsidRPr="001876E4">
              <w:rPr>
                <w:rFonts w:ascii="Arial" w:hAnsi="Arial" w:cs="Arial"/>
                <w:b/>
                <w:bCs/>
                <w:sz w:val="20"/>
              </w:rPr>
              <w:t>Total</w:t>
            </w:r>
          </w:p>
        </w:tc>
        <w:tc>
          <w:tcPr>
            <w:tcW w:w="14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before="40" w:after="40"/>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lastRenderedPageBreak/>
        <w:t xml:space="preserve">En el </w:t>
      </w:r>
      <w:r w:rsidRPr="001876E4">
        <w:rPr>
          <w:rFonts w:ascii="Arial" w:eastAsia="Calibri" w:hAnsi="Arial" w:cs="Arial"/>
          <w:b/>
          <w:sz w:val="24"/>
          <w:szCs w:val="24"/>
          <w:lang w:val="es-ES" w:eastAsia="en-US"/>
        </w:rPr>
        <w:t>Anexo 1</w:t>
      </w:r>
      <w:r w:rsidRPr="001876E4">
        <w:rPr>
          <w:rFonts w:ascii="Arial" w:eastAsia="Calibri" w:hAnsi="Arial" w:cs="Arial"/>
          <w:sz w:val="24"/>
          <w:szCs w:val="24"/>
          <w:lang w:val="es-ES" w:eastAsia="en-US"/>
        </w:rPr>
        <w:t xml:space="preserve"> del presente Decreto, se presenta la </w:t>
      </w:r>
      <w:r w:rsidRPr="001876E4">
        <w:rPr>
          <w:rFonts w:ascii="Arial" w:eastAsia="Calibri" w:hAnsi="Arial" w:cs="Arial"/>
          <w:b/>
          <w:sz w:val="24"/>
          <w:szCs w:val="24"/>
          <w:lang w:val="es-ES" w:eastAsia="en-US"/>
        </w:rPr>
        <w:t>Clasificación por Objeto del Gasto</w:t>
      </w:r>
      <w:r w:rsidRPr="001876E4">
        <w:rPr>
          <w:rFonts w:ascii="Arial" w:eastAsia="Calibri" w:hAnsi="Arial" w:cs="Arial"/>
          <w:sz w:val="24"/>
          <w:szCs w:val="24"/>
          <w:lang w:val="es-ES" w:eastAsia="en-US"/>
        </w:rPr>
        <w:t xml:space="preserve"> a nivel de Capítulo, Concepto, Partida Genérica y Partida Específica; además, se incluye el desglose de: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Anexo 1.1</w:t>
      </w:r>
      <w:r w:rsidRPr="001876E4">
        <w:rPr>
          <w:rFonts w:ascii="Arial" w:eastAsia="Calibri" w:hAnsi="Arial" w:cs="Arial"/>
          <w:sz w:val="24"/>
          <w:szCs w:val="24"/>
          <w:lang w:val="es-ES" w:eastAsia="en-US"/>
        </w:rPr>
        <w:t xml:space="preserve"> Gastos en Comunicación Social (Capítulo, Concepto, Partida Genérica y Partida Específica); </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1.2 </w:t>
      </w:r>
      <w:r w:rsidRPr="001876E4">
        <w:rPr>
          <w:rFonts w:ascii="Arial" w:eastAsia="Calibri" w:hAnsi="Arial" w:cs="Arial"/>
          <w:sz w:val="24"/>
          <w:szCs w:val="24"/>
          <w:lang w:val="es-ES" w:eastAsia="en-US"/>
        </w:rPr>
        <w:t>Gastos en Comunicación Social (Clasificación Administrativa y Clasificación por Objeto del Gasto);;</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Anexo 1.3</w:t>
      </w:r>
      <w:r w:rsidRPr="001876E4">
        <w:rPr>
          <w:rFonts w:ascii="Arial" w:eastAsia="Calibri" w:hAnsi="Arial" w:cs="Arial"/>
          <w:sz w:val="24"/>
          <w:szCs w:val="24"/>
          <w:lang w:val="es-ES" w:eastAsia="en-US"/>
        </w:rPr>
        <w:t xml:space="preserve"> Subsidios y Subvenciones; y </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Anexo 1.4</w:t>
      </w:r>
      <w:r w:rsidRPr="001876E4">
        <w:rPr>
          <w:rFonts w:ascii="Arial" w:eastAsia="Calibri" w:hAnsi="Arial" w:cs="Arial"/>
          <w:sz w:val="24"/>
          <w:szCs w:val="24"/>
          <w:lang w:val="es-ES" w:eastAsia="en-US"/>
        </w:rPr>
        <w:t xml:space="preserve"> Ayudas Sociales.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13</w:t>
      </w:r>
      <w:r w:rsidRPr="001876E4">
        <w:rPr>
          <w:rFonts w:ascii="Arial" w:eastAsia="Calibri" w:hAnsi="Arial" w:cs="Arial"/>
          <w:sz w:val="24"/>
          <w:szCs w:val="24"/>
          <w:lang w:val="es-ES" w:eastAsia="en-US"/>
        </w:rPr>
        <w:t>.</w:t>
      </w:r>
      <w:r w:rsidRPr="001876E4">
        <w:rPr>
          <w:rFonts w:ascii="Arial" w:eastAsia="Calibri" w:hAnsi="Arial" w:cs="Arial"/>
          <w:color w:val="FF0000"/>
          <w:sz w:val="24"/>
          <w:szCs w:val="24"/>
          <w:lang w:val="es-ES" w:eastAsia="en-US"/>
        </w:rPr>
        <w:t xml:space="preserve"> </w:t>
      </w:r>
      <w:r w:rsidRPr="001876E4">
        <w:rPr>
          <w:rFonts w:ascii="Arial" w:eastAsia="Calibri" w:hAnsi="Arial" w:cs="Arial"/>
          <w:sz w:val="24"/>
          <w:szCs w:val="24"/>
          <w:lang w:val="es-ES" w:eastAsia="en-US"/>
        </w:rPr>
        <w:t xml:space="preserve">De acuerdo con la </w:t>
      </w:r>
      <w:r w:rsidRPr="001876E4">
        <w:rPr>
          <w:rFonts w:ascii="Arial" w:eastAsia="Calibri" w:hAnsi="Arial" w:cs="Arial"/>
          <w:b/>
          <w:sz w:val="24"/>
          <w:szCs w:val="24"/>
          <w:lang w:val="es-ES" w:eastAsia="en-US"/>
        </w:rPr>
        <w:t>Clasificación Económica de los Ingresos, de los Gastos y del Financiamiento</w:t>
      </w:r>
      <w:r w:rsidRPr="001876E4">
        <w:rPr>
          <w:rFonts w:ascii="Arial" w:eastAsia="Calibri" w:hAnsi="Arial" w:cs="Arial"/>
          <w:sz w:val="24"/>
          <w:szCs w:val="24"/>
          <w:lang w:val="es-ES" w:eastAsia="en-US"/>
        </w:rPr>
        <w:t>, el Presupuesto de Egresos del Estado de Colima para el Ejercicio Fiscal 2018 se distribuye de la siguiente forma: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 w:val="20"/>
          <w:szCs w:val="26"/>
          <w:lang w:val="es-ES" w:eastAsia="en-US"/>
        </w:rPr>
      </w:pPr>
      <w:r w:rsidRPr="001876E4">
        <w:rPr>
          <w:rFonts w:ascii="Arial" w:eastAsia="Times New Roman" w:hAnsi="Arial" w:cs="Times New Roman"/>
          <w:b/>
          <w:sz w:val="20"/>
          <w:szCs w:val="26"/>
          <w:lang w:val="es-ES" w:eastAsia="en-US"/>
        </w:rPr>
        <w:t xml:space="preserve">Tabla 4. Clasificación Económica de los Ingresos, de los Gastos y del Financiamiento </w:t>
      </w:r>
    </w:p>
    <w:tbl>
      <w:tblPr>
        <w:tblW w:w="8271" w:type="dxa"/>
        <w:jc w:val="center"/>
        <w:tblCellMar>
          <w:left w:w="70" w:type="dxa"/>
          <w:right w:w="70" w:type="dxa"/>
        </w:tblCellMar>
        <w:tblLook w:val="04A0" w:firstRow="1" w:lastRow="0" w:firstColumn="1" w:lastColumn="0" w:noHBand="0" w:noVBand="1"/>
      </w:tblPr>
      <w:tblGrid>
        <w:gridCol w:w="846"/>
        <w:gridCol w:w="5894"/>
        <w:gridCol w:w="1531"/>
      </w:tblGrid>
      <w:tr w:rsidR="001876E4" w:rsidRPr="001876E4" w:rsidTr="00947D11">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No.</w:t>
            </w:r>
          </w:p>
        </w:tc>
        <w:tc>
          <w:tcPr>
            <w:tcW w:w="5894"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Concepto</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sz w:val="20"/>
                <w:szCs w:val="20"/>
              </w:rPr>
            </w:pPr>
            <w:r w:rsidRPr="001876E4">
              <w:rPr>
                <w:rFonts w:ascii="Arial" w:eastAsia="Times New Roman" w:hAnsi="Arial" w:cs="Arial"/>
                <w:b/>
                <w:bCs/>
                <w:sz w:val="20"/>
                <w:szCs w:val="20"/>
              </w:rPr>
              <w:t>Asignación Presupuestal</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INGRESOS</w:t>
            </w:r>
          </w:p>
        </w:tc>
        <w:tc>
          <w:tcPr>
            <w:tcW w:w="1531"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INGRESOS CORRIENTES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6,502,876,878</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Impuestos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758,896,514</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Contribuciones a la Seguridad Social</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Contribuciones de Mejoras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1.1.4</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Derechos, Productos y Aprovechamientos Corrientes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479,894,423</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1.1.5</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Rentas de la Propiedad</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621"/>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1.1.6</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Venta de Bienes y Servicios de Entidades del Gobierno Federal/ Ingresos de Explotación de Entidades Empresariales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1.1.7</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Subsidios y Subvenciones Recibidos por las Entidades Empresariales Públicas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4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1.1.8</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Asignaciones y Donativos Corrientes Recibidos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1.1.9</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Participaciones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5,264,085,941</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INGRESOS DE CAPITAL</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10,227,494,122</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1.2.1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Venta (Disposición) de Activos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1,066,979</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1.2.1.1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Venta de Activos Fijos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1.2.1.2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Venta de Objetos de Valor</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1.2.1.3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Venta de Activos No Producidos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1.2.2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Disminución de Existencias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1.2.3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Incremento de la depreciación, amortización, estimaciones y provisiones acumuladas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44"/>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 xml:space="preserve">1.2.4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asignaciones y donativos de capital recibidos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10,226,427,143</w:t>
            </w:r>
          </w:p>
        </w:tc>
      </w:tr>
      <w:tr w:rsidR="001876E4" w:rsidRPr="001876E4" w:rsidTr="00947D11">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1.2.5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Recuperación de inversiones financieras realizadas con fines de política</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 DE INGRESOS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16,730,371,000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GASTOS</w:t>
            </w:r>
          </w:p>
        </w:tc>
        <w:tc>
          <w:tcPr>
            <w:tcW w:w="1531"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GASTOS CORRIENTES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16,210,765,619</w:t>
            </w:r>
          </w:p>
        </w:tc>
      </w:tr>
      <w:tr w:rsidR="001876E4" w:rsidRPr="001876E4" w:rsidTr="00947D11">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sz w:val="20"/>
                <w:szCs w:val="20"/>
              </w:rPr>
            </w:pPr>
            <w:r w:rsidRPr="001876E4">
              <w:rPr>
                <w:rFonts w:ascii="Arial" w:eastAsia="Times New Roman" w:hAnsi="Arial" w:cs="Arial"/>
                <w:sz w:val="20"/>
                <w:szCs w:val="20"/>
              </w:rPr>
              <w:t>2.1.1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Gastos de consumo de los entes del Gobierno General/ Gastos de Explotación de las entidades empresariales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2,854,180,172</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2.1.1.1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Remuneraciones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2,200,658,611</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2.1.1.2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Compra de bienes y servicios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653,521,561</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2.1.1.3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Variación de Existencias (Disminución (+) Incremento (-))</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2.1.1.4</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Depreciación y amortización (Consumo de Capital Fijo)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2.1.1.5</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Estimaciones por Deterioro de Inventarios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48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2.1.1.6</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Impuestos sobre los productos, la producción y las importaciones de las entidades empresariales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Prestaciones de la Seguridad Social</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755,335,364</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Gastos de la propiedad</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295,192,563</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2.1.3.1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Intereses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292,042,563</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2.1.3.2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Gastos de la Propiedad Distintos de Intereses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3,150,000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2.1.4</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Subsidios y Subvenciones a Empresas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42,000,000</w:t>
            </w:r>
          </w:p>
        </w:tc>
      </w:tr>
      <w:tr w:rsidR="001876E4" w:rsidRPr="001876E4" w:rsidTr="00947D11">
        <w:trPr>
          <w:trHeight w:val="405"/>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2.1.5</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asignaciones y donativos corrientes otorgados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10,164,294,256</w:t>
            </w:r>
          </w:p>
        </w:tc>
      </w:tr>
      <w:tr w:rsidR="001876E4" w:rsidRPr="001876E4" w:rsidTr="00947D11">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2.1.6</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Impuestos sobre los ingresos, la riqueza y otros a las entidades empresariales públicas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2.1.7</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Participaciones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2,020,073,050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2.1.8</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Provisiones y Otras Estimaciones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79,690,214</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GASTOS DE CAPITAL</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363,718,382</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2.2.1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Construcciones en Proceso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284,127,000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2.2.2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Activos Fijos (Formación bruta de capital fijo)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71,568,382</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2.2.3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Incremento de existencias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8,023,000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2.2.4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Objetos de valor</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2.2.5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Activos no producidos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84"/>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2.2.6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asignaciones y donativos de capital otorgados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2.2.7</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Inversiones financieras realizadas con fines de política económica</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 DEL GASTO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16,574,484,001</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FINANCIAMIENTO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3.1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FUENTES FINANCIERAS</w:t>
            </w:r>
          </w:p>
        </w:tc>
        <w:tc>
          <w:tcPr>
            <w:tcW w:w="1531" w:type="dxa"/>
            <w:tcBorders>
              <w:top w:val="nil"/>
              <w:left w:val="nil"/>
              <w:bottom w:val="single" w:sz="4" w:space="0" w:color="auto"/>
              <w:right w:val="single" w:sz="4" w:space="0" w:color="auto"/>
            </w:tcBorders>
            <w:shd w:val="clear" w:color="auto" w:fill="auto"/>
            <w:noWrap/>
            <w:vAlign w:val="bottom"/>
          </w:tcPr>
          <w:p w:rsidR="001876E4" w:rsidRPr="001876E4" w:rsidRDefault="001876E4" w:rsidP="001876E4">
            <w:pPr>
              <w:spacing w:after="0" w:line="240" w:lineRule="auto"/>
              <w:jc w:val="right"/>
              <w:rPr>
                <w:rFonts w:ascii="Calibri" w:hAnsi="Calibri" w:cs="Calibri"/>
                <w:b/>
                <w:sz w:val="24"/>
              </w:rPr>
            </w:pPr>
            <w:r w:rsidRPr="001876E4">
              <w:rPr>
                <w:rFonts w:ascii="Calibri" w:hAnsi="Calibri" w:cs="Calibri"/>
                <w:sz w:val="24"/>
              </w:rPr>
              <w:t> </w:t>
            </w:r>
            <w:r w:rsidRPr="001876E4">
              <w:rPr>
                <w:rFonts w:ascii="Calibri" w:hAnsi="Calibri" w:cs="Calibri"/>
                <w:b/>
                <w:sz w:val="24"/>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3.1.1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Disminución de activos financieros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3.1.2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Incremento de pasivos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3.1.3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Incremento del patrimonio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 FUENTES FINANCIERAS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3.2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APLICACIONES FINANCIERAS (USOS)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18"/>
                <w:szCs w:val="18"/>
              </w:rPr>
              <w:t>155,886,999</w:t>
            </w:r>
            <w:r w:rsidRPr="001876E4">
              <w:rPr>
                <w:rFonts w:ascii="Arial" w:hAnsi="Arial" w:cs="Arial"/>
                <w:b/>
                <w:sz w:val="20"/>
                <w:szCs w:val="20"/>
              </w:rPr>
              <w:t> </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3.2.1</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Incremento de activos financieros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3.2.2</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Disminución de pasivos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155,886,999</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3.2.3</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Disminución de Patrimonio</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sz w:val="18"/>
                <w:szCs w:val="18"/>
              </w:rPr>
            </w:pPr>
            <w:r w:rsidRPr="001876E4">
              <w:rPr>
                <w:rFonts w:ascii="Arial" w:hAnsi="Arial" w:cs="Arial"/>
                <w:sz w:val="18"/>
                <w:szCs w:val="18"/>
              </w:rPr>
              <w:t>0</w:t>
            </w:r>
          </w:p>
        </w:tc>
      </w:tr>
      <w:tr w:rsidR="001876E4" w:rsidRPr="001876E4" w:rsidTr="00947D11">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w:t>
            </w:r>
          </w:p>
        </w:tc>
        <w:tc>
          <w:tcPr>
            <w:tcW w:w="589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ind w:firstLineChars="700" w:firstLine="1405"/>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 APLICACIONES FINANCIERAS</w:t>
            </w:r>
          </w:p>
        </w:tc>
        <w:tc>
          <w:tcPr>
            <w:tcW w:w="1531"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sz w:val="20"/>
                <w:szCs w:val="20"/>
              </w:rPr>
            </w:pPr>
            <w:r w:rsidRPr="001876E4">
              <w:rPr>
                <w:rFonts w:ascii="Arial" w:hAnsi="Arial" w:cs="Arial"/>
                <w:b/>
                <w:bCs/>
                <w:sz w:val="20"/>
                <w:szCs w:val="20"/>
              </w:rPr>
              <w:t>155,886,999</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14</w:t>
      </w:r>
      <w:r w:rsidRPr="001876E4">
        <w:rPr>
          <w:rFonts w:ascii="Arial" w:eastAsia="Calibri" w:hAnsi="Arial" w:cs="Arial"/>
          <w:sz w:val="24"/>
          <w:szCs w:val="24"/>
          <w:lang w:val="es-ES" w:eastAsia="en-US"/>
        </w:rPr>
        <w:t>.</w:t>
      </w:r>
      <w:r w:rsidRPr="001876E4">
        <w:rPr>
          <w:rFonts w:ascii="Arial" w:eastAsia="Calibri" w:hAnsi="Arial" w:cs="Arial"/>
          <w:color w:val="FF0000"/>
          <w:sz w:val="24"/>
          <w:szCs w:val="24"/>
          <w:lang w:val="es-ES" w:eastAsia="en-US"/>
        </w:rPr>
        <w:t xml:space="preserve"> </w:t>
      </w:r>
      <w:r w:rsidRPr="001876E4">
        <w:rPr>
          <w:rFonts w:ascii="Arial" w:eastAsia="Calibri" w:hAnsi="Arial" w:cs="Arial"/>
          <w:sz w:val="24"/>
          <w:szCs w:val="24"/>
          <w:lang w:val="es-ES" w:eastAsia="en-US"/>
        </w:rPr>
        <w:t xml:space="preserve">Las asignaciones previstas para los </w:t>
      </w:r>
      <w:r w:rsidRPr="001876E4">
        <w:rPr>
          <w:rFonts w:ascii="Arial" w:eastAsia="Calibri" w:hAnsi="Arial" w:cs="Arial"/>
          <w:b/>
          <w:sz w:val="24"/>
          <w:szCs w:val="24"/>
          <w:lang w:val="es-ES" w:eastAsia="en-US"/>
        </w:rPr>
        <w:t>Órganos Estatales Autónomos</w:t>
      </w:r>
      <w:r w:rsidRPr="001876E4">
        <w:rPr>
          <w:rFonts w:ascii="Arial" w:eastAsia="Calibri" w:hAnsi="Arial" w:cs="Arial"/>
          <w:sz w:val="24"/>
          <w:szCs w:val="24"/>
          <w:lang w:val="es-ES" w:eastAsia="en-US"/>
        </w:rPr>
        <w:t xml:space="preserve"> para el Ejercicio Fiscal 2018, importan la cantidad de</w:t>
      </w:r>
      <w:r w:rsidRPr="001876E4">
        <w:rPr>
          <w:rFonts w:ascii="Arial" w:eastAsia="Calibri" w:hAnsi="Arial" w:cs="Arial"/>
          <w:b/>
          <w:sz w:val="24"/>
          <w:szCs w:val="24"/>
          <w:lang w:val="es-ES" w:eastAsia="en-US"/>
        </w:rPr>
        <w:t xml:space="preserve"> $450,321,095</w:t>
      </w:r>
      <w:r w:rsidRPr="001876E4">
        <w:rPr>
          <w:rFonts w:ascii="Arial" w:eastAsia="Calibri" w:hAnsi="Arial" w:cs="Arial"/>
          <w:sz w:val="24"/>
          <w:szCs w:val="24"/>
          <w:lang w:val="es-ES" w:eastAsia="en-US"/>
        </w:rPr>
        <w:t>, y se distribuye de la siguiente manera a nivel Partida:</w:t>
      </w: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bookmarkStart w:id="2" w:name="_MON_1383569606"/>
      <w:bookmarkStart w:id="3" w:name="_MON_1381441842"/>
      <w:bookmarkStart w:id="4" w:name="_MON_1381441854"/>
      <w:bookmarkStart w:id="5" w:name="_MON_1381441860"/>
      <w:bookmarkStart w:id="6" w:name="_MON_1381441868"/>
      <w:bookmarkStart w:id="7" w:name="_MON_1381441887"/>
      <w:bookmarkEnd w:id="2"/>
      <w:bookmarkEnd w:id="3"/>
      <w:bookmarkEnd w:id="4"/>
      <w:bookmarkEnd w:id="5"/>
      <w:bookmarkEnd w:id="6"/>
      <w:bookmarkEnd w:id="7"/>
      <w:r w:rsidRPr="001876E4">
        <w:rPr>
          <w:rFonts w:ascii="Arial" w:eastAsia="Times New Roman" w:hAnsi="Arial" w:cs="Times New Roman"/>
          <w:b/>
          <w:szCs w:val="26"/>
          <w:lang w:val="es-ES" w:eastAsia="en-US"/>
        </w:rPr>
        <w:t>Tabla 5. Órganos Estatales Autónomos</w:t>
      </w:r>
    </w:p>
    <w:tbl>
      <w:tblPr>
        <w:tblStyle w:val="Tablaconcuadrcula2"/>
        <w:tblW w:w="0" w:type="auto"/>
        <w:tblInd w:w="279" w:type="dxa"/>
        <w:tblLayout w:type="fixed"/>
        <w:tblLook w:val="04A0" w:firstRow="1" w:lastRow="0" w:firstColumn="1" w:lastColumn="0" w:noHBand="0" w:noVBand="1"/>
      </w:tblPr>
      <w:tblGrid>
        <w:gridCol w:w="992"/>
        <w:gridCol w:w="5954"/>
        <w:gridCol w:w="1603"/>
      </w:tblGrid>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Partida</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Nombre</w:t>
            </w:r>
          </w:p>
        </w:tc>
        <w:tc>
          <w:tcPr>
            <w:tcW w:w="16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41401</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Universidad de Colima</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261,605,272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41402</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Instituto de Transparencia, Acceso a la Información Pública y Protección de Datos del Estado de Colima</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7,500,000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41203</w:t>
            </w:r>
          </w:p>
        </w:tc>
        <w:tc>
          <w:tcPr>
            <w:tcW w:w="595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Órgano Superior de Auditoría y Fiscalización Gubernamental del Estado</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35,000,000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41403</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Comisión de Derechos Humanos del Estado de Colima</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9,500,000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41404</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Tribunal de Arbitraje y Escalafón</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5,026,011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41405</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Tribunal de lo Contencioso Administrativo</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8,000,000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41407</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Tribunal Electoral del Estado</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15,218,412 </w:t>
            </w:r>
          </w:p>
        </w:tc>
      </w:tr>
      <w:tr w:rsidR="001876E4" w:rsidRPr="001876E4" w:rsidTr="00947D11">
        <w:trPr>
          <w:trHeight w:val="283"/>
        </w:trPr>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41406</w:t>
            </w:r>
          </w:p>
        </w:tc>
        <w:tc>
          <w:tcPr>
            <w:tcW w:w="595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Instituto Electoral del Estado de Colima</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108,471,400 </w:t>
            </w:r>
          </w:p>
        </w:tc>
      </w:tr>
      <w:tr w:rsidR="001876E4" w:rsidRPr="001876E4" w:rsidTr="00947D11">
        <w:trPr>
          <w:trHeight w:val="266"/>
        </w:trPr>
        <w:tc>
          <w:tcPr>
            <w:tcW w:w="992"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rPr>
            </w:pPr>
          </w:p>
        </w:tc>
        <w:tc>
          <w:tcPr>
            <w:tcW w:w="595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60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450,321,095</w:t>
            </w:r>
          </w:p>
        </w:tc>
      </w:tr>
    </w:tbl>
    <w:p w:rsidR="001876E4" w:rsidRPr="001876E4" w:rsidRDefault="001876E4" w:rsidP="001876E4">
      <w:pPr>
        <w:spacing w:after="0" w:line="240" w:lineRule="auto"/>
        <w:jc w:val="both"/>
        <w:rPr>
          <w:rFonts w:ascii="Arial" w:eastAsia="Calibri" w:hAnsi="Arial" w:cs="Times New Roman"/>
          <w:sz w:val="24"/>
          <w:lang w:val="es-ES" w:eastAsia="en-US"/>
        </w:rPr>
      </w:pPr>
    </w:p>
    <w:p w:rsidR="001876E4" w:rsidRPr="001876E4" w:rsidRDefault="001876E4" w:rsidP="001876E4">
      <w:pPr>
        <w:spacing w:after="0" w:line="240" w:lineRule="auto"/>
        <w:ind w:left="567" w:hanging="567"/>
        <w:contextualSpacing/>
        <w:jc w:val="both"/>
        <w:rPr>
          <w:rFonts w:ascii="Arial" w:eastAsia="Times New Roman" w:hAnsi="Arial" w:cs="Arial"/>
          <w:sz w:val="24"/>
          <w:szCs w:val="24"/>
        </w:rPr>
      </w:pPr>
      <w:r w:rsidRPr="001876E4">
        <w:rPr>
          <w:rFonts w:ascii="Arial" w:eastAsia="Times New Roman" w:hAnsi="Arial" w:cs="Arial"/>
          <w:sz w:val="24"/>
          <w:szCs w:val="24"/>
        </w:rPr>
        <w:t>I.</w:t>
      </w:r>
      <w:r w:rsidRPr="001876E4">
        <w:rPr>
          <w:rFonts w:ascii="Arial" w:eastAsia="Times New Roman" w:hAnsi="Arial" w:cs="Arial"/>
          <w:sz w:val="24"/>
          <w:szCs w:val="24"/>
        </w:rPr>
        <w:tab/>
        <w:t xml:space="preserve">El desglose del presupuesto asignado a la </w:t>
      </w:r>
      <w:r w:rsidRPr="001876E4">
        <w:rPr>
          <w:rFonts w:ascii="Arial" w:eastAsia="Times New Roman" w:hAnsi="Arial" w:cs="Arial"/>
          <w:b/>
          <w:sz w:val="24"/>
          <w:szCs w:val="24"/>
        </w:rPr>
        <w:t xml:space="preserve">Universidad </w:t>
      </w:r>
      <w:r w:rsidRPr="001876E4">
        <w:rPr>
          <w:rFonts w:ascii="Arial" w:eastAsia="Times New Roman" w:hAnsi="Arial" w:cs="Arial"/>
          <w:b/>
          <w:color w:val="000000"/>
          <w:sz w:val="24"/>
          <w:szCs w:val="24"/>
        </w:rPr>
        <w:t>de Colima,</w:t>
      </w:r>
      <w:r w:rsidRPr="001876E4">
        <w:rPr>
          <w:rFonts w:ascii="Arial" w:eastAsia="Times New Roman" w:hAnsi="Arial" w:cs="Arial"/>
          <w:sz w:val="24"/>
          <w:szCs w:val="24"/>
        </w:rPr>
        <w:t xml:space="preserve"> tendrá la siguiente distribución a nivel de capítulo:</w:t>
      </w:r>
    </w:p>
    <w:p w:rsidR="001876E4" w:rsidRPr="001876E4" w:rsidRDefault="001876E4" w:rsidP="001876E4">
      <w:pPr>
        <w:spacing w:after="0" w:line="240" w:lineRule="auto"/>
        <w:rPr>
          <w:rFonts w:ascii="Arial" w:eastAsia="Times New Roman"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 Universidad de Colima</w:t>
      </w:r>
      <w:r w:rsidRPr="001876E4">
        <w:rPr>
          <w:rFonts w:ascii="Arial" w:eastAsia="Times New Roman" w:hAnsi="Arial" w:cs="Times New Roman"/>
          <w:b/>
          <w:szCs w:val="26"/>
          <w:lang w:val="es-ES" w:eastAsia="en-US"/>
        </w:rPr>
        <w:br/>
        <w:t>(Objeto del Gasto)</w:t>
      </w:r>
    </w:p>
    <w:tbl>
      <w:tblPr>
        <w:tblStyle w:val="Tablaconcuadrcula2"/>
        <w:tblW w:w="0" w:type="auto"/>
        <w:tblInd w:w="534" w:type="dxa"/>
        <w:tblLook w:val="04A0" w:firstRow="1" w:lastRow="0" w:firstColumn="1" w:lastColumn="0" w:noHBand="0" w:noVBand="1"/>
      </w:tblPr>
      <w:tblGrid>
        <w:gridCol w:w="1016"/>
        <w:gridCol w:w="5646"/>
        <w:gridCol w:w="1559"/>
      </w:tblGrid>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Capítulo</w:t>
            </w: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Concepto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Asignación Presupuestal</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10000</w:t>
            </w: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Servicios Personales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229,305,272</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20000</w:t>
            </w: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Materiales y Suministros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30000</w:t>
            </w: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Servicios Generales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32,300,000</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40000</w:t>
            </w: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Transferencias, Asignaciones, Subsidios y Otras Ayudas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50000</w:t>
            </w: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Bienes Muebles, Inmuebles e Intangibles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120" w:after="120" w:line="360" w:lineRule="auto"/>
              <w:jc w:val="center"/>
              <w:rPr>
                <w:rFonts w:ascii="Arial" w:hAnsi="Arial" w:cs="Arial"/>
                <w:sz w:val="20"/>
              </w:rPr>
            </w:pPr>
          </w:p>
        </w:tc>
        <w:tc>
          <w:tcPr>
            <w:tcW w:w="564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261,605,272</w:t>
            </w:r>
          </w:p>
        </w:tc>
      </w:tr>
    </w:tbl>
    <w:p w:rsidR="001876E4" w:rsidRPr="001876E4" w:rsidRDefault="001876E4" w:rsidP="001876E4">
      <w:pPr>
        <w:spacing w:after="0" w:line="240" w:lineRule="auto"/>
        <w:contextualSpacing/>
        <w:jc w:val="both"/>
        <w:rPr>
          <w:rFonts w:ascii="Arial" w:eastAsia="Times New Roman" w:hAnsi="Arial" w:cs="Arial"/>
          <w:sz w:val="24"/>
          <w:szCs w:val="24"/>
          <w:lang w:val="es-ES" w:eastAsia="en-US"/>
        </w:rPr>
      </w:pPr>
    </w:p>
    <w:p w:rsidR="001876E4" w:rsidRPr="001876E4" w:rsidRDefault="001876E4" w:rsidP="001876E4">
      <w:pPr>
        <w:spacing w:after="0" w:line="240" w:lineRule="auto"/>
        <w:ind w:left="567" w:hanging="567"/>
        <w:contextualSpacing/>
        <w:jc w:val="both"/>
        <w:rPr>
          <w:rFonts w:ascii="Arial" w:eastAsia="Times New Roman" w:hAnsi="Arial" w:cs="Arial"/>
          <w:sz w:val="24"/>
          <w:szCs w:val="24"/>
        </w:rPr>
      </w:pPr>
      <w:r w:rsidRPr="001876E4">
        <w:rPr>
          <w:rFonts w:ascii="Arial" w:eastAsia="Times New Roman" w:hAnsi="Arial" w:cs="Arial"/>
          <w:sz w:val="24"/>
          <w:szCs w:val="24"/>
        </w:rPr>
        <w:t xml:space="preserve">II. </w:t>
      </w:r>
      <w:r w:rsidRPr="001876E4">
        <w:rPr>
          <w:rFonts w:ascii="Arial" w:eastAsia="Times New Roman" w:hAnsi="Arial" w:cs="Arial"/>
          <w:sz w:val="24"/>
          <w:szCs w:val="24"/>
        </w:rPr>
        <w:tab/>
        <w:t xml:space="preserve">El desglose del presupuesto asignado al </w:t>
      </w:r>
      <w:r w:rsidRPr="001876E4">
        <w:rPr>
          <w:rFonts w:ascii="Arial" w:eastAsia="Times New Roman" w:hAnsi="Arial" w:cs="Arial"/>
          <w:b/>
          <w:color w:val="000000"/>
          <w:sz w:val="24"/>
          <w:szCs w:val="24"/>
        </w:rPr>
        <w:t>Instituto de Transparencia, Acceso a la Información Pública y Protección de Datos del Estado de Colima</w:t>
      </w:r>
      <w:r w:rsidRPr="001876E4">
        <w:rPr>
          <w:rFonts w:ascii="Arial" w:eastAsia="Times New Roman" w:hAnsi="Arial" w:cs="Arial"/>
          <w:color w:val="000000"/>
          <w:sz w:val="24"/>
          <w:szCs w:val="24"/>
        </w:rPr>
        <w:t>;</w:t>
      </w:r>
      <w:r w:rsidRPr="001876E4">
        <w:rPr>
          <w:rFonts w:ascii="Arial" w:eastAsia="Times New Roman" w:hAnsi="Arial" w:cs="Arial"/>
          <w:sz w:val="24"/>
          <w:szCs w:val="24"/>
        </w:rPr>
        <w:t xml:space="preserve"> tendrá la siguiente distribución a nivel de capítulo:</w:t>
      </w:r>
    </w:p>
    <w:p w:rsidR="001876E4" w:rsidRPr="001876E4" w:rsidRDefault="001876E4" w:rsidP="001876E4">
      <w:pPr>
        <w:spacing w:after="0" w:line="240" w:lineRule="auto"/>
        <w:rPr>
          <w:rFonts w:ascii="Colaborate-Regular" w:eastAsia="Calibri" w:hAnsi="Colaborate-Regular" w:cs="Times New Roman"/>
          <w:sz w:val="20"/>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7. Instituto de Transparencia, Acceso a la Información </w:t>
      </w:r>
      <w:r w:rsidRPr="001876E4">
        <w:rPr>
          <w:rFonts w:ascii="Arial" w:eastAsia="Times New Roman" w:hAnsi="Arial" w:cs="Times New Roman"/>
          <w:b/>
          <w:szCs w:val="26"/>
          <w:lang w:val="es-ES" w:eastAsia="en-US"/>
        </w:rPr>
        <w:br/>
        <w:t>Pública y Protección de Datos del Estado de Colima</w:t>
      </w:r>
      <w:r w:rsidRPr="001876E4">
        <w:rPr>
          <w:rFonts w:ascii="Arial" w:eastAsia="Times New Roman" w:hAnsi="Arial" w:cs="Times New Roman"/>
          <w:b/>
          <w:szCs w:val="26"/>
          <w:lang w:val="es-ES" w:eastAsia="en-US"/>
        </w:rPr>
        <w:br/>
        <w:t>(Objeto del Gasto)</w:t>
      </w:r>
    </w:p>
    <w:tbl>
      <w:tblPr>
        <w:tblStyle w:val="Tablaconcuadrcula2"/>
        <w:tblW w:w="0" w:type="auto"/>
        <w:jc w:val="center"/>
        <w:tblLook w:val="04A0" w:firstRow="1" w:lastRow="0" w:firstColumn="1" w:lastColumn="0" w:noHBand="0" w:noVBand="1"/>
      </w:tblPr>
      <w:tblGrid>
        <w:gridCol w:w="1016"/>
        <w:gridCol w:w="5872"/>
        <w:gridCol w:w="1559"/>
      </w:tblGrid>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bookmarkStart w:id="8" w:name="_MON_1381432804"/>
            <w:bookmarkStart w:id="9" w:name="_MON_1381432789"/>
            <w:bookmarkStart w:id="10" w:name="_MON_1381432731"/>
            <w:bookmarkEnd w:id="8"/>
            <w:bookmarkEnd w:id="9"/>
            <w:bookmarkEnd w:id="10"/>
            <w:r w:rsidRPr="001876E4">
              <w:rPr>
                <w:rFonts w:ascii="Arial" w:hAnsi="Arial" w:cs="Arial"/>
                <w:b/>
                <w:bCs/>
                <w:sz w:val="20"/>
              </w:rPr>
              <w:t>Capítulo</w:t>
            </w: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Concepto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Asignación Presupuestal</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10000</w:t>
            </w: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Servicios Personales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6,618,884</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20000</w:t>
            </w: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Materiales y Suministros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180,915</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30000</w:t>
            </w: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Servicios Generales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690,201</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40000</w:t>
            </w: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Transferencias, Asignaciones, Subsidios y Otras Ayudas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50000</w:t>
            </w: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r w:rsidRPr="001876E4">
              <w:rPr>
                <w:rFonts w:ascii="Arial" w:hAnsi="Arial" w:cs="Arial"/>
                <w:sz w:val="20"/>
              </w:rPr>
              <w:t>Bienes Muebles, Inmuebles e Intangibles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10,000</w:t>
            </w:r>
          </w:p>
        </w:tc>
      </w:tr>
      <w:tr w:rsidR="001876E4" w:rsidRPr="001876E4" w:rsidTr="00947D11">
        <w:trPr>
          <w:trHeight w:val="174"/>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p>
        </w:tc>
        <w:tc>
          <w:tcPr>
            <w:tcW w:w="587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7,500,000</w:t>
            </w:r>
          </w:p>
        </w:tc>
      </w:tr>
    </w:tbl>
    <w:p w:rsidR="001876E4" w:rsidRPr="001876E4" w:rsidRDefault="001876E4" w:rsidP="001876E4">
      <w:pPr>
        <w:spacing w:after="0" w:line="240" w:lineRule="auto"/>
        <w:ind w:left="567" w:hanging="567"/>
        <w:jc w:val="both"/>
        <w:rPr>
          <w:rFonts w:ascii="Arial" w:eastAsia="Calibri" w:hAnsi="Arial" w:cs="Arial"/>
          <w:sz w:val="24"/>
          <w:szCs w:val="24"/>
          <w:lang w:val="es-ES" w:eastAsia="en-US"/>
        </w:rPr>
      </w:pPr>
    </w:p>
    <w:p w:rsidR="001876E4" w:rsidRPr="001876E4" w:rsidRDefault="001876E4" w:rsidP="001876E4">
      <w:pPr>
        <w:spacing w:after="0" w:line="240" w:lineRule="auto"/>
        <w:ind w:left="567" w:hanging="567"/>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III.</w:t>
      </w:r>
      <w:r w:rsidRPr="001876E4">
        <w:rPr>
          <w:rFonts w:ascii="Arial" w:eastAsia="Calibri" w:hAnsi="Arial" w:cs="Arial"/>
          <w:sz w:val="24"/>
          <w:szCs w:val="24"/>
          <w:lang w:val="es-ES" w:eastAsia="en-US"/>
        </w:rPr>
        <w:tab/>
        <w:t xml:space="preserve">La asignación presupuestaria destinada a la </w:t>
      </w:r>
      <w:r w:rsidRPr="001876E4">
        <w:rPr>
          <w:rFonts w:ascii="Arial" w:eastAsia="Calibri" w:hAnsi="Arial" w:cs="Arial"/>
          <w:b/>
          <w:sz w:val="24"/>
          <w:szCs w:val="24"/>
          <w:lang w:val="es-ES" w:eastAsia="en-US"/>
        </w:rPr>
        <w:t>Comisión de Derechos Humanos del Estado de Colima</w:t>
      </w:r>
      <w:r w:rsidRPr="001876E4">
        <w:rPr>
          <w:rFonts w:ascii="Arial" w:eastAsia="Calibri" w:hAnsi="Arial" w:cs="Arial"/>
          <w:sz w:val="24"/>
          <w:szCs w:val="24"/>
          <w:lang w:val="es-ES" w:eastAsia="en-US"/>
        </w:rPr>
        <w:t>, tendrá la siguiente distribución a nivel de capítulo:</w:t>
      </w:r>
    </w:p>
    <w:p w:rsidR="001876E4" w:rsidRPr="001876E4" w:rsidRDefault="001876E4" w:rsidP="001876E4">
      <w:pPr>
        <w:spacing w:after="0" w:line="240" w:lineRule="auto"/>
        <w:rPr>
          <w:rFonts w:ascii="Colaborate-Regular" w:eastAsia="Calibri" w:hAnsi="Colaborate-Regular" w:cs="Times New Roman"/>
          <w:sz w:val="20"/>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 w:val="28"/>
          <w:szCs w:val="26"/>
          <w:lang w:val="es-ES" w:eastAsia="en-US"/>
        </w:rPr>
      </w:pPr>
      <w:r w:rsidRPr="001876E4">
        <w:rPr>
          <w:rFonts w:ascii="Arial" w:eastAsia="Times New Roman" w:hAnsi="Arial" w:cs="Times New Roman"/>
          <w:b/>
          <w:szCs w:val="26"/>
          <w:lang w:val="es-ES" w:eastAsia="en-US"/>
        </w:rPr>
        <w:t>Tabla 8. Comisión de Derechos Humanos del Estado de Colima</w:t>
      </w:r>
      <w:r w:rsidRPr="001876E4">
        <w:rPr>
          <w:rFonts w:ascii="Arial" w:eastAsia="Times New Roman" w:hAnsi="Arial" w:cs="Times New Roman"/>
          <w:b/>
          <w:szCs w:val="26"/>
          <w:lang w:val="es-ES" w:eastAsia="en-US"/>
        </w:rPr>
        <w:br/>
        <w:t>(Objeto del Gasto)</w:t>
      </w:r>
    </w:p>
    <w:tbl>
      <w:tblPr>
        <w:tblStyle w:val="Tablaconcuadrcula2"/>
        <w:tblW w:w="0" w:type="auto"/>
        <w:jc w:val="center"/>
        <w:tblLook w:val="04A0" w:firstRow="1" w:lastRow="0" w:firstColumn="1" w:lastColumn="0" w:noHBand="0" w:noVBand="1"/>
      </w:tblPr>
      <w:tblGrid>
        <w:gridCol w:w="1016"/>
        <w:gridCol w:w="5520"/>
        <w:gridCol w:w="1766"/>
        <w:gridCol w:w="145"/>
      </w:tblGrid>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Capítulo</w:t>
            </w: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Concepto</w:t>
            </w:r>
          </w:p>
        </w:tc>
        <w:tc>
          <w:tcPr>
            <w:tcW w:w="1911"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gridAfter w:val="1"/>
          <w:wAfter w:w="145" w:type="dxa"/>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10000</w:t>
            </w: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Servicios Personales</w:t>
            </w:r>
          </w:p>
        </w:tc>
        <w:tc>
          <w:tcPr>
            <w:tcW w:w="17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6,187,066</w:t>
            </w:r>
          </w:p>
        </w:tc>
      </w:tr>
      <w:tr w:rsidR="001876E4" w:rsidRPr="001876E4" w:rsidTr="00947D11">
        <w:trPr>
          <w:gridAfter w:val="1"/>
          <w:wAfter w:w="145" w:type="dxa"/>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20000</w:t>
            </w: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Materiales y Suministros</w:t>
            </w:r>
          </w:p>
        </w:tc>
        <w:tc>
          <w:tcPr>
            <w:tcW w:w="17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Calibri"/>
                <w:color w:val="000000"/>
                <w:sz w:val="20"/>
                <w:szCs w:val="20"/>
              </w:rPr>
            </w:pPr>
            <w:r w:rsidRPr="001876E4">
              <w:rPr>
                <w:rFonts w:ascii="Arial" w:hAnsi="Arial" w:cs="Calibri"/>
                <w:color w:val="000000"/>
                <w:sz w:val="20"/>
                <w:szCs w:val="20"/>
              </w:rPr>
              <w:t>322,820</w:t>
            </w:r>
          </w:p>
        </w:tc>
      </w:tr>
      <w:tr w:rsidR="001876E4" w:rsidRPr="001876E4" w:rsidTr="00947D11">
        <w:trPr>
          <w:gridAfter w:val="1"/>
          <w:wAfter w:w="145" w:type="dxa"/>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30000</w:t>
            </w: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Servicios Generales</w:t>
            </w:r>
          </w:p>
        </w:tc>
        <w:tc>
          <w:tcPr>
            <w:tcW w:w="17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Calibri"/>
                <w:color w:val="000000"/>
                <w:sz w:val="20"/>
                <w:szCs w:val="20"/>
              </w:rPr>
            </w:pPr>
            <w:r w:rsidRPr="001876E4">
              <w:rPr>
                <w:rFonts w:ascii="Arial" w:hAnsi="Arial" w:cs="Calibri"/>
                <w:color w:val="000000"/>
                <w:sz w:val="20"/>
                <w:szCs w:val="20"/>
              </w:rPr>
              <w:t>1,041,420</w:t>
            </w:r>
          </w:p>
        </w:tc>
      </w:tr>
      <w:tr w:rsidR="001876E4" w:rsidRPr="001876E4" w:rsidTr="00947D11">
        <w:trPr>
          <w:gridAfter w:val="1"/>
          <w:wAfter w:w="145" w:type="dxa"/>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40000</w:t>
            </w: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Transferencias, Asignaciones, Subsidios y Otras Ayudas</w:t>
            </w:r>
          </w:p>
        </w:tc>
        <w:tc>
          <w:tcPr>
            <w:tcW w:w="17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1,478,694</w:t>
            </w:r>
          </w:p>
        </w:tc>
      </w:tr>
      <w:tr w:rsidR="001876E4" w:rsidRPr="001876E4" w:rsidTr="00947D11">
        <w:trPr>
          <w:gridAfter w:val="1"/>
          <w:wAfter w:w="145" w:type="dxa"/>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rPr>
            </w:pPr>
            <w:r w:rsidRPr="001876E4">
              <w:rPr>
                <w:rFonts w:ascii="Arial" w:hAnsi="Arial" w:cs="Arial"/>
                <w:sz w:val="20"/>
              </w:rPr>
              <w:t>50000</w:t>
            </w: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Bienes Muebles, Inmuebles e Intangibles</w:t>
            </w:r>
          </w:p>
        </w:tc>
        <w:tc>
          <w:tcPr>
            <w:tcW w:w="17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470,000</w:t>
            </w:r>
          </w:p>
        </w:tc>
      </w:tr>
      <w:tr w:rsidR="001876E4" w:rsidRPr="001876E4" w:rsidTr="00947D11">
        <w:trPr>
          <w:gridAfter w:val="1"/>
          <w:wAfter w:w="145" w:type="dxa"/>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rPr>
            </w:pPr>
          </w:p>
        </w:tc>
        <w:tc>
          <w:tcPr>
            <w:tcW w:w="55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Total</w:t>
            </w:r>
          </w:p>
        </w:tc>
        <w:tc>
          <w:tcPr>
            <w:tcW w:w="176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9,500,000</w:t>
            </w:r>
          </w:p>
        </w:tc>
      </w:tr>
    </w:tbl>
    <w:p w:rsidR="001876E4" w:rsidRPr="001876E4" w:rsidRDefault="001876E4" w:rsidP="001876E4">
      <w:pPr>
        <w:spacing w:after="0" w:line="240" w:lineRule="auto"/>
        <w:ind w:left="567" w:hanging="567"/>
        <w:jc w:val="both"/>
        <w:rPr>
          <w:rFonts w:ascii="Arial" w:eastAsia="Calibri" w:hAnsi="Arial" w:cs="Arial"/>
          <w:sz w:val="24"/>
          <w:szCs w:val="24"/>
        </w:rPr>
      </w:pPr>
    </w:p>
    <w:p w:rsidR="001876E4" w:rsidRPr="001876E4" w:rsidRDefault="001876E4" w:rsidP="001876E4">
      <w:pPr>
        <w:spacing w:after="0" w:line="240" w:lineRule="auto"/>
        <w:ind w:left="567" w:hanging="567"/>
        <w:jc w:val="both"/>
        <w:rPr>
          <w:rFonts w:ascii="Arial" w:eastAsia="Calibri" w:hAnsi="Arial" w:cs="Arial"/>
          <w:sz w:val="24"/>
          <w:szCs w:val="24"/>
        </w:rPr>
      </w:pPr>
      <w:r w:rsidRPr="001876E4">
        <w:rPr>
          <w:rFonts w:ascii="Arial" w:eastAsia="Calibri" w:hAnsi="Arial" w:cs="Arial"/>
          <w:sz w:val="24"/>
          <w:szCs w:val="24"/>
        </w:rPr>
        <w:t>IV.</w:t>
      </w:r>
      <w:r w:rsidRPr="001876E4">
        <w:rPr>
          <w:rFonts w:ascii="Arial" w:eastAsia="Calibri" w:hAnsi="Arial" w:cs="Arial"/>
          <w:sz w:val="24"/>
          <w:szCs w:val="24"/>
        </w:rPr>
        <w:tab/>
        <w:t xml:space="preserve">La asignación presupuestaria destinada al </w:t>
      </w:r>
      <w:r w:rsidRPr="001876E4">
        <w:rPr>
          <w:rFonts w:ascii="Arial" w:eastAsia="Calibri" w:hAnsi="Arial" w:cs="Arial"/>
          <w:b/>
          <w:sz w:val="24"/>
          <w:szCs w:val="24"/>
        </w:rPr>
        <w:t>Tribunal de Arbitraje y Escalafón</w:t>
      </w:r>
      <w:r w:rsidRPr="001876E4">
        <w:rPr>
          <w:rFonts w:ascii="Arial" w:eastAsia="Calibri" w:hAnsi="Arial" w:cs="Arial"/>
          <w:sz w:val="24"/>
          <w:szCs w:val="24"/>
        </w:rPr>
        <w:t xml:space="preserve">, </w:t>
      </w:r>
      <w:r w:rsidRPr="001876E4">
        <w:rPr>
          <w:rFonts w:ascii="Arial" w:eastAsia="Calibri" w:hAnsi="Arial" w:cs="Arial"/>
          <w:color w:val="000000"/>
          <w:sz w:val="24"/>
          <w:szCs w:val="24"/>
        </w:rPr>
        <w:t>se distribuye de</w:t>
      </w:r>
      <w:r w:rsidRPr="001876E4">
        <w:rPr>
          <w:rFonts w:ascii="Arial" w:eastAsia="Calibri" w:hAnsi="Arial" w:cs="Arial"/>
          <w:sz w:val="24"/>
          <w:szCs w:val="24"/>
        </w:rPr>
        <w:t xml:space="preserve"> la siguiente manera:</w:t>
      </w:r>
    </w:p>
    <w:p w:rsidR="001876E4" w:rsidRPr="001876E4" w:rsidRDefault="001876E4" w:rsidP="001876E4">
      <w:pPr>
        <w:spacing w:after="0" w:line="240" w:lineRule="auto"/>
        <w:ind w:left="567" w:hanging="567"/>
        <w:jc w:val="both"/>
        <w:rPr>
          <w:rFonts w:ascii="Arial" w:eastAsia="Calibri"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9. Tribunal de Arbitraje y Escalafón</w:t>
      </w:r>
      <w:r w:rsidRPr="001876E4">
        <w:rPr>
          <w:rFonts w:ascii="Arial" w:eastAsia="Times New Roman" w:hAnsi="Arial" w:cs="Times New Roman"/>
          <w:b/>
          <w:szCs w:val="26"/>
          <w:lang w:val="es-ES" w:eastAsia="en-US"/>
        </w:rPr>
        <w:br/>
        <w:t>(Objeto del Gasto)</w:t>
      </w:r>
    </w:p>
    <w:tbl>
      <w:tblPr>
        <w:tblStyle w:val="Tablaconcuadrcula2"/>
        <w:tblW w:w="0" w:type="auto"/>
        <w:jc w:val="center"/>
        <w:tblLook w:val="04A0" w:firstRow="1" w:lastRow="0" w:firstColumn="1" w:lastColumn="0" w:noHBand="0" w:noVBand="1"/>
      </w:tblPr>
      <w:tblGrid>
        <w:gridCol w:w="1016"/>
        <w:gridCol w:w="5669"/>
        <w:gridCol w:w="1473"/>
      </w:tblGrid>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34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lastRenderedPageBreak/>
              <w:t>10000</w:t>
            </w: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4,426,011</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177,000</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323,000</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100,000</w:t>
            </w:r>
          </w:p>
        </w:tc>
      </w:tr>
      <w:tr w:rsidR="001876E4" w:rsidRPr="001876E4" w:rsidTr="00947D11">
        <w:trPr>
          <w:trHeight w:val="274"/>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sz w:val="20"/>
                <w:szCs w:val="20"/>
              </w:rPr>
            </w:pPr>
          </w:p>
        </w:tc>
        <w:tc>
          <w:tcPr>
            <w:tcW w:w="566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34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5,026,011</w:t>
            </w:r>
          </w:p>
        </w:tc>
      </w:tr>
    </w:tbl>
    <w:p w:rsidR="001876E4" w:rsidRPr="001876E4" w:rsidRDefault="001876E4" w:rsidP="001876E4">
      <w:pPr>
        <w:spacing w:after="0" w:line="240" w:lineRule="auto"/>
        <w:rPr>
          <w:rFonts w:ascii="Arial" w:eastAsia="Calibri" w:hAnsi="Arial"/>
          <w:sz w:val="24"/>
        </w:rPr>
      </w:pPr>
    </w:p>
    <w:p w:rsidR="001876E4" w:rsidRPr="001876E4" w:rsidRDefault="001876E4" w:rsidP="001876E4">
      <w:pPr>
        <w:spacing w:after="0" w:line="240" w:lineRule="auto"/>
        <w:ind w:left="567" w:hanging="567"/>
        <w:jc w:val="both"/>
        <w:rPr>
          <w:rFonts w:ascii="Arial" w:eastAsia="Calibri" w:hAnsi="Arial" w:cs="Arial"/>
          <w:sz w:val="24"/>
          <w:szCs w:val="24"/>
        </w:rPr>
      </w:pPr>
      <w:r w:rsidRPr="001876E4">
        <w:rPr>
          <w:rFonts w:ascii="Arial" w:eastAsia="Calibri" w:hAnsi="Arial" w:cs="Arial"/>
          <w:sz w:val="24"/>
          <w:szCs w:val="24"/>
        </w:rPr>
        <w:t>V.</w:t>
      </w:r>
      <w:r w:rsidRPr="001876E4">
        <w:rPr>
          <w:rFonts w:ascii="Arial" w:eastAsia="Calibri" w:hAnsi="Arial" w:cs="Arial"/>
          <w:sz w:val="24"/>
          <w:szCs w:val="24"/>
        </w:rPr>
        <w:tab/>
        <w:t xml:space="preserve">La asignación presupuestaria destinada al </w:t>
      </w:r>
      <w:r w:rsidRPr="001876E4">
        <w:rPr>
          <w:rFonts w:ascii="Arial" w:hAnsi="Arial" w:cs="Arial"/>
          <w:b/>
          <w:sz w:val="24"/>
          <w:szCs w:val="24"/>
        </w:rPr>
        <w:t>Tribunal de lo Contencioso Administrativo</w:t>
      </w:r>
      <w:r w:rsidRPr="001876E4">
        <w:rPr>
          <w:rFonts w:ascii="Arial" w:eastAsia="Calibri" w:hAnsi="Arial" w:cs="Arial"/>
          <w:sz w:val="24"/>
          <w:szCs w:val="24"/>
        </w:rPr>
        <w:t>, se distribuye en los siguientes capítulos:</w:t>
      </w:r>
    </w:p>
    <w:p w:rsidR="001876E4" w:rsidRPr="001876E4" w:rsidRDefault="001876E4" w:rsidP="001876E4">
      <w:pPr>
        <w:spacing w:after="0" w:line="240" w:lineRule="auto"/>
        <w:ind w:left="567" w:hanging="567"/>
        <w:jc w:val="both"/>
        <w:rPr>
          <w:rFonts w:ascii="Arial" w:eastAsia="Calibri"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10. Tribunal de lo Contencioso Administrativo</w:t>
      </w:r>
      <w:r w:rsidRPr="001876E4">
        <w:rPr>
          <w:rFonts w:ascii="Arial" w:eastAsia="Times New Roman" w:hAnsi="Arial" w:cs="Times New Roman"/>
          <w:b/>
          <w:szCs w:val="26"/>
          <w:lang w:val="es-ES" w:eastAsia="en-US"/>
        </w:rPr>
        <w:br/>
        <w:t>(Objeto del Gasto)</w:t>
      </w:r>
    </w:p>
    <w:tbl>
      <w:tblPr>
        <w:tblStyle w:val="Tablaconcuadrcula2"/>
        <w:tblW w:w="0" w:type="auto"/>
        <w:jc w:val="center"/>
        <w:tblLook w:val="04A0" w:firstRow="1" w:lastRow="0" w:firstColumn="1" w:lastColumn="0" w:noHBand="0" w:noVBand="1"/>
      </w:tblPr>
      <w:tblGrid>
        <w:gridCol w:w="1016"/>
        <w:gridCol w:w="5598"/>
        <w:gridCol w:w="1473"/>
      </w:tblGrid>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59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10000</w:t>
            </w:r>
          </w:p>
        </w:tc>
        <w:tc>
          <w:tcPr>
            <w:tcW w:w="5598"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6,736,186</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598"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354,000</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598"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768,722</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598"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116,092</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598" w:type="dxa"/>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25,000</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sz w:val="20"/>
                <w:szCs w:val="20"/>
              </w:rPr>
            </w:pPr>
          </w:p>
        </w:tc>
        <w:tc>
          <w:tcPr>
            <w:tcW w:w="559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8,000,000</w:t>
            </w:r>
          </w:p>
        </w:tc>
      </w:tr>
    </w:tbl>
    <w:p w:rsidR="001876E4" w:rsidRPr="001876E4" w:rsidRDefault="001876E4" w:rsidP="001876E4">
      <w:pPr>
        <w:spacing w:after="0" w:line="240" w:lineRule="auto"/>
        <w:contextualSpacing/>
        <w:jc w:val="center"/>
        <w:rPr>
          <w:rFonts w:ascii="Arial" w:eastAsia="Times New Roman" w:hAnsi="Arial" w:cs="Arial"/>
          <w:sz w:val="24"/>
          <w:szCs w:val="24"/>
          <w:lang w:val="es-ES" w:eastAsia="en-US"/>
        </w:rPr>
      </w:pPr>
    </w:p>
    <w:p w:rsidR="001876E4" w:rsidRPr="001876E4" w:rsidRDefault="001876E4" w:rsidP="001876E4">
      <w:pPr>
        <w:spacing w:after="0" w:line="240" w:lineRule="auto"/>
        <w:ind w:left="567" w:hanging="567"/>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VI.</w:t>
      </w:r>
      <w:r w:rsidRPr="001876E4">
        <w:rPr>
          <w:rFonts w:ascii="Arial" w:eastAsia="Calibri" w:hAnsi="Arial" w:cs="Arial"/>
          <w:sz w:val="24"/>
          <w:szCs w:val="24"/>
          <w:lang w:val="es-ES" w:eastAsia="en-US"/>
        </w:rPr>
        <w:tab/>
        <w:t xml:space="preserve">El desglose del presupuesto asignado al </w:t>
      </w:r>
      <w:r w:rsidRPr="001876E4">
        <w:rPr>
          <w:rFonts w:ascii="Arial" w:eastAsia="Calibri" w:hAnsi="Arial" w:cs="Arial"/>
          <w:b/>
          <w:sz w:val="24"/>
          <w:szCs w:val="24"/>
          <w:lang w:val="es-ES" w:eastAsia="en-US"/>
        </w:rPr>
        <w:t>Tribunal Electoral del Estado</w:t>
      </w:r>
      <w:r w:rsidRPr="001876E4">
        <w:rPr>
          <w:rFonts w:ascii="Arial" w:eastAsia="Calibri" w:hAnsi="Arial" w:cs="Arial"/>
          <w:sz w:val="24"/>
          <w:szCs w:val="24"/>
          <w:lang w:val="es-ES" w:eastAsia="en-US"/>
        </w:rPr>
        <w:t>, será el siguiente:</w:t>
      </w:r>
    </w:p>
    <w:p w:rsidR="001876E4" w:rsidRPr="001876E4" w:rsidRDefault="001876E4" w:rsidP="001876E4">
      <w:pPr>
        <w:spacing w:after="0" w:line="240" w:lineRule="auto"/>
        <w:ind w:left="567" w:hanging="567"/>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11. Tribunal Electoral del Estado</w:t>
      </w:r>
      <w:r w:rsidRPr="001876E4">
        <w:rPr>
          <w:rFonts w:ascii="Arial" w:eastAsia="Times New Roman" w:hAnsi="Arial" w:cs="Times New Roman"/>
          <w:b/>
          <w:szCs w:val="26"/>
          <w:lang w:val="es-ES" w:eastAsia="en-US"/>
        </w:rPr>
        <w:br/>
        <w:t>(Objeto del Gasto)</w:t>
      </w:r>
    </w:p>
    <w:tbl>
      <w:tblPr>
        <w:tblStyle w:val="Tablaconcuadrcula2"/>
        <w:tblW w:w="0" w:type="auto"/>
        <w:tblInd w:w="534" w:type="dxa"/>
        <w:tblLook w:val="04A0" w:firstRow="1" w:lastRow="0" w:firstColumn="1" w:lastColumn="0" w:noHBand="0" w:noVBand="1"/>
      </w:tblPr>
      <w:tblGrid>
        <w:gridCol w:w="1016"/>
        <w:gridCol w:w="5504"/>
        <w:gridCol w:w="1559"/>
      </w:tblGrid>
      <w:tr w:rsidR="001876E4" w:rsidRPr="001876E4" w:rsidTr="00947D11">
        <w:trPr>
          <w:trHeight w:val="283"/>
        </w:trPr>
        <w:tc>
          <w:tcPr>
            <w:tcW w:w="1016" w:type="dxa"/>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504" w:type="dxa"/>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559" w:type="dxa"/>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trPr>
        <w:tc>
          <w:tcPr>
            <w:tcW w:w="1016" w:type="dxa"/>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10000</w:t>
            </w:r>
          </w:p>
        </w:tc>
        <w:tc>
          <w:tcPr>
            <w:tcW w:w="5504" w:type="dxa"/>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559" w:type="dxa"/>
            <w:shd w:val="clear" w:color="auto" w:fill="auto"/>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11,486,520</w:t>
            </w:r>
          </w:p>
        </w:tc>
      </w:tr>
      <w:tr w:rsidR="001876E4" w:rsidRPr="001876E4" w:rsidTr="00947D11">
        <w:trPr>
          <w:trHeight w:val="283"/>
        </w:trPr>
        <w:tc>
          <w:tcPr>
            <w:tcW w:w="1016" w:type="dxa"/>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504" w:type="dxa"/>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559" w:type="dxa"/>
            <w:shd w:val="clear" w:color="auto" w:fill="auto"/>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287,172</w:t>
            </w:r>
          </w:p>
        </w:tc>
      </w:tr>
      <w:tr w:rsidR="001876E4" w:rsidRPr="001876E4" w:rsidTr="00947D11">
        <w:trPr>
          <w:trHeight w:val="283"/>
        </w:trPr>
        <w:tc>
          <w:tcPr>
            <w:tcW w:w="1016" w:type="dxa"/>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504" w:type="dxa"/>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559" w:type="dxa"/>
            <w:shd w:val="clear" w:color="auto" w:fill="auto"/>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1,402,308</w:t>
            </w:r>
          </w:p>
        </w:tc>
      </w:tr>
      <w:tr w:rsidR="001876E4" w:rsidRPr="001876E4" w:rsidTr="00947D11">
        <w:trPr>
          <w:trHeight w:val="283"/>
        </w:trPr>
        <w:tc>
          <w:tcPr>
            <w:tcW w:w="1016" w:type="dxa"/>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504" w:type="dxa"/>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559" w:type="dxa"/>
            <w:shd w:val="clear" w:color="auto" w:fill="auto"/>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1,994,412</w:t>
            </w:r>
          </w:p>
        </w:tc>
      </w:tr>
      <w:tr w:rsidR="001876E4" w:rsidRPr="001876E4" w:rsidTr="00947D11">
        <w:trPr>
          <w:trHeight w:val="283"/>
        </w:trPr>
        <w:tc>
          <w:tcPr>
            <w:tcW w:w="1016" w:type="dxa"/>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504" w:type="dxa"/>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559" w:type="dxa"/>
            <w:shd w:val="clear" w:color="auto" w:fill="auto"/>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48,000</w:t>
            </w:r>
          </w:p>
        </w:tc>
      </w:tr>
      <w:tr w:rsidR="001876E4" w:rsidRPr="001876E4" w:rsidTr="00947D11">
        <w:trPr>
          <w:trHeight w:val="283"/>
        </w:trPr>
        <w:tc>
          <w:tcPr>
            <w:tcW w:w="1016" w:type="dxa"/>
            <w:vAlign w:val="center"/>
            <w:hideMark/>
          </w:tcPr>
          <w:p w:rsidR="001876E4" w:rsidRPr="001876E4" w:rsidRDefault="001876E4" w:rsidP="001876E4">
            <w:pPr>
              <w:jc w:val="center"/>
              <w:rPr>
                <w:rFonts w:ascii="Arial" w:hAnsi="Arial"/>
                <w:sz w:val="20"/>
                <w:szCs w:val="20"/>
              </w:rPr>
            </w:pPr>
          </w:p>
        </w:tc>
        <w:tc>
          <w:tcPr>
            <w:tcW w:w="5504" w:type="dxa"/>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559" w:type="dxa"/>
            <w:shd w:val="clear" w:color="auto" w:fill="auto"/>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15,218,412</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ind w:left="567" w:hanging="567"/>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VII.</w:t>
      </w:r>
      <w:r w:rsidRPr="001876E4">
        <w:rPr>
          <w:rFonts w:ascii="Arial" w:eastAsia="Calibri" w:hAnsi="Arial" w:cs="Arial"/>
          <w:sz w:val="24"/>
          <w:szCs w:val="24"/>
          <w:lang w:val="es-ES" w:eastAsia="en-US"/>
        </w:rPr>
        <w:tab/>
        <w:t xml:space="preserve">El desglose del presupuesto asignado al </w:t>
      </w:r>
      <w:r w:rsidRPr="001876E4">
        <w:rPr>
          <w:rFonts w:ascii="Arial" w:eastAsia="Calibri" w:hAnsi="Arial" w:cs="Arial"/>
          <w:b/>
          <w:sz w:val="24"/>
          <w:szCs w:val="24"/>
          <w:lang w:val="es-ES" w:eastAsia="en-US"/>
        </w:rPr>
        <w:t>Instituto Electoral del Estado de Colima</w:t>
      </w:r>
      <w:r w:rsidRPr="001876E4">
        <w:rPr>
          <w:rFonts w:ascii="Arial" w:eastAsia="Calibri" w:hAnsi="Arial" w:cs="Arial"/>
          <w:sz w:val="24"/>
          <w:szCs w:val="24"/>
          <w:lang w:val="es-ES" w:eastAsia="en-US"/>
        </w:rPr>
        <w:t>, tendrá la siguiente distribución: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Tabla 12. Instituto Electoral del Estado de Colima</w:t>
      </w:r>
      <w:r w:rsidRPr="001876E4">
        <w:rPr>
          <w:rFonts w:ascii="Arial" w:eastAsia="Times New Roman" w:hAnsi="Arial" w:cs="Times New Roman"/>
          <w:b/>
          <w:szCs w:val="26"/>
          <w:lang w:val="es-ES" w:eastAsia="en-US"/>
        </w:rPr>
        <w:br/>
        <w:t>(Objeto del Gasto)</w:t>
      </w:r>
    </w:p>
    <w:tbl>
      <w:tblPr>
        <w:tblStyle w:val="Tablaconcuadrcula2"/>
        <w:tblW w:w="0" w:type="auto"/>
        <w:tblInd w:w="534" w:type="dxa"/>
        <w:tblLook w:val="04A0" w:firstRow="1" w:lastRow="0" w:firstColumn="1" w:lastColumn="0" w:noHBand="0" w:noVBand="1"/>
      </w:tblPr>
      <w:tblGrid>
        <w:gridCol w:w="1016"/>
        <w:gridCol w:w="5504"/>
        <w:gridCol w:w="1559"/>
      </w:tblGrid>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10000</w:t>
            </w: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43,644,545 </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8,228,861 </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13,991,040 </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41,545,654 </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sz w:val="16"/>
                <w:szCs w:val="18"/>
              </w:rPr>
            </w:pPr>
          </w:p>
        </w:tc>
        <w:tc>
          <w:tcPr>
            <w:tcW w:w="550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i/>
                <w:sz w:val="16"/>
                <w:szCs w:val="18"/>
              </w:rPr>
            </w:pPr>
            <w:r w:rsidRPr="001876E4">
              <w:rPr>
                <w:rFonts w:ascii="Arial" w:hAnsi="Arial" w:cs="Arial"/>
                <w:i/>
                <w:sz w:val="16"/>
                <w:szCs w:val="18"/>
              </w:rPr>
              <w:t>Financiamiento a Partidos Políticos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i/>
                <w:sz w:val="16"/>
                <w:szCs w:val="18"/>
              </w:rPr>
            </w:pPr>
            <w:r w:rsidRPr="001876E4">
              <w:rPr>
                <w:rFonts w:ascii="Arial" w:hAnsi="Arial" w:cs="Arial"/>
                <w:i/>
                <w:sz w:val="16"/>
                <w:szCs w:val="18"/>
              </w:rPr>
              <w:t>39,295,654</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sz w:val="16"/>
                <w:szCs w:val="18"/>
              </w:rPr>
            </w:pPr>
          </w:p>
        </w:tc>
        <w:tc>
          <w:tcPr>
            <w:tcW w:w="550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i/>
                <w:sz w:val="16"/>
                <w:szCs w:val="18"/>
              </w:rPr>
            </w:pPr>
            <w:r w:rsidRPr="001876E4">
              <w:rPr>
                <w:rFonts w:ascii="Arial" w:hAnsi="Arial" w:cs="Arial"/>
                <w:i/>
                <w:sz w:val="16"/>
                <w:szCs w:val="18"/>
              </w:rPr>
              <w:t>Consejos Municipales Electorales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i/>
                <w:sz w:val="16"/>
                <w:szCs w:val="18"/>
              </w:rPr>
            </w:pPr>
            <w:r w:rsidRPr="001876E4">
              <w:rPr>
                <w:rFonts w:ascii="Arial" w:hAnsi="Arial" w:cs="Arial"/>
                <w:i/>
                <w:sz w:val="16"/>
                <w:szCs w:val="18"/>
              </w:rPr>
              <w:t>2,250,000</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55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1,061,300 </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sz w:val="24"/>
              </w:rPr>
            </w:pPr>
          </w:p>
        </w:tc>
        <w:tc>
          <w:tcPr>
            <w:tcW w:w="55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 xml:space="preserve"> 108,471,400 </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contextualSpacing/>
        <w:jc w:val="both"/>
        <w:rPr>
          <w:rFonts w:ascii="Arial" w:eastAsia="Times New Roman" w:hAnsi="Arial" w:cs="Arial"/>
          <w:sz w:val="24"/>
          <w:szCs w:val="24"/>
        </w:rPr>
      </w:pPr>
      <w:bookmarkStart w:id="11" w:name="_MON_1381432077"/>
      <w:bookmarkStart w:id="12" w:name="_MON_1381432102"/>
      <w:bookmarkStart w:id="13" w:name="_MON_1381432240"/>
      <w:bookmarkStart w:id="14" w:name="_MON_1381432271"/>
      <w:bookmarkStart w:id="15" w:name="_MON_1381432330"/>
      <w:bookmarkStart w:id="16" w:name="_MON_1381432466"/>
      <w:bookmarkStart w:id="17" w:name="_MON_1381432592"/>
      <w:bookmarkStart w:id="18" w:name="_MON_1381432871"/>
      <w:bookmarkStart w:id="19" w:name="_MON_1381432014"/>
      <w:bookmarkStart w:id="20" w:name="_MON_1381432030"/>
      <w:bookmarkStart w:id="21" w:name="_MON_1381432032"/>
      <w:bookmarkEnd w:id="11"/>
      <w:bookmarkEnd w:id="12"/>
      <w:bookmarkEnd w:id="13"/>
      <w:bookmarkEnd w:id="14"/>
      <w:bookmarkEnd w:id="15"/>
      <w:bookmarkEnd w:id="16"/>
      <w:bookmarkEnd w:id="17"/>
      <w:bookmarkEnd w:id="18"/>
      <w:bookmarkEnd w:id="19"/>
      <w:bookmarkEnd w:id="20"/>
      <w:bookmarkEnd w:id="21"/>
      <w:r w:rsidRPr="001876E4">
        <w:rPr>
          <w:rFonts w:ascii="Arial" w:eastAsia="Times New Roman" w:hAnsi="Arial" w:cs="Arial"/>
          <w:sz w:val="24"/>
          <w:szCs w:val="24"/>
        </w:rPr>
        <w:t xml:space="preserve">En el </w:t>
      </w:r>
      <w:r w:rsidRPr="001876E4">
        <w:rPr>
          <w:rFonts w:ascii="Arial" w:eastAsia="Times New Roman" w:hAnsi="Arial" w:cs="Arial"/>
          <w:b/>
          <w:sz w:val="24"/>
          <w:szCs w:val="24"/>
        </w:rPr>
        <w:t>Anexo 2</w:t>
      </w:r>
      <w:r w:rsidRPr="001876E4">
        <w:rPr>
          <w:rFonts w:ascii="Arial" w:eastAsia="Times New Roman" w:hAnsi="Arial" w:cs="Arial"/>
          <w:sz w:val="24"/>
          <w:szCs w:val="24"/>
        </w:rPr>
        <w:t xml:space="preserve"> </w:t>
      </w:r>
      <w:r w:rsidRPr="001876E4">
        <w:rPr>
          <w:rFonts w:ascii="Arial" w:eastAsia="Times New Roman" w:hAnsi="Arial" w:cs="Arial"/>
          <w:b/>
          <w:sz w:val="24"/>
          <w:szCs w:val="24"/>
        </w:rPr>
        <w:t>Clasificación por Objeto del Gasto de los Órganos Estatales Autónomos</w:t>
      </w:r>
      <w:r w:rsidRPr="001876E4">
        <w:rPr>
          <w:rFonts w:ascii="Arial" w:eastAsia="Times New Roman" w:hAnsi="Arial" w:cs="Arial"/>
          <w:sz w:val="24"/>
          <w:szCs w:val="24"/>
        </w:rPr>
        <w:t xml:space="preserve"> del presente Decreto, se presentan las asignaciones presupuestales a nivel de Capítulo, Concepto, Partida Genérica y Partida Específica, de cada uno de los Órganos Estatales Autónomos señalados en el presente artículo.</w:t>
      </w:r>
    </w:p>
    <w:p w:rsidR="001876E4" w:rsidRPr="001876E4" w:rsidRDefault="001876E4" w:rsidP="001876E4">
      <w:pPr>
        <w:spacing w:after="0" w:line="240" w:lineRule="auto"/>
        <w:contextualSpacing/>
        <w:jc w:val="both"/>
        <w:rPr>
          <w:rFonts w:ascii="Arial" w:eastAsia="Times New Roman" w:hAnsi="Arial" w:cs="Arial"/>
          <w:sz w:val="24"/>
          <w:szCs w:val="24"/>
        </w:rPr>
      </w:pPr>
    </w:p>
    <w:p w:rsidR="001876E4" w:rsidRPr="001876E4" w:rsidRDefault="001876E4" w:rsidP="001876E4">
      <w:pPr>
        <w:spacing w:after="0" w:line="240" w:lineRule="auto"/>
        <w:contextualSpacing/>
        <w:jc w:val="both"/>
        <w:rPr>
          <w:rFonts w:ascii="Arial" w:eastAsia="Times New Roman" w:hAnsi="Arial" w:cs="Arial"/>
          <w:sz w:val="24"/>
          <w:szCs w:val="24"/>
        </w:rPr>
      </w:pPr>
    </w:p>
    <w:p w:rsidR="001876E4" w:rsidRPr="001876E4" w:rsidRDefault="001876E4" w:rsidP="001876E4">
      <w:pPr>
        <w:spacing w:after="0" w:line="240" w:lineRule="auto"/>
        <w:contextualSpacing/>
        <w:jc w:val="both"/>
        <w:rPr>
          <w:rFonts w:ascii="Arial" w:eastAsia="Times New Roman" w:hAnsi="Arial" w:cs="Arial"/>
          <w:sz w:val="24"/>
          <w:szCs w:val="24"/>
        </w:rPr>
      </w:pP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2.1 </w:t>
      </w:r>
      <w:r w:rsidRPr="001876E4">
        <w:rPr>
          <w:rFonts w:ascii="Arial" w:eastAsia="Calibri" w:hAnsi="Arial" w:cs="Arial"/>
          <w:sz w:val="24"/>
          <w:szCs w:val="24"/>
          <w:lang w:val="es-ES" w:eastAsia="en-US"/>
        </w:rPr>
        <w:t xml:space="preserve">Universidad de Colima; </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2.2 </w:t>
      </w:r>
      <w:r w:rsidRPr="001876E4">
        <w:rPr>
          <w:rFonts w:ascii="Arial" w:eastAsia="Calibri" w:hAnsi="Arial" w:cs="Arial"/>
          <w:sz w:val="24"/>
          <w:szCs w:val="24"/>
          <w:lang w:val="es-ES" w:eastAsia="en-US"/>
        </w:rPr>
        <w:t>Instituto de Transparencia, Acceso a la Información Pública y Protección de Datos del Estado de Colima;</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Anexo 2.3</w:t>
      </w:r>
      <w:r w:rsidRPr="001876E4">
        <w:rPr>
          <w:rFonts w:ascii="Arial" w:eastAsia="Calibri" w:hAnsi="Arial" w:cs="Arial"/>
          <w:sz w:val="24"/>
          <w:szCs w:val="24"/>
          <w:lang w:val="es-ES" w:eastAsia="en-US"/>
        </w:rPr>
        <w:t xml:space="preserve"> Comisión de Derechos Humanos del Estado de Colima;</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2.4 </w:t>
      </w:r>
      <w:r w:rsidRPr="001876E4">
        <w:rPr>
          <w:rFonts w:ascii="Arial" w:eastAsia="Calibri" w:hAnsi="Arial" w:cs="Arial"/>
          <w:sz w:val="24"/>
          <w:szCs w:val="24"/>
          <w:lang w:val="es-ES" w:eastAsia="en-US"/>
        </w:rPr>
        <w:t>Tribunal de Arbitraje y Escalafón;</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2.5 </w:t>
      </w:r>
      <w:r w:rsidRPr="001876E4">
        <w:rPr>
          <w:rFonts w:ascii="Arial" w:eastAsia="Calibri" w:hAnsi="Arial" w:cs="Arial"/>
          <w:sz w:val="24"/>
          <w:szCs w:val="24"/>
          <w:lang w:val="es-ES" w:eastAsia="en-US"/>
        </w:rPr>
        <w:t>Tribunal de lo Contencioso Administrativo;</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Anexo 2.6</w:t>
      </w:r>
      <w:r w:rsidRPr="001876E4">
        <w:rPr>
          <w:rFonts w:ascii="Arial" w:eastAsia="Calibri" w:hAnsi="Arial" w:cs="Arial"/>
          <w:sz w:val="24"/>
          <w:szCs w:val="24"/>
          <w:lang w:val="es-ES" w:eastAsia="en-US"/>
        </w:rPr>
        <w:t xml:space="preserve"> Tribunal Electoral del Estado; y</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2.7 </w:t>
      </w:r>
      <w:r w:rsidRPr="001876E4">
        <w:rPr>
          <w:rFonts w:ascii="Arial" w:eastAsia="Calibri" w:hAnsi="Arial" w:cs="Arial"/>
          <w:sz w:val="24"/>
          <w:szCs w:val="24"/>
          <w:lang w:val="es-ES" w:eastAsia="en-US"/>
        </w:rPr>
        <w:t>Instituto Electoral del Estado de Colima.</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15</w:t>
      </w:r>
      <w:r w:rsidRPr="001876E4">
        <w:rPr>
          <w:rFonts w:ascii="Arial" w:eastAsia="Calibri" w:hAnsi="Arial" w:cs="Arial"/>
          <w:sz w:val="24"/>
          <w:szCs w:val="24"/>
          <w:lang w:val="es-ES" w:eastAsia="en-US"/>
        </w:rPr>
        <w:t>. El gasto previsto para el concepto de prerrogativas de otorgamiento de financiamiento público de los Partidos Políticos, se incluye además de otros conceptos, dentro del capítulo 40000 Transferencias, Asignaciones, Subsidios y Otras Ayudas del Instituto Electoral del Estado, que se desglosa a continuación:</w:t>
      </w:r>
    </w:p>
    <w:p w:rsidR="001876E4" w:rsidRPr="001876E4" w:rsidRDefault="001876E4" w:rsidP="001876E4">
      <w:pPr>
        <w:spacing w:after="0" w:line="240" w:lineRule="auto"/>
        <w:jc w:val="center"/>
        <w:rPr>
          <w:rFonts w:ascii="Arial" w:eastAsia="Calibri" w:hAnsi="Arial" w:cs="Arial"/>
          <w:b/>
          <w:sz w:val="20"/>
          <w:szCs w:val="24"/>
          <w:lang w:val="es-ES" w:eastAsia="en-US"/>
        </w:rPr>
      </w:pPr>
    </w:p>
    <w:p w:rsidR="001876E4" w:rsidRPr="001876E4" w:rsidRDefault="001876E4" w:rsidP="001876E4">
      <w:pPr>
        <w:spacing w:after="0" w:line="240" w:lineRule="auto"/>
        <w:jc w:val="center"/>
        <w:rPr>
          <w:rFonts w:ascii="Arial" w:eastAsia="Calibri" w:hAnsi="Arial" w:cs="Arial"/>
          <w:b/>
          <w:sz w:val="20"/>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13. Financiamiento a Partidos Políticos</w:t>
      </w:r>
    </w:p>
    <w:tbl>
      <w:tblPr>
        <w:tblStyle w:val="Tablaconcuadrcula2"/>
        <w:tblW w:w="0" w:type="auto"/>
        <w:jc w:val="center"/>
        <w:tblLook w:val="04A0" w:firstRow="1" w:lastRow="0" w:firstColumn="1" w:lastColumn="0" w:noHBand="0" w:noVBand="1"/>
      </w:tblPr>
      <w:tblGrid>
        <w:gridCol w:w="5955"/>
        <w:gridCol w:w="2131"/>
      </w:tblGrid>
      <w:tr w:rsidR="001876E4" w:rsidRPr="001876E4" w:rsidTr="00947D11">
        <w:trPr>
          <w:trHeight w:val="283"/>
          <w:jc w:val="center"/>
        </w:trPr>
        <w:tc>
          <w:tcPr>
            <w:tcW w:w="59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Concepto</w:t>
            </w:r>
          </w:p>
        </w:tc>
        <w:tc>
          <w:tcPr>
            <w:tcW w:w="213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283"/>
          <w:jc w:val="center"/>
        </w:trPr>
        <w:tc>
          <w:tcPr>
            <w:tcW w:w="59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Financiamiento Público Ordinario 2017-2018</w:t>
            </w:r>
          </w:p>
        </w:tc>
        <w:tc>
          <w:tcPr>
            <w:tcW w:w="2131"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right"/>
              <w:rPr>
                <w:rFonts w:ascii="Arial" w:hAnsi="Arial" w:cs="Arial"/>
                <w:sz w:val="20"/>
                <w:szCs w:val="20"/>
              </w:rPr>
            </w:pPr>
            <w:r w:rsidRPr="001876E4">
              <w:rPr>
                <w:rFonts w:ascii="Arial" w:hAnsi="Arial" w:cs="Arial"/>
                <w:sz w:val="20"/>
                <w:szCs w:val="20"/>
              </w:rPr>
              <w:t>25,683,433</w:t>
            </w:r>
          </w:p>
        </w:tc>
      </w:tr>
      <w:tr w:rsidR="001876E4" w:rsidRPr="001876E4" w:rsidTr="00947D11">
        <w:trPr>
          <w:trHeight w:val="283"/>
          <w:jc w:val="center"/>
        </w:trPr>
        <w:tc>
          <w:tcPr>
            <w:tcW w:w="59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Financiamiento para Gastos de Campaña</w:t>
            </w:r>
          </w:p>
        </w:tc>
        <w:tc>
          <w:tcPr>
            <w:tcW w:w="2131"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right"/>
              <w:rPr>
                <w:rFonts w:ascii="Arial" w:hAnsi="Arial" w:cs="Arial"/>
                <w:sz w:val="20"/>
                <w:szCs w:val="20"/>
              </w:rPr>
            </w:pPr>
            <w:r w:rsidRPr="001876E4">
              <w:rPr>
                <w:rFonts w:ascii="Arial" w:hAnsi="Arial" w:cs="Arial"/>
                <w:sz w:val="20"/>
                <w:szCs w:val="20"/>
              </w:rPr>
              <w:t>12,841,717</w:t>
            </w:r>
          </w:p>
        </w:tc>
      </w:tr>
      <w:tr w:rsidR="001876E4" w:rsidRPr="001876E4" w:rsidTr="00947D11">
        <w:trPr>
          <w:trHeight w:val="283"/>
          <w:jc w:val="center"/>
        </w:trPr>
        <w:tc>
          <w:tcPr>
            <w:tcW w:w="595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20"/>
                <w:szCs w:val="20"/>
              </w:rPr>
            </w:pPr>
            <w:r w:rsidRPr="001876E4">
              <w:rPr>
                <w:rFonts w:ascii="Arial" w:hAnsi="Arial" w:cs="Arial"/>
                <w:sz w:val="20"/>
                <w:szCs w:val="20"/>
              </w:rPr>
              <w:t>Financiamiento para Actividades Específicas</w:t>
            </w:r>
          </w:p>
        </w:tc>
        <w:tc>
          <w:tcPr>
            <w:tcW w:w="2131"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right"/>
              <w:rPr>
                <w:rFonts w:ascii="Arial" w:hAnsi="Arial" w:cs="Arial"/>
                <w:sz w:val="20"/>
                <w:szCs w:val="20"/>
              </w:rPr>
            </w:pPr>
            <w:r w:rsidRPr="001876E4">
              <w:rPr>
                <w:rFonts w:ascii="Arial" w:hAnsi="Arial" w:cs="Arial"/>
                <w:sz w:val="20"/>
                <w:szCs w:val="20"/>
              </w:rPr>
              <w:t>770,504</w:t>
            </w:r>
          </w:p>
        </w:tc>
      </w:tr>
      <w:tr w:rsidR="001876E4" w:rsidRPr="001876E4" w:rsidTr="00947D11">
        <w:trPr>
          <w:trHeight w:val="283"/>
          <w:jc w:val="center"/>
        </w:trPr>
        <w:tc>
          <w:tcPr>
            <w:tcW w:w="59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lastRenderedPageBreak/>
              <w:t>Total</w:t>
            </w:r>
          </w:p>
        </w:tc>
        <w:tc>
          <w:tcPr>
            <w:tcW w:w="2131"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39,295,654</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14. Prerrogativas a los Partidos Políticos</w:t>
      </w:r>
    </w:p>
    <w:tbl>
      <w:tblPr>
        <w:tblStyle w:val="Tablaconcuadrcula2"/>
        <w:tblW w:w="0" w:type="auto"/>
        <w:jc w:val="center"/>
        <w:tblLook w:val="04A0" w:firstRow="1" w:lastRow="0" w:firstColumn="1" w:lastColumn="0" w:noHBand="0" w:noVBand="1"/>
      </w:tblPr>
      <w:tblGrid>
        <w:gridCol w:w="5474"/>
        <w:gridCol w:w="1995"/>
      </w:tblGrid>
      <w:tr w:rsidR="001876E4" w:rsidRPr="001876E4" w:rsidTr="00947D11">
        <w:trPr>
          <w:trHeight w:val="472"/>
          <w:jc w:val="center"/>
        </w:trPr>
        <w:tc>
          <w:tcPr>
            <w:tcW w:w="547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Partido Político</w:t>
            </w:r>
          </w:p>
        </w:tc>
        <w:tc>
          <w:tcPr>
            <w:tcW w:w="19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Financiamiento Público Ordinario 2017-2018</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Acción Nacional (</w:t>
            </w:r>
            <w:r w:rsidRPr="001876E4">
              <w:rPr>
                <w:rFonts w:ascii="Arial" w:hAnsi="Arial" w:cs="Arial"/>
                <w:b/>
                <w:bCs/>
                <w:sz w:val="20"/>
                <w:szCs w:val="20"/>
              </w:rPr>
              <w:t>PAN</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9,147,033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Revolucionario Institucional (</w:t>
            </w:r>
            <w:r w:rsidRPr="001876E4">
              <w:rPr>
                <w:rFonts w:ascii="Arial" w:hAnsi="Arial" w:cs="Arial"/>
                <w:b/>
                <w:bCs/>
                <w:sz w:val="20"/>
                <w:szCs w:val="20"/>
              </w:rPr>
              <w:t>PRI</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7,322,638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Verde Ecologista de México (</w:t>
            </w:r>
            <w:r w:rsidRPr="001876E4">
              <w:rPr>
                <w:rFonts w:ascii="Arial" w:hAnsi="Arial" w:cs="Arial"/>
                <w:b/>
                <w:bCs/>
                <w:sz w:val="20"/>
                <w:szCs w:val="20"/>
              </w:rPr>
              <w:t>PVE</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2,348,347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del Trabajo (</w:t>
            </w:r>
            <w:r w:rsidRPr="001876E4">
              <w:rPr>
                <w:rFonts w:ascii="Arial" w:hAnsi="Arial" w:cs="Arial"/>
                <w:b/>
                <w:bCs/>
                <w:sz w:val="20"/>
                <w:szCs w:val="20"/>
              </w:rPr>
              <w:t>PT</w:t>
            </w:r>
            <w:r w:rsidRPr="001876E4">
              <w:rPr>
                <w:rFonts w:ascii="Arial" w:hAnsi="Arial" w:cs="Arial"/>
                <w:bCs/>
                <w:sz w:val="20"/>
                <w:szCs w:val="20"/>
              </w:rPr>
              <w:t xml:space="preserve">) </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1,821,373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Movimiento Ciudadano (</w:t>
            </w:r>
            <w:r w:rsidRPr="001876E4">
              <w:rPr>
                <w:rFonts w:ascii="Arial" w:hAnsi="Arial" w:cs="Arial"/>
                <w:b/>
                <w:bCs/>
                <w:sz w:val="20"/>
                <w:szCs w:val="20"/>
              </w:rPr>
              <w:t>MC</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2,402,144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Nueva Alianza (</w:t>
            </w:r>
            <w:r w:rsidRPr="001876E4">
              <w:rPr>
                <w:rFonts w:ascii="Arial" w:hAnsi="Arial" w:cs="Arial"/>
                <w:b/>
                <w:bCs/>
                <w:sz w:val="20"/>
                <w:szCs w:val="20"/>
              </w:rPr>
              <w:t>PNA</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2,179,596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de la Revolución Democrática (</w:t>
            </w:r>
            <w:r w:rsidRPr="001876E4">
              <w:rPr>
                <w:rFonts w:ascii="Arial" w:hAnsi="Arial" w:cs="Arial"/>
                <w:b/>
                <w:bCs/>
                <w:sz w:val="20"/>
                <w:szCs w:val="20"/>
              </w:rPr>
              <w:t>PRD</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154,101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Movimiento Regeneración Nacional (</w:t>
            </w:r>
            <w:r w:rsidRPr="001876E4">
              <w:rPr>
                <w:rFonts w:ascii="Arial" w:hAnsi="Arial" w:cs="Arial"/>
                <w:b/>
                <w:bCs/>
                <w:sz w:val="20"/>
                <w:szCs w:val="20"/>
              </w:rPr>
              <w:t>Morena</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154,101 </w:t>
            </w:r>
          </w:p>
        </w:tc>
      </w:tr>
      <w:tr w:rsidR="001876E4" w:rsidRPr="001876E4" w:rsidTr="00947D11">
        <w:trPr>
          <w:trHeight w:val="283"/>
          <w:jc w:val="center"/>
        </w:trPr>
        <w:tc>
          <w:tcPr>
            <w:tcW w:w="5474"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Encuentro Social (</w:t>
            </w:r>
            <w:r w:rsidRPr="001876E4">
              <w:rPr>
                <w:rFonts w:ascii="Arial" w:hAnsi="Arial" w:cs="Arial"/>
                <w:b/>
                <w:bCs/>
                <w:sz w:val="20"/>
                <w:szCs w:val="20"/>
              </w:rPr>
              <w:t>PES</w:t>
            </w:r>
            <w:r w:rsidRPr="001876E4">
              <w:rPr>
                <w:rFonts w:ascii="Arial" w:hAnsi="Arial" w:cs="Arial"/>
                <w:bCs/>
                <w:sz w:val="20"/>
                <w:szCs w:val="20"/>
              </w:rPr>
              <w:t>)</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Cs/>
                <w:color w:val="000000"/>
                <w:sz w:val="20"/>
                <w:szCs w:val="20"/>
              </w:rPr>
            </w:pPr>
            <w:r w:rsidRPr="001876E4">
              <w:rPr>
                <w:rFonts w:ascii="Arial" w:hAnsi="Arial" w:cs="Arial"/>
                <w:bCs/>
                <w:color w:val="000000"/>
                <w:sz w:val="20"/>
                <w:szCs w:val="20"/>
              </w:rPr>
              <w:t xml:space="preserve">154,101 </w:t>
            </w:r>
          </w:p>
        </w:tc>
      </w:tr>
      <w:tr w:rsidR="001876E4" w:rsidRPr="001876E4" w:rsidTr="00947D11">
        <w:trPr>
          <w:trHeight w:val="347"/>
          <w:jc w:val="center"/>
        </w:trPr>
        <w:tc>
          <w:tcPr>
            <w:tcW w:w="547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995"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 xml:space="preserve">25,683,434 </w:t>
            </w:r>
          </w:p>
        </w:tc>
      </w:tr>
    </w:tbl>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15. Calendario Presupuestal de Ministraciones a Partidos Políticos</w:t>
      </w:r>
    </w:p>
    <w:tbl>
      <w:tblPr>
        <w:tblStyle w:val="Tablaconcuadrcula2"/>
        <w:tblW w:w="9690" w:type="dxa"/>
        <w:jc w:val="center"/>
        <w:tblCellMar>
          <w:left w:w="57" w:type="dxa"/>
          <w:right w:w="57" w:type="dxa"/>
        </w:tblCellMar>
        <w:tblLook w:val="04A0" w:firstRow="1" w:lastRow="0" w:firstColumn="1" w:lastColumn="0" w:noHBand="0" w:noVBand="1"/>
      </w:tblPr>
      <w:tblGrid>
        <w:gridCol w:w="758"/>
        <w:gridCol w:w="648"/>
        <w:gridCol w:w="648"/>
        <w:gridCol w:w="675"/>
        <w:gridCol w:w="648"/>
        <w:gridCol w:w="648"/>
        <w:gridCol w:w="687"/>
        <w:gridCol w:w="699"/>
        <w:gridCol w:w="699"/>
        <w:gridCol w:w="768"/>
        <w:gridCol w:w="667"/>
        <w:gridCol w:w="735"/>
        <w:gridCol w:w="695"/>
        <w:gridCol w:w="715"/>
      </w:tblGrid>
      <w:tr w:rsidR="001876E4" w:rsidRPr="001876E4" w:rsidTr="00947D11">
        <w:trPr>
          <w:trHeight w:val="300"/>
          <w:jc w:val="center"/>
        </w:trPr>
        <w:tc>
          <w:tcPr>
            <w:tcW w:w="75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Partido</w:t>
            </w:r>
          </w:p>
        </w:tc>
        <w:tc>
          <w:tcPr>
            <w:tcW w:w="64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Enero</w:t>
            </w:r>
          </w:p>
        </w:tc>
        <w:tc>
          <w:tcPr>
            <w:tcW w:w="64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Febrero</w:t>
            </w:r>
          </w:p>
        </w:tc>
        <w:tc>
          <w:tcPr>
            <w:tcW w:w="67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Marzo</w:t>
            </w:r>
          </w:p>
        </w:tc>
        <w:tc>
          <w:tcPr>
            <w:tcW w:w="64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Abril</w:t>
            </w:r>
          </w:p>
        </w:tc>
        <w:tc>
          <w:tcPr>
            <w:tcW w:w="64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Mayo</w:t>
            </w:r>
          </w:p>
        </w:tc>
        <w:tc>
          <w:tcPr>
            <w:tcW w:w="68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Junio</w:t>
            </w:r>
          </w:p>
        </w:tc>
        <w:tc>
          <w:tcPr>
            <w:tcW w:w="70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Julio</w:t>
            </w:r>
          </w:p>
        </w:tc>
        <w:tc>
          <w:tcPr>
            <w:tcW w:w="70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Agosto</w:t>
            </w:r>
          </w:p>
        </w:tc>
        <w:tc>
          <w:tcPr>
            <w:tcW w:w="7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Septiembre</w:t>
            </w:r>
          </w:p>
        </w:tc>
        <w:tc>
          <w:tcPr>
            <w:tcW w:w="6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Octubre</w:t>
            </w:r>
          </w:p>
        </w:tc>
        <w:tc>
          <w:tcPr>
            <w:tcW w:w="73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Noviembre</w:t>
            </w:r>
          </w:p>
        </w:tc>
        <w:tc>
          <w:tcPr>
            <w:tcW w:w="6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Diciembre</w:t>
            </w:r>
          </w:p>
        </w:tc>
        <w:tc>
          <w:tcPr>
            <w:tcW w:w="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Total</w:t>
            </w:r>
          </w:p>
        </w:tc>
      </w:tr>
      <w:tr w:rsidR="001876E4" w:rsidRPr="001876E4" w:rsidTr="00947D11">
        <w:trPr>
          <w:trHeight w:val="300"/>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PAN</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762,253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762,252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762,252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762,252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9,147,033 </w:t>
            </w:r>
          </w:p>
        </w:tc>
      </w:tr>
      <w:tr w:rsidR="001876E4" w:rsidRPr="001876E4" w:rsidTr="00947D11">
        <w:trPr>
          <w:trHeight w:val="390"/>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PRI</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610,220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610,219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610,219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7,322,638 </w:t>
            </w:r>
          </w:p>
        </w:tc>
      </w:tr>
      <w:tr w:rsidR="001876E4" w:rsidRPr="001876E4" w:rsidTr="00947D11">
        <w:trPr>
          <w:trHeight w:val="285"/>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PVE</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195,696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195,695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195,695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195,695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195,695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195,695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2,348,347 </w:t>
            </w:r>
          </w:p>
        </w:tc>
      </w:tr>
      <w:tr w:rsidR="001876E4" w:rsidRPr="001876E4" w:rsidTr="00947D11">
        <w:trPr>
          <w:trHeight w:val="285"/>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PT</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151,781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1,821,373 </w:t>
            </w:r>
          </w:p>
        </w:tc>
      </w:tr>
      <w:tr w:rsidR="001876E4" w:rsidRPr="001876E4" w:rsidTr="00947D11">
        <w:trPr>
          <w:trHeight w:val="285"/>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MC</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200,178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200,179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200,178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200,178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200,178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2,402,144 </w:t>
            </w:r>
          </w:p>
        </w:tc>
      </w:tr>
      <w:tr w:rsidR="001876E4" w:rsidRPr="001876E4" w:rsidTr="00947D11">
        <w:trPr>
          <w:trHeight w:val="285"/>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PNA</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181,633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2,179,596 </w:t>
            </w:r>
          </w:p>
        </w:tc>
      </w:tr>
      <w:tr w:rsidR="001876E4" w:rsidRPr="001876E4" w:rsidTr="00947D11">
        <w:trPr>
          <w:trHeight w:val="285"/>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PRD</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154,101 </w:t>
            </w:r>
          </w:p>
        </w:tc>
      </w:tr>
      <w:tr w:rsidR="001876E4" w:rsidRPr="001876E4" w:rsidTr="00947D11">
        <w:trPr>
          <w:trHeight w:val="285"/>
          <w:jc w:val="center"/>
        </w:trPr>
        <w:tc>
          <w:tcPr>
            <w:tcW w:w="75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MORENA</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154,101 </w:t>
            </w:r>
          </w:p>
        </w:tc>
      </w:tr>
      <w:tr w:rsidR="001876E4" w:rsidRPr="001876E4" w:rsidTr="00947D11">
        <w:trPr>
          <w:trHeight w:val="300"/>
          <w:jc w:val="center"/>
        </w:trPr>
        <w:tc>
          <w:tcPr>
            <w:tcW w:w="75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b/>
                <w:sz w:val="12"/>
                <w:szCs w:val="12"/>
              </w:rPr>
            </w:pPr>
            <w:r w:rsidRPr="001876E4">
              <w:rPr>
                <w:rFonts w:ascii="Arial" w:hAnsi="Arial" w:cs="Arial"/>
                <w:b/>
                <w:sz w:val="12"/>
                <w:szCs w:val="12"/>
              </w:rPr>
              <w:t>PES</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12,842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2"/>
                <w:szCs w:val="12"/>
              </w:rPr>
            </w:pPr>
            <w:r w:rsidRPr="001876E4">
              <w:rPr>
                <w:rFonts w:ascii="Arial" w:hAnsi="Arial" w:cs="Arial"/>
                <w:sz w:val="12"/>
                <w:szCs w:val="12"/>
              </w:rPr>
              <w:t xml:space="preserve">12,841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154,101 </w:t>
            </w:r>
          </w:p>
        </w:tc>
      </w:tr>
      <w:tr w:rsidR="001876E4" w:rsidRPr="001876E4" w:rsidTr="00947D11">
        <w:trPr>
          <w:trHeight w:val="300"/>
          <w:jc w:val="center"/>
        </w:trPr>
        <w:tc>
          <w:tcPr>
            <w:tcW w:w="75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2"/>
                <w:szCs w:val="12"/>
              </w:rPr>
            </w:pPr>
            <w:r w:rsidRPr="001876E4">
              <w:rPr>
                <w:rFonts w:ascii="Arial" w:hAnsi="Arial" w:cs="Arial"/>
                <w:b/>
                <w:bCs/>
                <w:sz w:val="12"/>
                <w:szCs w:val="12"/>
              </w:rPr>
              <w:t>Total</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2,140,289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2,140,288 </w:t>
            </w:r>
          </w:p>
        </w:tc>
        <w:tc>
          <w:tcPr>
            <w:tcW w:w="67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2,140,288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2,140,288 </w:t>
            </w:r>
          </w:p>
        </w:tc>
        <w:tc>
          <w:tcPr>
            <w:tcW w:w="64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2,140,288 </w:t>
            </w:r>
          </w:p>
        </w:tc>
        <w:tc>
          <w:tcPr>
            <w:tcW w:w="6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2,140,288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2,140,288 </w:t>
            </w:r>
          </w:p>
        </w:tc>
        <w:tc>
          <w:tcPr>
            <w:tcW w:w="7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2,140,286 </w:t>
            </w:r>
          </w:p>
        </w:tc>
        <w:tc>
          <w:tcPr>
            <w:tcW w:w="7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2,140,287 </w:t>
            </w:r>
          </w:p>
        </w:tc>
        <w:tc>
          <w:tcPr>
            <w:tcW w:w="6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2,140,282 </w:t>
            </w:r>
          </w:p>
        </w:tc>
        <w:tc>
          <w:tcPr>
            <w:tcW w:w="73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2,140,281 </w:t>
            </w:r>
          </w:p>
        </w:tc>
        <w:tc>
          <w:tcPr>
            <w:tcW w:w="6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2,140,281 </w:t>
            </w:r>
          </w:p>
        </w:tc>
        <w:tc>
          <w:tcPr>
            <w:tcW w:w="70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sz w:val="12"/>
                <w:szCs w:val="12"/>
              </w:rPr>
            </w:pPr>
            <w:r w:rsidRPr="001876E4">
              <w:rPr>
                <w:rFonts w:ascii="Arial" w:hAnsi="Arial" w:cs="Arial"/>
                <w:b/>
                <w:bCs/>
                <w:sz w:val="12"/>
                <w:szCs w:val="12"/>
              </w:rPr>
              <w:t xml:space="preserve">25,683,434 </w:t>
            </w:r>
          </w:p>
        </w:tc>
      </w:tr>
    </w:tbl>
    <w:p w:rsidR="001876E4" w:rsidRPr="001876E4" w:rsidRDefault="001876E4" w:rsidP="001876E4">
      <w:pPr>
        <w:spacing w:after="0" w:line="240" w:lineRule="auto"/>
        <w:rPr>
          <w:rFonts w:ascii="Arial" w:eastAsia="Times New Roman"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16. Financiamiento para Gastos de Campaña 2017-2018</w:t>
      </w:r>
    </w:p>
    <w:tbl>
      <w:tblPr>
        <w:tblStyle w:val="Tablaconcuadrcula2"/>
        <w:tblW w:w="0" w:type="auto"/>
        <w:jc w:val="center"/>
        <w:tblLook w:val="04A0" w:firstRow="1" w:lastRow="0" w:firstColumn="1" w:lastColumn="0" w:noHBand="0" w:noVBand="1"/>
      </w:tblPr>
      <w:tblGrid>
        <w:gridCol w:w="6091"/>
        <w:gridCol w:w="1847"/>
      </w:tblGrid>
      <w:tr w:rsidR="001876E4" w:rsidRPr="001876E4" w:rsidTr="00947D11">
        <w:trPr>
          <w:trHeight w:val="472"/>
          <w:jc w:val="center"/>
        </w:trPr>
        <w:tc>
          <w:tcPr>
            <w:tcW w:w="609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18"/>
              </w:rPr>
            </w:pPr>
            <w:r w:rsidRPr="001876E4">
              <w:rPr>
                <w:rFonts w:ascii="Arial" w:hAnsi="Arial" w:cs="Arial"/>
                <w:b/>
                <w:bCs/>
                <w:sz w:val="20"/>
                <w:szCs w:val="18"/>
              </w:rPr>
              <w:t>Partido Político</w:t>
            </w:r>
          </w:p>
        </w:tc>
        <w:tc>
          <w:tcPr>
            <w:tcW w:w="184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18"/>
              </w:rPr>
            </w:pPr>
            <w:r w:rsidRPr="001876E4">
              <w:rPr>
                <w:rFonts w:ascii="Arial" w:hAnsi="Arial" w:cs="Arial"/>
                <w:b/>
                <w:bCs/>
                <w:sz w:val="20"/>
                <w:szCs w:val="18"/>
              </w:rPr>
              <w:t>Total</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Acción Nacional (</w:t>
            </w:r>
            <w:r w:rsidRPr="001876E4">
              <w:rPr>
                <w:rFonts w:ascii="Arial" w:hAnsi="Arial" w:cs="Arial"/>
                <w:b/>
                <w:bCs/>
                <w:sz w:val="20"/>
                <w:szCs w:val="18"/>
              </w:rPr>
              <w:t>PAN</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4,573,517</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Revolucionario Institucional (</w:t>
            </w:r>
            <w:r w:rsidRPr="001876E4">
              <w:rPr>
                <w:rFonts w:ascii="Arial" w:hAnsi="Arial" w:cs="Arial"/>
                <w:b/>
                <w:bCs/>
                <w:sz w:val="20"/>
                <w:szCs w:val="18"/>
              </w:rPr>
              <w:t>PRI</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3,661,319</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Verde Ecologista de México (</w:t>
            </w:r>
            <w:r w:rsidRPr="001876E4">
              <w:rPr>
                <w:rFonts w:ascii="Arial" w:hAnsi="Arial" w:cs="Arial"/>
                <w:b/>
                <w:bCs/>
                <w:sz w:val="20"/>
                <w:szCs w:val="18"/>
              </w:rPr>
              <w:t>PVE</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1,174,174</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del Trabajo (</w:t>
            </w:r>
            <w:r w:rsidRPr="001876E4">
              <w:rPr>
                <w:rFonts w:ascii="Arial" w:hAnsi="Arial" w:cs="Arial"/>
                <w:b/>
                <w:bCs/>
                <w:sz w:val="20"/>
                <w:szCs w:val="18"/>
              </w:rPr>
              <w:t>PT</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910,687</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lastRenderedPageBreak/>
              <w:t>Movimiento Ciudadano (</w:t>
            </w:r>
            <w:r w:rsidRPr="001876E4">
              <w:rPr>
                <w:rFonts w:ascii="Arial" w:hAnsi="Arial" w:cs="Arial"/>
                <w:b/>
                <w:bCs/>
                <w:sz w:val="20"/>
                <w:szCs w:val="18"/>
              </w:rPr>
              <w:t>MC</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1,201,072</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Nueva Alianza (</w:t>
            </w:r>
            <w:r w:rsidRPr="001876E4">
              <w:rPr>
                <w:rFonts w:ascii="Arial" w:hAnsi="Arial" w:cs="Arial"/>
                <w:b/>
                <w:bCs/>
                <w:sz w:val="20"/>
                <w:szCs w:val="18"/>
              </w:rPr>
              <w:t>PNA</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1,089,798</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de la Revolución Democrática (</w:t>
            </w:r>
            <w:r w:rsidRPr="001876E4">
              <w:rPr>
                <w:rFonts w:ascii="Arial" w:hAnsi="Arial" w:cs="Arial"/>
                <w:b/>
                <w:bCs/>
                <w:sz w:val="20"/>
                <w:szCs w:val="18"/>
              </w:rPr>
              <w:t>PRD</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77,050</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Movimiento Regeneración Nacional (</w:t>
            </w:r>
            <w:r w:rsidRPr="001876E4">
              <w:rPr>
                <w:rFonts w:ascii="Arial" w:hAnsi="Arial" w:cs="Arial"/>
                <w:b/>
                <w:bCs/>
                <w:sz w:val="20"/>
                <w:szCs w:val="18"/>
              </w:rPr>
              <w:t>Morena</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77,050</w:t>
            </w:r>
          </w:p>
        </w:tc>
      </w:tr>
      <w:tr w:rsidR="001876E4" w:rsidRPr="001876E4" w:rsidTr="00947D11">
        <w:trPr>
          <w:trHeight w:val="283"/>
          <w:jc w:val="center"/>
        </w:trPr>
        <w:tc>
          <w:tcPr>
            <w:tcW w:w="609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bCs/>
                <w:sz w:val="20"/>
                <w:szCs w:val="18"/>
              </w:rPr>
            </w:pPr>
            <w:r w:rsidRPr="001876E4">
              <w:rPr>
                <w:rFonts w:ascii="Arial" w:hAnsi="Arial" w:cs="Arial"/>
                <w:bCs/>
                <w:sz w:val="20"/>
                <w:szCs w:val="18"/>
              </w:rPr>
              <w:t>Partido Encuentro Social (</w:t>
            </w:r>
            <w:r w:rsidRPr="001876E4">
              <w:rPr>
                <w:rFonts w:ascii="Arial" w:hAnsi="Arial" w:cs="Arial"/>
                <w:b/>
                <w:bCs/>
                <w:sz w:val="20"/>
                <w:szCs w:val="18"/>
              </w:rPr>
              <w:t>PES</w:t>
            </w:r>
            <w:r w:rsidRPr="001876E4">
              <w:rPr>
                <w:rFonts w:ascii="Arial" w:hAnsi="Arial" w:cs="Arial"/>
                <w:bCs/>
                <w:sz w:val="20"/>
                <w:szCs w:val="18"/>
              </w:rPr>
              <w:t>)</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77,050</w:t>
            </w:r>
          </w:p>
        </w:tc>
      </w:tr>
      <w:tr w:rsidR="001876E4" w:rsidRPr="001876E4" w:rsidTr="00947D11">
        <w:trPr>
          <w:trHeight w:val="347"/>
          <w:jc w:val="center"/>
        </w:trPr>
        <w:tc>
          <w:tcPr>
            <w:tcW w:w="609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18"/>
              </w:rPr>
            </w:pPr>
            <w:r w:rsidRPr="001876E4">
              <w:rPr>
                <w:rFonts w:ascii="Arial" w:hAnsi="Arial" w:cs="Arial"/>
                <w:b/>
                <w:bCs/>
                <w:sz w:val="20"/>
                <w:szCs w:val="18"/>
              </w:rPr>
              <w:t>Total</w:t>
            </w:r>
          </w:p>
        </w:tc>
        <w:tc>
          <w:tcPr>
            <w:tcW w:w="18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18"/>
              </w:rPr>
            </w:pPr>
            <w:r w:rsidRPr="001876E4">
              <w:rPr>
                <w:rFonts w:ascii="Arial" w:hAnsi="Arial" w:cs="Arial"/>
                <w:b/>
                <w:bCs/>
                <w:color w:val="000000"/>
                <w:sz w:val="20"/>
                <w:szCs w:val="18"/>
              </w:rPr>
              <w:t>12,841,717</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17. Financiamiento para Actividades Específicas</w:t>
      </w:r>
    </w:p>
    <w:tbl>
      <w:tblPr>
        <w:tblStyle w:val="Tablaconcuadrcula"/>
        <w:tblW w:w="0" w:type="auto"/>
        <w:jc w:val="center"/>
        <w:tblLook w:val="04A0" w:firstRow="1" w:lastRow="0" w:firstColumn="1" w:lastColumn="0" w:noHBand="0" w:noVBand="1"/>
      </w:tblPr>
      <w:tblGrid>
        <w:gridCol w:w="4248"/>
        <w:gridCol w:w="1385"/>
        <w:gridCol w:w="1450"/>
        <w:gridCol w:w="1745"/>
      </w:tblGrid>
      <w:tr w:rsidR="001876E4" w:rsidRPr="001876E4" w:rsidTr="00947D11">
        <w:trPr>
          <w:jc w:val="center"/>
        </w:trPr>
        <w:tc>
          <w:tcPr>
            <w:tcW w:w="4248" w:type="dxa"/>
            <w:vAlign w:val="center"/>
          </w:tcPr>
          <w:p w:rsidR="001876E4" w:rsidRPr="001876E4" w:rsidRDefault="001876E4" w:rsidP="001876E4">
            <w:pPr>
              <w:jc w:val="center"/>
              <w:rPr>
                <w:rFonts w:ascii="Arial" w:eastAsia="Calibri" w:hAnsi="Arial" w:cs="Arial"/>
                <w:b/>
                <w:sz w:val="20"/>
                <w:szCs w:val="20"/>
                <w:lang w:val="es-ES" w:eastAsia="en-US"/>
              </w:rPr>
            </w:pPr>
            <w:r w:rsidRPr="001876E4">
              <w:rPr>
                <w:rFonts w:ascii="Arial" w:eastAsia="Calibri" w:hAnsi="Arial" w:cs="Arial"/>
                <w:b/>
                <w:sz w:val="20"/>
                <w:szCs w:val="20"/>
                <w:lang w:val="es-ES" w:eastAsia="en-US"/>
              </w:rPr>
              <w:t>Partido</w:t>
            </w:r>
          </w:p>
        </w:tc>
        <w:tc>
          <w:tcPr>
            <w:tcW w:w="1385" w:type="dxa"/>
            <w:vAlign w:val="center"/>
          </w:tcPr>
          <w:p w:rsidR="001876E4" w:rsidRPr="001876E4" w:rsidRDefault="001876E4" w:rsidP="001876E4">
            <w:pPr>
              <w:jc w:val="center"/>
              <w:rPr>
                <w:rFonts w:ascii="Arial" w:eastAsia="Calibri" w:hAnsi="Arial" w:cs="Arial"/>
                <w:b/>
                <w:sz w:val="20"/>
                <w:szCs w:val="20"/>
                <w:lang w:val="es-ES" w:eastAsia="en-US"/>
              </w:rPr>
            </w:pPr>
            <w:r w:rsidRPr="001876E4">
              <w:rPr>
                <w:rFonts w:ascii="Arial" w:eastAsia="Calibri" w:hAnsi="Arial" w:cs="Arial"/>
                <w:b/>
                <w:sz w:val="20"/>
                <w:szCs w:val="20"/>
                <w:lang w:val="es-ES" w:eastAsia="en-US"/>
              </w:rPr>
              <w:t>Actividades especificas</w:t>
            </w:r>
          </w:p>
        </w:tc>
        <w:tc>
          <w:tcPr>
            <w:tcW w:w="1450" w:type="dxa"/>
            <w:vAlign w:val="center"/>
          </w:tcPr>
          <w:p w:rsidR="001876E4" w:rsidRPr="001876E4" w:rsidRDefault="001876E4" w:rsidP="001876E4">
            <w:pPr>
              <w:jc w:val="center"/>
              <w:rPr>
                <w:rFonts w:ascii="Arial" w:eastAsia="Calibri" w:hAnsi="Arial" w:cs="Arial"/>
                <w:b/>
                <w:sz w:val="20"/>
                <w:szCs w:val="20"/>
                <w:lang w:val="es-ES" w:eastAsia="en-US"/>
              </w:rPr>
            </w:pPr>
            <w:r w:rsidRPr="001876E4">
              <w:rPr>
                <w:rFonts w:ascii="Arial" w:eastAsia="Calibri" w:hAnsi="Arial" w:cs="Arial"/>
                <w:b/>
                <w:sz w:val="20"/>
                <w:szCs w:val="20"/>
                <w:lang w:val="es-ES" w:eastAsia="en-US"/>
              </w:rPr>
              <w:t>Fundaciones</w:t>
            </w:r>
          </w:p>
        </w:tc>
        <w:tc>
          <w:tcPr>
            <w:tcW w:w="1745" w:type="dxa"/>
            <w:vAlign w:val="center"/>
          </w:tcPr>
          <w:p w:rsidR="001876E4" w:rsidRPr="001876E4" w:rsidRDefault="001876E4" w:rsidP="001876E4">
            <w:pPr>
              <w:jc w:val="center"/>
              <w:rPr>
                <w:rFonts w:ascii="Arial" w:eastAsia="Calibri" w:hAnsi="Arial" w:cs="Arial"/>
                <w:b/>
                <w:sz w:val="20"/>
                <w:szCs w:val="20"/>
                <w:lang w:val="es-ES" w:eastAsia="en-US"/>
              </w:rPr>
            </w:pPr>
            <w:r w:rsidRPr="001876E4">
              <w:rPr>
                <w:rFonts w:ascii="Arial" w:eastAsia="Calibri" w:hAnsi="Arial" w:cs="Arial"/>
                <w:b/>
                <w:sz w:val="20"/>
                <w:szCs w:val="20"/>
                <w:lang w:val="es-ES" w:eastAsia="en-US"/>
              </w:rPr>
              <w:t>Capacitación y Liderazgo Político de las Mujeres</w:t>
            </w:r>
          </w:p>
        </w:tc>
      </w:tr>
      <w:tr w:rsidR="001876E4" w:rsidRPr="001876E4" w:rsidTr="00947D11">
        <w:trPr>
          <w:trHeight w:val="352"/>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Acción Nacional (</w:t>
            </w:r>
            <w:r w:rsidRPr="001876E4">
              <w:rPr>
                <w:rFonts w:ascii="Arial" w:hAnsi="Arial" w:cs="Arial"/>
                <w:b/>
                <w:bCs/>
                <w:sz w:val="20"/>
                <w:szCs w:val="20"/>
              </w:rPr>
              <w:t>PAN</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263,881</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72"/>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Revolucionario Institucional (</w:t>
            </w:r>
            <w:r w:rsidRPr="001876E4">
              <w:rPr>
                <w:rFonts w:ascii="Arial" w:hAnsi="Arial" w:cs="Arial"/>
                <w:b/>
                <w:bCs/>
                <w:sz w:val="20"/>
                <w:szCs w:val="20"/>
              </w:rPr>
              <w:t>PRI</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209,151</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76"/>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Verde Ecologista de México (</w:t>
            </w:r>
            <w:r w:rsidRPr="001876E4">
              <w:rPr>
                <w:rFonts w:ascii="Arial" w:hAnsi="Arial" w:cs="Arial"/>
                <w:b/>
                <w:bCs/>
                <w:sz w:val="20"/>
                <w:szCs w:val="20"/>
              </w:rPr>
              <w:t>PVE</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59,920</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80"/>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del Trabajo (</w:t>
            </w:r>
            <w:r w:rsidRPr="001876E4">
              <w:rPr>
                <w:rFonts w:ascii="Arial" w:hAnsi="Arial" w:cs="Arial"/>
                <w:b/>
                <w:bCs/>
                <w:sz w:val="20"/>
                <w:szCs w:val="20"/>
              </w:rPr>
              <w:t>PT</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44,111</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56"/>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Movimiento Ciudadano (</w:t>
            </w:r>
            <w:r w:rsidRPr="001876E4">
              <w:rPr>
                <w:rFonts w:ascii="Arial" w:hAnsi="Arial" w:cs="Arial"/>
                <w:b/>
                <w:bCs/>
                <w:sz w:val="20"/>
                <w:szCs w:val="20"/>
              </w:rPr>
              <w:t>MC</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61,534</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74"/>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Nueva Alianza (</w:t>
            </w:r>
            <w:r w:rsidRPr="001876E4">
              <w:rPr>
                <w:rFonts w:ascii="Arial" w:hAnsi="Arial" w:cs="Arial"/>
                <w:b/>
                <w:bCs/>
                <w:sz w:val="20"/>
                <w:szCs w:val="20"/>
              </w:rPr>
              <w:t>PNA</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54,858</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92"/>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de la Revolución Democrática (</w:t>
            </w:r>
            <w:r w:rsidRPr="001876E4">
              <w:rPr>
                <w:rFonts w:ascii="Arial" w:hAnsi="Arial" w:cs="Arial"/>
                <w:b/>
                <w:bCs/>
                <w:sz w:val="20"/>
                <w:szCs w:val="20"/>
              </w:rPr>
              <w:t>PRD</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25,683</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54"/>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Movimiento Regeneración Nacional (</w:t>
            </w:r>
            <w:r w:rsidRPr="001876E4">
              <w:rPr>
                <w:rFonts w:ascii="Arial" w:hAnsi="Arial" w:cs="Arial"/>
                <w:b/>
                <w:bCs/>
                <w:sz w:val="20"/>
                <w:szCs w:val="20"/>
              </w:rPr>
              <w:t>Morena</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25,683</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72"/>
          <w:jc w:val="center"/>
        </w:trPr>
        <w:tc>
          <w:tcPr>
            <w:tcW w:w="4248" w:type="dxa"/>
            <w:vAlign w:val="center"/>
          </w:tcPr>
          <w:p w:rsidR="001876E4" w:rsidRPr="001876E4" w:rsidRDefault="001876E4" w:rsidP="001876E4">
            <w:pPr>
              <w:rPr>
                <w:rFonts w:ascii="Arial" w:hAnsi="Arial" w:cs="Arial"/>
                <w:bCs/>
                <w:sz w:val="20"/>
                <w:szCs w:val="20"/>
              </w:rPr>
            </w:pPr>
            <w:r w:rsidRPr="001876E4">
              <w:rPr>
                <w:rFonts w:ascii="Arial" w:hAnsi="Arial" w:cs="Arial"/>
                <w:bCs/>
                <w:sz w:val="20"/>
                <w:szCs w:val="20"/>
              </w:rPr>
              <w:t>Partido Encuentro Social (</w:t>
            </w:r>
            <w:r w:rsidRPr="001876E4">
              <w:rPr>
                <w:rFonts w:ascii="Arial" w:hAnsi="Arial" w:cs="Arial"/>
                <w:b/>
                <w:bCs/>
                <w:sz w:val="20"/>
                <w:szCs w:val="20"/>
              </w:rPr>
              <w:t>PES</w:t>
            </w:r>
            <w:r w:rsidRPr="001876E4">
              <w:rPr>
                <w:rFonts w:ascii="Arial" w:hAnsi="Arial" w:cs="Arial"/>
                <w:bCs/>
                <w:sz w:val="20"/>
                <w:szCs w:val="20"/>
              </w:rPr>
              <w:t>)</w:t>
            </w:r>
          </w:p>
        </w:tc>
        <w:tc>
          <w:tcPr>
            <w:tcW w:w="1385" w:type="dxa"/>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25,683</w:t>
            </w:r>
          </w:p>
        </w:tc>
        <w:tc>
          <w:tcPr>
            <w:tcW w:w="1450"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sz w:val="20"/>
                <w:szCs w:val="20"/>
                <w:lang w:val="es-ES" w:eastAsia="en-US"/>
              </w:rPr>
            </w:pPr>
            <w:r w:rsidRPr="001876E4">
              <w:rPr>
                <w:rFonts w:ascii="Arial" w:eastAsia="Calibri" w:hAnsi="Arial" w:cs="Arial"/>
                <w:sz w:val="20"/>
                <w:szCs w:val="20"/>
                <w:lang w:val="es-ES" w:eastAsia="en-US"/>
              </w:rPr>
              <w:t>0</w:t>
            </w:r>
          </w:p>
        </w:tc>
      </w:tr>
      <w:tr w:rsidR="001876E4" w:rsidRPr="001876E4" w:rsidTr="00947D11">
        <w:trPr>
          <w:trHeight w:val="290"/>
          <w:jc w:val="center"/>
        </w:trPr>
        <w:tc>
          <w:tcPr>
            <w:tcW w:w="4248" w:type="dxa"/>
            <w:vAlign w:val="center"/>
          </w:tcPr>
          <w:p w:rsidR="001876E4" w:rsidRPr="001876E4" w:rsidRDefault="001876E4" w:rsidP="001876E4">
            <w:pPr>
              <w:jc w:val="center"/>
              <w:rPr>
                <w:rFonts w:ascii="Arial" w:eastAsia="Calibri" w:hAnsi="Arial" w:cs="Arial"/>
                <w:b/>
                <w:sz w:val="20"/>
                <w:szCs w:val="20"/>
                <w:lang w:val="es-ES" w:eastAsia="en-US"/>
              </w:rPr>
            </w:pPr>
            <w:r w:rsidRPr="001876E4">
              <w:rPr>
                <w:rFonts w:ascii="Arial" w:eastAsia="Calibri" w:hAnsi="Arial" w:cs="Arial"/>
                <w:b/>
                <w:sz w:val="20"/>
                <w:szCs w:val="20"/>
                <w:lang w:val="es-ES" w:eastAsia="en-US"/>
              </w:rPr>
              <w:t>Total</w:t>
            </w:r>
          </w:p>
        </w:tc>
        <w:tc>
          <w:tcPr>
            <w:tcW w:w="1385" w:type="dxa"/>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770,504</w:t>
            </w:r>
          </w:p>
        </w:tc>
        <w:tc>
          <w:tcPr>
            <w:tcW w:w="1450" w:type="dxa"/>
            <w:vAlign w:val="center"/>
          </w:tcPr>
          <w:p w:rsidR="001876E4" w:rsidRPr="001876E4" w:rsidRDefault="001876E4" w:rsidP="001876E4">
            <w:pPr>
              <w:jc w:val="right"/>
              <w:rPr>
                <w:rFonts w:ascii="Arial" w:eastAsia="Calibri" w:hAnsi="Arial" w:cs="Arial"/>
                <w:b/>
                <w:sz w:val="20"/>
                <w:szCs w:val="20"/>
                <w:lang w:val="es-ES" w:eastAsia="en-US"/>
              </w:rPr>
            </w:pPr>
            <w:r w:rsidRPr="001876E4">
              <w:rPr>
                <w:rFonts w:ascii="Arial" w:eastAsia="Calibri" w:hAnsi="Arial" w:cs="Arial"/>
                <w:b/>
                <w:sz w:val="20"/>
                <w:szCs w:val="20"/>
                <w:lang w:val="es-ES" w:eastAsia="en-US"/>
              </w:rPr>
              <w:t>0</w:t>
            </w:r>
          </w:p>
        </w:tc>
        <w:tc>
          <w:tcPr>
            <w:tcW w:w="1745" w:type="dxa"/>
            <w:vAlign w:val="center"/>
          </w:tcPr>
          <w:p w:rsidR="001876E4" w:rsidRPr="001876E4" w:rsidRDefault="001876E4" w:rsidP="001876E4">
            <w:pPr>
              <w:jc w:val="right"/>
              <w:rPr>
                <w:rFonts w:ascii="Arial" w:eastAsia="Calibri" w:hAnsi="Arial" w:cs="Arial"/>
                <w:b/>
                <w:sz w:val="20"/>
                <w:szCs w:val="20"/>
                <w:lang w:val="es-ES" w:eastAsia="en-US"/>
              </w:rPr>
            </w:pPr>
            <w:r w:rsidRPr="001876E4">
              <w:rPr>
                <w:rFonts w:ascii="Arial" w:eastAsia="Calibri" w:hAnsi="Arial" w:cs="Arial"/>
                <w:b/>
                <w:sz w:val="20"/>
                <w:szCs w:val="20"/>
                <w:lang w:val="es-ES" w:eastAsia="en-US"/>
              </w:rPr>
              <w:t>0</w:t>
            </w:r>
          </w:p>
        </w:tc>
      </w:tr>
    </w:tbl>
    <w:p w:rsidR="001876E4" w:rsidRPr="001876E4" w:rsidRDefault="001876E4" w:rsidP="001876E4">
      <w:pPr>
        <w:spacing w:after="0" w:line="240" w:lineRule="auto"/>
        <w:jc w:val="both"/>
        <w:rPr>
          <w:rFonts w:ascii="Arial" w:eastAsia="Calibri" w:hAnsi="Arial" w:cs="Arial"/>
          <w:sz w:val="18"/>
          <w:szCs w:val="24"/>
          <w:lang w:val="es-ES" w:eastAsia="en-US"/>
        </w:rPr>
      </w:pPr>
      <w:r w:rsidRPr="001876E4">
        <w:rPr>
          <w:rFonts w:ascii="Arial" w:eastAsia="Calibri" w:hAnsi="Arial" w:cs="Arial"/>
          <w:b/>
          <w:sz w:val="18"/>
          <w:szCs w:val="24"/>
          <w:lang w:val="es-ES" w:eastAsia="en-US"/>
        </w:rPr>
        <w:t>Nota:</w:t>
      </w:r>
      <w:r w:rsidRPr="001876E4">
        <w:rPr>
          <w:rFonts w:ascii="Arial" w:eastAsia="Calibri" w:hAnsi="Arial" w:cs="Arial"/>
          <w:sz w:val="18"/>
          <w:szCs w:val="24"/>
          <w:lang w:val="es-ES" w:eastAsia="en-US"/>
        </w:rPr>
        <w:t xml:space="preserve"> La Ley General de Partidos en su artículo 51, numeral 1, inciso a) fracción V, señala que: “</w:t>
      </w:r>
      <w:r w:rsidRPr="001876E4">
        <w:rPr>
          <w:rFonts w:ascii="Arial" w:eastAsia="Calibri" w:hAnsi="Arial" w:cs="Arial"/>
          <w:i/>
          <w:sz w:val="18"/>
          <w:szCs w:val="24"/>
          <w:lang w:val="es-ES" w:eastAsia="en-US"/>
        </w:rPr>
        <w:t>para la capacitación, promoción y el desarrollo del liderazgo político de las mujeres, cada partido político deberá destinar anualmente, el tres por ciento del financiamiento público ordinario</w:t>
      </w:r>
      <w:r w:rsidRPr="001876E4">
        <w:rPr>
          <w:rFonts w:ascii="Arial" w:eastAsia="Calibri" w:hAnsi="Arial" w:cs="Arial"/>
          <w:sz w:val="18"/>
          <w:szCs w:val="24"/>
          <w:lang w:val="es-ES" w:eastAsia="en-US"/>
        </w:rPr>
        <w:t>”; en este mismo sentido, el Código Electoral del Estado de Colima, en su artículo 64 fracción X, establece que “</w:t>
      </w:r>
      <w:r w:rsidRPr="001876E4">
        <w:rPr>
          <w:rFonts w:ascii="Arial" w:eastAsia="Calibri" w:hAnsi="Arial" w:cs="Arial"/>
          <w:i/>
          <w:sz w:val="18"/>
          <w:szCs w:val="24"/>
          <w:lang w:val="es-ES" w:eastAsia="en-US"/>
        </w:rPr>
        <w:t>cada partido político deberá destinar anualmente el 3% del financiamiento público anual que le corresponda, para la  capacitación, promoción y el desarrollo del liderazgo político de las mujeres</w:t>
      </w:r>
      <w:r w:rsidRPr="001876E4">
        <w:rPr>
          <w:rFonts w:ascii="Arial" w:eastAsia="Calibri" w:hAnsi="Arial" w:cs="Arial"/>
          <w:sz w:val="18"/>
          <w:szCs w:val="24"/>
          <w:lang w:val="es-ES" w:eastAsia="en-US"/>
        </w:rPr>
        <w:t>”.</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16</w:t>
      </w:r>
      <w:r w:rsidRPr="001876E4">
        <w:rPr>
          <w:rFonts w:ascii="Arial" w:eastAsia="Calibri" w:hAnsi="Arial" w:cs="Arial"/>
          <w:sz w:val="24"/>
          <w:szCs w:val="24"/>
          <w:lang w:val="es-ES" w:eastAsia="en-US"/>
        </w:rPr>
        <w:t xml:space="preserve">. La asignación prevista para el </w:t>
      </w:r>
      <w:r w:rsidRPr="001876E4">
        <w:rPr>
          <w:rFonts w:ascii="Arial" w:eastAsia="Calibri" w:hAnsi="Arial" w:cs="Arial"/>
          <w:b/>
          <w:sz w:val="24"/>
          <w:szCs w:val="24"/>
          <w:lang w:val="es-ES" w:eastAsia="en-US"/>
        </w:rPr>
        <w:t>Poder Legislativo del Estado de Colima</w:t>
      </w:r>
      <w:r w:rsidRPr="001876E4">
        <w:rPr>
          <w:rFonts w:ascii="Arial" w:eastAsia="Calibri" w:hAnsi="Arial" w:cs="Arial"/>
          <w:sz w:val="24"/>
          <w:szCs w:val="24"/>
          <w:lang w:val="es-ES" w:eastAsia="en-US"/>
        </w:rPr>
        <w:t xml:space="preserve"> importa la cantidad de </w:t>
      </w:r>
      <w:r w:rsidRPr="001876E4">
        <w:rPr>
          <w:rFonts w:ascii="Arial" w:eastAsia="Calibri" w:hAnsi="Arial" w:cs="Arial"/>
          <w:b/>
          <w:sz w:val="24"/>
          <w:szCs w:val="24"/>
          <w:lang w:val="es-ES" w:eastAsia="en-US"/>
        </w:rPr>
        <w:t>$130,000,000</w:t>
      </w:r>
      <w:r w:rsidRPr="001876E4">
        <w:rPr>
          <w:rFonts w:ascii="Arial" w:eastAsia="Calibri" w:hAnsi="Arial" w:cs="Arial"/>
          <w:sz w:val="24"/>
          <w:szCs w:val="24"/>
          <w:lang w:val="es-ES" w:eastAsia="en-US"/>
        </w:rPr>
        <w:t xml:space="preserve"> que comprende los recursos públicos asignados 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18. Asignación Presupuestaria al Poder Legislativo del Estado de Colima</w:t>
      </w:r>
    </w:p>
    <w:tbl>
      <w:tblPr>
        <w:tblStyle w:val="Tablaconcuadrcula2"/>
        <w:tblW w:w="0" w:type="auto"/>
        <w:jc w:val="center"/>
        <w:tblLook w:val="04A0" w:firstRow="1" w:lastRow="0" w:firstColumn="1" w:lastColumn="0" w:noHBand="0" w:noVBand="1"/>
      </w:tblPr>
      <w:tblGrid>
        <w:gridCol w:w="938"/>
        <w:gridCol w:w="5649"/>
        <w:gridCol w:w="1493"/>
      </w:tblGrid>
      <w:tr w:rsidR="001876E4" w:rsidRPr="001876E4" w:rsidTr="00947D11">
        <w:trPr>
          <w:trHeight w:val="283"/>
          <w:jc w:val="center"/>
        </w:trPr>
        <w:tc>
          <w:tcPr>
            <w:tcW w:w="93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Partida</w:t>
            </w:r>
          </w:p>
        </w:tc>
        <w:tc>
          <w:tcPr>
            <w:tcW w:w="5649"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Poder Legislativo</w:t>
            </w:r>
          </w:p>
        </w:tc>
        <w:tc>
          <w:tcPr>
            <w:tcW w:w="149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Asignación Presupuestal</w:t>
            </w:r>
          </w:p>
        </w:tc>
      </w:tr>
      <w:tr w:rsidR="001876E4" w:rsidRPr="001876E4" w:rsidTr="00947D11">
        <w:trPr>
          <w:trHeight w:val="362"/>
          <w:jc w:val="center"/>
        </w:trPr>
        <w:tc>
          <w:tcPr>
            <w:tcW w:w="93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rPr>
            </w:pPr>
            <w:r w:rsidRPr="001876E4">
              <w:rPr>
                <w:rFonts w:ascii="Arial" w:hAnsi="Arial" w:cs="Arial"/>
                <w:sz w:val="20"/>
              </w:rPr>
              <w:t>41201</w:t>
            </w:r>
          </w:p>
        </w:tc>
        <w:tc>
          <w:tcPr>
            <w:tcW w:w="564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H. Congreso del Estado de Colima</w:t>
            </w:r>
          </w:p>
        </w:tc>
        <w:tc>
          <w:tcPr>
            <w:tcW w:w="14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95,000,000</w:t>
            </w:r>
          </w:p>
        </w:tc>
      </w:tr>
      <w:tr w:rsidR="001876E4" w:rsidRPr="001876E4" w:rsidTr="00947D11">
        <w:trPr>
          <w:trHeight w:val="424"/>
          <w:jc w:val="center"/>
        </w:trPr>
        <w:tc>
          <w:tcPr>
            <w:tcW w:w="93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rPr>
            </w:pPr>
            <w:r w:rsidRPr="001876E4">
              <w:rPr>
                <w:rFonts w:ascii="Arial" w:hAnsi="Arial" w:cs="Arial"/>
                <w:sz w:val="20"/>
              </w:rPr>
              <w:t>41203</w:t>
            </w:r>
          </w:p>
        </w:tc>
        <w:tc>
          <w:tcPr>
            <w:tcW w:w="564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rPr>
            </w:pPr>
            <w:r w:rsidRPr="001876E4">
              <w:rPr>
                <w:rFonts w:ascii="Arial" w:hAnsi="Arial" w:cs="Arial"/>
                <w:sz w:val="20"/>
              </w:rPr>
              <w:t>Órgano Superior de Auditoría y Fiscalización Gubernamental del Estado</w:t>
            </w:r>
          </w:p>
        </w:tc>
        <w:tc>
          <w:tcPr>
            <w:tcW w:w="14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35,000,000</w:t>
            </w:r>
          </w:p>
        </w:tc>
      </w:tr>
      <w:tr w:rsidR="001876E4" w:rsidRPr="001876E4" w:rsidTr="00947D11">
        <w:trPr>
          <w:trHeight w:val="283"/>
          <w:jc w:val="center"/>
        </w:trPr>
        <w:tc>
          <w:tcPr>
            <w:tcW w:w="93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20"/>
              </w:rPr>
            </w:pPr>
          </w:p>
        </w:tc>
        <w:tc>
          <w:tcPr>
            <w:tcW w:w="5649"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rPr>
            </w:pPr>
            <w:r w:rsidRPr="001876E4">
              <w:rPr>
                <w:rFonts w:ascii="Arial" w:hAnsi="Arial" w:cs="Arial"/>
                <w:b/>
                <w:bCs/>
                <w:sz w:val="20"/>
              </w:rPr>
              <w:t>Total</w:t>
            </w:r>
          </w:p>
        </w:tc>
        <w:tc>
          <w:tcPr>
            <w:tcW w:w="14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130,000,000</w:t>
            </w:r>
          </w:p>
        </w:tc>
      </w:tr>
    </w:tbl>
    <w:p w:rsidR="001876E4" w:rsidRPr="001876E4" w:rsidRDefault="001876E4" w:rsidP="001876E4">
      <w:pPr>
        <w:spacing w:after="0" w:line="240" w:lineRule="auto"/>
        <w:jc w:val="both"/>
        <w:rPr>
          <w:rFonts w:ascii="Arial" w:eastAsia="Calibri" w:hAnsi="Arial" w:cs="Times New Roman"/>
          <w:sz w:val="24"/>
          <w:lang w:val="es-ES" w:eastAsia="en-US"/>
        </w:rPr>
      </w:pPr>
    </w:p>
    <w:p w:rsidR="001876E4" w:rsidRPr="001876E4" w:rsidRDefault="001876E4" w:rsidP="001876E4">
      <w:pPr>
        <w:spacing w:after="0" w:line="240" w:lineRule="auto"/>
        <w:ind w:left="567" w:hanging="567"/>
        <w:jc w:val="both"/>
        <w:rPr>
          <w:rFonts w:ascii="Arial" w:eastAsia="Calibri" w:hAnsi="Arial" w:cs="Arial"/>
          <w:bCs/>
          <w:color w:val="000000"/>
          <w:sz w:val="24"/>
          <w:szCs w:val="24"/>
          <w:lang w:val="es-ES" w:eastAsia="en-US"/>
        </w:rPr>
      </w:pPr>
      <w:r w:rsidRPr="001876E4">
        <w:rPr>
          <w:rFonts w:ascii="Arial" w:eastAsia="Calibri" w:hAnsi="Arial" w:cs="Arial"/>
          <w:bCs/>
          <w:color w:val="000000"/>
          <w:sz w:val="24"/>
          <w:szCs w:val="24"/>
          <w:lang w:val="es-ES" w:eastAsia="en-US"/>
        </w:rPr>
        <w:lastRenderedPageBreak/>
        <w:t>I.</w:t>
      </w:r>
      <w:r w:rsidRPr="001876E4">
        <w:rPr>
          <w:rFonts w:ascii="Arial" w:eastAsia="Calibri" w:hAnsi="Arial" w:cs="Arial"/>
          <w:bCs/>
          <w:color w:val="000000"/>
          <w:sz w:val="24"/>
          <w:szCs w:val="24"/>
          <w:lang w:val="es-ES" w:eastAsia="en-US"/>
        </w:rPr>
        <w:tab/>
        <w:t>La asignación prevista para el</w:t>
      </w:r>
      <w:r w:rsidRPr="001876E4">
        <w:rPr>
          <w:rFonts w:ascii="Arial" w:eastAsia="Calibri" w:hAnsi="Arial" w:cs="Arial"/>
          <w:b/>
          <w:bCs/>
          <w:color w:val="000000"/>
          <w:sz w:val="24"/>
          <w:szCs w:val="24"/>
          <w:lang w:val="es-ES" w:eastAsia="en-US"/>
        </w:rPr>
        <w:t xml:space="preserve"> H. Congreso del Estado de Colima</w:t>
      </w:r>
      <w:r w:rsidRPr="001876E4">
        <w:rPr>
          <w:rFonts w:ascii="Arial" w:eastAsia="Calibri" w:hAnsi="Arial" w:cs="Arial"/>
          <w:bCs/>
          <w:color w:val="000000"/>
          <w:sz w:val="24"/>
          <w:szCs w:val="24"/>
          <w:lang w:val="es-ES" w:eastAsia="en-US"/>
        </w:rPr>
        <w:t xml:space="preserve"> se integra de la siguiente manera:</w:t>
      </w:r>
    </w:p>
    <w:p w:rsidR="001876E4" w:rsidRPr="001876E4" w:rsidRDefault="001876E4" w:rsidP="001876E4">
      <w:pPr>
        <w:spacing w:after="0" w:line="240" w:lineRule="auto"/>
        <w:ind w:left="567" w:hanging="567"/>
        <w:jc w:val="both"/>
        <w:rPr>
          <w:rFonts w:ascii="Arial" w:eastAsia="Calibri" w:hAnsi="Arial" w:cs="Arial"/>
          <w:bCs/>
          <w:color w:val="000000"/>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19. H. Congreso del Estado de Colima </w:t>
      </w:r>
      <w:r w:rsidRPr="001876E4">
        <w:rPr>
          <w:rFonts w:ascii="Arial" w:eastAsia="Times New Roman" w:hAnsi="Arial" w:cs="Times New Roman"/>
          <w:b/>
          <w:szCs w:val="26"/>
          <w:lang w:val="es-ES" w:eastAsia="en-US"/>
        </w:rPr>
        <w:br/>
        <w:t>(Objeto del Gasto)</w:t>
      </w:r>
    </w:p>
    <w:tbl>
      <w:tblPr>
        <w:tblStyle w:val="Tablaconcuadrcula2"/>
        <w:tblW w:w="0" w:type="auto"/>
        <w:tblInd w:w="534" w:type="dxa"/>
        <w:tblLook w:val="04A0" w:firstRow="1" w:lastRow="0" w:firstColumn="1" w:lastColumn="0" w:noHBand="0" w:noVBand="1"/>
      </w:tblPr>
      <w:tblGrid>
        <w:gridCol w:w="1016"/>
        <w:gridCol w:w="5590"/>
        <w:gridCol w:w="1473"/>
      </w:tblGrid>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47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10000</w:t>
            </w: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47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69,660,908</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47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4,559,988</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47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8,236,308</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47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12,305,340</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47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237,456</w:t>
            </w:r>
          </w:p>
        </w:tc>
      </w:tr>
      <w:tr w:rsidR="001876E4" w:rsidRPr="001876E4" w:rsidTr="00947D11">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sz w:val="24"/>
              </w:rPr>
            </w:pPr>
          </w:p>
        </w:tc>
        <w:tc>
          <w:tcPr>
            <w:tcW w:w="559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4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95,000,000</w:t>
            </w:r>
          </w:p>
        </w:tc>
      </w:tr>
    </w:tbl>
    <w:p w:rsidR="001876E4" w:rsidRPr="001876E4" w:rsidRDefault="001876E4" w:rsidP="001876E4">
      <w:pPr>
        <w:spacing w:after="0" w:line="240" w:lineRule="auto"/>
        <w:rPr>
          <w:rFonts w:ascii="Colaborate-Regular" w:eastAsia="Calibri" w:hAnsi="Colaborate-Regular" w:cs="Times New Roman"/>
          <w:sz w:val="20"/>
          <w:lang w:val="es-ES" w:eastAsia="en-US"/>
        </w:rPr>
      </w:pPr>
    </w:p>
    <w:p w:rsidR="001876E4" w:rsidRPr="001876E4" w:rsidRDefault="001876E4" w:rsidP="001876E4">
      <w:pPr>
        <w:spacing w:after="0" w:line="240" w:lineRule="auto"/>
        <w:rPr>
          <w:rFonts w:ascii="Colaborate-Regular" w:eastAsia="Calibri" w:hAnsi="Colaborate-Regular" w:cs="Times New Roman"/>
          <w:sz w:val="20"/>
          <w:lang w:val="es-ES" w:eastAsia="en-US"/>
        </w:rPr>
      </w:pPr>
    </w:p>
    <w:p w:rsidR="001876E4" w:rsidRPr="001876E4" w:rsidRDefault="001876E4" w:rsidP="001876E4">
      <w:pPr>
        <w:shd w:val="clear" w:color="auto" w:fill="FFFFFF"/>
        <w:spacing w:after="0" w:line="240" w:lineRule="auto"/>
        <w:ind w:left="567" w:hanging="567"/>
        <w:jc w:val="both"/>
        <w:rPr>
          <w:rFonts w:ascii="Arial" w:eastAsia="Calibri" w:hAnsi="Arial" w:cs="Arial"/>
          <w:sz w:val="24"/>
          <w:szCs w:val="24"/>
        </w:rPr>
      </w:pPr>
      <w:r w:rsidRPr="001876E4">
        <w:rPr>
          <w:rFonts w:ascii="Arial" w:eastAsia="Calibri" w:hAnsi="Arial" w:cs="Arial"/>
          <w:sz w:val="24"/>
          <w:szCs w:val="24"/>
        </w:rPr>
        <w:t>II.</w:t>
      </w:r>
      <w:r w:rsidRPr="001876E4">
        <w:rPr>
          <w:rFonts w:ascii="Arial" w:eastAsia="Calibri" w:hAnsi="Arial" w:cs="Arial"/>
          <w:sz w:val="24"/>
          <w:szCs w:val="24"/>
        </w:rPr>
        <w:tab/>
        <w:t xml:space="preserve">La asignación presupuestaria al </w:t>
      </w:r>
      <w:r w:rsidRPr="001876E4">
        <w:rPr>
          <w:rFonts w:ascii="Arial" w:eastAsia="Calibri" w:hAnsi="Arial" w:cs="Arial"/>
          <w:b/>
          <w:sz w:val="24"/>
          <w:szCs w:val="24"/>
        </w:rPr>
        <w:t>Órgano Superior de Auditoría y Fiscalización Gubernamental del Estado</w:t>
      </w:r>
      <w:r w:rsidRPr="001876E4">
        <w:rPr>
          <w:rFonts w:ascii="Arial" w:eastAsia="Calibri" w:hAnsi="Arial" w:cs="Arial"/>
          <w:sz w:val="24"/>
          <w:szCs w:val="24"/>
        </w:rPr>
        <w:t>, se integra de la siguiente manera:</w:t>
      </w:r>
    </w:p>
    <w:p w:rsidR="001876E4" w:rsidRPr="001876E4" w:rsidRDefault="001876E4" w:rsidP="001876E4">
      <w:pPr>
        <w:spacing w:after="0" w:line="240" w:lineRule="auto"/>
        <w:rPr>
          <w:rFonts w:ascii="Colaborate-Regular" w:eastAsia="Calibri" w:hAnsi="Colaborate-Regular" w:cs="Times New Roman"/>
          <w:sz w:val="20"/>
          <w:lang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20. Órgano Superior de Auditoría y Fiscalización Gubernamental del Estado   </w:t>
      </w:r>
      <w:r w:rsidRPr="001876E4">
        <w:rPr>
          <w:rFonts w:ascii="Arial" w:eastAsia="Times New Roman" w:hAnsi="Arial" w:cs="Times New Roman"/>
          <w:b/>
          <w:szCs w:val="26"/>
          <w:lang w:val="es-ES" w:eastAsia="en-US"/>
        </w:rPr>
        <w:br/>
        <w:t>(Objeto del Gasto)</w:t>
      </w:r>
    </w:p>
    <w:tbl>
      <w:tblPr>
        <w:tblStyle w:val="Tablaconcuadrcula2"/>
        <w:tblW w:w="0" w:type="auto"/>
        <w:jc w:val="center"/>
        <w:tblLook w:val="04A0" w:firstRow="1" w:lastRow="0" w:firstColumn="1" w:lastColumn="0" w:noHBand="0" w:noVBand="1"/>
      </w:tblPr>
      <w:tblGrid>
        <w:gridCol w:w="1016"/>
        <w:gridCol w:w="5420"/>
        <w:gridCol w:w="1666"/>
      </w:tblGrid>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6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10000</w:t>
            </w: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6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27,625,125 </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6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2,080,446 </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6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2,204,363 </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6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3,056,586 </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6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33,480 </w:t>
            </w:r>
          </w:p>
        </w:tc>
      </w:tr>
      <w:tr w:rsidR="001876E4" w:rsidRPr="001876E4" w:rsidTr="00947D11">
        <w:trPr>
          <w:trHeight w:val="283"/>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sz w:val="20"/>
                <w:szCs w:val="20"/>
              </w:rPr>
            </w:pPr>
          </w:p>
        </w:tc>
        <w:tc>
          <w:tcPr>
            <w:tcW w:w="542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66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 xml:space="preserve">35,000,000 </w:t>
            </w:r>
          </w:p>
        </w:tc>
      </w:tr>
    </w:tbl>
    <w:p w:rsidR="001876E4" w:rsidRPr="001876E4" w:rsidRDefault="001876E4" w:rsidP="001876E4">
      <w:pPr>
        <w:spacing w:after="0" w:line="240" w:lineRule="auto"/>
        <w:rPr>
          <w:rFonts w:ascii="Arial" w:eastAsia="Calibri" w:hAnsi="Arial"/>
          <w:sz w:val="24"/>
          <w:lang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eastAsia="en-US"/>
        </w:rPr>
        <w:t>En el</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Anexo 3</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Clasificación por Objeto del Gasto</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del Poder Legislativo</w:t>
      </w:r>
      <w:r w:rsidRPr="001876E4">
        <w:rPr>
          <w:rFonts w:ascii="Arial" w:eastAsia="Calibri" w:hAnsi="Arial" w:cs="Arial"/>
          <w:sz w:val="24"/>
          <w:szCs w:val="24"/>
          <w:lang w:val="es-ES" w:eastAsia="en-US"/>
        </w:rPr>
        <w:t xml:space="preserve"> del presente Decreto, se detallan las asignaciones presupuestales al Poder Legislativo, de acuerdo a la Clasificación por Objeto del Gasto a nivel de Capítulo, Concepto, Partida Genérica y Partida Específica. </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3.1 </w:t>
      </w:r>
      <w:r w:rsidRPr="001876E4">
        <w:rPr>
          <w:rFonts w:ascii="Arial" w:eastAsia="Calibri" w:hAnsi="Arial" w:cs="Arial"/>
          <w:sz w:val="24"/>
          <w:szCs w:val="24"/>
          <w:lang w:val="es-ES" w:eastAsia="en-US"/>
        </w:rPr>
        <w:t>H. Congreso del Estado de Colima; y</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3.2 </w:t>
      </w:r>
      <w:r w:rsidRPr="001876E4">
        <w:rPr>
          <w:rFonts w:ascii="Arial" w:eastAsia="Calibri" w:hAnsi="Arial" w:cs="Arial"/>
          <w:sz w:val="24"/>
          <w:szCs w:val="24"/>
          <w:lang w:val="es-ES" w:eastAsia="en-US"/>
        </w:rPr>
        <w:t>Órgano Superior de Auditoría y Fiscalización Gubernamental del Estado.</w:t>
      </w:r>
    </w:p>
    <w:p w:rsidR="001876E4" w:rsidRPr="001876E4" w:rsidRDefault="001876E4" w:rsidP="001876E4">
      <w:pPr>
        <w:spacing w:after="0" w:line="240" w:lineRule="auto"/>
        <w:ind w:left="284"/>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17</w:t>
      </w:r>
      <w:r w:rsidRPr="001876E4">
        <w:rPr>
          <w:rFonts w:ascii="Arial" w:eastAsia="Calibri" w:hAnsi="Arial" w:cs="Arial"/>
          <w:sz w:val="24"/>
          <w:szCs w:val="24"/>
          <w:lang w:val="es-ES" w:eastAsia="en-US"/>
        </w:rPr>
        <w:t xml:space="preserve">. Las asignaciones previstas para el </w:t>
      </w:r>
      <w:r w:rsidRPr="001876E4">
        <w:rPr>
          <w:rFonts w:ascii="Arial" w:eastAsia="Calibri" w:hAnsi="Arial" w:cs="Arial"/>
          <w:b/>
          <w:sz w:val="24"/>
          <w:szCs w:val="24"/>
          <w:lang w:val="es-ES" w:eastAsia="en-US"/>
        </w:rPr>
        <w:t>Poder Judicial del Estado</w:t>
      </w:r>
      <w:r w:rsidRPr="001876E4">
        <w:rPr>
          <w:rFonts w:ascii="Arial" w:eastAsia="Calibri" w:hAnsi="Arial" w:cs="Arial"/>
          <w:sz w:val="24"/>
          <w:szCs w:val="24"/>
          <w:lang w:val="es-ES" w:eastAsia="en-US"/>
        </w:rPr>
        <w:t xml:space="preserve"> importan la cantidad de </w:t>
      </w:r>
      <w:r w:rsidRPr="001876E4">
        <w:rPr>
          <w:rFonts w:ascii="Arial" w:eastAsia="Calibri" w:hAnsi="Arial" w:cs="Arial"/>
          <w:b/>
          <w:sz w:val="24"/>
          <w:szCs w:val="24"/>
          <w:lang w:val="es-ES" w:eastAsia="en-US"/>
        </w:rPr>
        <w:t>$208,000,000</w:t>
      </w:r>
      <w:r w:rsidRPr="001876E4">
        <w:rPr>
          <w:rFonts w:ascii="Arial" w:eastAsia="Calibri" w:hAnsi="Arial" w:cs="Arial"/>
          <w:sz w:val="24"/>
          <w:szCs w:val="24"/>
          <w:lang w:val="es-ES" w:eastAsia="en-US"/>
        </w:rPr>
        <w:t xml:space="preserve"> y se desglosan a nivel capítulo de la siguiente forma:</w:t>
      </w:r>
    </w:p>
    <w:p w:rsidR="001876E4" w:rsidRPr="001876E4" w:rsidRDefault="001876E4" w:rsidP="001876E4">
      <w:pPr>
        <w:spacing w:after="0" w:line="240" w:lineRule="auto"/>
        <w:jc w:val="both"/>
        <w:rPr>
          <w:rFonts w:ascii="Arial" w:eastAsia="Calibri" w:hAnsi="Arial" w:cs="Arial"/>
          <w:sz w:val="12"/>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 xml:space="preserve">Tabla 21. Poder Judicial del Estado </w:t>
      </w:r>
      <w:r w:rsidRPr="001876E4">
        <w:rPr>
          <w:rFonts w:ascii="Arial" w:eastAsia="Times New Roman" w:hAnsi="Arial" w:cs="Times New Roman"/>
          <w:b/>
          <w:szCs w:val="26"/>
          <w:lang w:val="es-ES" w:eastAsia="en-US"/>
        </w:rPr>
        <w:br/>
        <w:t>(Objeto del Gasto)</w:t>
      </w:r>
    </w:p>
    <w:tbl>
      <w:tblPr>
        <w:tblStyle w:val="Tablaconcuadrcula2"/>
        <w:tblW w:w="0" w:type="auto"/>
        <w:jc w:val="center"/>
        <w:tblLayout w:type="fixed"/>
        <w:tblLook w:val="04A0" w:firstRow="1" w:lastRow="0" w:firstColumn="1" w:lastColumn="0" w:noHBand="0" w:noVBand="1"/>
      </w:tblPr>
      <w:tblGrid>
        <w:gridCol w:w="1304"/>
        <w:gridCol w:w="5387"/>
        <w:gridCol w:w="1603"/>
      </w:tblGrid>
      <w:tr w:rsidR="001876E4" w:rsidRPr="001876E4" w:rsidTr="00947D11">
        <w:trPr>
          <w:trHeight w:val="521"/>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Capítulo</w:t>
            </w: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6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10000</w:t>
            </w: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Personales</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142,226,507</w:t>
            </w:r>
          </w:p>
        </w:tc>
      </w:tr>
      <w:tr w:rsidR="001876E4" w:rsidRPr="001876E4" w:rsidTr="00947D11">
        <w:trPr>
          <w:trHeight w:val="283"/>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20000</w:t>
            </w: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Materiales y Suministros</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7,430,326</w:t>
            </w:r>
          </w:p>
        </w:tc>
      </w:tr>
      <w:tr w:rsidR="001876E4" w:rsidRPr="001876E4" w:rsidTr="00947D11">
        <w:trPr>
          <w:trHeight w:val="283"/>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30000</w:t>
            </w: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Servicios Generales</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12,893,940</w:t>
            </w:r>
          </w:p>
        </w:tc>
      </w:tr>
      <w:tr w:rsidR="001876E4" w:rsidRPr="001876E4" w:rsidTr="00947D11">
        <w:trPr>
          <w:trHeight w:val="283"/>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40000</w:t>
            </w: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Transferencias, Asignaciones, Subsidios y Otras Ayudas</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44,790,570</w:t>
            </w:r>
          </w:p>
        </w:tc>
      </w:tr>
      <w:tr w:rsidR="001876E4" w:rsidRPr="001876E4" w:rsidTr="00947D11">
        <w:trPr>
          <w:trHeight w:val="283"/>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50000</w:t>
            </w: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Bienes Muebles, Inmuebles e Intangibles</w:t>
            </w:r>
          </w:p>
        </w:tc>
        <w:tc>
          <w:tcPr>
            <w:tcW w:w="160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658,657</w:t>
            </w:r>
          </w:p>
        </w:tc>
      </w:tr>
      <w:tr w:rsidR="001876E4" w:rsidRPr="001876E4" w:rsidTr="00947D11">
        <w:trPr>
          <w:trHeight w:val="254"/>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sz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60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208,000,000</w:t>
            </w:r>
          </w:p>
        </w:tc>
      </w:tr>
    </w:tbl>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En el  </w:t>
      </w:r>
      <w:r w:rsidRPr="001876E4">
        <w:rPr>
          <w:rFonts w:ascii="Arial" w:eastAsia="Calibri" w:hAnsi="Arial" w:cs="Arial"/>
          <w:b/>
          <w:sz w:val="24"/>
          <w:szCs w:val="24"/>
          <w:lang w:val="es-ES" w:eastAsia="en-US"/>
        </w:rPr>
        <w:t>Anexo 4</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Clasificación por Objeto del Gasto del Poder Judicial</w:t>
      </w:r>
      <w:r w:rsidRPr="001876E4">
        <w:rPr>
          <w:rFonts w:ascii="Arial" w:eastAsia="Calibri" w:hAnsi="Arial" w:cs="Arial"/>
          <w:sz w:val="24"/>
          <w:szCs w:val="24"/>
          <w:lang w:val="es-ES" w:eastAsia="en-US"/>
        </w:rPr>
        <w:t xml:space="preserve"> del presente Decreto, se presenta la Clasificación por Objeto del Gasto a nivel de Capítulo, Concepto, Partida Genérica y Partida Específica, de las asignaciones previstas para el Poder Judicial. </w:t>
      </w:r>
    </w:p>
    <w:p w:rsidR="001876E4" w:rsidRPr="001876E4" w:rsidRDefault="001876E4" w:rsidP="001876E4">
      <w:pPr>
        <w:tabs>
          <w:tab w:val="left" w:pos="484"/>
        </w:tabs>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18</w:t>
      </w:r>
      <w:r w:rsidRPr="001876E4">
        <w:rPr>
          <w:rFonts w:ascii="Arial" w:eastAsia="Calibri" w:hAnsi="Arial" w:cs="Arial"/>
          <w:sz w:val="24"/>
          <w:szCs w:val="24"/>
          <w:lang w:val="es-ES" w:eastAsia="en-US"/>
        </w:rPr>
        <w:t xml:space="preserve">. Las erogaciones previstas en este Decreto, de acuerdo con la </w:t>
      </w:r>
      <w:r w:rsidRPr="001876E4">
        <w:rPr>
          <w:rFonts w:ascii="Arial" w:eastAsia="Calibri" w:hAnsi="Arial" w:cs="Arial"/>
          <w:b/>
          <w:sz w:val="24"/>
          <w:szCs w:val="24"/>
          <w:lang w:val="es-ES" w:eastAsia="en-US"/>
        </w:rPr>
        <w:t>Clasificación Administrativa</w:t>
      </w:r>
      <w:r w:rsidRPr="001876E4">
        <w:rPr>
          <w:rFonts w:ascii="Arial" w:eastAsia="Calibri" w:hAnsi="Arial" w:cs="Arial"/>
          <w:sz w:val="24"/>
          <w:szCs w:val="24"/>
          <w:lang w:val="es-ES" w:eastAsia="en-US"/>
        </w:rPr>
        <w:t xml:space="preserve"> se distribuyen de la siguiente manera: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22. Clasificación Administrativa a Nivel Agregado</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
        <w:gridCol w:w="6193"/>
        <w:gridCol w:w="1559"/>
      </w:tblGrid>
      <w:tr w:rsidR="001876E4" w:rsidRPr="001876E4" w:rsidTr="00947D11">
        <w:trPr>
          <w:trHeight w:val="525"/>
          <w:jc w:val="center"/>
        </w:trPr>
        <w:tc>
          <w:tcPr>
            <w:tcW w:w="90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Clave</w:t>
            </w:r>
          </w:p>
        </w:tc>
        <w:tc>
          <w:tcPr>
            <w:tcW w:w="6193"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Concepto</w:t>
            </w:r>
          </w:p>
        </w:tc>
        <w:tc>
          <w:tcPr>
            <w:tcW w:w="155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20000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Sector Público de las Entidades Federativas</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16,730,371,000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21000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Sector Público No Financiero</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16,730,371,000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21100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Gobierno General Estatal o del Distrito Federal</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16,730,371,000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21110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Gobierno del Estado de Colima</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16,100,029,309</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21111</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Poder Ejecutivo</w:t>
            </w:r>
          </w:p>
        </w:tc>
        <w:tc>
          <w:tcPr>
            <w:tcW w:w="1559" w:type="dxa"/>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15,346,708,214</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21112</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Poder Legislativo</w:t>
            </w:r>
          </w:p>
        </w:tc>
        <w:tc>
          <w:tcPr>
            <w:tcW w:w="1559" w:type="dxa"/>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130,000,000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21113</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Poder Judicial</w:t>
            </w:r>
          </w:p>
        </w:tc>
        <w:tc>
          <w:tcPr>
            <w:tcW w:w="1559" w:type="dxa"/>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208,000,000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21114</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Órganos Autónomos</w:t>
            </w:r>
          </w:p>
        </w:tc>
        <w:tc>
          <w:tcPr>
            <w:tcW w:w="1559" w:type="dxa"/>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415,321,095</w:t>
            </w:r>
          </w:p>
        </w:tc>
      </w:tr>
      <w:tr w:rsidR="001876E4" w:rsidRPr="001876E4" w:rsidTr="00947D11">
        <w:trPr>
          <w:trHeight w:val="52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21120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Entidades Paraestatales y Fideicomisos No Empresariales y No Financieros</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590,341,691</w:t>
            </w:r>
          </w:p>
        </w:tc>
      </w:tr>
      <w:tr w:rsidR="001876E4" w:rsidRPr="001876E4" w:rsidTr="00947D11">
        <w:trPr>
          <w:trHeight w:val="52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21122</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internas otorgadas a entidades paraestatales no empresariales y no financieras</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590,341,691</w:t>
            </w:r>
          </w:p>
        </w:tc>
      </w:tr>
      <w:tr w:rsidR="001876E4" w:rsidRPr="001876E4" w:rsidTr="00947D11">
        <w:trPr>
          <w:trHeight w:val="52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21123</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internas otorgadas a fideicomisos públicos financieros</w:t>
            </w:r>
          </w:p>
        </w:tc>
        <w:tc>
          <w:tcPr>
            <w:tcW w:w="155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21130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Instituciones Públicas de Seguridad Social</w:t>
            </w:r>
          </w:p>
        </w:tc>
        <w:tc>
          <w:tcPr>
            <w:tcW w:w="1559"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40,000,000</w:t>
            </w:r>
          </w:p>
        </w:tc>
      </w:tr>
      <w:tr w:rsidR="001876E4" w:rsidRPr="001876E4" w:rsidTr="00947D11">
        <w:trPr>
          <w:trHeight w:val="315"/>
          <w:jc w:val="center"/>
        </w:trPr>
        <w:tc>
          <w:tcPr>
            <w:tcW w:w="900"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21130</w:t>
            </w:r>
          </w:p>
        </w:tc>
        <w:tc>
          <w:tcPr>
            <w:tcW w:w="6193"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Sector Público de las Entidades Federativas</w:t>
            </w:r>
          </w:p>
        </w:tc>
        <w:tc>
          <w:tcPr>
            <w:tcW w:w="1559"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40,000,000</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En el </w:t>
      </w:r>
      <w:r w:rsidRPr="001876E4">
        <w:rPr>
          <w:rFonts w:ascii="Arial" w:eastAsia="Calibri" w:hAnsi="Arial" w:cs="Arial"/>
          <w:b/>
          <w:sz w:val="24"/>
          <w:szCs w:val="24"/>
          <w:lang w:val="es-ES" w:eastAsia="en-US"/>
        </w:rPr>
        <w:t>Anexo 5</w:t>
      </w:r>
      <w:r w:rsidRPr="001876E4">
        <w:rPr>
          <w:rFonts w:ascii="Arial" w:eastAsia="Calibri" w:hAnsi="Arial" w:cs="Arial"/>
          <w:sz w:val="24"/>
          <w:szCs w:val="24"/>
          <w:lang w:val="es-ES" w:eastAsia="en-US"/>
        </w:rPr>
        <w:t xml:space="preserve"> se presenta la desagregación de acuerdo con la Clasificación Administrativa.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567" w:hanging="567"/>
        <w:jc w:val="both"/>
        <w:rPr>
          <w:rFonts w:ascii="Arial" w:eastAsia="Times New Roman" w:hAnsi="Arial" w:cs="Arial"/>
          <w:sz w:val="24"/>
          <w:szCs w:val="24"/>
        </w:rPr>
      </w:pPr>
      <w:r w:rsidRPr="001876E4">
        <w:rPr>
          <w:rFonts w:ascii="Arial" w:eastAsia="Times New Roman" w:hAnsi="Arial" w:cs="Arial"/>
          <w:sz w:val="24"/>
          <w:szCs w:val="24"/>
        </w:rPr>
        <w:t>I.</w:t>
      </w:r>
      <w:r w:rsidRPr="001876E4">
        <w:rPr>
          <w:rFonts w:ascii="Arial" w:eastAsia="Times New Roman" w:hAnsi="Arial" w:cs="Arial"/>
          <w:sz w:val="24"/>
          <w:szCs w:val="24"/>
        </w:rPr>
        <w:tab/>
        <w:t xml:space="preserve">Las erogaciones previstas para las </w:t>
      </w:r>
      <w:r w:rsidRPr="001876E4">
        <w:rPr>
          <w:rFonts w:ascii="Arial" w:eastAsia="Times New Roman" w:hAnsi="Arial" w:cs="Arial"/>
          <w:b/>
          <w:sz w:val="24"/>
          <w:szCs w:val="24"/>
        </w:rPr>
        <w:t>Dependencias de la Administración Pública Centralizada, Transferencias y Ramos</w:t>
      </w:r>
      <w:r w:rsidRPr="001876E4">
        <w:rPr>
          <w:rFonts w:ascii="Arial" w:eastAsia="Times New Roman" w:hAnsi="Arial" w:cs="Arial"/>
          <w:sz w:val="24"/>
          <w:szCs w:val="24"/>
        </w:rPr>
        <w:t xml:space="preserve"> </w:t>
      </w:r>
      <w:r w:rsidRPr="001876E4">
        <w:rPr>
          <w:rFonts w:ascii="Arial" w:eastAsia="Times New Roman" w:hAnsi="Arial" w:cs="Arial"/>
          <w:b/>
          <w:sz w:val="24"/>
          <w:szCs w:val="24"/>
        </w:rPr>
        <w:t>Generales</w:t>
      </w:r>
      <w:r w:rsidRPr="001876E4">
        <w:rPr>
          <w:rFonts w:ascii="Arial" w:eastAsia="Times New Roman" w:hAnsi="Arial" w:cs="Arial"/>
          <w:sz w:val="24"/>
          <w:szCs w:val="24"/>
        </w:rPr>
        <w:t xml:space="preserve"> se distribuyen de la siguiente forma:</w:t>
      </w:r>
    </w:p>
    <w:p w:rsidR="001876E4" w:rsidRPr="001876E4" w:rsidRDefault="001876E4" w:rsidP="001876E4">
      <w:pPr>
        <w:spacing w:after="0" w:line="240" w:lineRule="auto"/>
        <w:ind w:left="567" w:hanging="567"/>
        <w:jc w:val="both"/>
        <w:rPr>
          <w:rFonts w:ascii="Arial" w:eastAsia="Times New Roman"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23. Dependencias de la Administración Pública</w:t>
      </w:r>
      <w:r w:rsidRPr="001876E4">
        <w:rPr>
          <w:rFonts w:ascii="Arial" w:eastAsia="Times New Roman" w:hAnsi="Arial" w:cs="Times New Roman"/>
          <w:b/>
          <w:szCs w:val="26"/>
          <w:lang w:val="es-ES" w:eastAsia="en-US"/>
        </w:rPr>
        <w:br/>
        <w:t xml:space="preserve"> Centralizada, Transferencias y Ramos Generales</w:t>
      </w:r>
    </w:p>
    <w:tbl>
      <w:tblPr>
        <w:tblStyle w:val="Tablaconcuadrcula2"/>
        <w:tblW w:w="0" w:type="auto"/>
        <w:jc w:val="center"/>
        <w:tblLook w:val="04A0" w:firstRow="1" w:lastRow="0" w:firstColumn="1" w:lastColumn="0" w:noHBand="0" w:noVBand="1"/>
      </w:tblPr>
      <w:tblGrid>
        <w:gridCol w:w="884"/>
        <w:gridCol w:w="5244"/>
        <w:gridCol w:w="1607"/>
      </w:tblGrid>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b/>
                <w:bCs/>
                <w:sz w:val="20"/>
                <w:szCs w:val="20"/>
              </w:rPr>
            </w:pPr>
            <w:r w:rsidRPr="001876E4">
              <w:rPr>
                <w:rFonts w:ascii="Arial" w:hAnsi="Arial" w:cs="Arial"/>
                <w:b/>
                <w:bCs/>
                <w:sz w:val="20"/>
                <w:szCs w:val="20"/>
              </w:rPr>
              <w:t>Clave</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b/>
                <w:bCs/>
                <w:sz w:val="20"/>
                <w:szCs w:val="20"/>
              </w:rPr>
            </w:pPr>
            <w:r w:rsidRPr="001876E4">
              <w:rPr>
                <w:rFonts w:ascii="Arial" w:hAnsi="Arial" w:cs="Arial"/>
                <w:b/>
                <w:bCs/>
                <w:sz w:val="20"/>
                <w:szCs w:val="20"/>
              </w:rPr>
              <w:t>Unidad Presupuestal</w:t>
            </w:r>
          </w:p>
        </w:tc>
        <w:tc>
          <w:tcPr>
            <w:tcW w:w="160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010000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eastAsia="Times New Roman" w:hAnsi="Arial" w:cs="Arial"/>
                <w:bCs/>
                <w:sz w:val="20"/>
                <w:szCs w:val="18"/>
              </w:rPr>
              <w:t>Oficina del Gobernador del Estado de Colima</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365,950,804</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020000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General de Gobierno</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515,908,510</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030000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Planeación y Finanzas</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188,874,636</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040000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Desarrollo Social</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167,775,108</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050000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Infraestructura y Desarrollo Urbano</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889,638,168</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060000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Desarrollo Rural</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894,992,770</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070000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Educación</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6,273,783,829</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080000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Salud y Bienestar Social</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1,742,178,630</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090000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Administración y Gestión Pública</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264,625,225</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100000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Fomento Económico</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121,624,350</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110000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Cultura</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102,332,963</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120000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Turismo</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85,703,935</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130000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highlight w:val="yellow"/>
              </w:rPr>
            </w:pPr>
            <w:r w:rsidRPr="001876E4">
              <w:rPr>
                <w:rFonts w:ascii="Arial" w:hAnsi="Arial" w:cs="Arial"/>
                <w:sz w:val="20"/>
                <w:szCs w:val="20"/>
              </w:rPr>
              <w:t>Procuraduría General de Justicia</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402,983,069</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140000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Seguridad Pública</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561,019,538</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150000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la Juventud</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18,828,531</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160000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del Trabajo y Previsión Social</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43,733,093</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170000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Secretaría de Movilidad</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73,740,351</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180000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Consejería Jurídica del Poder Ejecutivo</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46,705,765</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190000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Transferencias, Asignaciones, Subsidios y Otras Ayudas</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1,539,416,925</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200000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Participaciones y Aportaciones</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1,973,541,839</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210000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Erogaciones Extraordinarias</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5,933,400</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220000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Cancelación de Pasivos</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56,534,338</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sz w:val="20"/>
                <w:szCs w:val="20"/>
              </w:rPr>
            </w:pPr>
            <w:r w:rsidRPr="001876E4">
              <w:rPr>
                <w:rFonts w:ascii="Arial" w:hAnsi="Arial" w:cs="Arial"/>
                <w:sz w:val="20"/>
                <w:szCs w:val="20"/>
              </w:rPr>
              <w:t>230000</w:t>
            </w: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rPr>
                <w:rFonts w:ascii="Arial" w:hAnsi="Arial" w:cs="Arial"/>
                <w:sz w:val="20"/>
                <w:szCs w:val="20"/>
              </w:rPr>
            </w:pPr>
            <w:r w:rsidRPr="001876E4">
              <w:rPr>
                <w:rFonts w:ascii="Arial" w:hAnsi="Arial" w:cs="Arial"/>
                <w:sz w:val="20"/>
                <w:szCs w:val="20"/>
              </w:rPr>
              <w:t>Deuda Pública</w:t>
            </w:r>
          </w:p>
        </w:tc>
        <w:tc>
          <w:tcPr>
            <w:tcW w:w="160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394,545,223</w:t>
            </w:r>
          </w:p>
        </w:tc>
      </w:tr>
      <w:tr w:rsidR="001876E4" w:rsidRPr="001876E4" w:rsidTr="00947D11">
        <w:trPr>
          <w:trHeight w:val="283"/>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contextualSpacing/>
              <w:jc w:val="center"/>
              <w:rPr>
                <w:rFonts w:ascii="Arial" w:hAnsi="Arial" w:cs="Arial"/>
                <w:b/>
                <w:bCs/>
                <w:sz w:val="20"/>
                <w:szCs w:val="20"/>
              </w:rPr>
            </w:pPr>
            <w:r w:rsidRPr="001876E4">
              <w:rPr>
                <w:rFonts w:ascii="Arial" w:hAnsi="Arial" w:cs="Arial"/>
                <w:b/>
                <w:bCs/>
                <w:sz w:val="20"/>
                <w:szCs w:val="20"/>
              </w:rPr>
              <w:t>Total</w:t>
            </w:r>
          </w:p>
        </w:tc>
        <w:tc>
          <w:tcPr>
            <w:tcW w:w="160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Arial"/>
          <w:b/>
          <w:sz w:val="36"/>
          <w:szCs w:val="24"/>
          <w:lang w:val="es-ES" w:eastAsia="en-US"/>
        </w:rPr>
      </w:pPr>
    </w:p>
    <w:p w:rsidR="001876E4" w:rsidRPr="001876E4" w:rsidRDefault="001876E4" w:rsidP="001876E4">
      <w:pPr>
        <w:spacing w:after="0" w:line="240" w:lineRule="auto"/>
        <w:ind w:left="567" w:hanging="567"/>
        <w:jc w:val="both"/>
        <w:rPr>
          <w:rFonts w:ascii="Arial" w:eastAsia="Times New Roman" w:hAnsi="Arial" w:cs="Arial"/>
          <w:sz w:val="24"/>
          <w:szCs w:val="24"/>
        </w:rPr>
      </w:pPr>
      <w:r w:rsidRPr="001876E4">
        <w:rPr>
          <w:rFonts w:ascii="Arial" w:eastAsia="Times New Roman" w:hAnsi="Arial" w:cs="Arial"/>
          <w:sz w:val="24"/>
          <w:szCs w:val="24"/>
        </w:rPr>
        <w:lastRenderedPageBreak/>
        <w:t>II.</w:t>
      </w:r>
      <w:r w:rsidRPr="001876E4">
        <w:rPr>
          <w:rFonts w:ascii="Arial" w:eastAsia="Times New Roman" w:hAnsi="Arial" w:cs="Arial"/>
          <w:sz w:val="24"/>
          <w:szCs w:val="24"/>
        </w:rPr>
        <w:tab/>
        <w:t xml:space="preserve">Las asignaciones previstas en el presupuesto de egresos para las </w:t>
      </w:r>
      <w:r w:rsidRPr="001876E4">
        <w:rPr>
          <w:rFonts w:ascii="Arial" w:eastAsia="Times New Roman" w:hAnsi="Arial" w:cs="Arial"/>
          <w:b/>
          <w:sz w:val="24"/>
          <w:szCs w:val="24"/>
        </w:rPr>
        <w:t>Dependencias de la Administración Pública Centralizada</w:t>
      </w:r>
      <w:r w:rsidRPr="001876E4">
        <w:rPr>
          <w:rFonts w:ascii="Arial" w:eastAsia="Times New Roman" w:hAnsi="Arial" w:cs="Arial"/>
          <w:sz w:val="24"/>
          <w:szCs w:val="24"/>
        </w:rPr>
        <w:t>, se distribuye de la siguiente manera:</w:t>
      </w:r>
    </w:p>
    <w:p w:rsidR="001876E4" w:rsidRPr="001876E4" w:rsidRDefault="001876E4" w:rsidP="001876E4">
      <w:pPr>
        <w:spacing w:after="0" w:line="240" w:lineRule="auto"/>
        <w:jc w:val="both"/>
        <w:rPr>
          <w:rFonts w:ascii="Arial" w:eastAsia="Calibri" w:hAnsi="Arial" w:cs="Arial"/>
          <w:b/>
          <w:sz w:val="36"/>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24. Dependencias de la Administración Pública Centralizada</w:t>
      </w:r>
      <w:r w:rsidRPr="001876E4">
        <w:rPr>
          <w:rFonts w:ascii="Arial" w:eastAsia="Times New Roman" w:hAnsi="Arial" w:cs="Times New Roman"/>
          <w:b/>
          <w:szCs w:val="26"/>
          <w:lang w:val="es-ES" w:eastAsia="en-US"/>
        </w:rPr>
        <w:br/>
        <w:t>(Unidad Presupuestal y Unidad Responsable)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
        <w:gridCol w:w="6195"/>
        <w:gridCol w:w="1531"/>
      </w:tblGrid>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color w:val="000000"/>
                <w:sz w:val="20"/>
                <w:szCs w:val="20"/>
              </w:rPr>
            </w:pPr>
            <w:r w:rsidRPr="001876E4">
              <w:rPr>
                <w:rFonts w:ascii="Arial" w:eastAsia="Times New Roman" w:hAnsi="Arial" w:cs="Arial"/>
                <w:b/>
                <w:color w:val="000000"/>
                <w:sz w:val="20"/>
                <w:szCs w:val="20"/>
              </w:rPr>
              <w:t>Clave</w:t>
            </w:r>
          </w:p>
        </w:tc>
        <w:tc>
          <w:tcPr>
            <w:tcW w:w="6195"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color w:val="000000"/>
                <w:sz w:val="20"/>
                <w:szCs w:val="20"/>
              </w:rPr>
            </w:pPr>
            <w:r w:rsidRPr="001876E4">
              <w:rPr>
                <w:rFonts w:ascii="Arial" w:eastAsia="Times New Roman" w:hAnsi="Arial" w:cs="Arial"/>
                <w:b/>
                <w:color w:val="000000"/>
                <w:sz w:val="20"/>
                <w:szCs w:val="20"/>
              </w:rPr>
              <w:t>Descripción</w:t>
            </w:r>
          </w:p>
        </w:tc>
        <w:tc>
          <w:tcPr>
            <w:tcW w:w="146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Importe</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010000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Oficina del Gobernador del Estado de Colima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365,950,804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010100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Oficina del Gobernador</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279,610,573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010200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Coordinación General Comunicación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29,235,051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010300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Contraloría General del Estado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16,124,983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010400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Administración General de la Oficina del Gobernador</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19,967,155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010500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Coordinación General de Análisis y Desarrollo Sociopolítico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5,603,422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010600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Atención Ciudadana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15,409,620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020000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General de Gobierno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515,908,510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020100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General de Gobierno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155,906,475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020200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Gobierno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31,505,285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020300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Secretariado Ejecutivo del Sistema Estatal de Seguridad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328,496,750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030000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Planeación y Finanzas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188,874,636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030100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Planeación y Finanzas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26,940,596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030200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Ingresos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84,599,963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030300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Egresos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48,028,123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030400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Planeación y Control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26,150,029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030500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Jurídica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3,155,925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040000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Desarrollo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167,775,108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040100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Desarrollo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128,661,053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040200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Desarrollo Social, Humano y Programas Federales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39,114,055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050000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Infraestructura y Desarrollo Urbano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889,638,168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050100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Infraestructura y Desarrollo Urbano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835,221,803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050200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Desarrollo Urbano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54,416,365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060000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Desarrollo Rural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894,992,770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060100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Desarrollo Rural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882,190,992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060200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Desarrollo Rural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12,801,778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070000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Educación</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6,273,783,829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070100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Educación</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5,548,697,397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070200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Educación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641,299,647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070300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Superior de Educación Normal del Estado de Colima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83,786,785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080000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Salud y Bienestar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1,742,178,630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080100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Salud y Bienestar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1,702,915,077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080200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Hospital Materno Infantil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39,263,553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090000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Administración y Gestión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264,625,225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090100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Administración y Gestión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116,171,135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090200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Administración y Adquisiciones de Bienes y Servicios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90,268,815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090300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Capital Humano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58,185,275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100000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Fomento Económico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121,624,350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100100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Fomento Económico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78,176,502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100200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Fomento Económico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43,447,848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110000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Cultura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102,332,963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110100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Cultura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50,930,853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110200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Coordinación Técnica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23,770,646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110300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Arte y Cultura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19,283,699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110400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Bibliotecas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5,314,972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110500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Promoción</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3,032,793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120000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Turismo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85,703,935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120100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Turismo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73,742,300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120200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Servicios Turísticos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5,519,617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120300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Desarrollo Turístico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6,442,018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130000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Procuraduría General de Justicia del Estado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402,983,069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Procurador General de Justicia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39,969,769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Control de Procesos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15,527,438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Servicios Administrativos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16,091,733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Averiguaciones Previas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95,445,845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130500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Servicios Periciales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33,615,140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130600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Servicios Sociales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4,625,998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130700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la Policía de Procuración de Justicia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196,405,213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130800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del Centro de Capacitación</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1,301,933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140000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Seguridad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561,019,538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del Secretario de Seguridad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59,669,841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140200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la Policía Estatal Preventiva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315,633,437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Prevención y Readaptación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155,725,461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del Instituto para el Tratamiento de Menores Infractores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21,603,862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140500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del Instituto de Capacitación Policial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5,169,970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140600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Seguridad Privada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2,083,967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140700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la Policía Auxiliar del Estado de Colima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892,000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140800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Subsecretaría  Participación Ciudadana y Prevención del Delito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241,000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150000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Secretaría de la Juventud </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18,828,531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150100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 la Secretaría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13,559,111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150200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Desarrollo Juvenil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825,880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150300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Participación</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4,003,200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150400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Poder Joven</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440,340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160000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del Trabajo y Previsión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43,733,093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160100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 la Secretaría del Trabajo y Previsión Social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21,512,359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160200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del Trabajo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17,956,233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160300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de Empleo (Servicio Nacional de Empleo Colima)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4,264,501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170000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Movilidad</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73,740,351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170100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Despacho de la Secretaría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47,971,339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170200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del Sistema de Movilidad</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6,627,486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170300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Regulación y Control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19,141,526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180000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Consejería Jurídica del Poder Ejecutivo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46,705,765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180100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Consejería Jurídica del Poder Ejecutivo</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11,028,883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180200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la Defensoría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27,783,119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180300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Dirección General de Control y Gestión Jurídica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7,893,763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190000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Transferencias, Asignaciones, Subsidios y Otras Ayudas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1,539,416,925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190100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Asignaciones, Subsidios y Otras Ayudas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510,653,624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190200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Ayudas Sociales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265,445,730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190300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Pensiones y Jubilaciones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763,317,571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190400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Transferencias Convenidas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200000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Participaciones y Aportaciones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1,973,541,839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200100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Participaciones y Aportaciones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1,973,541,839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Erogaciones Extraordinarias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5,933,400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210100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Erogaciones Extraordinarias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5,933,400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220000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Cancelación de Pasivos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56,534,338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220100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Cancelación de Pasivos</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56,534,338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230000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Deuda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394,545,223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230100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Amortización de la Deuda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100,902,660 </w:t>
            </w:r>
          </w:p>
        </w:tc>
      </w:tr>
      <w:tr w:rsidR="001876E4" w:rsidRPr="001876E4" w:rsidTr="00947D11">
        <w:trPr>
          <w:trHeight w:val="315"/>
          <w:jc w:val="center"/>
        </w:trPr>
        <w:tc>
          <w:tcPr>
            <w:tcW w:w="897"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230200</w:t>
            </w:r>
          </w:p>
        </w:tc>
        <w:tc>
          <w:tcPr>
            <w:tcW w:w="619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Intereses de la Deuda Pública</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293,642,563 </w:t>
            </w:r>
          </w:p>
        </w:tc>
      </w:tr>
      <w:tr w:rsidR="001876E4" w:rsidRPr="001876E4" w:rsidTr="00947D11">
        <w:trPr>
          <w:trHeight w:val="315"/>
          <w:jc w:val="center"/>
        </w:trPr>
        <w:tc>
          <w:tcPr>
            <w:tcW w:w="897" w:type="dxa"/>
            <w:shd w:val="clear" w:color="auto" w:fill="auto"/>
            <w:noWrap/>
            <w:vAlign w:val="bottom"/>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 </w:t>
            </w:r>
          </w:p>
        </w:tc>
        <w:tc>
          <w:tcPr>
            <w:tcW w:w="6195"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469" w:type="dxa"/>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 xml:space="preserve">16,730,371,000 </w:t>
            </w:r>
          </w:p>
        </w:tc>
      </w:tr>
    </w:tbl>
    <w:p w:rsidR="001876E4" w:rsidRPr="001876E4" w:rsidRDefault="001876E4" w:rsidP="001876E4">
      <w:pPr>
        <w:spacing w:after="0" w:line="240" w:lineRule="auto"/>
        <w:jc w:val="both"/>
        <w:rPr>
          <w:rFonts w:ascii="Arial" w:eastAsia="Times New Roman" w:hAnsi="Arial" w:cs="Arial"/>
          <w:sz w:val="24"/>
          <w:szCs w:val="24"/>
        </w:rPr>
      </w:pPr>
    </w:p>
    <w:p w:rsidR="001876E4" w:rsidRPr="001876E4" w:rsidRDefault="001876E4" w:rsidP="001876E4">
      <w:pPr>
        <w:spacing w:after="0" w:line="240" w:lineRule="auto"/>
        <w:ind w:left="567" w:hanging="567"/>
        <w:jc w:val="both"/>
        <w:rPr>
          <w:rFonts w:ascii="Arial" w:eastAsia="Times New Roman" w:hAnsi="Arial" w:cs="Arial"/>
          <w:sz w:val="24"/>
          <w:szCs w:val="24"/>
        </w:rPr>
      </w:pPr>
      <w:r w:rsidRPr="001876E4">
        <w:rPr>
          <w:rFonts w:ascii="Arial" w:eastAsia="Times New Roman" w:hAnsi="Arial" w:cs="Arial"/>
          <w:sz w:val="24"/>
          <w:szCs w:val="24"/>
        </w:rPr>
        <w:t>III.</w:t>
      </w:r>
      <w:r w:rsidRPr="001876E4">
        <w:rPr>
          <w:rFonts w:ascii="Arial" w:eastAsia="Times New Roman" w:hAnsi="Arial" w:cs="Arial"/>
          <w:sz w:val="24"/>
          <w:szCs w:val="24"/>
        </w:rPr>
        <w:tab/>
        <w:t xml:space="preserve">Las asignaciones previstas en el presupuesto de egresos para las </w:t>
      </w:r>
      <w:r w:rsidRPr="001876E4">
        <w:rPr>
          <w:rFonts w:ascii="Arial" w:eastAsia="Times New Roman" w:hAnsi="Arial" w:cs="Arial"/>
          <w:b/>
          <w:sz w:val="24"/>
          <w:szCs w:val="24"/>
        </w:rPr>
        <w:t>Entidades de la Administración Pública Paraestatal</w:t>
      </w:r>
      <w:r w:rsidRPr="001876E4">
        <w:rPr>
          <w:rFonts w:ascii="Arial" w:eastAsia="Times New Roman" w:hAnsi="Arial" w:cs="Arial"/>
          <w:sz w:val="24"/>
          <w:szCs w:val="24"/>
        </w:rPr>
        <w:t>, se distribuyen de la siguiente manera:</w:t>
      </w:r>
    </w:p>
    <w:p w:rsidR="001876E4" w:rsidRPr="001876E4" w:rsidRDefault="001876E4" w:rsidP="001876E4">
      <w:pPr>
        <w:spacing w:after="0" w:line="240" w:lineRule="auto"/>
        <w:jc w:val="both"/>
        <w:rPr>
          <w:rFonts w:ascii="Arial" w:eastAsia="Times New Roman"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25. Transferencias a Entidades de la Administración Pública Paraestatal</w:t>
      </w:r>
    </w:p>
    <w:p w:rsidR="001876E4" w:rsidRPr="001876E4" w:rsidRDefault="001876E4" w:rsidP="001876E4">
      <w:pPr>
        <w:spacing w:after="0" w:line="240" w:lineRule="auto"/>
        <w:jc w:val="center"/>
        <w:rPr>
          <w:rFonts w:ascii="Arial" w:eastAsia="Times New Roman" w:hAnsi="Arial" w:cs="Arial"/>
          <w:b/>
          <w:lang w:val="es-ES" w:eastAsia="en-US"/>
        </w:rPr>
      </w:pPr>
      <w:r w:rsidRPr="001876E4">
        <w:rPr>
          <w:rFonts w:ascii="Arial" w:eastAsia="Times New Roman" w:hAnsi="Arial" w:cs="Arial"/>
          <w:b/>
          <w:lang w:val="es-ES" w:eastAsia="en-US"/>
        </w:rPr>
        <w:t>(Acuerdo de Sectorización)</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9"/>
        <w:gridCol w:w="6567"/>
        <w:gridCol w:w="1402"/>
      </w:tblGrid>
      <w:tr w:rsidR="001876E4" w:rsidRPr="001876E4" w:rsidTr="00947D11">
        <w:trPr>
          <w:trHeight w:val="480"/>
          <w:jc w:val="center"/>
        </w:trPr>
        <w:tc>
          <w:tcPr>
            <w:tcW w:w="73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Clave</w:t>
            </w:r>
          </w:p>
        </w:tc>
        <w:tc>
          <w:tcPr>
            <w:tcW w:w="6567"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Concepto</w:t>
            </w:r>
          </w:p>
        </w:tc>
        <w:tc>
          <w:tcPr>
            <w:tcW w:w="1402"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sz w:val="20"/>
                <w:szCs w:val="20"/>
              </w:rPr>
            </w:pPr>
            <w:r w:rsidRPr="001876E4">
              <w:rPr>
                <w:rFonts w:ascii="Arial" w:eastAsia="Times New Roman" w:hAnsi="Arial" w:cs="Arial"/>
                <w:b/>
                <w:bCs/>
                <w:sz w:val="20"/>
                <w:szCs w:val="20"/>
              </w:rPr>
              <w:t>Asignación Presupuestal</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Oficina del Gobernador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41510</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Colimense de Radio y Televisión</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18,393,600</w:t>
            </w:r>
          </w:p>
        </w:tc>
      </w:tr>
      <w:tr w:rsidR="001876E4" w:rsidRPr="001876E4" w:rsidTr="00947D11">
        <w:trPr>
          <w:trHeight w:val="422"/>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41502</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Sistema para el Desarrollo Integral de la Familia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184,499,018</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General de Gobierno</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41515</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Colimense de las Mujeres</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5,480,305</w:t>
            </w:r>
          </w:p>
        </w:tc>
      </w:tr>
      <w:tr w:rsidR="001876E4" w:rsidRPr="001876E4" w:rsidTr="00947D11">
        <w:trPr>
          <w:trHeight w:val="305"/>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41523</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para el Registro del Territorio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26,574,730</w:t>
            </w:r>
          </w:p>
        </w:tc>
      </w:tr>
      <w:tr w:rsidR="001876E4" w:rsidRPr="001876E4" w:rsidTr="00947D11">
        <w:trPr>
          <w:trHeight w:val="341"/>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41512</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Consejo Estatal para la Prevención y Atención a la Violencia Familiar</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3,339,823</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44801</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Unidad Estatal de Protección Civil</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12,629,882</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Planeación y Finanzas</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41504</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Consejo de Participación Social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500,000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Administración y Gestión Pública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412"/>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41521</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Colimense para la Sociedad de la Información y el Conocimiento</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18,351,862</w:t>
            </w:r>
          </w:p>
        </w:tc>
      </w:tr>
      <w:tr w:rsidR="001876E4" w:rsidRPr="001876E4" w:rsidTr="00947D11">
        <w:trPr>
          <w:trHeight w:val="48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41561</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Órgano de Gestión y Control del Patrimonio Inmobiliario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2,500,000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Desarrollo Social</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41513</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20"/>
                <w:szCs w:val="20"/>
              </w:rPr>
            </w:pPr>
            <w:r w:rsidRPr="001876E4">
              <w:rPr>
                <w:rFonts w:ascii="Arial" w:eastAsia="Times New Roman" w:hAnsi="Arial" w:cs="Arial"/>
                <w:sz w:val="20"/>
                <w:szCs w:val="20"/>
              </w:rPr>
              <w:t>Instituto Colimense para la Discapacidad</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3,071,306</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41506</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20"/>
                <w:szCs w:val="20"/>
              </w:rPr>
            </w:pPr>
            <w:r w:rsidRPr="001876E4">
              <w:rPr>
                <w:rFonts w:ascii="Arial" w:eastAsia="Times New Roman" w:hAnsi="Arial" w:cs="Arial"/>
                <w:sz w:val="20"/>
                <w:szCs w:val="20"/>
              </w:rPr>
              <w:t>Instituto para la Atención de los Adultos en Plenitud</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41,202,045</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Infraestructura y Desarrollo Urbano</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41514</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20"/>
                <w:szCs w:val="20"/>
              </w:rPr>
            </w:pPr>
            <w:r w:rsidRPr="001876E4">
              <w:rPr>
                <w:rFonts w:ascii="Arial" w:eastAsia="Times New Roman" w:hAnsi="Arial" w:cs="Arial"/>
                <w:sz w:val="20"/>
                <w:szCs w:val="20"/>
              </w:rPr>
              <w:t>Comisión Estatal del Agua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3,955,275</w:t>
            </w:r>
          </w:p>
        </w:tc>
      </w:tr>
      <w:tr w:rsidR="001876E4" w:rsidRPr="001876E4" w:rsidTr="00947D11">
        <w:trPr>
          <w:trHeight w:val="48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41522</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para el Medio Ambiente y Desarrollo Sustentable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12,731,260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Educación</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328"/>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41507</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Colimense de la Infraestructura Física Educativa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8,016,940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44305</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Estatal de Educación para Adultos</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2,500,000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41503</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Colimense del Deporte</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51,233,496</w:t>
            </w:r>
          </w:p>
        </w:tc>
      </w:tr>
      <w:tr w:rsidR="001876E4" w:rsidRPr="001876E4" w:rsidTr="00947D11">
        <w:trPr>
          <w:trHeight w:val="356"/>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41517</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Colegio de Educación Profesional Técnica del Estado de Colima</w:t>
            </w:r>
          </w:p>
        </w:tc>
        <w:tc>
          <w:tcPr>
            <w:tcW w:w="1402"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3,005,600</w:t>
            </w:r>
          </w:p>
        </w:tc>
      </w:tr>
      <w:tr w:rsidR="001876E4" w:rsidRPr="001876E4" w:rsidTr="00947D11">
        <w:trPr>
          <w:trHeight w:val="356"/>
          <w:jc w:val="center"/>
        </w:trPr>
        <w:tc>
          <w:tcPr>
            <w:tcW w:w="739" w:type="dxa"/>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41527</w:t>
            </w:r>
          </w:p>
        </w:tc>
        <w:tc>
          <w:tcPr>
            <w:tcW w:w="6567" w:type="dxa"/>
            <w:shd w:val="clear" w:color="auto" w:fill="auto"/>
            <w:vAlign w:val="center"/>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Colegio de Educación Profesional Técnica (Tecomán)</w:t>
            </w:r>
          </w:p>
        </w:tc>
        <w:tc>
          <w:tcPr>
            <w:tcW w:w="1402" w:type="dxa"/>
            <w:shd w:val="clear" w:color="auto" w:fill="auto"/>
            <w:vAlign w:val="center"/>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3,542,800</w:t>
            </w:r>
          </w:p>
        </w:tc>
      </w:tr>
      <w:tr w:rsidR="001876E4" w:rsidRPr="001876E4" w:rsidTr="00947D11">
        <w:trPr>
          <w:trHeight w:val="276"/>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41148</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Instituto Superior de Educación Normal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4,021,525</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41147</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Escuela de Talentos</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5,807,681</w:t>
            </w:r>
          </w:p>
        </w:tc>
      </w:tr>
      <w:tr w:rsidR="001876E4" w:rsidRPr="001876E4" w:rsidTr="00947D11">
        <w:trPr>
          <w:trHeight w:val="28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Transferencias, Asignaciones, Subsidios y Otras Ayudas</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 </w:t>
            </w:r>
          </w:p>
        </w:tc>
      </w:tr>
      <w:tr w:rsidR="001876E4" w:rsidRPr="001876E4" w:rsidTr="00947D11">
        <w:trPr>
          <w:trHeight w:val="48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Módulo de Servicios Delegación Colima de la Secretaría de Relaciones Exteriores</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2,505,600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41508</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Junta de Asistencia Privada del Estado de Colima</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2,000,000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41509</w:t>
            </w:r>
          </w:p>
        </w:tc>
        <w:tc>
          <w:tcPr>
            <w:tcW w:w="656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Universidad Tecnológica de Manzanillo</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20,000,000</w:t>
            </w:r>
          </w:p>
        </w:tc>
      </w:tr>
      <w:tr w:rsidR="001876E4" w:rsidRPr="001876E4" w:rsidTr="00947D11">
        <w:trPr>
          <w:trHeight w:val="300"/>
          <w:jc w:val="center"/>
        </w:trPr>
        <w:tc>
          <w:tcPr>
            <w:tcW w:w="739"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rPr>
            </w:pPr>
          </w:p>
        </w:tc>
        <w:tc>
          <w:tcPr>
            <w:tcW w:w="6567"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402"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sz w:val="20"/>
                <w:szCs w:val="20"/>
              </w:rPr>
            </w:pPr>
            <w:r w:rsidRPr="001876E4">
              <w:rPr>
                <w:rFonts w:ascii="Arial" w:eastAsia="Times New Roman" w:hAnsi="Arial" w:cs="Arial"/>
                <w:b/>
                <w:sz w:val="20"/>
                <w:szCs w:val="20"/>
              </w:rPr>
              <w:t>435,862,748</w:t>
            </w:r>
          </w:p>
        </w:tc>
      </w:tr>
    </w:tbl>
    <w:p w:rsidR="001876E4" w:rsidRPr="001876E4" w:rsidRDefault="001876E4" w:rsidP="001876E4">
      <w:pPr>
        <w:spacing w:after="0" w:line="240" w:lineRule="auto"/>
        <w:jc w:val="both"/>
        <w:rPr>
          <w:rFonts w:ascii="Arial" w:eastAsia="Times New Roman" w:hAnsi="Arial" w:cs="Arial"/>
          <w:b/>
          <w:bCs/>
          <w:color w:val="000000"/>
          <w:sz w:val="18"/>
          <w:szCs w:val="18"/>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Times New Roman" w:hAnsi="Arial" w:cs="Arial"/>
          <w:sz w:val="24"/>
          <w:szCs w:val="24"/>
          <w:lang w:val="es-ES"/>
        </w:rPr>
        <w:t xml:space="preserve">En el </w:t>
      </w:r>
      <w:r w:rsidRPr="001876E4">
        <w:rPr>
          <w:rFonts w:ascii="Arial" w:eastAsia="Times New Roman" w:hAnsi="Arial" w:cs="Arial"/>
          <w:b/>
          <w:sz w:val="24"/>
          <w:szCs w:val="24"/>
          <w:lang w:val="es-ES"/>
        </w:rPr>
        <w:t xml:space="preserve">Anexo </w:t>
      </w:r>
      <w:r w:rsidRPr="001876E4">
        <w:rPr>
          <w:rFonts w:ascii="Arial" w:eastAsia="Times New Roman" w:hAnsi="Arial" w:cs="Arial"/>
          <w:b/>
          <w:sz w:val="24"/>
          <w:szCs w:val="24"/>
        </w:rPr>
        <w:t>6</w:t>
      </w:r>
      <w:r w:rsidRPr="001876E4">
        <w:rPr>
          <w:rFonts w:ascii="Arial" w:eastAsia="Times New Roman" w:hAnsi="Arial" w:cs="Arial"/>
          <w:sz w:val="24"/>
          <w:szCs w:val="24"/>
        </w:rPr>
        <w:t xml:space="preserve"> se presenta la </w:t>
      </w:r>
      <w:r w:rsidRPr="001876E4">
        <w:rPr>
          <w:rFonts w:ascii="Arial" w:eastAsia="Calibri" w:hAnsi="Arial" w:cs="Arial"/>
          <w:sz w:val="24"/>
          <w:szCs w:val="24"/>
          <w:lang w:val="es-ES" w:eastAsia="en-US"/>
        </w:rPr>
        <w:t>Clasificación por Objeto de Gasto de las Transferencias a Entidades de la Administración Pública Paraestatal (Acuerdo de Sectorización).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567" w:hanging="567"/>
        <w:jc w:val="both"/>
        <w:rPr>
          <w:rFonts w:ascii="Arial" w:eastAsia="Times New Roman" w:hAnsi="Arial" w:cs="Arial"/>
          <w:sz w:val="24"/>
          <w:szCs w:val="24"/>
        </w:rPr>
      </w:pPr>
      <w:r w:rsidRPr="001876E4">
        <w:rPr>
          <w:rFonts w:ascii="Arial" w:eastAsia="Times New Roman" w:hAnsi="Arial" w:cs="Arial"/>
          <w:sz w:val="24"/>
          <w:szCs w:val="24"/>
        </w:rPr>
        <w:t>IV.</w:t>
      </w:r>
      <w:r w:rsidRPr="001876E4">
        <w:rPr>
          <w:rFonts w:ascii="Arial" w:eastAsia="Times New Roman" w:hAnsi="Arial" w:cs="Arial"/>
          <w:sz w:val="24"/>
          <w:szCs w:val="24"/>
        </w:rPr>
        <w:tab/>
        <w:t xml:space="preserve">La asignación prevista para la partida </w:t>
      </w:r>
      <w:r w:rsidRPr="001876E4">
        <w:rPr>
          <w:rFonts w:ascii="Arial" w:eastAsia="Times New Roman" w:hAnsi="Arial" w:cs="Arial"/>
          <w:b/>
          <w:sz w:val="24"/>
          <w:szCs w:val="24"/>
        </w:rPr>
        <w:t>42686</w:t>
      </w:r>
      <w:r w:rsidRPr="001876E4">
        <w:rPr>
          <w:rFonts w:ascii="Arial" w:eastAsia="Times New Roman" w:hAnsi="Arial" w:cs="Arial"/>
          <w:sz w:val="24"/>
          <w:szCs w:val="24"/>
        </w:rPr>
        <w:t xml:space="preserve"> </w:t>
      </w:r>
      <w:r w:rsidRPr="001876E4">
        <w:rPr>
          <w:rFonts w:ascii="Arial" w:eastAsia="Times New Roman" w:hAnsi="Arial" w:cs="Arial"/>
          <w:b/>
          <w:sz w:val="24"/>
          <w:szCs w:val="24"/>
        </w:rPr>
        <w:t>Proyectos Estratégicos Estatales</w:t>
      </w:r>
      <w:r w:rsidRPr="001876E4">
        <w:rPr>
          <w:rFonts w:ascii="Arial" w:eastAsia="Times New Roman" w:hAnsi="Arial" w:cs="Arial"/>
          <w:sz w:val="24"/>
          <w:szCs w:val="24"/>
        </w:rPr>
        <w:t xml:space="preserve"> es de </w:t>
      </w:r>
      <w:r w:rsidRPr="001876E4">
        <w:rPr>
          <w:rFonts w:ascii="Arial" w:eastAsia="Times New Roman" w:hAnsi="Arial" w:cs="Arial"/>
          <w:b/>
          <w:sz w:val="24"/>
          <w:szCs w:val="24"/>
        </w:rPr>
        <w:t xml:space="preserve">$ 152,910,000, </w:t>
      </w:r>
      <w:r w:rsidRPr="001876E4">
        <w:rPr>
          <w:rFonts w:ascii="Arial" w:eastAsia="Times New Roman" w:hAnsi="Arial" w:cs="Arial"/>
          <w:sz w:val="24"/>
          <w:szCs w:val="24"/>
        </w:rPr>
        <w:t>y se distribuye de la siguiente manera:</w:t>
      </w:r>
    </w:p>
    <w:p w:rsidR="001876E4" w:rsidRPr="001876E4" w:rsidRDefault="001876E4" w:rsidP="001876E4">
      <w:pPr>
        <w:spacing w:after="0" w:line="240" w:lineRule="auto"/>
        <w:ind w:left="567" w:hanging="567"/>
        <w:jc w:val="both"/>
        <w:rPr>
          <w:rFonts w:ascii="Arial" w:eastAsia="Times New Roman"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25 a. Proyectos Estratégicos Estatales</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5"/>
        <w:gridCol w:w="1460"/>
      </w:tblGrid>
      <w:tr w:rsidR="001876E4" w:rsidRPr="001876E4" w:rsidTr="00947D11">
        <w:trPr>
          <w:trHeight w:val="480"/>
          <w:jc w:val="center"/>
        </w:trPr>
        <w:tc>
          <w:tcPr>
            <w:tcW w:w="7315"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Dependencia/Proyecto</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color w:val="000000"/>
                <w:sz w:val="20"/>
                <w:szCs w:val="20"/>
              </w:rPr>
              <w:t xml:space="preserve">03 </w:t>
            </w:r>
            <w:r w:rsidRPr="001876E4">
              <w:rPr>
                <w:rFonts w:ascii="Arial" w:eastAsia="Times New Roman" w:hAnsi="Arial" w:cs="Arial"/>
                <w:b/>
                <w:bCs/>
                <w:sz w:val="20"/>
                <w:szCs w:val="20"/>
              </w:rPr>
              <w:t>Secretaría de Planeación y Finanzas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5,000,000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Fortalecimiento del Presupuesto basado en Resultados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Equipamiento Tecnológico de la Dirección General de Egresos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 xml:space="preserve">Implementación de la Agenda 2030 y los Objetivos de Desarrollo Sostenible </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1,250,000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Fortalecimiento de la Auditoria Fiscal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1,250,000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04 Secretaría de Desarrollo Social</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28,630,000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Apoyos para Casas de Medio Camino</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330,000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Fomento de las Culturas Indígenas y de Respeto hacia las Personas de los Grupos Vulnerables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de Cohesión Social.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1,300,000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Uniformes Escolares para Preescolar y Primaria</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18,000,000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de Apoyo de Jefas de Familias.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3,300,000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Mejorando tu Hogar</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2,200,000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Despensas Nutricionales para Niños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1,650,000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Despensas Nutricionales para Niños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550,000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lastRenderedPageBreak/>
              <w:t>Programa de Apoyo con Aparatos Médicos Auxiliares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800,000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05 Secretaría de Infraestructura y Desarrollo Urbano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47,500,000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de Infraestructura Indígena (PROII)</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6,000,000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Federal PROAGUA Apartado APARURAL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Federal PROAGUA Apartado APAUR</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para el Desarrollo Integral de los Organismos Operadores de Agua Contraparte Estatal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1,500,000 </w:t>
            </w:r>
          </w:p>
        </w:tc>
      </w:tr>
      <w:tr w:rsidR="001876E4" w:rsidRPr="001876E4" w:rsidTr="00947D11">
        <w:trPr>
          <w:trHeight w:val="300"/>
          <w:jc w:val="center"/>
        </w:trPr>
        <w:tc>
          <w:tcPr>
            <w:tcW w:w="7315"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Desarrollo Regional Turístico y Sustentable y Pueblos Mágicos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20,000,000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09 Secretaría de Administración y Gestión Pública</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16,000,000 </w:t>
            </w:r>
          </w:p>
        </w:tc>
      </w:tr>
      <w:tr w:rsidR="001876E4" w:rsidRPr="001876E4" w:rsidTr="00947D11">
        <w:trPr>
          <w:trHeight w:val="343"/>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Capacitación y Profesionalización de Trabajadores del Gobierno del Estado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 xml:space="preserve">Digitalización y Certificación de Procesos Administrativos </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3"/>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Mejoramiento de Infraestructura de Gobierno del Estado de Colima</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Modernización y Equipamiento de Salas para Eventos.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2,000,000 </w:t>
            </w:r>
          </w:p>
        </w:tc>
      </w:tr>
      <w:tr w:rsidR="001876E4" w:rsidRPr="001876E4" w:rsidTr="00947D11">
        <w:trPr>
          <w:trHeight w:val="35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 xml:space="preserve">Implementación y Modernización de Sistemas Administrativos de Adquisiciones </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2,000,000 </w:t>
            </w:r>
          </w:p>
        </w:tc>
      </w:tr>
      <w:tr w:rsidR="001876E4" w:rsidRPr="001876E4" w:rsidTr="00947D11">
        <w:trPr>
          <w:trHeight w:val="411"/>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Actualización del Marco Jurídico de la Secretaría de Administración y Gestión Pública</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Implementación de Nuevas Prácticas Administrativas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3,000,000 </w:t>
            </w:r>
          </w:p>
        </w:tc>
      </w:tr>
      <w:tr w:rsidR="001876E4" w:rsidRPr="001876E4" w:rsidTr="00947D11">
        <w:trPr>
          <w:trHeight w:val="394"/>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Implementación y Modernización de Sistemas Administrativos de Bienes Patrimoniales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10 Secretaria de Fomento Económico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20,000,000 </w:t>
            </w:r>
          </w:p>
        </w:tc>
      </w:tr>
      <w:tr w:rsidR="001876E4" w:rsidRPr="001876E4" w:rsidTr="00947D11">
        <w:trPr>
          <w:trHeight w:val="544"/>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Agenda Anual con Cámaras Empresariales y Sector Público para el Establecimiento de Estrategias Comerciales y de Atracción de la Inversión</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2,000,000 </w:t>
            </w:r>
          </w:p>
        </w:tc>
      </w:tr>
      <w:tr w:rsidR="001876E4" w:rsidRPr="001876E4" w:rsidTr="00947D11">
        <w:trPr>
          <w:trHeight w:val="537"/>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Elaboración de un Catálogo de Incentivos para la Atracción de la Inversión. (Contiene acciones para atender la Alerta de Genero)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Gobierno Eficiente con Trámites y Servicios Simplificados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800,000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Fortalecimiento Institucional para la Coordinación de Acciones en Materia de Mejora Regulatoria.</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2,100,000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Gobierno Eficiente con Funcionarios Públicos Capacitados.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250,000 </w:t>
            </w:r>
          </w:p>
        </w:tc>
      </w:tr>
      <w:tr w:rsidR="001876E4" w:rsidRPr="001876E4" w:rsidTr="00947D11">
        <w:trPr>
          <w:trHeight w:val="703"/>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para la Promoción de Productos Colimenses en Eventos Locales y Nacionales para Aumentar y Fortalecer la Productividad de Empresas de los Sectores Artesanal, Exportador Y Mercado Interno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1,300,000 </w:t>
            </w:r>
          </w:p>
        </w:tc>
      </w:tr>
      <w:tr w:rsidR="001876E4" w:rsidRPr="001876E4" w:rsidTr="00947D11">
        <w:trPr>
          <w:trHeight w:val="572"/>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de Apoyo a Microempresas Artesanales para Dotarles con Herramientas Tecnológicas que Garanticen la Autenticidad de las Artesanías Colimenses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400,000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de Impulso a la Competitividad de las MIPyMES y de Actualización de Equipos Tecnológicos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 </w:t>
            </w:r>
          </w:p>
        </w:tc>
      </w:tr>
      <w:tr w:rsidR="001876E4" w:rsidRPr="001876E4" w:rsidTr="00947D11">
        <w:trPr>
          <w:trHeight w:val="318"/>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Participación en Eventos Nacionales y/o Regionales que Incentiven el Emprendimiento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650,000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Fortalecer el Ecosistema Emprendedor en el Estado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400,000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Fortalecimiento a la Productividad de Emprendimientos Tradicionales como Oficios, Talleres y Artesanías</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400,000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lastRenderedPageBreak/>
              <w:t>Programa para el Fortalecimiento de la Productividad de MIPyMES Dedicadas a un Oficio Tradicional</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26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Estatal de Apoyo a Empresas con Potencial Exportador</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600,000 </w:t>
            </w:r>
          </w:p>
        </w:tc>
      </w:tr>
      <w:tr w:rsidR="001876E4" w:rsidRPr="001876E4" w:rsidTr="00947D11">
        <w:trPr>
          <w:trHeight w:val="631"/>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 xml:space="preserve">Aportación del Gobierno del Estado al Fondo Estatal de Ciencia y Tecnología para Operar el Anexo de Ejecución del FOMIX CONACYT-Gobierno del Estado de Colima  </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11 Secretaría de Cultura</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12,000,000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Actividades de Apoyo a la Producción Cultural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6,550,000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Actividades de Difusión Cultural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5,450,000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12 Secretaría de Turismo</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5,000,000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Playa Accesible</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Tortugario</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Señalización y Señalética en el Estado</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Festival Manzanillo Live</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1,000,000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Impulso a Eventos Surf</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Agenda de Promoción Turística</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15 Secretaría de Juventud</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2,500,000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Becas de Asistencia a Jóvenes en Condición de Vulnerabilidad</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16 Secretaría del Trabajo y Previsión Social</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7,000,000 </w:t>
            </w:r>
          </w:p>
        </w:tc>
      </w:tr>
      <w:tr w:rsidR="001876E4" w:rsidRPr="001876E4" w:rsidTr="00947D11">
        <w:trPr>
          <w:trHeight w:val="374"/>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Sistematización y Modernización de las Juntas Locales de Conciliación y Arbitraje</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2,750,000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Impartición de Justicia Laboral</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2,750,000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Atención a Buscadores de Empleo</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20"/>
                <w:szCs w:val="20"/>
              </w:rPr>
            </w:pPr>
            <w:r w:rsidRPr="001876E4">
              <w:rPr>
                <w:rFonts w:ascii="Arial" w:eastAsia="Times New Roman" w:hAnsi="Arial" w:cs="Arial"/>
                <w:b/>
                <w:bCs/>
                <w:sz w:val="20"/>
                <w:szCs w:val="20"/>
              </w:rPr>
              <w:t>17 Secretaría de Movilidad</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Arial" w:eastAsia="Times New Roman" w:hAnsi="Arial" w:cs="Arial"/>
                <w:b/>
                <w:bCs/>
                <w:sz w:val="20"/>
                <w:szCs w:val="20"/>
              </w:rPr>
              <w:t xml:space="preserve">9,280,000 </w:t>
            </w:r>
          </w:p>
        </w:tc>
      </w:tr>
      <w:tr w:rsidR="001876E4" w:rsidRPr="001876E4" w:rsidTr="00947D11">
        <w:trPr>
          <w:trHeight w:val="51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Estudio de Prefactibilidad Técnica, Operativa, Jurídica y Financiera para la Implementación del SITR</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7,000,000 </w:t>
            </w:r>
          </w:p>
        </w:tc>
      </w:tr>
      <w:tr w:rsidR="001876E4" w:rsidRPr="001876E4" w:rsidTr="00947D11">
        <w:trPr>
          <w:trHeight w:val="262"/>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Plataforma para el Sistemas de Quejas del Servicio de Transporte Público</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Programa de Vías recreativas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500,000 </w:t>
            </w:r>
          </w:p>
        </w:tc>
      </w:tr>
      <w:tr w:rsidR="001876E4" w:rsidRPr="001876E4" w:rsidTr="00947D11">
        <w:trPr>
          <w:trHeight w:val="312"/>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Estrategia Anual de Programa de Alcoholemia del Estado de Colima</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120,000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 xml:space="preserve">Programa de Auditorías Viales a Intersecciones </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600,000 </w:t>
            </w:r>
          </w:p>
        </w:tc>
      </w:tr>
      <w:tr w:rsidR="001876E4" w:rsidRPr="001876E4" w:rsidTr="00947D11">
        <w:trPr>
          <w:trHeight w:val="400"/>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Mantenimiento y Reparación de Vehículos para la Operación y Desempeño de Funciones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160,000 </w:t>
            </w:r>
          </w:p>
        </w:tc>
      </w:tr>
      <w:tr w:rsidR="001876E4" w:rsidRPr="001876E4" w:rsidTr="00947D11">
        <w:trPr>
          <w:trHeight w:val="406"/>
          <w:jc w:val="center"/>
        </w:trPr>
        <w:tc>
          <w:tcPr>
            <w:tcW w:w="7315"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20"/>
              </w:rPr>
            </w:pPr>
            <w:r w:rsidRPr="001876E4">
              <w:rPr>
                <w:rFonts w:ascii="Arial" w:eastAsia="Times New Roman" w:hAnsi="Arial" w:cs="Arial"/>
                <w:sz w:val="18"/>
                <w:szCs w:val="20"/>
              </w:rPr>
              <w:t>Adquisición y Renovación de Equipo de Cómputo y Dispositivos Periféricos</w:t>
            </w:r>
          </w:p>
        </w:tc>
        <w:tc>
          <w:tcPr>
            <w:tcW w:w="146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sz w:val="18"/>
                <w:szCs w:val="20"/>
              </w:rPr>
            </w:pPr>
            <w:r w:rsidRPr="001876E4">
              <w:rPr>
                <w:rFonts w:ascii="Arial" w:eastAsia="Times New Roman" w:hAnsi="Arial" w:cs="Arial"/>
                <w:sz w:val="18"/>
                <w:szCs w:val="20"/>
              </w:rPr>
              <w:t xml:space="preserve">400,000 </w:t>
            </w:r>
          </w:p>
        </w:tc>
      </w:tr>
      <w:tr w:rsidR="001876E4" w:rsidRPr="001876E4" w:rsidTr="00947D11">
        <w:trPr>
          <w:trHeight w:val="300"/>
          <w:jc w:val="center"/>
        </w:trPr>
        <w:tc>
          <w:tcPr>
            <w:tcW w:w="7315"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46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20"/>
                <w:szCs w:val="20"/>
              </w:rPr>
            </w:pPr>
            <w:r w:rsidRPr="001876E4">
              <w:rPr>
                <w:rFonts w:ascii="Calibri" w:hAnsi="Calibri" w:cs="Calibri"/>
                <w:b/>
                <w:color w:val="000000"/>
              </w:rPr>
              <w:t>152,910,000</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19</w:t>
      </w:r>
      <w:r w:rsidRPr="001876E4">
        <w:rPr>
          <w:rFonts w:ascii="Arial" w:eastAsia="Calibri" w:hAnsi="Arial" w:cs="Arial"/>
          <w:sz w:val="24"/>
          <w:szCs w:val="24"/>
          <w:lang w:val="es-ES" w:eastAsia="en-US"/>
        </w:rPr>
        <w:t xml:space="preserve">. De acuerdo con la </w:t>
      </w:r>
      <w:r w:rsidRPr="001876E4">
        <w:rPr>
          <w:rFonts w:ascii="Arial" w:eastAsia="Calibri" w:hAnsi="Arial" w:cs="Arial"/>
          <w:b/>
          <w:sz w:val="24"/>
          <w:szCs w:val="24"/>
          <w:lang w:val="es-ES" w:eastAsia="en-US"/>
        </w:rPr>
        <w:t>Clasificación Funcional del Gasto</w:t>
      </w:r>
      <w:r w:rsidRPr="001876E4">
        <w:rPr>
          <w:rFonts w:ascii="Arial" w:eastAsia="Calibri" w:hAnsi="Arial" w:cs="Arial"/>
          <w:sz w:val="24"/>
          <w:szCs w:val="24"/>
          <w:lang w:val="es-ES" w:eastAsia="en-US"/>
        </w:rPr>
        <w:t>, el Presupuesto de Egresos del Estado de Colima para el Ejercicio Fiscal 2018 se distribuye de la siguiente forma: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ind w:left="1"/>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 xml:space="preserve">Tabla 26. Clasificación Funcional del Gasto </w:t>
      </w:r>
      <w:r w:rsidRPr="001876E4">
        <w:rPr>
          <w:rFonts w:ascii="Arial" w:eastAsia="Times New Roman" w:hAnsi="Arial" w:cs="Times New Roman"/>
          <w:b/>
          <w:szCs w:val="26"/>
          <w:lang w:val="es-ES" w:eastAsia="en-US"/>
        </w:rPr>
        <w:br/>
        <w:t>(Primer nivel)</w:t>
      </w:r>
    </w:p>
    <w:tbl>
      <w:tblPr>
        <w:tblStyle w:val="Tablaconcuadrcula2"/>
        <w:tblW w:w="0" w:type="auto"/>
        <w:tblInd w:w="421" w:type="dxa"/>
        <w:tblLook w:val="04A0" w:firstRow="1" w:lastRow="0" w:firstColumn="1" w:lastColumn="0" w:noHBand="0" w:noVBand="1"/>
      </w:tblPr>
      <w:tblGrid>
        <w:gridCol w:w="850"/>
        <w:gridCol w:w="5699"/>
        <w:gridCol w:w="1672"/>
      </w:tblGrid>
      <w:tr w:rsidR="001876E4" w:rsidRPr="001876E4" w:rsidTr="00947D11">
        <w:trPr>
          <w:trHeight w:val="28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Clave</w:t>
            </w:r>
          </w:p>
        </w:tc>
        <w:tc>
          <w:tcPr>
            <w:tcW w:w="5699"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Finalidad</w:t>
            </w:r>
          </w:p>
        </w:tc>
        <w:tc>
          <w:tcPr>
            <w:tcW w:w="1672"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1.</w:t>
            </w:r>
          </w:p>
        </w:tc>
        <w:tc>
          <w:tcPr>
            <w:tcW w:w="569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Gobierno</w:t>
            </w:r>
          </w:p>
        </w:tc>
        <w:tc>
          <w:tcPr>
            <w:tcW w:w="167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2,541,560,344</w:t>
            </w:r>
          </w:p>
        </w:tc>
      </w:tr>
      <w:tr w:rsidR="001876E4" w:rsidRPr="001876E4" w:rsidTr="00947D11">
        <w:trPr>
          <w:trHeight w:val="28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2.</w:t>
            </w:r>
          </w:p>
        </w:tc>
        <w:tc>
          <w:tcPr>
            <w:tcW w:w="569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Desarrollo Social</w:t>
            </w:r>
          </w:p>
        </w:tc>
        <w:tc>
          <w:tcPr>
            <w:tcW w:w="167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10,430,389,362</w:t>
            </w:r>
          </w:p>
        </w:tc>
      </w:tr>
      <w:tr w:rsidR="001876E4" w:rsidRPr="001876E4" w:rsidTr="00947D11">
        <w:trPr>
          <w:trHeight w:val="28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3.</w:t>
            </w:r>
          </w:p>
        </w:tc>
        <w:tc>
          <w:tcPr>
            <w:tcW w:w="569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Desarrollo Económico</w:t>
            </w:r>
          </w:p>
        </w:tc>
        <w:tc>
          <w:tcPr>
            <w:tcW w:w="167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1,225,328,493</w:t>
            </w:r>
          </w:p>
        </w:tc>
      </w:tr>
      <w:tr w:rsidR="001876E4" w:rsidRPr="001876E4" w:rsidTr="00947D11">
        <w:trPr>
          <w:trHeight w:val="28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w:t>
            </w:r>
          </w:p>
        </w:tc>
        <w:tc>
          <w:tcPr>
            <w:tcW w:w="569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Otras no Clasificadas en Funciones Anteriores</w:t>
            </w:r>
          </w:p>
        </w:tc>
        <w:tc>
          <w:tcPr>
            <w:tcW w:w="167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2,533,092,801</w:t>
            </w:r>
          </w:p>
        </w:tc>
      </w:tr>
      <w:tr w:rsidR="001876E4" w:rsidRPr="001876E4" w:rsidTr="00947D11">
        <w:trPr>
          <w:trHeight w:val="28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sz w:val="24"/>
              </w:rPr>
            </w:pPr>
          </w:p>
        </w:tc>
        <w:tc>
          <w:tcPr>
            <w:tcW w:w="569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67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16,730,371,000</w:t>
            </w:r>
          </w:p>
        </w:tc>
      </w:tr>
    </w:tbl>
    <w:p w:rsidR="001876E4" w:rsidRPr="001876E4" w:rsidRDefault="001876E4" w:rsidP="001876E4">
      <w:pPr>
        <w:spacing w:after="0" w:line="240" w:lineRule="auto"/>
        <w:jc w:val="center"/>
        <w:rPr>
          <w:rFonts w:ascii="Arial" w:eastAsia="Calibri" w:hAnsi="Arial" w:cs="Arial"/>
          <w:b/>
          <w:sz w:val="20"/>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27. Clasificación Funcional del Gasto </w:t>
      </w:r>
      <w:r w:rsidRPr="001876E4">
        <w:rPr>
          <w:rFonts w:ascii="Arial" w:eastAsia="Times New Roman" w:hAnsi="Arial" w:cs="Times New Roman"/>
          <w:b/>
          <w:szCs w:val="26"/>
          <w:lang w:val="es-ES" w:eastAsia="en-US"/>
        </w:rPr>
        <w:br/>
        <w:t>(Segundo y Tercer Nivel)</w:t>
      </w:r>
    </w:p>
    <w:tbl>
      <w:tblPr>
        <w:tblStyle w:val="Tablaconcuadrcula2"/>
        <w:tblW w:w="0" w:type="auto"/>
        <w:jc w:val="center"/>
        <w:tblLayout w:type="fixed"/>
        <w:tblLook w:val="04A0" w:firstRow="1" w:lastRow="0" w:firstColumn="1" w:lastColumn="0" w:noHBand="0" w:noVBand="1"/>
      </w:tblPr>
      <w:tblGrid>
        <w:gridCol w:w="7003"/>
        <w:gridCol w:w="1665"/>
      </w:tblGrid>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Concepto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1. GOBIERNO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2,541,560,344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LEGISLACIÓN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218,604,756</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1.1.1 Legislación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183,604,756</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1.1.2 Fiscalización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35,000,000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JUSTICIA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860,958,400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1.2.1 Impartición de Justicia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236,244,423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1.2.2 Procuración de Justicia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402,983,069</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1.2.3 Reclusión y Readaptación Social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204,939,033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1.2.4 Derechos Humanos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16,791,875</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COORDINACION DE LA POLÍTICA DE GOBIERNO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206,351,448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1.3.1 Presidencia / Gubernatura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41,450,504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1.3.2 Política Interior</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42,895,024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1.3.3 Preservación y Cuidado del Patrimonio Público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1.3.4 Función Pública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2,600,000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1.3.5 Asuntos Jurídicos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7,217,992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1.3.6 Organización de Procesos Electorales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1.3.7 Población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4,955,891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1.3.8 Territorio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1.3.9 Otros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107,232,037</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RELACIONES EXTERIORES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2,505,600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1.4.1 Relaciones Exteriores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2,505,600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ASUNTOS FINANCIEROS Y HACENDARIOS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180,710,090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1.5.1 Asuntos Financieros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64,153,107</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1.5.2 Asuntos Hacendarios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116,556,983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SEGURIDAD NACIONAL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lastRenderedPageBreak/>
              <w:t>1.6.1 Defensa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1.6.2 Marina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1.6.3 Inteligencia para la Preservación de la Seguridad Nacional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ASUNTOS DE ORDEN PÚBLICO Y DE SEGURIDAD INTERIOR</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705,747,972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1.7.1 Policía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329,204,675</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1.7.2 Protección Civil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21,170,718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1.7.3 Otros Asuntos de Orden Público y Seguridad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188,744,518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1.7.4 Sistema Nacional de Seguridad Pública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166,628,061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1"/>
                <w:numId w:val="22"/>
              </w:numPr>
              <w:rPr>
                <w:rFonts w:ascii="Arial" w:hAnsi="Arial" w:cs="Arial"/>
                <w:b/>
                <w:sz w:val="20"/>
                <w:szCs w:val="20"/>
              </w:rPr>
            </w:pPr>
            <w:r w:rsidRPr="001876E4">
              <w:rPr>
                <w:rFonts w:ascii="Arial" w:hAnsi="Arial" w:cs="Arial"/>
                <w:b/>
                <w:sz w:val="20"/>
                <w:szCs w:val="20"/>
              </w:rPr>
              <w:t xml:space="preserve"> OTROS SERVICIOS GENERALES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366,682,078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1.8.1 Servicios Registrales, Administrativos y Patrimoniales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36,074,729</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1.8.2 Servicios Estadísticos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45,600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1.8.3 Servicios de Comunicación y Medios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29,235,051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1.8.4 Acceso a la Información Pública Gubernamental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7,500,000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1.8.5 Otros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293,826,698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5BC9">
            <w:pPr>
              <w:numPr>
                <w:ilvl w:val="0"/>
                <w:numId w:val="22"/>
              </w:numPr>
              <w:rPr>
                <w:rFonts w:ascii="Arial" w:hAnsi="Arial" w:cs="Arial"/>
                <w:b/>
                <w:sz w:val="20"/>
                <w:szCs w:val="20"/>
              </w:rPr>
            </w:pPr>
            <w:r w:rsidRPr="001876E4">
              <w:rPr>
                <w:rFonts w:ascii="Arial" w:hAnsi="Arial" w:cs="Arial"/>
                <w:b/>
                <w:sz w:val="20"/>
                <w:szCs w:val="20"/>
              </w:rPr>
              <w:t>DESARROLLO SOCIAL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10,430,389,362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2.1.  PROTECCIÓN AMBIENTAL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146,516,535</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2.1.1 Ordenación de Desechos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32,407,510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2.1.2 Administración del Agua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33,603,275</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2.1.3 Ordenación de Aguas Residuales, Drenaje y Alcantarillado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79,982,000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2.1.4 Reducción de la Contaminación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168,750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2.1.5 Protección de la Diversidad Biológica y del Paisaje</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62,500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2.1.6 Otros de Protección Ambiental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292,500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2.2.  VIVIENDA Y SERVICIOS A LA COMUNIDAD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667,274,732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2.2.1 Urbanización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572,574,632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2.2.2 Desarrollo Comunitario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2.2.3 Abastecimiento de Agua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2.2.4 Alumbrado Público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2.2.5 Vivienda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14,700,100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2.2.6 Servicios Comunales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2.2.7 Desarrollo Regional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80,000,000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2.3.  SALUD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1,744,483,701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2.3.1 Prestación de Servicios de Salud a la Comunidad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481,438,479</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2.3.2 Prestación de Servicios de Salud a la Persona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1,223,045,222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2.3.3 Generación de Recursos para la Salud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2.3.4 Rectoría del Sistema de Salud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2.3.5 Protección Social en Salud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40,000,000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516" w:hanging="516"/>
              <w:rPr>
                <w:rFonts w:ascii="Arial" w:hAnsi="Arial" w:cs="Arial"/>
                <w:b/>
                <w:sz w:val="20"/>
                <w:szCs w:val="20"/>
              </w:rPr>
            </w:pPr>
            <w:r w:rsidRPr="001876E4">
              <w:rPr>
                <w:rFonts w:ascii="Arial" w:hAnsi="Arial" w:cs="Arial"/>
                <w:b/>
                <w:sz w:val="20"/>
                <w:szCs w:val="20"/>
              </w:rPr>
              <w:t>2.4.RECREACION, CULTURA Y OTRAS MANIFESTACIONES SOCIALES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174,034,807</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2.4.1 Deporte y Recreación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53,308,244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lastRenderedPageBreak/>
              <w:t>2.4.2 Cultura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102,332,963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2.4.3 Radio, Televisión y Editoriales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18,393,600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2.4.4 Asuntos Religiosos y Otras Manifestaciones Sociales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2.5.  EDUCACIÓN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6,266,377,496</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2.5.1 Educación Básica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3,087,488,052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2.5.2 Educación Media Superior</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94,110,471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2.5.3 Educación Superior</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1,897,618,017</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2.5.4 Posgrado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2.5.5 Educación para Adultos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23,200,000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2.5.6 Otros Servicios Educativos y Actividades Inherentes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1,163,960,956</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2.6.  PROTECCIÓN SOCIAL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1,333,648,643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2.6.1 Enfermedad e Incapacidad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755,335,364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2.6.2 Edad Avanzada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2.6.3 Familia e Hijos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2.6.4 Desempleo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550,000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2.6.5 Alimentación y Nutrición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1,650,000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2.6.6 Apoyo Social para la Vivienda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2.6.7 Indígenas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2.6.8 Otros Grupos Vulnerables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547,421,451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2.6.9 Otros de Seguridad Social y Asistencia Social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28,691,828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2.7. OTROS ASUNTOS SOCIALES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98,053,448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2.7.1 Otros Asuntos Sociales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98,053,448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 DESARROLLO ECONÓMICO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1,225,328,493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74" w:hanging="374"/>
              <w:rPr>
                <w:rFonts w:ascii="Arial" w:hAnsi="Arial" w:cs="Arial"/>
                <w:b/>
                <w:sz w:val="20"/>
                <w:szCs w:val="20"/>
              </w:rPr>
            </w:pPr>
            <w:r w:rsidRPr="001876E4">
              <w:rPr>
                <w:rFonts w:ascii="Arial" w:hAnsi="Arial" w:cs="Arial"/>
                <w:b/>
                <w:sz w:val="20"/>
                <w:szCs w:val="20"/>
              </w:rPr>
              <w:t>3.1. ASUNTOS ECONÓMICOS, COMERCIALES Y LABORALES EN GENERAL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125,352,717</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3.1.1 Asuntos Económicos y Comerciales en General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125,352,617</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3.1.2 Asuntos Laborales Generales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3.2. AGROPECUARIA, SILVICULTURA, PESCA Y CAZA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894,992,769</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3.2.1 Agropecuaria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647,162,769</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3.2.2 Silvicultura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3.2.3 Acuacultura, Pesca y Caza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36,580,000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3.2.4 Agroindustrial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3.2.5 Hidroagrícola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199,750,000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3.2.6 Apoyo Financiero a la Banca y Seguro Agropecuario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11,500,000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3.3.  COMBUSTIBLES Y ENERGÍA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3.3.1 Carbón y Otros Combustibles Minerales Sólidos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3.3.2 Petróleo y Gas Natural (Hidrocarburos)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3.3.3 Combustibles Nucleares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lastRenderedPageBreak/>
              <w:t>3.3.4 Otros Combustibles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3.3.5 Electricidad</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3.3.6 Energía no Eléctrica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3.4.  MINERIA, MANUFACTURAS Y CONSTRUCCIÓN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3.4.1 Extracción de Recursos Minerales Excepto los Combustibles Minerales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3.4.2 Manufacturas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3.4.3 Construcción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3.5. TRANSPORTE</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126,547,000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3.5.1 Transporte por Carretera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126,547,000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3.5.2 Transporte por Agua y Puertos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3.5.3 Transporte por Ferrocarril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3.5.4 Transporte Aéreo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3.5.5 Transporte por Oleoductos y Gasoductos y Otros Sistemas de Transporte</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3.5.6 Otros Relacionados con Transporte</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3.6.  COMUNICACIONES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3.6.1 Comunicaciones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3.7.  TURISMO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49,703,935</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3.7.1 Turismo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49,703,935</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3.7.2 Hoteles y Restaurantes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3.8.  CIENCIA, TECNOLOGÍA E INNOVACIÓN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28,732,072</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3.8.1 Investigación Científica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3.8.2 Desarrollo Tecnológico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27,001,694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3.8.3 Servicios Científicos y Tecnológicos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8,000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3.8.4 Innovación</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1,722,378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3.9.  OTRAS INDUSTRIAS Y OTROS ASUNTOS ECONÓMICOS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3.9.1 Comercio, Distribución, Almacenamiento y Depósito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3.9.2 Otras Industrias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3.9.3 Otros Asuntos Económicos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4. OTRAS NO CLASIFICADAS EN FUNCIONES ANTERIORES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2,533,092,801</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74" w:hanging="374"/>
              <w:rPr>
                <w:rFonts w:ascii="Arial" w:hAnsi="Arial" w:cs="Arial"/>
                <w:b/>
                <w:sz w:val="20"/>
                <w:szCs w:val="20"/>
              </w:rPr>
            </w:pPr>
            <w:r w:rsidRPr="001876E4">
              <w:rPr>
                <w:rFonts w:ascii="Arial" w:hAnsi="Arial" w:cs="Arial"/>
                <w:b/>
                <w:sz w:val="20"/>
                <w:szCs w:val="20"/>
              </w:rPr>
              <w:t>4.1. TRANSACCIONES DE LA DEUDA PUBLICA / COSTO FINANCIERO DE LA DEUDA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394,545,224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4.1.1 Deuda Pública Interna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394,545,224</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4.1.2 Deuda Pública Externa</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74" w:hanging="374"/>
              <w:rPr>
                <w:rFonts w:ascii="Arial" w:hAnsi="Arial" w:cs="Arial"/>
                <w:b/>
                <w:sz w:val="20"/>
                <w:szCs w:val="20"/>
              </w:rPr>
            </w:pPr>
            <w:r w:rsidRPr="001876E4">
              <w:rPr>
                <w:rFonts w:ascii="Arial" w:hAnsi="Arial" w:cs="Arial"/>
                <w:b/>
                <w:sz w:val="20"/>
                <w:szCs w:val="20"/>
              </w:rPr>
              <w:t>4.2.  TRANSFERENCIAS, PARTICIPACIONES Y APORTACIONES ENTRE DIFERENTES NIVELES Y ÓRDENES DE GOBIERNO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2,082,013,239</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4.2.1 Transferencias entre Diferentes Niveles y Órdenes de Gobierno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108,471,400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4.2.2 Participaciones entre Diferentes Niveles y Órdenes de Gobierno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1,325,744,533</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4.2.3 Aportaciones entre Diferentes Niveles y Órdenes de Gobierno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647,797,306</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lastRenderedPageBreak/>
              <w:t>4.3.  SANEAMIENTO DEL SISTEMA FINANCIERO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4.3.1 Saneamiento del Sistema Financiero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4.3.2 Apoyos IPAB</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4.3.3 Banca de Desarrollo</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4.3.4 Apoyo a los Programas de Reestructura en Unidades de Inversión (UDIS)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4.4.  ADEUDOS DE EJERCICIOS FISCALES ANTERIORES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56,534,338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4.4.1 Adeudos de Ejercicios Fiscales Anteriores</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56,534,338</w:t>
            </w:r>
          </w:p>
        </w:tc>
      </w:tr>
      <w:tr w:rsidR="001876E4" w:rsidRPr="001876E4" w:rsidTr="00947D11">
        <w:trPr>
          <w:trHeight w:val="283"/>
          <w:jc w:val="center"/>
        </w:trPr>
        <w:tc>
          <w:tcPr>
            <w:tcW w:w="700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Total</w:t>
            </w:r>
          </w:p>
        </w:tc>
        <w:tc>
          <w:tcPr>
            <w:tcW w:w="166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20</w:t>
      </w:r>
      <w:r w:rsidRPr="001876E4">
        <w:rPr>
          <w:rFonts w:ascii="Arial" w:eastAsia="Calibri" w:hAnsi="Arial" w:cs="Arial"/>
          <w:sz w:val="24"/>
          <w:szCs w:val="24"/>
          <w:lang w:val="es-ES" w:eastAsia="en-US"/>
        </w:rPr>
        <w:t xml:space="preserve">. La </w:t>
      </w:r>
      <w:r w:rsidRPr="001876E4">
        <w:rPr>
          <w:rFonts w:ascii="Arial" w:eastAsia="Calibri" w:hAnsi="Arial" w:cs="Arial"/>
          <w:b/>
          <w:sz w:val="24"/>
          <w:szCs w:val="24"/>
          <w:lang w:val="es-ES" w:eastAsia="en-US"/>
        </w:rPr>
        <w:t>Clasificación Programática</w:t>
      </w:r>
      <w:r w:rsidRPr="001876E4">
        <w:rPr>
          <w:rFonts w:ascii="Arial" w:eastAsia="Calibri" w:hAnsi="Arial" w:cs="Arial"/>
          <w:sz w:val="24"/>
          <w:szCs w:val="24"/>
          <w:lang w:val="es-ES" w:eastAsia="en-US"/>
        </w:rPr>
        <w:t xml:space="preserve"> de acuerdo con la Tipología General de los Programas Presupuestarios se presenta en la siguiente tabla: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28. Clasificación Programática </w:t>
      </w:r>
      <w:r w:rsidRPr="001876E4">
        <w:rPr>
          <w:rFonts w:ascii="Arial" w:eastAsia="Times New Roman" w:hAnsi="Arial" w:cs="Times New Roman"/>
          <w:b/>
          <w:szCs w:val="26"/>
          <w:lang w:val="es-ES" w:eastAsia="en-US"/>
        </w:rPr>
        <w:br/>
        <w:t>(Tipología General)</w:t>
      </w:r>
    </w:p>
    <w:tbl>
      <w:tblPr>
        <w:tblStyle w:val="Tablaconcuadrcula2"/>
        <w:tblW w:w="0" w:type="auto"/>
        <w:jc w:val="center"/>
        <w:tblLook w:val="04A0" w:firstRow="1" w:lastRow="0" w:firstColumn="1" w:lastColumn="0" w:noHBand="0" w:noVBand="1"/>
      </w:tblPr>
      <w:tblGrid>
        <w:gridCol w:w="6021"/>
        <w:gridCol w:w="750"/>
        <w:gridCol w:w="1669"/>
      </w:tblGrid>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Programas Presupuestarios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Clave</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bCs/>
                <w:sz w:val="20"/>
                <w:szCs w:val="20"/>
              </w:rPr>
            </w:pPr>
            <w:r w:rsidRPr="001876E4">
              <w:rPr>
                <w:rFonts w:ascii="Arial" w:hAnsi="Arial" w:cs="Arial"/>
                <w:b/>
                <w:bCs/>
                <w:sz w:val="20"/>
                <w:szCs w:val="20"/>
              </w:rPr>
              <w:t>Subsidios: Sector Social y Privado o Entidades Federativas y Municipios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sz w:val="20"/>
                <w:szCs w:val="20"/>
              </w:rPr>
            </w:pP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Sujetos a Reglas de Operación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S</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150,683,612</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Otros Subsidios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U</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321,729,169</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bCs/>
                <w:sz w:val="20"/>
                <w:szCs w:val="20"/>
              </w:rPr>
            </w:pPr>
            <w:r w:rsidRPr="001876E4">
              <w:rPr>
                <w:rFonts w:ascii="Arial" w:hAnsi="Arial" w:cs="Arial"/>
                <w:b/>
                <w:bCs/>
                <w:sz w:val="20"/>
                <w:szCs w:val="20"/>
              </w:rPr>
              <w:t>Desempeño de las Funciones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Prestación de Servicios Públicos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E</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4,309,364,684</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Provisión de Bienes Públicos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B</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Planeación, Seguimiento y Evaluación de Políticas Públicas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P</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71,663,284</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Promoción y Fomento</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F</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1,000,335,130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Regulación y Supervisión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G</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Funciones de las Fuerzas Armadas (Únicamente Gobierno Federal)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A</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Específicos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R</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Proyectos de Inversión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K</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730,427,000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bCs/>
                <w:sz w:val="20"/>
                <w:szCs w:val="20"/>
              </w:rPr>
            </w:pPr>
            <w:r w:rsidRPr="001876E4">
              <w:rPr>
                <w:rFonts w:ascii="Arial" w:hAnsi="Arial" w:cs="Arial"/>
                <w:b/>
                <w:bCs/>
                <w:sz w:val="20"/>
                <w:szCs w:val="20"/>
              </w:rPr>
              <w:t>Administrativos y de Apoyo</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Apoyo al Proceso Presupuestario y para Mejorar la Eficiencia Institucional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M</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156,807,632</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Apoyo a la Función Pública y al Mejoramiento de la Gestión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O</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380,136,931</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Operaciones Ajenas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W</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bCs/>
                <w:sz w:val="20"/>
                <w:szCs w:val="20"/>
              </w:rPr>
            </w:pPr>
            <w:r w:rsidRPr="001876E4">
              <w:rPr>
                <w:rFonts w:ascii="Arial" w:hAnsi="Arial" w:cs="Arial"/>
                <w:b/>
                <w:bCs/>
                <w:sz w:val="20"/>
                <w:szCs w:val="20"/>
              </w:rPr>
              <w:t>Compromisos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Obligaciones de Cumplimiento de Resolución Jurisdiccional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L</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Desastres Naturales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N</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bCs/>
                <w:sz w:val="20"/>
                <w:szCs w:val="20"/>
              </w:rPr>
            </w:pPr>
            <w:r w:rsidRPr="001876E4">
              <w:rPr>
                <w:rFonts w:ascii="Arial" w:hAnsi="Arial" w:cs="Arial"/>
                <w:b/>
                <w:bCs/>
                <w:sz w:val="20"/>
                <w:szCs w:val="20"/>
              </w:rPr>
              <w:t>Obligaciones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lastRenderedPageBreak/>
              <w:t>Pensiones y Jubilaciones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J</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755,335,364</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Aportaciones a la Seguridad Social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Aportaciones a Fondos de Estabilización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Y</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52"/>
              <w:rPr>
                <w:rFonts w:ascii="Arial" w:hAnsi="Arial" w:cs="Arial"/>
                <w:sz w:val="20"/>
                <w:szCs w:val="20"/>
              </w:rPr>
            </w:pPr>
            <w:r w:rsidRPr="001876E4">
              <w:rPr>
                <w:rFonts w:ascii="Arial" w:hAnsi="Arial" w:cs="Arial"/>
                <w:sz w:val="20"/>
                <w:szCs w:val="20"/>
              </w:rPr>
              <w:t>Aportaciones a Fondos de Inversión y Reestructura de Pensiones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Z</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0</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bCs/>
                <w:sz w:val="20"/>
                <w:szCs w:val="20"/>
              </w:rPr>
            </w:pPr>
            <w:r w:rsidRPr="001876E4">
              <w:rPr>
                <w:rFonts w:ascii="Arial" w:hAnsi="Arial" w:cs="Arial"/>
                <w:b/>
                <w:bCs/>
                <w:sz w:val="20"/>
                <w:szCs w:val="20"/>
              </w:rPr>
              <w:t>Programas de Gasto Federalizado (Gobierno Federal)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b/>
                <w:sz w:val="20"/>
                <w:szCs w:val="20"/>
              </w:rPr>
            </w:pPr>
            <w:r w:rsidRPr="001876E4">
              <w:rPr>
                <w:rFonts w:ascii="Arial" w:hAnsi="Arial" w:cs="Arial"/>
                <w:b/>
                <w:sz w:val="20"/>
                <w:szCs w:val="20"/>
              </w:rPr>
              <w:t>Gasto Federalizado</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I</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6,429,266,794</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Participaciones a Entidades Federativas y Municipios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1,973,541,839</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Costo financiero, Deuda o Apoyos a Deudores y Ahorradores de la Banca</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D</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394,545,223</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Adeudos de Ejercicios Fiscales Anteriores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H</w:t>
            </w: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56,534,338</w:t>
            </w:r>
          </w:p>
        </w:tc>
      </w:tr>
      <w:tr w:rsidR="001876E4" w:rsidRPr="001876E4" w:rsidTr="00947D1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 xml:space="preserve">16,730,371,000 </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21</w:t>
      </w:r>
      <w:r w:rsidRPr="001876E4">
        <w:rPr>
          <w:rFonts w:ascii="Arial" w:eastAsia="Calibri" w:hAnsi="Arial" w:cs="Arial"/>
          <w:sz w:val="24"/>
          <w:szCs w:val="24"/>
          <w:lang w:val="es-ES" w:eastAsia="en-US"/>
        </w:rPr>
        <w:t>. Los Programas con Recursos Concurrentes</w:t>
      </w:r>
      <w:r w:rsidRPr="001876E4">
        <w:rPr>
          <w:rFonts w:ascii="Arial" w:eastAsia="Calibri" w:hAnsi="Arial" w:cs="Arial"/>
          <w:b/>
          <w:sz w:val="24"/>
          <w:szCs w:val="24"/>
          <w:lang w:val="es-ES" w:eastAsia="en-US"/>
        </w:rPr>
        <w:t xml:space="preserve"> </w:t>
      </w:r>
      <w:r w:rsidRPr="001876E4">
        <w:rPr>
          <w:rFonts w:ascii="Arial" w:eastAsia="Calibri" w:hAnsi="Arial" w:cs="Arial"/>
          <w:sz w:val="24"/>
          <w:szCs w:val="24"/>
          <w:lang w:val="es-ES" w:eastAsia="en-US"/>
        </w:rPr>
        <w:t>para el Ejercicio Fiscal 2018,</w:t>
      </w:r>
      <w:r w:rsidRPr="001876E4">
        <w:rPr>
          <w:rFonts w:ascii="Arial" w:eastAsia="Calibri" w:hAnsi="Arial" w:cs="Arial"/>
          <w:b/>
          <w:sz w:val="24"/>
          <w:szCs w:val="24"/>
          <w:lang w:val="es-ES" w:eastAsia="en-US"/>
        </w:rPr>
        <w:t xml:space="preserve"> </w:t>
      </w:r>
      <w:r w:rsidRPr="001876E4">
        <w:rPr>
          <w:rFonts w:ascii="Arial" w:eastAsia="Calibri" w:hAnsi="Arial" w:cs="Arial"/>
          <w:sz w:val="24"/>
          <w:szCs w:val="24"/>
          <w:lang w:val="es-ES" w:eastAsia="en-US"/>
        </w:rPr>
        <w:t xml:space="preserve">sujetos a disponibilidad presupuestaria y liquidez financiera; provenientes de Transferencias Federales, Estatales, Municipales e Ingresos Propios se distribuyen de la siguiente forma: </w:t>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29. Programas con Recursos Concurrentes por Orden de Gobierno</w:t>
      </w:r>
    </w:p>
    <w:tbl>
      <w:tblPr>
        <w:tblW w:w="8642" w:type="dxa"/>
        <w:tblInd w:w="75" w:type="dxa"/>
        <w:tblCellMar>
          <w:left w:w="70" w:type="dxa"/>
          <w:right w:w="70" w:type="dxa"/>
        </w:tblCellMar>
        <w:tblLook w:val="04A0" w:firstRow="1" w:lastRow="0" w:firstColumn="1" w:lastColumn="0" w:noHBand="0" w:noVBand="1"/>
      </w:tblPr>
      <w:tblGrid>
        <w:gridCol w:w="4780"/>
        <w:gridCol w:w="1200"/>
        <w:gridCol w:w="1200"/>
        <w:gridCol w:w="1462"/>
      </w:tblGrid>
      <w:tr w:rsidR="001876E4" w:rsidRPr="001876E4" w:rsidTr="00947D11">
        <w:trPr>
          <w:trHeight w:val="480"/>
        </w:trPr>
        <w:tc>
          <w:tcPr>
            <w:tcW w:w="4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Nombre del Programa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Aportación Estatal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Aportación Federal</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Total</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Secretaría de Educación Pública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Telebachillerato Comunitario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5,100,000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8,200,000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13,300,000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Centros de Educación Media Superior a Distancia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19,200,000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38,200,000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Comisión Nacional de Protección Social en Salud</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Ejecución del Sistema de Protección Social en Salud (Cuota Social)</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170,500,000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210,500,000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Comisión Nacional del Agua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de Agua Potable, Drenaje y Tratamiento (PROAGUA)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33,180,000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34,680,000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Modernización y Tecnificación de Unidades de Riego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14,400,000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15,400,000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Tecnificación, Modernización y Equipamiento de Distritos de Riego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91,350,000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95,350,000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Federal PROAGUA Apartado APARURAL</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8,700,000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18,700,000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Federal PROAGUA Apartado APAUR</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38,000,000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48,000,000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Secretaría de Desarrollo Social</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(3 X 1) Migrantes</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12,500,000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12,500,000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Comisión Nacional para el Desarrollo de los Pueblos Indígenas</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Infraestructura Indígena (PROII)</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28,767,157</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34,767,157</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lastRenderedPageBreak/>
              <w:t>Consejo Nacional para la Cultura y las Artes</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de Desarrollo Cultural Infantil "Alas y Raíces"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para el Desarrollo Cultural de la Juventud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para el Desarrollo Cultural y Atención de Públicos Específicos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de Estímulos a la Creación y al Desarrollo Artístico (PECDA)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3,200,000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para el Desarrollo Cultural de los Municipios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1,750,000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3,750,000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Fondo para el Desarrollo Cultural de la Zona de Tierra Caliente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de Apoyo a las Culturas Municipales y Comunitarias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Fondo Especial de Fomento a la Lectura del Estado de Colima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Secretaría del Trabajo y Previsión Social</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Apoyo al Empleo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9,318,236</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10,818,236</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color w:val="000000"/>
                <w:sz w:val="18"/>
                <w:szCs w:val="18"/>
              </w:rPr>
            </w:pPr>
            <w:r w:rsidRPr="001876E4">
              <w:rPr>
                <w:rFonts w:ascii="Arial" w:eastAsia="Times New Roman" w:hAnsi="Arial" w:cs="Arial"/>
                <w:b/>
                <w:color w:val="000000"/>
                <w:sz w:val="18"/>
                <w:szCs w:val="18"/>
              </w:rPr>
              <w:t>Instituto Mexicano de la Juventud</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Proyectos Locales Juveniles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Secretaría de Agricultura, Ganadería, Desarrollo Rural, Pesca y Alimentación</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Contratación de Seguros Agropecuarios</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11,500,000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15,000,000</w:t>
            </w:r>
          </w:p>
        </w:tc>
      </w:tr>
      <w:tr w:rsidR="001876E4" w:rsidRPr="001876E4" w:rsidTr="00947D11">
        <w:trPr>
          <w:trHeight w:val="2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de Concurrencia con las Entidades Federativas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12,800,000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140,000,000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152,800,000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Productividad Rural  (PESA E IPASSA)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24,600,000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28,600,000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Apoyos a Pequeños Productores (Extensionismo)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6,600,000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7,600,000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Productividad y Competitividad Agroalimentaria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Sanidad e Inocuidad Agroalimentaria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33,000,000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Modernización y Tecnificación de Unidades de Riego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14,400,000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15,400,000</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Tecnificación, Modernización y  Equipamiento de Distritos de Riego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91,350,000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95,350,000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Comisión Nacional de Acuacultura y Pesca</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hAnsi="Arial" w:cs="Arial"/>
                <w:color w:val="000000"/>
                <w:sz w:val="18"/>
                <w:szCs w:val="18"/>
              </w:rPr>
            </w:pPr>
            <w:r w:rsidRPr="001876E4">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hAnsi="Arial" w:cs="Arial"/>
                <w:color w:val="000000"/>
                <w:sz w:val="18"/>
                <w:szCs w:val="18"/>
              </w:rPr>
            </w:pPr>
            <w:r w:rsidRPr="001876E4">
              <w:rPr>
                <w:rFonts w:ascii="Arial" w:hAnsi="Arial" w:cs="Arial"/>
                <w:color w:val="000000"/>
                <w:sz w:val="18"/>
                <w:szCs w:val="18"/>
              </w:rPr>
              <w:t> </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hAnsi="Arial" w:cs="Arial"/>
                <w:color w:val="000000"/>
                <w:sz w:val="18"/>
                <w:szCs w:val="18"/>
              </w:rPr>
            </w:pPr>
            <w:r w:rsidRPr="001876E4">
              <w:rPr>
                <w:rFonts w:ascii="Arial" w:hAnsi="Arial" w:cs="Arial"/>
                <w:color w:val="000000"/>
                <w:sz w:val="18"/>
                <w:szCs w:val="18"/>
              </w:rPr>
              <w:t> </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Fomento a la Productividad Pesquera y Acuícola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4,500,000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6,000,000</w:t>
            </w:r>
          </w:p>
        </w:tc>
      </w:tr>
      <w:tr w:rsidR="001876E4" w:rsidRPr="001876E4" w:rsidTr="00947D11">
        <w:trPr>
          <w:trHeight w:val="342"/>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Componente al Desarrollo de la Acuacultura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22,000,000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Secretaría de Desarrollo Agrario, Territorial y Urbano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r>
      <w:tr w:rsidR="001876E4" w:rsidRPr="001876E4" w:rsidTr="00947D11">
        <w:trPr>
          <w:trHeight w:val="48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Apoyo Federal al Transporte Masivo PROTAM</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5,650,000</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13,150,000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Consejo Nacional de Ciencia y Tecnología</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146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Anexo de Ejecución 2018 Fondo Mixto CONACYT</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10,000,000</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10,000,000</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lastRenderedPageBreak/>
              <w:t>Universidad Tecnológica de Manzanillo</w:t>
            </w:r>
          </w:p>
        </w:tc>
        <w:tc>
          <w:tcPr>
            <w:tcW w:w="120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2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20,809,628</w:t>
            </w:r>
          </w:p>
        </w:tc>
        <w:tc>
          <w:tcPr>
            <w:tcW w:w="146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40,809,628</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b/>
                <w:color w:val="000000"/>
                <w:sz w:val="18"/>
                <w:szCs w:val="18"/>
              </w:rPr>
            </w:pPr>
            <w:r w:rsidRPr="001876E4">
              <w:rPr>
                <w:rFonts w:ascii="Arial" w:eastAsia="Times New Roman" w:hAnsi="Arial" w:cs="Arial"/>
                <w:b/>
                <w:color w:val="000000"/>
                <w:sz w:val="18"/>
                <w:szCs w:val="18"/>
              </w:rPr>
              <w:t>Secretaría de Turismo</w:t>
            </w:r>
          </w:p>
        </w:tc>
        <w:tc>
          <w:tcPr>
            <w:tcW w:w="120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c>
          <w:tcPr>
            <w:tcW w:w="1462"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Desarrollo Regional Turístico y Sustentable y Pueblos Mágicos PRODERMÁGICO</w:t>
            </w:r>
          </w:p>
        </w:tc>
        <w:tc>
          <w:tcPr>
            <w:tcW w:w="120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20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462"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40,000,000</w:t>
            </w:r>
          </w:p>
        </w:tc>
      </w:tr>
      <w:tr w:rsidR="001876E4" w:rsidRPr="001876E4" w:rsidTr="00947D11">
        <w:trPr>
          <w:trHeight w:val="300"/>
        </w:trPr>
        <w:tc>
          <w:tcPr>
            <w:tcW w:w="478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Total:</w:t>
            </w:r>
          </w:p>
        </w:tc>
        <w:tc>
          <w:tcPr>
            <w:tcW w:w="120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207,150,000</w:t>
            </w:r>
          </w:p>
        </w:tc>
        <w:tc>
          <w:tcPr>
            <w:tcW w:w="120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845,075,021</w:t>
            </w:r>
          </w:p>
        </w:tc>
        <w:tc>
          <w:tcPr>
            <w:tcW w:w="1462"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1,052,225,021</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22</w:t>
      </w:r>
      <w:r w:rsidRPr="001876E4">
        <w:rPr>
          <w:rFonts w:ascii="Arial" w:eastAsia="Calibri" w:hAnsi="Arial" w:cs="Arial"/>
          <w:sz w:val="24"/>
          <w:szCs w:val="24"/>
          <w:lang w:val="es-ES" w:eastAsia="en-US"/>
        </w:rPr>
        <w:t xml:space="preserve">. Las </w:t>
      </w:r>
      <w:r w:rsidRPr="001876E4">
        <w:rPr>
          <w:rFonts w:ascii="Arial" w:eastAsia="Calibri" w:hAnsi="Arial" w:cs="Arial"/>
          <w:b/>
          <w:sz w:val="24"/>
          <w:szCs w:val="24"/>
          <w:lang w:val="es-ES" w:eastAsia="en-US"/>
        </w:rPr>
        <w:t>Transferencias Internas otorgadas a Fideicomisos Públicos</w:t>
      </w:r>
      <w:r w:rsidRPr="001876E4">
        <w:rPr>
          <w:rFonts w:ascii="Arial" w:eastAsia="Calibri" w:hAnsi="Arial" w:cs="Arial"/>
          <w:sz w:val="24"/>
          <w:szCs w:val="24"/>
          <w:lang w:val="es-ES" w:eastAsia="en-US"/>
        </w:rPr>
        <w:t xml:space="preserve"> se distribuyen de la siguiente forma: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30. Transferencias Internas Otorgadas a Fideicomisos Públicos</w:t>
      </w:r>
    </w:p>
    <w:tbl>
      <w:tblPr>
        <w:tblStyle w:val="Tablaconcuadrcula2"/>
        <w:tblW w:w="8328" w:type="dxa"/>
        <w:jc w:val="center"/>
        <w:tblLayout w:type="fixed"/>
        <w:tblLook w:val="04A0" w:firstRow="1" w:lastRow="0" w:firstColumn="1" w:lastColumn="0" w:noHBand="0" w:noVBand="1"/>
      </w:tblPr>
      <w:tblGrid>
        <w:gridCol w:w="3508"/>
        <w:gridCol w:w="1134"/>
        <w:gridCol w:w="1134"/>
        <w:gridCol w:w="1276"/>
        <w:gridCol w:w="1276"/>
      </w:tblGrid>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Dependencia / Fideicomiso</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right="-108"/>
              <w:jc w:val="center"/>
              <w:rPr>
                <w:rFonts w:ascii="Arial" w:hAnsi="Arial" w:cs="Arial"/>
                <w:b/>
                <w:bCs/>
                <w:sz w:val="16"/>
                <w:szCs w:val="16"/>
              </w:rPr>
            </w:pPr>
            <w:r w:rsidRPr="001876E4">
              <w:rPr>
                <w:rFonts w:ascii="Arial" w:hAnsi="Arial" w:cs="Arial"/>
                <w:b/>
                <w:bCs/>
                <w:sz w:val="16"/>
                <w:szCs w:val="16"/>
              </w:rPr>
              <w:t>Número de Contrato</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Fiduciario</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Saldo Patrimonial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Asignación Presupuestal</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nil"/>
            </w:tcBorders>
            <w:vAlign w:val="center"/>
          </w:tcPr>
          <w:p w:rsidR="001876E4" w:rsidRPr="001876E4" w:rsidRDefault="001876E4" w:rsidP="001876E4">
            <w:pPr>
              <w:jc w:val="both"/>
              <w:rPr>
                <w:rFonts w:ascii="Arial" w:hAnsi="Arial" w:cs="Arial"/>
                <w:b/>
                <w:bCs/>
                <w:sz w:val="16"/>
                <w:szCs w:val="16"/>
              </w:rPr>
            </w:pPr>
            <w:r w:rsidRPr="001876E4">
              <w:rPr>
                <w:rFonts w:ascii="Arial" w:hAnsi="Arial" w:cs="Arial"/>
                <w:b/>
                <w:sz w:val="18"/>
                <w:szCs w:val="16"/>
              </w:rPr>
              <w:t>Secretaría General de Gobierno</w:t>
            </w:r>
          </w:p>
        </w:tc>
        <w:tc>
          <w:tcPr>
            <w:tcW w:w="1134" w:type="dxa"/>
            <w:tcBorders>
              <w:top w:val="single" w:sz="4" w:space="0" w:color="auto"/>
              <w:left w:val="nil"/>
              <w:bottom w:val="single" w:sz="4" w:space="0" w:color="auto"/>
              <w:right w:val="nil"/>
            </w:tcBorders>
            <w:vAlign w:val="center"/>
          </w:tcPr>
          <w:p w:rsidR="001876E4" w:rsidRPr="001876E4" w:rsidRDefault="001876E4" w:rsidP="001876E4">
            <w:pPr>
              <w:ind w:right="-108"/>
              <w:jc w:val="center"/>
              <w:rPr>
                <w:rFonts w:ascii="Arial" w:hAnsi="Arial" w:cs="Arial"/>
                <w:b/>
                <w:bCs/>
                <w:sz w:val="16"/>
                <w:szCs w:val="16"/>
              </w:rPr>
            </w:pP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cs="Arial"/>
                <w:b/>
                <w:bCs/>
                <w:sz w:val="16"/>
                <w:szCs w:val="16"/>
              </w:rPr>
            </w:pPr>
          </w:p>
        </w:tc>
        <w:tc>
          <w:tcPr>
            <w:tcW w:w="1276"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cs="Arial"/>
                <w:b/>
                <w:bCs/>
                <w:sz w:val="16"/>
                <w:szCs w:val="16"/>
              </w:rPr>
            </w:pPr>
          </w:p>
        </w:tc>
        <w:tc>
          <w:tcPr>
            <w:tcW w:w="1276" w:type="dxa"/>
            <w:tcBorders>
              <w:top w:val="single" w:sz="4" w:space="0" w:color="auto"/>
              <w:left w:val="nil"/>
              <w:bottom w:val="single" w:sz="4" w:space="0" w:color="auto"/>
              <w:right w:val="single" w:sz="4" w:space="0" w:color="auto"/>
            </w:tcBorders>
            <w:vAlign w:val="center"/>
          </w:tcPr>
          <w:p w:rsidR="001876E4" w:rsidRPr="001876E4" w:rsidRDefault="001876E4" w:rsidP="001876E4">
            <w:pPr>
              <w:jc w:val="center"/>
              <w:rPr>
                <w:rFonts w:ascii="Arial" w:hAnsi="Arial" w:cs="Arial"/>
                <w:b/>
                <w:bCs/>
                <w:sz w:val="16"/>
                <w:szCs w:val="16"/>
              </w:rPr>
            </w:pP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del Estado de Colima para la Implementación del Sistema de Justicia Penal</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2215</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BANOBRAS</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67,647</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nil"/>
            </w:tcBorders>
            <w:vAlign w:val="center"/>
          </w:tcPr>
          <w:p w:rsidR="001876E4" w:rsidRPr="001876E4" w:rsidRDefault="001876E4" w:rsidP="001876E4">
            <w:pPr>
              <w:jc w:val="both"/>
              <w:rPr>
                <w:rFonts w:ascii="Arial" w:hAnsi="Arial" w:cs="Arial"/>
                <w:sz w:val="16"/>
                <w:szCs w:val="16"/>
              </w:rPr>
            </w:pPr>
            <w:r w:rsidRPr="001876E4">
              <w:rPr>
                <w:rFonts w:ascii="Arial" w:hAnsi="Arial" w:cs="Arial"/>
                <w:b/>
                <w:sz w:val="18"/>
                <w:szCs w:val="16"/>
              </w:rPr>
              <w:t>Secretaría de Desarrollo Rural</w:t>
            </w: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276" w:type="dxa"/>
            <w:tcBorders>
              <w:top w:val="single" w:sz="4" w:space="0" w:color="auto"/>
              <w:left w:val="nil"/>
              <w:bottom w:val="single" w:sz="4" w:space="0" w:color="auto"/>
              <w:right w:val="nil"/>
            </w:tcBorders>
            <w:noWrap/>
            <w:vAlign w:val="center"/>
          </w:tcPr>
          <w:p w:rsidR="001876E4" w:rsidRPr="001876E4" w:rsidRDefault="001876E4" w:rsidP="001876E4">
            <w:pPr>
              <w:jc w:val="right"/>
              <w:rPr>
                <w:rFonts w:ascii="Arial" w:hAnsi="Arial" w:cs="Arial"/>
                <w:sz w:val="16"/>
                <w:szCs w:val="16"/>
              </w:rPr>
            </w:pPr>
          </w:p>
        </w:tc>
        <w:tc>
          <w:tcPr>
            <w:tcW w:w="1276" w:type="dxa"/>
            <w:tcBorders>
              <w:top w:val="single" w:sz="4" w:space="0" w:color="auto"/>
              <w:left w:val="nil"/>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del Fondo de Fomento Agropecuario del Estado de Colima. (FOFAE COL)</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1206011790</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4"/>
              </w:rPr>
            </w:pPr>
            <w:r w:rsidRPr="001876E4">
              <w:rPr>
                <w:rFonts w:ascii="Arial" w:hAnsi="Arial"/>
                <w:sz w:val="14"/>
              </w:rPr>
              <w:t>FINANCIERA RURAL</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77,387,726</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32,000,000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nil"/>
            </w:tcBorders>
            <w:vAlign w:val="center"/>
          </w:tcPr>
          <w:p w:rsidR="001876E4" w:rsidRPr="001876E4" w:rsidRDefault="001876E4" w:rsidP="001876E4">
            <w:pPr>
              <w:jc w:val="both"/>
              <w:rPr>
                <w:rFonts w:ascii="Arial" w:hAnsi="Arial" w:cs="Arial"/>
                <w:b/>
                <w:sz w:val="18"/>
                <w:szCs w:val="16"/>
              </w:rPr>
            </w:pPr>
            <w:r w:rsidRPr="001876E4">
              <w:rPr>
                <w:rFonts w:ascii="Arial" w:hAnsi="Arial" w:cs="Arial"/>
                <w:b/>
                <w:sz w:val="18"/>
                <w:szCs w:val="16"/>
              </w:rPr>
              <w:t>Secretaría de Educación</w:t>
            </w: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276" w:type="dxa"/>
            <w:tcBorders>
              <w:top w:val="single" w:sz="4" w:space="0" w:color="auto"/>
              <w:left w:val="nil"/>
              <w:bottom w:val="single" w:sz="4" w:space="0" w:color="auto"/>
              <w:right w:val="nil"/>
            </w:tcBorders>
            <w:noWrap/>
            <w:vAlign w:val="center"/>
          </w:tcPr>
          <w:p w:rsidR="001876E4" w:rsidRPr="001876E4" w:rsidRDefault="001876E4" w:rsidP="001876E4">
            <w:pPr>
              <w:jc w:val="right"/>
              <w:rPr>
                <w:rFonts w:ascii="Arial" w:hAnsi="Arial" w:cs="Arial"/>
                <w:sz w:val="16"/>
                <w:szCs w:val="16"/>
              </w:rPr>
            </w:pPr>
          </w:p>
        </w:tc>
        <w:tc>
          <w:tcPr>
            <w:tcW w:w="1276" w:type="dxa"/>
            <w:tcBorders>
              <w:top w:val="single" w:sz="4" w:space="0" w:color="auto"/>
              <w:left w:val="nil"/>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Programa Especial de Financiamiento a la Vivienda para el Magisterio del Estado de Colima. (FOVIM)</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100008895</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4"/>
              </w:rPr>
            </w:pPr>
            <w:r w:rsidRPr="001876E4">
              <w:rPr>
                <w:rFonts w:ascii="Arial" w:hAnsi="Arial"/>
                <w:sz w:val="14"/>
              </w:rPr>
              <w:t>SCOTIABANK</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2,817,674</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Gobierno del Estado de Colima / Programa Escuelas de Calidad. (PEC)</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106758-1</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261,938</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Proyecto de Innovación Colima</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106758-1</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Ciclo Escolar 2015-2016 Proyecto Diplomado de Supervisores</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106758-1</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Proyecto " Tecnologías Educativas y de la Información para el Personal al Servicio de la Educación"</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106586-4</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7,624,025</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Proyecto " Tecnologías Educativas y de la Información para el Personal al Servicio de la Educación"</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7536537012</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7,988</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nil"/>
            </w:tcBorders>
            <w:vAlign w:val="center"/>
          </w:tcPr>
          <w:p w:rsidR="001876E4" w:rsidRPr="001876E4" w:rsidRDefault="001876E4" w:rsidP="001876E4">
            <w:pPr>
              <w:jc w:val="both"/>
              <w:rPr>
                <w:rFonts w:ascii="Arial" w:hAnsi="Arial" w:cs="Arial"/>
                <w:b/>
                <w:sz w:val="18"/>
                <w:szCs w:val="16"/>
              </w:rPr>
            </w:pPr>
            <w:r w:rsidRPr="001876E4">
              <w:rPr>
                <w:rFonts w:ascii="Arial" w:hAnsi="Arial" w:cs="Arial"/>
                <w:b/>
                <w:sz w:val="18"/>
                <w:szCs w:val="16"/>
              </w:rPr>
              <w:t>Secretaría de Fomento Económico</w:t>
            </w: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276" w:type="dxa"/>
            <w:tcBorders>
              <w:top w:val="single" w:sz="4" w:space="0" w:color="auto"/>
              <w:left w:val="nil"/>
              <w:bottom w:val="single" w:sz="4" w:space="0" w:color="auto"/>
              <w:right w:val="nil"/>
            </w:tcBorders>
            <w:vAlign w:val="center"/>
          </w:tcPr>
          <w:p w:rsidR="001876E4" w:rsidRPr="001876E4" w:rsidRDefault="001876E4" w:rsidP="001876E4">
            <w:pPr>
              <w:jc w:val="right"/>
              <w:rPr>
                <w:rFonts w:ascii="Arial" w:hAnsi="Arial" w:cs="Arial"/>
                <w:sz w:val="16"/>
                <w:szCs w:val="16"/>
              </w:rPr>
            </w:pPr>
          </w:p>
        </w:tc>
        <w:tc>
          <w:tcPr>
            <w:tcW w:w="1276" w:type="dxa"/>
            <w:tcBorders>
              <w:top w:val="single" w:sz="4" w:space="0" w:color="auto"/>
              <w:left w:val="nil"/>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6"/>
                <w:szCs w:val="16"/>
              </w:rPr>
            </w:pP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Público Revocable de Administración e Inversión para el Desarrollo del Estado de Colima. (FIDEC)</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106-6917</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5,126,872</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6"/>
                <w:szCs w:val="16"/>
              </w:rPr>
            </w:pPr>
            <w:r w:rsidRPr="001876E4">
              <w:rPr>
                <w:rFonts w:ascii="Arial" w:hAnsi="Arial" w:cs="Arial"/>
                <w:color w:val="000000"/>
                <w:sz w:val="16"/>
                <w:szCs w:val="16"/>
              </w:rPr>
              <w:t>51,781,990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Público Revocable de Administración e Inversión Denominado Impulsa. (IMPULSA)</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106-6763</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9,216,948</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del Fondo para la Creación y Apoyo de Microempresas en el Estado de Colima. (FOCOL)</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30223-2</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4"/>
              </w:rPr>
            </w:pPr>
            <w:r w:rsidRPr="001876E4">
              <w:rPr>
                <w:rFonts w:ascii="Arial" w:hAnsi="Arial"/>
                <w:sz w:val="14"/>
              </w:rPr>
              <w:t>BANCOMER</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Fondo Estatal para el Desarrollo de Municipal en el Estado de Colima. (FEDEMUN)</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34047-1</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4"/>
              </w:rPr>
            </w:pPr>
            <w:r w:rsidRPr="001876E4">
              <w:rPr>
                <w:rFonts w:ascii="Arial" w:hAnsi="Arial"/>
                <w:sz w:val="14"/>
              </w:rPr>
              <w:t>BANCOMER</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Revocable de Administración e Inversión para la Dotación de Infraestructura Industrial, Comercial, de Servicios y Urbana del Estado de Colima. (FIEC)</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106698-4</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BANAMEX</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1,105,807</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highlight w:val="yellow"/>
              </w:rPr>
            </w:pPr>
            <w:r w:rsidRPr="001876E4">
              <w:rPr>
                <w:rFonts w:ascii="Arial" w:hAnsi="Arial" w:cs="Arial"/>
                <w:sz w:val="16"/>
                <w:szCs w:val="16"/>
              </w:rPr>
              <w:t>500,000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16"/>
                <w:szCs w:val="16"/>
              </w:rPr>
            </w:pPr>
            <w:r w:rsidRPr="001876E4">
              <w:rPr>
                <w:rFonts w:ascii="Arial" w:hAnsi="Arial" w:cs="Arial"/>
                <w:sz w:val="16"/>
                <w:szCs w:val="16"/>
              </w:rPr>
              <w:t>Fondo Mixto CONACYT-Gobierno del Estado</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80319</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NAFINSA</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26,462,717</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6"/>
                <w:szCs w:val="16"/>
              </w:rPr>
            </w:pPr>
            <w:r w:rsidRPr="001876E4">
              <w:rPr>
                <w:rFonts w:ascii="Arial" w:hAnsi="Arial" w:cs="Arial"/>
                <w:color w:val="000000"/>
                <w:sz w:val="16"/>
                <w:szCs w:val="16"/>
              </w:rPr>
              <w:t>10,000,000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16"/>
                <w:szCs w:val="16"/>
              </w:rPr>
            </w:pPr>
            <w:r w:rsidRPr="001876E4">
              <w:rPr>
                <w:rFonts w:ascii="Arial" w:hAnsi="Arial" w:cs="Arial"/>
                <w:sz w:val="16"/>
                <w:szCs w:val="16"/>
              </w:rPr>
              <w:lastRenderedPageBreak/>
              <w:t>Fondo para el Desarrollo Económico del Estado de Colima (FEDECOL)</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842</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4"/>
              </w:rPr>
            </w:pPr>
            <w:r w:rsidRPr="001876E4">
              <w:rPr>
                <w:rFonts w:ascii="Arial" w:hAnsi="Arial"/>
                <w:sz w:val="14"/>
              </w:rPr>
              <w:t>NACIONAL FINANCIERA, S.N.C.</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nil"/>
            </w:tcBorders>
            <w:vAlign w:val="center"/>
          </w:tcPr>
          <w:p w:rsidR="001876E4" w:rsidRPr="001876E4" w:rsidRDefault="001876E4" w:rsidP="001876E4">
            <w:pPr>
              <w:jc w:val="both"/>
              <w:rPr>
                <w:rFonts w:ascii="Arial" w:hAnsi="Arial" w:cs="Arial"/>
                <w:b/>
                <w:sz w:val="18"/>
                <w:szCs w:val="16"/>
              </w:rPr>
            </w:pPr>
            <w:r w:rsidRPr="001876E4">
              <w:rPr>
                <w:rFonts w:ascii="Arial" w:hAnsi="Arial" w:cs="Arial"/>
                <w:b/>
                <w:sz w:val="18"/>
                <w:szCs w:val="16"/>
              </w:rPr>
              <w:t>Secretaría de Turismo</w:t>
            </w: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134" w:type="dxa"/>
            <w:tcBorders>
              <w:top w:val="single" w:sz="4" w:space="0" w:color="auto"/>
              <w:left w:val="nil"/>
              <w:bottom w:val="single" w:sz="4" w:space="0" w:color="auto"/>
              <w:right w:val="nil"/>
            </w:tcBorders>
            <w:vAlign w:val="center"/>
          </w:tcPr>
          <w:p w:rsidR="001876E4" w:rsidRPr="001876E4" w:rsidRDefault="001876E4" w:rsidP="001876E4">
            <w:pPr>
              <w:jc w:val="center"/>
              <w:rPr>
                <w:rFonts w:ascii="Arial" w:hAnsi="Arial"/>
                <w:sz w:val="16"/>
              </w:rPr>
            </w:pPr>
          </w:p>
        </w:tc>
        <w:tc>
          <w:tcPr>
            <w:tcW w:w="1276" w:type="dxa"/>
            <w:tcBorders>
              <w:top w:val="single" w:sz="4" w:space="0" w:color="auto"/>
              <w:left w:val="nil"/>
              <w:bottom w:val="single" w:sz="4" w:space="0" w:color="auto"/>
              <w:right w:val="nil"/>
            </w:tcBorders>
            <w:noWrap/>
            <w:vAlign w:val="center"/>
          </w:tcPr>
          <w:p w:rsidR="001876E4" w:rsidRPr="001876E4" w:rsidRDefault="001876E4" w:rsidP="001876E4">
            <w:pPr>
              <w:jc w:val="right"/>
              <w:rPr>
                <w:rFonts w:ascii="Arial" w:hAnsi="Arial" w:cs="Arial"/>
                <w:sz w:val="16"/>
                <w:szCs w:val="16"/>
              </w:rPr>
            </w:pPr>
          </w:p>
        </w:tc>
        <w:tc>
          <w:tcPr>
            <w:tcW w:w="1276" w:type="dxa"/>
            <w:tcBorders>
              <w:top w:val="single" w:sz="4" w:space="0" w:color="auto"/>
              <w:left w:val="nil"/>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p>
        </w:tc>
      </w:tr>
      <w:tr w:rsidR="001876E4" w:rsidRPr="001876E4" w:rsidTr="00947D11">
        <w:trPr>
          <w:trHeight w:val="283"/>
          <w:jc w:val="center"/>
        </w:trPr>
        <w:tc>
          <w:tcPr>
            <w:tcW w:w="35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Fideicomiso para la Promoción Turística del Estado de Colima</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sz w:val="16"/>
              </w:rPr>
            </w:pPr>
            <w:r w:rsidRPr="001876E4">
              <w:rPr>
                <w:rFonts w:ascii="Arial" w:hAnsi="Arial"/>
                <w:sz w:val="16"/>
              </w:rPr>
              <w:t>F/4093779</w:t>
            </w:r>
          </w:p>
        </w:tc>
        <w:tc>
          <w:tcPr>
            <w:tcW w:w="113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Calibri"/>
                <w:color w:val="000000"/>
                <w:sz w:val="14"/>
                <w:szCs w:val="16"/>
              </w:rPr>
            </w:pPr>
            <w:r w:rsidRPr="001876E4">
              <w:rPr>
                <w:rFonts w:ascii="Arial" w:hAnsi="Arial" w:cs="Calibri"/>
                <w:color w:val="000000"/>
                <w:sz w:val="14"/>
                <w:szCs w:val="16"/>
              </w:rPr>
              <w:t>BBVA BANCOMER, S.A.</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6"/>
                <w:szCs w:val="16"/>
              </w:rPr>
            </w:pPr>
            <w:r w:rsidRPr="001876E4">
              <w:rPr>
                <w:rFonts w:ascii="Arial" w:hAnsi="Arial" w:cs="Arial"/>
                <w:color w:val="000000"/>
                <w:sz w:val="16"/>
                <w:szCs w:val="16"/>
              </w:rPr>
              <w:t>4,544,456</w:t>
            </w:r>
          </w:p>
        </w:tc>
        <w:tc>
          <w:tcPr>
            <w:tcW w:w="127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6"/>
                <w:szCs w:val="16"/>
              </w:rPr>
            </w:pPr>
            <w:r w:rsidRPr="001876E4">
              <w:rPr>
                <w:rFonts w:ascii="Arial" w:hAnsi="Arial" w:cs="Arial"/>
                <w:color w:val="000000"/>
                <w:sz w:val="16"/>
                <w:szCs w:val="16"/>
              </w:rPr>
              <w:t>21,232,639</w:t>
            </w:r>
          </w:p>
        </w:tc>
      </w:tr>
      <w:tr w:rsidR="001876E4" w:rsidRPr="001876E4" w:rsidTr="00947D11">
        <w:trPr>
          <w:trHeight w:val="449"/>
          <w:jc w:val="center"/>
        </w:trPr>
        <w:tc>
          <w:tcPr>
            <w:tcW w:w="5776" w:type="dxa"/>
            <w:gridSpan w:val="3"/>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Totales</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r w:rsidRPr="001876E4">
              <w:rPr>
                <w:rFonts w:ascii="Arial" w:hAnsi="Arial" w:cs="Arial"/>
                <w:b/>
                <w:sz w:val="18"/>
                <w:szCs w:val="18"/>
              </w:rPr>
              <w:t>134,623,798</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highlight w:val="yellow"/>
              </w:rPr>
            </w:pPr>
            <w:r w:rsidRPr="001876E4">
              <w:rPr>
                <w:rFonts w:ascii="Arial" w:hAnsi="Arial" w:cs="Arial"/>
                <w:b/>
                <w:bCs/>
                <w:color w:val="000000"/>
                <w:sz w:val="18"/>
                <w:szCs w:val="18"/>
              </w:rPr>
              <w:t>115,514,629</w:t>
            </w:r>
          </w:p>
        </w:tc>
      </w:tr>
    </w:tbl>
    <w:p w:rsidR="001876E4" w:rsidRPr="001876E4" w:rsidRDefault="001876E4" w:rsidP="001876E4">
      <w:pPr>
        <w:spacing w:after="0" w:line="240" w:lineRule="auto"/>
        <w:jc w:val="both"/>
        <w:rPr>
          <w:rFonts w:ascii="Arial" w:eastAsia="Calibri" w:hAnsi="Arial" w:cs="Arial"/>
          <w:b/>
          <w:sz w:val="20"/>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rPr>
      </w:pPr>
      <w:r w:rsidRPr="001876E4">
        <w:rPr>
          <w:rFonts w:ascii="Arial" w:eastAsia="Calibri" w:hAnsi="Arial" w:cs="Arial"/>
          <w:b/>
          <w:sz w:val="24"/>
          <w:szCs w:val="24"/>
          <w:lang w:val="es-ES"/>
        </w:rPr>
        <w:t>Artículo 23</w:t>
      </w:r>
      <w:r w:rsidRPr="001876E4">
        <w:rPr>
          <w:rFonts w:ascii="Arial" w:eastAsia="Calibri" w:hAnsi="Arial" w:cs="Arial"/>
          <w:sz w:val="24"/>
          <w:szCs w:val="24"/>
          <w:lang w:val="es-ES"/>
        </w:rPr>
        <w:t xml:space="preserve">. Las asignaciones a las Organizaciones de la Sociedad Civil e Instituciones de Asistencia Privada para el Ejercicio Fiscal 2018 son por </w:t>
      </w:r>
      <w:r w:rsidRPr="001876E4">
        <w:rPr>
          <w:rFonts w:ascii="Arial" w:eastAsia="Calibri" w:hAnsi="Arial" w:cs="Arial"/>
          <w:b/>
          <w:sz w:val="24"/>
          <w:szCs w:val="24"/>
          <w:lang w:val="es-ES"/>
        </w:rPr>
        <w:t>$18,242,291</w:t>
      </w:r>
      <w:r w:rsidRPr="001876E4">
        <w:rPr>
          <w:rFonts w:ascii="Arial" w:eastAsia="Calibri" w:hAnsi="Arial" w:cs="Arial"/>
          <w:sz w:val="24"/>
          <w:szCs w:val="24"/>
          <w:lang w:val="es-ES"/>
        </w:rPr>
        <w:t>, que se integra de la siguiente manera:</w:t>
      </w:r>
    </w:p>
    <w:p w:rsidR="001876E4" w:rsidRPr="001876E4" w:rsidRDefault="001876E4" w:rsidP="001876E4">
      <w:pPr>
        <w:spacing w:after="0" w:line="240" w:lineRule="auto"/>
        <w:jc w:val="both"/>
        <w:rPr>
          <w:rFonts w:ascii="Arial" w:eastAsia="Calibri" w:hAnsi="Arial" w:cs="Arial"/>
          <w:sz w:val="24"/>
          <w:szCs w:val="24"/>
          <w:lang w:val="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rPr>
      </w:pPr>
      <w:r w:rsidRPr="001876E4">
        <w:rPr>
          <w:rFonts w:ascii="Arial" w:eastAsia="Times New Roman" w:hAnsi="Arial" w:cs="Times New Roman"/>
          <w:b/>
          <w:szCs w:val="26"/>
          <w:lang w:val="es-ES"/>
        </w:rPr>
        <w:t xml:space="preserve">Tabla 31. Asignaciones a Organizaciones de la Sociedad Civil e </w:t>
      </w:r>
      <w:r w:rsidRPr="001876E4">
        <w:rPr>
          <w:rFonts w:ascii="Arial" w:eastAsia="Times New Roman" w:hAnsi="Arial" w:cs="Times New Roman"/>
          <w:b/>
          <w:szCs w:val="26"/>
          <w:lang w:val="es-ES"/>
        </w:rPr>
        <w:br/>
        <w:t>Instituciones de Asistencia Privada</w:t>
      </w:r>
    </w:p>
    <w:tbl>
      <w:tblPr>
        <w:tblW w:w="814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5737"/>
        <w:gridCol w:w="1559"/>
      </w:tblGrid>
      <w:tr w:rsidR="001876E4" w:rsidRPr="001876E4" w:rsidTr="00947D11">
        <w:trPr>
          <w:trHeight w:val="283"/>
        </w:trPr>
        <w:tc>
          <w:tcPr>
            <w:tcW w:w="851" w:type="dxa"/>
            <w:noWrap/>
            <w:vAlign w:val="center"/>
            <w:hideMark/>
          </w:tcPr>
          <w:p w:rsidR="001876E4" w:rsidRPr="001876E4" w:rsidRDefault="001876E4" w:rsidP="001876E4">
            <w:pPr>
              <w:spacing w:after="0" w:line="240" w:lineRule="auto"/>
              <w:jc w:val="center"/>
              <w:rPr>
                <w:rFonts w:ascii="Arial" w:eastAsia="Times New Roman" w:hAnsi="Arial" w:cs="Arial"/>
                <w:b/>
                <w:bCs/>
                <w:sz w:val="20"/>
                <w:szCs w:val="18"/>
                <w:lang w:val="es-ES" w:eastAsia="es-ES"/>
              </w:rPr>
            </w:pPr>
            <w:r w:rsidRPr="001876E4">
              <w:rPr>
                <w:rFonts w:ascii="Arial" w:eastAsia="Times New Roman" w:hAnsi="Arial" w:cs="Arial"/>
                <w:b/>
                <w:bCs/>
                <w:sz w:val="20"/>
                <w:szCs w:val="18"/>
                <w:lang w:val="es-ES" w:eastAsia="es-ES"/>
              </w:rPr>
              <w:t>Partida</w:t>
            </w:r>
          </w:p>
        </w:tc>
        <w:tc>
          <w:tcPr>
            <w:tcW w:w="5737" w:type="dxa"/>
            <w:vAlign w:val="center"/>
            <w:hideMark/>
          </w:tcPr>
          <w:p w:rsidR="001876E4" w:rsidRPr="001876E4" w:rsidRDefault="001876E4" w:rsidP="001876E4">
            <w:pPr>
              <w:spacing w:after="0" w:line="240" w:lineRule="auto"/>
              <w:jc w:val="center"/>
              <w:rPr>
                <w:rFonts w:ascii="Arial" w:eastAsia="Times New Roman" w:hAnsi="Arial" w:cs="Arial"/>
                <w:b/>
                <w:bCs/>
                <w:sz w:val="20"/>
                <w:szCs w:val="18"/>
                <w:lang w:val="es-ES" w:eastAsia="es-ES"/>
              </w:rPr>
            </w:pPr>
            <w:r w:rsidRPr="001876E4">
              <w:rPr>
                <w:rFonts w:ascii="Arial" w:eastAsia="Times New Roman" w:hAnsi="Arial" w:cs="Arial"/>
                <w:b/>
                <w:bCs/>
                <w:sz w:val="20"/>
                <w:szCs w:val="18"/>
                <w:lang w:val="es-ES" w:eastAsia="es-ES"/>
              </w:rPr>
              <w:t>Concepto</w:t>
            </w:r>
          </w:p>
        </w:tc>
        <w:tc>
          <w:tcPr>
            <w:tcW w:w="1559" w:type="dxa"/>
            <w:vAlign w:val="center"/>
            <w:hideMark/>
          </w:tcPr>
          <w:p w:rsidR="001876E4" w:rsidRPr="001876E4" w:rsidRDefault="001876E4" w:rsidP="001876E4">
            <w:pPr>
              <w:spacing w:after="0" w:line="240" w:lineRule="auto"/>
              <w:jc w:val="center"/>
              <w:rPr>
                <w:rFonts w:ascii="Arial" w:eastAsia="Times New Roman" w:hAnsi="Arial" w:cs="Arial"/>
                <w:b/>
                <w:bCs/>
                <w:sz w:val="20"/>
                <w:szCs w:val="18"/>
                <w:lang w:val="es-ES" w:eastAsia="es-ES"/>
              </w:rPr>
            </w:pPr>
            <w:r w:rsidRPr="001876E4">
              <w:rPr>
                <w:rFonts w:ascii="Arial" w:eastAsia="Times New Roman" w:hAnsi="Arial" w:cs="Arial"/>
                <w:b/>
                <w:bCs/>
                <w:sz w:val="20"/>
                <w:szCs w:val="18"/>
                <w:lang w:val="es-ES" w:eastAsia="es-ES"/>
              </w:rPr>
              <w:t>Asignación Presupuestal</w:t>
            </w:r>
          </w:p>
        </w:tc>
      </w:tr>
      <w:tr w:rsidR="001876E4" w:rsidRPr="001876E4" w:rsidTr="00947D11">
        <w:trPr>
          <w:trHeight w:val="283"/>
        </w:trPr>
        <w:tc>
          <w:tcPr>
            <w:tcW w:w="851" w:type="dxa"/>
            <w:noWrap/>
            <w:vAlign w:val="center"/>
            <w:hideMark/>
          </w:tcPr>
          <w:p w:rsidR="001876E4" w:rsidRPr="001876E4" w:rsidRDefault="001876E4" w:rsidP="001876E4">
            <w:pPr>
              <w:spacing w:after="0" w:line="240" w:lineRule="auto"/>
              <w:jc w:val="center"/>
              <w:rPr>
                <w:rFonts w:ascii="Arial" w:eastAsia="Times New Roman" w:hAnsi="Arial" w:cs="Arial"/>
                <w:b/>
                <w:bCs/>
                <w:sz w:val="20"/>
                <w:szCs w:val="18"/>
                <w:lang w:val="es-ES" w:eastAsia="es-ES"/>
              </w:rPr>
            </w:pPr>
            <w:r w:rsidRPr="001876E4">
              <w:rPr>
                <w:rFonts w:ascii="Arial" w:eastAsia="Times New Roman" w:hAnsi="Arial" w:cs="Arial"/>
                <w:b/>
                <w:bCs/>
                <w:sz w:val="20"/>
                <w:szCs w:val="18"/>
                <w:lang w:val="es-ES" w:eastAsia="es-ES"/>
              </w:rPr>
              <w:t>44500</w:t>
            </w:r>
          </w:p>
        </w:tc>
        <w:tc>
          <w:tcPr>
            <w:tcW w:w="5737" w:type="dxa"/>
            <w:vAlign w:val="center"/>
            <w:hideMark/>
          </w:tcPr>
          <w:p w:rsidR="001876E4" w:rsidRPr="001876E4" w:rsidRDefault="001876E4" w:rsidP="001876E4">
            <w:pPr>
              <w:spacing w:after="0" w:line="240" w:lineRule="auto"/>
              <w:rPr>
                <w:rFonts w:ascii="Arial" w:eastAsia="Times New Roman" w:hAnsi="Arial" w:cs="Arial"/>
                <w:b/>
                <w:bCs/>
                <w:sz w:val="20"/>
                <w:szCs w:val="18"/>
                <w:lang w:val="es-ES" w:eastAsia="es-ES"/>
              </w:rPr>
            </w:pPr>
            <w:r w:rsidRPr="001876E4">
              <w:rPr>
                <w:rFonts w:ascii="Arial" w:eastAsia="Times New Roman" w:hAnsi="Arial" w:cs="Arial"/>
                <w:b/>
                <w:bCs/>
                <w:sz w:val="20"/>
                <w:szCs w:val="18"/>
                <w:lang w:val="es-ES" w:eastAsia="es-ES"/>
              </w:rPr>
              <w:t>Ayudas sociales a instituciones Sin Fines de Lucro</w:t>
            </w:r>
          </w:p>
        </w:tc>
        <w:tc>
          <w:tcPr>
            <w:tcW w:w="1559" w:type="dxa"/>
            <w:noWrap/>
            <w:vAlign w:val="center"/>
          </w:tcPr>
          <w:p w:rsidR="001876E4" w:rsidRPr="001876E4" w:rsidRDefault="001876E4" w:rsidP="001876E4">
            <w:pPr>
              <w:spacing w:after="0" w:line="240" w:lineRule="auto"/>
              <w:jc w:val="right"/>
              <w:rPr>
                <w:rFonts w:ascii="Arial" w:hAnsi="Arial" w:cs="Arial"/>
                <w:b/>
                <w:bCs/>
                <w:color w:val="000000"/>
                <w:sz w:val="20"/>
                <w:szCs w:val="18"/>
              </w:rPr>
            </w:pPr>
            <w:r w:rsidRPr="001876E4">
              <w:rPr>
                <w:rFonts w:ascii="Arial" w:hAnsi="Arial" w:cs="Arial"/>
                <w:b/>
                <w:bCs/>
                <w:color w:val="000000"/>
                <w:sz w:val="20"/>
                <w:szCs w:val="18"/>
              </w:rPr>
              <w:t>18,242,291</w:t>
            </w:r>
          </w:p>
        </w:tc>
      </w:tr>
      <w:tr w:rsidR="001876E4" w:rsidRPr="001876E4" w:rsidTr="00947D11">
        <w:trPr>
          <w:trHeight w:val="283"/>
        </w:trPr>
        <w:tc>
          <w:tcPr>
            <w:tcW w:w="851" w:type="dxa"/>
            <w:noWrap/>
            <w:vAlign w:val="center"/>
          </w:tcPr>
          <w:p w:rsidR="001876E4" w:rsidRPr="001876E4" w:rsidRDefault="001876E4" w:rsidP="001876E4">
            <w:pPr>
              <w:spacing w:after="0" w:line="240" w:lineRule="auto"/>
              <w:jc w:val="center"/>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44501</w:t>
            </w:r>
          </w:p>
        </w:tc>
        <w:tc>
          <w:tcPr>
            <w:tcW w:w="5737" w:type="dxa"/>
            <w:vAlign w:val="center"/>
          </w:tcPr>
          <w:p w:rsidR="001876E4" w:rsidRPr="001876E4" w:rsidRDefault="001876E4" w:rsidP="001876E4">
            <w:pPr>
              <w:spacing w:after="0" w:line="240" w:lineRule="auto"/>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Centro de Integración Juvenil de Colima, Asociación Civil</w:t>
            </w:r>
          </w:p>
        </w:tc>
        <w:tc>
          <w:tcPr>
            <w:tcW w:w="1559" w:type="dxa"/>
            <w:noWrap/>
            <w:vAlign w:val="bottom"/>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1,796,965</w:t>
            </w:r>
          </w:p>
        </w:tc>
      </w:tr>
      <w:tr w:rsidR="001876E4" w:rsidRPr="001876E4" w:rsidTr="00947D11">
        <w:trPr>
          <w:trHeight w:val="283"/>
        </w:trPr>
        <w:tc>
          <w:tcPr>
            <w:tcW w:w="851" w:type="dxa"/>
            <w:noWrap/>
            <w:vAlign w:val="center"/>
          </w:tcPr>
          <w:p w:rsidR="001876E4" w:rsidRPr="001876E4" w:rsidRDefault="001876E4" w:rsidP="001876E4">
            <w:pPr>
              <w:spacing w:after="0" w:line="240" w:lineRule="auto"/>
              <w:jc w:val="center"/>
              <w:rPr>
                <w:rFonts w:ascii="Arial" w:eastAsia="Times New Roman" w:hAnsi="Arial" w:cs="Arial"/>
                <w:b/>
                <w:bCs/>
                <w:sz w:val="18"/>
                <w:szCs w:val="18"/>
                <w:lang w:val="es-ES" w:eastAsia="es-ES"/>
              </w:rPr>
            </w:pPr>
            <w:r w:rsidRPr="001876E4">
              <w:rPr>
                <w:rFonts w:ascii="Arial" w:eastAsia="Times New Roman" w:hAnsi="Arial" w:cs="Arial"/>
                <w:bCs/>
                <w:sz w:val="18"/>
                <w:szCs w:val="18"/>
                <w:lang w:val="es-ES" w:eastAsia="es-ES"/>
              </w:rPr>
              <w:t>44502</w:t>
            </w:r>
          </w:p>
        </w:tc>
        <w:tc>
          <w:tcPr>
            <w:tcW w:w="5737" w:type="dxa"/>
            <w:vAlign w:val="center"/>
          </w:tcPr>
          <w:p w:rsidR="001876E4" w:rsidRPr="001876E4" w:rsidRDefault="001876E4" w:rsidP="001876E4">
            <w:pPr>
              <w:spacing w:after="0" w:line="240" w:lineRule="auto"/>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Centro de Apoyo a la Mujer “Griselda Álvarez”, A.C.</w:t>
            </w:r>
          </w:p>
        </w:tc>
        <w:tc>
          <w:tcPr>
            <w:tcW w:w="1559" w:type="dxa"/>
            <w:noWrap/>
            <w:vAlign w:val="bottom"/>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1,578,756</w:t>
            </w:r>
          </w:p>
        </w:tc>
      </w:tr>
      <w:tr w:rsidR="001876E4" w:rsidRPr="001876E4" w:rsidTr="00947D11">
        <w:trPr>
          <w:trHeight w:val="283"/>
        </w:trPr>
        <w:tc>
          <w:tcPr>
            <w:tcW w:w="851" w:type="dxa"/>
            <w:noWrap/>
            <w:vAlign w:val="center"/>
          </w:tcPr>
          <w:p w:rsidR="001876E4" w:rsidRPr="001876E4" w:rsidRDefault="001876E4" w:rsidP="001876E4">
            <w:pPr>
              <w:spacing w:after="0" w:line="240" w:lineRule="auto"/>
              <w:jc w:val="center"/>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44503</w:t>
            </w:r>
          </w:p>
        </w:tc>
        <w:tc>
          <w:tcPr>
            <w:tcW w:w="5737" w:type="dxa"/>
            <w:vAlign w:val="center"/>
          </w:tcPr>
          <w:p w:rsidR="001876E4" w:rsidRPr="001876E4" w:rsidRDefault="001876E4" w:rsidP="001876E4">
            <w:pPr>
              <w:spacing w:after="0" w:line="240" w:lineRule="auto"/>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Ayudas para el Fomento a las Organizaciones de la Sociedad Civil</w:t>
            </w:r>
          </w:p>
        </w:tc>
        <w:tc>
          <w:tcPr>
            <w:tcW w:w="1559" w:type="dxa"/>
            <w:noWrap/>
            <w:vAlign w:val="bottom"/>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6,500,000</w:t>
            </w:r>
          </w:p>
        </w:tc>
      </w:tr>
      <w:tr w:rsidR="001876E4" w:rsidRPr="001876E4" w:rsidTr="00947D11">
        <w:trPr>
          <w:trHeight w:val="283"/>
        </w:trPr>
        <w:tc>
          <w:tcPr>
            <w:tcW w:w="851" w:type="dxa"/>
            <w:noWrap/>
            <w:vAlign w:val="center"/>
          </w:tcPr>
          <w:p w:rsidR="001876E4" w:rsidRPr="001876E4" w:rsidRDefault="001876E4" w:rsidP="001876E4">
            <w:pPr>
              <w:spacing w:after="0" w:line="240" w:lineRule="auto"/>
              <w:jc w:val="center"/>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44504</w:t>
            </w:r>
          </w:p>
        </w:tc>
        <w:tc>
          <w:tcPr>
            <w:tcW w:w="5737" w:type="dxa"/>
            <w:vAlign w:val="center"/>
          </w:tcPr>
          <w:p w:rsidR="001876E4" w:rsidRPr="001876E4" w:rsidRDefault="001876E4" w:rsidP="001876E4">
            <w:pPr>
              <w:spacing w:after="0" w:line="240" w:lineRule="auto"/>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Ayudas extraordinarias a las Organizaciones de la Sociedad Civil</w:t>
            </w:r>
          </w:p>
        </w:tc>
        <w:tc>
          <w:tcPr>
            <w:tcW w:w="1559" w:type="dxa"/>
            <w:noWrap/>
            <w:vAlign w:val="bottom"/>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1,500,000</w:t>
            </w:r>
          </w:p>
        </w:tc>
      </w:tr>
      <w:tr w:rsidR="001876E4" w:rsidRPr="001876E4" w:rsidTr="00947D11">
        <w:trPr>
          <w:trHeight w:val="283"/>
        </w:trPr>
        <w:tc>
          <w:tcPr>
            <w:tcW w:w="851" w:type="dxa"/>
            <w:noWrap/>
            <w:vAlign w:val="center"/>
            <w:hideMark/>
          </w:tcPr>
          <w:p w:rsidR="001876E4" w:rsidRPr="001876E4" w:rsidRDefault="001876E4" w:rsidP="001876E4">
            <w:pPr>
              <w:spacing w:after="0" w:line="240" w:lineRule="auto"/>
              <w:jc w:val="center"/>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44505</w:t>
            </w:r>
          </w:p>
        </w:tc>
        <w:tc>
          <w:tcPr>
            <w:tcW w:w="5737" w:type="dxa"/>
            <w:vAlign w:val="center"/>
            <w:hideMark/>
          </w:tcPr>
          <w:p w:rsidR="001876E4" w:rsidRPr="001876E4" w:rsidRDefault="001876E4" w:rsidP="001876E4">
            <w:pPr>
              <w:spacing w:after="0" w:line="240" w:lineRule="auto"/>
              <w:rPr>
                <w:rFonts w:ascii="Arial" w:eastAsia="Times New Roman" w:hAnsi="Arial" w:cs="Arial"/>
                <w:bCs/>
                <w:sz w:val="18"/>
                <w:szCs w:val="18"/>
                <w:lang w:val="es-ES" w:eastAsia="es-ES"/>
              </w:rPr>
            </w:pPr>
            <w:r w:rsidRPr="001876E4">
              <w:rPr>
                <w:rFonts w:ascii="Arial" w:eastAsia="Times New Roman" w:hAnsi="Arial" w:cs="Arial"/>
                <w:bCs/>
                <w:sz w:val="18"/>
                <w:szCs w:val="18"/>
                <w:lang w:val="es-ES" w:eastAsia="es-ES"/>
              </w:rPr>
              <w:t>Ayudas a Instituciones de Asistencia Privada</w:t>
            </w:r>
          </w:p>
        </w:tc>
        <w:tc>
          <w:tcPr>
            <w:tcW w:w="1559" w:type="dxa"/>
            <w:noWrap/>
            <w:vAlign w:val="bottom"/>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6,866,570</w:t>
            </w:r>
          </w:p>
        </w:tc>
      </w:tr>
    </w:tbl>
    <w:p w:rsidR="001876E4" w:rsidRPr="001876E4" w:rsidRDefault="001876E4" w:rsidP="001876E4">
      <w:pPr>
        <w:spacing w:after="0" w:line="240" w:lineRule="auto"/>
        <w:jc w:val="both"/>
        <w:rPr>
          <w:rFonts w:ascii="Arial" w:eastAsia="Calibri" w:hAnsi="Arial" w:cs="Arial"/>
          <w:sz w:val="24"/>
          <w:szCs w:val="24"/>
          <w:lang w:val="es-ES"/>
        </w:rPr>
      </w:pPr>
    </w:p>
    <w:p w:rsidR="001876E4" w:rsidRPr="001876E4" w:rsidRDefault="001876E4" w:rsidP="001876E4">
      <w:pPr>
        <w:spacing w:after="0" w:line="240" w:lineRule="auto"/>
        <w:ind w:left="284" w:hanging="284"/>
        <w:jc w:val="both"/>
        <w:rPr>
          <w:rFonts w:ascii="Arial" w:eastAsia="Calibri" w:hAnsi="Arial" w:cs="Arial"/>
          <w:sz w:val="24"/>
          <w:szCs w:val="24"/>
          <w:lang w:val="es-ES"/>
        </w:rPr>
      </w:pPr>
      <w:r w:rsidRPr="001876E4">
        <w:rPr>
          <w:rFonts w:ascii="Arial" w:eastAsia="Calibri" w:hAnsi="Arial" w:cs="Arial"/>
          <w:sz w:val="24"/>
          <w:szCs w:val="24"/>
          <w:lang w:val="es-ES"/>
        </w:rPr>
        <w:t>I.</w:t>
      </w:r>
      <w:r w:rsidRPr="001876E4">
        <w:rPr>
          <w:rFonts w:ascii="Arial" w:eastAsia="Calibri" w:hAnsi="Arial" w:cs="Arial"/>
          <w:sz w:val="24"/>
          <w:szCs w:val="24"/>
          <w:lang w:val="es-ES"/>
        </w:rPr>
        <w:tab/>
        <w:t>Para el otorgamiento de los recursos públicos de la partida 44503 Ayudas para el Fomento a las Organizaciones de la Sociedad Civil y 44504 Ayudas extraordinarias a las Organizaciones de la Sociedad Civil, se observará lo dispuesto en la Ley de Fomento a las Organizaciones de la Sociedad Civil del Estado de Colima.</w:t>
      </w:r>
    </w:p>
    <w:p w:rsidR="001876E4" w:rsidRPr="001876E4" w:rsidRDefault="001876E4" w:rsidP="001876E4">
      <w:pPr>
        <w:spacing w:after="0" w:line="240" w:lineRule="auto"/>
        <w:jc w:val="both"/>
        <w:rPr>
          <w:rFonts w:ascii="Arial" w:eastAsia="Calibri" w:hAnsi="Arial" w:cs="Arial"/>
          <w:sz w:val="24"/>
          <w:szCs w:val="24"/>
          <w:lang w:val="es-ES"/>
        </w:rPr>
      </w:pPr>
    </w:p>
    <w:p w:rsidR="001876E4" w:rsidRPr="001876E4" w:rsidRDefault="001876E4" w:rsidP="001876E4">
      <w:pPr>
        <w:tabs>
          <w:tab w:val="left" w:pos="426"/>
        </w:tabs>
        <w:spacing w:after="0" w:line="240" w:lineRule="auto"/>
        <w:ind w:left="284" w:hanging="284"/>
        <w:jc w:val="both"/>
        <w:rPr>
          <w:rFonts w:ascii="Arial" w:eastAsia="Calibri" w:hAnsi="Arial" w:cs="Arial"/>
          <w:sz w:val="24"/>
          <w:szCs w:val="24"/>
          <w:lang w:val="es-ES"/>
        </w:rPr>
      </w:pPr>
      <w:r w:rsidRPr="001876E4">
        <w:rPr>
          <w:rFonts w:ascii="Arial" w:eastAsia="Calibri" w:hAnsi="Arial" w:cs="Arial"/>
          <w:sz w:val="24"/>
          <w:szCs w:val="24"/>
          <w:lang w:val="es-ES"/>
        </w:rPr>
        <w:t>II. Para el otorgamiento de los recursos públicos de la partida 44505 Ayudas a Instituciones de Asistencia Privada, se observará lo dispuesto en la Ley de Instituciones de Asistencia Privada para el Estado de Colima.</w:t>
      </w:r>
    </w:p>
    <w:p w:rsidR="001876E4" w:rsidRPr="001876E4" w:rsidRDefault="001876E4" w:rsidP="001876E4">
      <w:pPr>
        <w:tabs>
          <w:tab w:val="left" w:pos="426"/>
        </w:tabs>
        <w:spacing w:after="0" w:line="240" w:lineRule="auto"/>
        <w:ind w:left="284" w:hanging="284"/>
        <w:jc w:val="both"/>
        <w:rPr>
          <w:rFonts w:ascii="Arial" w:eastAsia="Calibri" w:hAnsi="Arial" w:cs="Arial"/>
          <w:sz w:val="24"/>
          <w:szCs w:val="24"/>
          <w:lang w:val="es-ES"/>
        </w:rPr>
      </w:pPr>
    </w:p>
    <w:p w:rsidR="001876E4" w:rsidRPr="001876E4" w:rsidRDefault="001876E4" w:rsidP="001876E4">
      <w:pPr>
        <w:spacing w:after="0" w:line="240" w:lineRule="auto"/>
        <w:jc w:val="both"/>
        <w:rPr>
          <w:rFonts w:ascii="Arial" w:eastAsia="Calibri" w:hAnsi="Arial" w:cs="Arial"/>
          <w:sz w:val="24"/>
          <w:szCs w:val="24"/>
          <w:lang w:val="es-ES"/>
        </w:rPr>
      </w:pPr>
      <w:r w:rsidRPr="001876E4">
        <w:rPr>
          <w:rFonts w:ascii="Arial" w:eastAsia="Calibri" w:hAnsi="Arial" w:cs="Arial"/>
          <w:sz w:val="24"/>
          <w:szCs w:val="24"/>
          <w:lang w:val="es-ES"/>
        </w:rPr>
        <w:t xml:space="preserve">En el </w:t>
      </w:r>
      <w:r w:rsidRPr="001876E4">
        <w:rPr>
          <w:rFonts w:ascii="Arial" w:eastAsia="Calibri" w:hAnsi="Arial" w:cs="Arial"/>
          <w:b/>
          <w:sz w:val="24"/>
          <w:szCs w:val="24"/>
          <w:lang w:val="es-ES"/>
        </w:rPr>
        <w:t>Anexo 7</w:t>
      </w:r>
      <w:r w:rsidRPr="001876E4">
        <w:rPr>
          <w:rFonts w:ascii="Arial" w:eastAsia="Calibri" w:hAnsi="Arial" w:cs="Arial"/>
          <w:color w:val="FF0000"/>
          <w:sz w:val="24"/>
          <w:szCs w:val="24"/>
          <w:lang w:val="es-ES"/>
        </w:rPr>
        <w:t xml:space="preserve"> </w:t>
      </w:r>
      <w:r w:rsidRPr="001876E4">
        <w:rPr>
          <w:rFonts w:ascii="Arial" w:eastAsia="Calibri" w:hAnsi="Arial" w:cs="Arial"/>
          <w:b/>
          <w:sz w:val="24"/>
          <w:szCs w:val="24"/>
          <w:lang w:val="es-ES"/>
        </w:rPr>
        <w:t>Asignaciones Presupuestales a Instituciones de Asistencia Privada</w:t>
      </w:r>
      <w:r w:rsidRPr="001876E4">
        <w:rPr>
          <w:rFonts w:ascii="Arial" w:eastAsia="Calibri" w:hAnsi="Arial" w:cs="Arial"/>
          <w:sz w:val="24"/>
          <w:szCs w:val="24"/>
          <w:lang w:val="es-ES"/>
        </w:rPr>
        <w:t xml:space="preserve"> del presente Decreto, se detallan las asignaciones presupuestales a Instituciones de Asistencia Privada.</w:t>
      </w:r>
    </w:p>
    <w:p w:rsidR="001876E4" w:rsidRPr="001876E4" w:rsidRDefault="001876E4" w:rsidP="001876E4">
      <w:pPr>
        <w:spacing w:after="0" w:line="240" w:lineRule="auto"/>
        <w:rPr>
          <w:rFonts w:ascii="Arial" w:eastAsia="Calibri" w:hAnsi="Arial"/>
          <w:sz w:val="24"/>
        </w:rPr>
      </w:pPr>
    </w:p>
    <w:p w:rsidR="001876E4" w:rsidRPr="001876E4" w:rsidRDefault="001876E4" w:rsidP="001876E4">
      <w:pPr>
        <w:spacing w:after="0" w:line="240" w:lineRule="auto"/>
        <w:jc w:val="both"/>
        <w:rPr>
          <w:rFonts w:ascii="Arial" w:eastAsia="Calibri" w:hAnsi="Arial" w:cs="Arial"/>
          <w:sz w:val="24"/>
          <w:szCs w:val="24"/>
        </w:rPr>
      </w:pPr>
      <w:r w:rsidRPr="001876E4">
        <w:rPr>
          <w:rFonts w:ascii="Arial" w:eastAsia="Calibri" w:hAnsi="Arial" w:cs="Arial"/>
          <w:b/>
          <w:sz w:val="24"/>
          <w:szCs w:val="24"/>
        </w:rPr>
        <w:t>Artículo 24</w:t>
      </w:r>
      <w:r w:rsidRPr="001876E4">
        <w:rPr>
          <w:rFonts w:ascii="Arial" w:eastAsia="Calibri" w:hAnsi="Arial" w:cs="Arial"/>
          <w:sz w:val="24"/>
          <w:szCs w:val="24"/>
        </w:rPr>
        <w:t xml:space="preserve">. En cumplimiento a lo dispuesto por los artículos 9 y Quinto Transitorio de la Ley de Disciplina Financiera, las </w:t>
      </w:r>
      <w:r w:rsidRPr="001876E4">
        <w:rPr>
          <w:rFonts w:ascii="Arial" w:eastAsia="Calibri" w:hAnsi="Arial" w:cs="Arial"/>
          <w:b/>
          <w:sz w:val="24"/>
          <w:szCs w:val="24"/>
        </w:rPr>
        <w:t>Previsiones para Atender Desastres Naturales y otros Siniestros</w:t>
      </w:r>
      <w:r w:rsidRPr="001876E4">
        <w:rPr>
          <w:rFonts w:ascii="Arial" w:eastAsia="Calibri" w:hAnsi="Arial" w:cs="Arial"/>
          <w:sz w:val="24"/>
          <w:szCs w:val="24"/>
        </w:rPr>
        <w:t xml:space="preserve"> se distribuyen de la siguiente forma:</w:t>
      </w:r>
    </w:p>
    <w:p w:rsidR="001876E4" w:rsidRPr="001876E4" w:rsidRDefault="001876E4" w:rsidP="001876E4">
      <w:pPr>
        <w:spacing w:after="0" w:line="240" w:lineRule="auto"/>
        <w:jc w:val="both"/>
        <w:rPr>
          <w:rFonts w:ascii="Arial" w:eastAsia="Calibri"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rPr>
      </w:pPr>
      <w:r w:rsidRPr="001876E4">
        <w:rPr>
          <w:rFonts w:ascii="Arial" w:eastAsia="Times New Roman" w:hAnsi="Arial" w:cs="Times New Roman"/>
          <w:b/>
          <w:szCs w:val="26"/>
          <w:lang w:val="es-ES"/>
        </w:rPr>
        <w:lastRenderedPageBreak/>
        <w:t>Tabla 32. Previsiones para Atender Desastres Naturales y otros Siniestros</w:t>
      </w:r>
    </w:p>
    <w:tbl>
      <w:tblPr>
        <w:tblStyle w:val="Tablaconcuadrcula2"/>
        <w:tblW w:w="0" w:type="auto"/>
        <w:jc w:val="center"/>
        <w:tblLook w:val="04A0" w:firstRow="1" w:lastRow="0" w:firstColumn="1" w:lastColumn="0" w:noHBand="0" w:noVBand="1"/>
      </w:tblPr>
      <w:tblGrid>
        <w:gridCol w:w="773"/>
        <w:gridCol w:w="6168"/>
        <w:gridCol w:w="1559"/>
      </w:tblGrid>
      <w:tr w:rsidR="001876E4" w:rsidRPr="001876E4" w:rsidTr="00947D11">
        <w:trPr>
          <w:trHeight w:val="283"/>
          <w:jc w:val="center"/>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Partida</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b/>
                <w:sz w:val="20"/>
                <w:szCs w:val="20"/>
              </w:rPr>
            </w:pPr>
            <w:r w:rsidRPr="001876E4">
              <w:rPr>
                <w:rFonts w:ascii="Arial" w:hAnsi="Arial" w:cs="Arial"/>
                <w:b/>
                <w:sz w:val="20"/>
                <w:szCs w:val="20"/>
              </w:rPr>
              <w:t>44800</w:t>
            </w:r>
          </w:p>
        </w:tc>
        <w:tc>
          <w:tcPr>
            <w:tcW w:w="61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b/>
                <w:sz w:val="20"/>
                <w:szCs w:val="20"/>
              </w:rPr>
            </w:pPr>
            <w:r w:rsidRPr="001876E4">
              <w:rPr>
                <w:rFonts w:ascii="Arial" w:hAnsi="Arial" w:cs="Arial"/>
                <w:b/>
                <w:sz w:val="20"/>
                <w:szCs w:val="20"/>
              </w:rPr>
              <w:t>Ayudas por Desastres Naturales y Otros Siniestros</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 xml:space="preserve">21,170,718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44801</w:t>
            </w:r>
          </w:p>
        </w:tc>
        <w:tc>
          <w:tcPr>
            <w:tcW w:w="61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Unidad Estatal de Protección Civil</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12,629,882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44807</w:t>
            </w:r>
          </w:p>
        </w:tc>
        <w:tc>
          <w:tcPr>
            <w:tcW w:w="61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Cruz Roja Mexicana, I.A.P.</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7,611,996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44808</w:t>
            </w:r>
          </w:p>
        </w:tc>
        <w:tc>
          <w:tcPr>
            <w:tcW w:w="61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Patronato del Cuerpo de Bomberos Voluntarios de Colima, A.C.</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448,840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44809</w:t>
            </w:r>
          </w:p>
        </w:tc>
        <w:tc>
          <w:tcPr>
            <w:tcW w:w="61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Patronato del H. Cuerpo de Bomberos Voluntarios de Villa de Álvarez, A.C.</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240,000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44810</w:t>
            </w:r>
          </w:p>
        </w:tc>
        <w:tc>
          <w:tcPr>
            <w:tcW w:w="61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sz w:val="20"/>
                <w:szCs w:val="20"/>
              </w:rPr>
            </w:pPr>
            <w:r w:rsidRPr="001876E4">
              <w:rPr>
                <w:rFonts w:ascii="Arial" w:hAnsi="Arial" w:cs="Arial"/>
                <w:sz w:val="20"/>
                <w:szCs w:val="20"/>
              </w:rPr>
              <w:t>Patronato H. Cuerpo Bomberos Voluntarios de Tecomán, A.C.</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240,000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b/>
                <w:sz w:val="20"/>
                <w:szCs w:val="20"/>
              </w:rPr>
            </w:pPr>
            <w:r w:rsidRPr="001876E4">
              <w:rPr>
                <w:rFonts w:ascii="Arial" w:hAnsi="Arial" w:cs="Arial"/>
                <w:b/>
                <w:sz w:val="20"/>
                <w:szCs w:val="20"/>
              </w:rPr>
              <w:t>79100</w:t>
            </w:r>
          </w:p>
        </w:tc>
        <w:tc>
          <w:tcPr>
            <w:tcW w:w="61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both"/>
              <w:rPr>
                <w:rFonts w:ascii="Arial" w:hAnsi="Arial" w:cs="Arial"/>
                <w:b/>
                <w:sz w:val="20"/>
                <w:szCs w:val="20"/>
              </w:rPr>
            </w:pPr>
            <w:r w:rsidRPr="001876E4">
              <w:rPr>
                <w:rFonts w:ascii="Arial" w:hAnsi="Arial" w:cs="Arial"/>
                <w:b/>
                <w:sz w:val="20"/>
                <w:szCs w:val="20"/>
              </w:rPr>
              <w:t>Contingencias por fenómenos naturales</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sz w:val="20"/>
                <w:szCs w:val="20"/>
              </w:rPr>
            </w:pPr>
            <w:r w:rsidRPr="001876E4">
              <w:rPr>
                <w:rFonts w:ascii="Arial" w:hAnsi="Arial"/>
                <w:sz w:val="20"/>
                <w:szCs w:val="20"/>
              </w:rPr>
              <w:t xml:space="preserve"> </w:t>
            </w:r>
            <w:r w:rsidRPr="001876E4">
              <w:rPr>
                <w:rFonts w:ascii="Arial" w:hAnsi="Arial" w:cs="Arial"/>
                <w:b/>
                <w:bCs/>
                <w:color w:val="000000"/>
                <w:sz w:val="20"/>
                <w:szCs w:val="20"/>
              </w:rPr>
              <w:t>25,000,000</w:t>
            </w:r>
            <w:r w:rsidRPr="001876E4">
              <w:rPr>
                <w:rFonts w:ascii="Arial" w:hAnsi="Arial"/>
                <w:sz w:val="20"/>
                <w:szCs w:val="20"/>
              </w:rPr>
              <w:t xml:space="preserve"> </w:t>
            </w:r>
          </w:p>
        </w:tc>
      </w:tr>
      <w:tr w:rsidR="001876E4" w:rsidRPr="001876E4" w:rsidTr="00947D11">
        <w:trPr>
          <w:trHeight w:val="283"/>
          <w:jc w:val="center"/>
        </w:trPr>
        <w:tc>
          <w:tcPr>
            <w:tcW w:w="77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79101</w:t>
            </w:r>
          </w:p>
        </w:tc>
        <w:tc>
          <w:tcPr>
            <w:tcW w:w="61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Fondo de Desastres Naturales</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 xml:space="preserve"> 25,000,000 </w:t>
            </w:r>
          </w:p>
        </w:tc>
      </w:tr>
      <w:tr w:rsidR="001876E4" w:rsidRPr="001876E4" w:rsidTr="00947D11">
        <w:trPr>
          <w:trHeight w:val="283"/>
          <w:jc w:val="center"/>
        </w:trPr>
        <w:tc>
          <w:tcPr>
            <w:tcW w:w="6941" w:type="dxa"/>
            <w:gridSpan w:val="2"/>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color w:val="000000"/>
                <w:sz w:val="20"/>
                <w:szCs w:val="20"/>
              </w:rPr>
            </w:pPr>
            <w:r w:rsidRPr="001876E4">
              <w:rPr>
                <w:rFonts w:ascii="Arial" w:hAnsi="Arial" w:cs="Arial"/>
                <w:b/>
                <w:color w:val="000000"/>
                <w:sz w:val="20"/>
                <w:szCs w:val="20"/>
              </w:rPr>
              <w:t>46,170,718</w:t>
            </w:r>
          </w:p>
        </w:tc>
      </w:tr>
    </w:tbl>
    <w:p w:rsidR="001876E4" w:rsidRPr="001876E4" w:rsidRDefault="001876E4" w:rsidP="001876E4">
      <w:pPr>
        <w:spacing w:after="0" w:line="240" w:lineRule="auto"/>
        <w:jc w:val="both"/>
        <w:rPr>
          <w:rFonts w:ascii="Arial" w:eastAsia="Calibri" w:hAnsi="Arial" w:cs="Arial"/>
          <w:sz w:val="24"/>
          <w:szCs w:val="24"/>
        </w:rPr>
      </w:pPr>
    </w:p>
    <w:p w:rsidR="001876E4" w:rsidRPr="001876E4" w:rsidRDefault="001876E4" w:rsidP="001876E4">
      <w:pPr>
        <w:spacing w:after="0" w:line="240" w:lineRule="auto"/>
        <w:jc w:val="both"/>
        <w:rPr>
          <w:rFonts w:ascii="Arial" w:eastAsia="Calibri" w:hAnsi="Arial" w:cs="Arial"/>
          <w:sz w:val="24"/>
          <w:szCs w:val="24"/>
        </w:rPr>
      </w:pPr>
      <w:r w:rsidRPr="001876E4">
        <w:rPr>
          <w:rFonts w:ascii="Arial" w:eastAsia="Calibri" w:hAnsi="Arial" w:cs="Arial"/>
          <w:sz w:val="24"/>
          <w:szCs w:val="24"/>
        </w:rPr>
        <w:t xml:space="preserve">La asignación presupuestal de </w:t>
      </w:r>
      <w:r w:rsidRPr="001876E4">
        <w:rPr>
          <w:rFonts w:ascii="Arial" w:eastAsia="Calibri" w:hAnsi="Arial" w:cs="Arial"/>
          <w:b/>
          <w:sz w:val="24"/>
          <w:szCs w:val="24"/>
        </w:rPr>
        <w:t>$25,000,000</w:t>
      </w:r>
      <w:r w:rsidRPr="001876E4">
        <w:rPr>
          <w:rFonts w:ascii="Arial" w:eastAsia="Calibri" w:hAnsi="Arial" w:cs="Arial"/>
          <w:sz w:val="24"/>
          <w:szCs w:val="24"/>
        </w:rPr>
        <w:t xml:space="preserve"> en la partida </w:t>
      </w:r>
      <w:r w:rsidRPr="001876E4">
        <w:rPr>
          <w:rFonts w:ascii="Arial" w:eastAsia="Calibri" w:hAnsi="Arial" w:cs="Arial"/>
          <w:b/>
          <w:sz w:val="24"/>
          <w:szCs w:val="24"/>
        </w:rPr>
        <w:t>79101 Fondo de Desastres Naturales</w:t>
      </w:r>
      <w:r w:rsidRPr="001876E4">
        <w:rPr>
          <w:rFonts w:ascii="Arial" w:eastAsia="Calibri" w:hAnsi="Arial" w:cs="Arial"/>
          <w:sz w:val="24"/>
          <w:szCs w:val="24"/>
        </w:rPr>
        <w:t xml:space="preserve">, tiene como fin la aportación estatal al Fondo Nacional de Desastres Naturales (FONDEN) para atender a la población y a la infraestructura dañada en caso de desastres naturales. </w:t>
      </w:r>
    </w:p>
    <w:p w:rsidR="001876E4" w:rsidRPr="001876E4" w:rsidRDefault="001876E4" w:rsidP="001876E4">
      <w:pPr>
        <w:spacing w:after="0" w:line="240" w:lineRule="auto"/>
        <w:jc w:val="both"/>
        <w:rPr>
          <w:rFonts w:ascii="Arial" w:eastAsia="Calibri" w:hAnsi="Arial" w:cs="Arial"/>
          <w:sz w:val="24"/>
          <w:szCs w:val="24"/>
        </w:rPr>
      </w:pPr>
    </w:p>
    <w:p w:rsidR="001876E4" w:rsidRPr="001876E4" w:rsidRDefault="001876E4" w:rsidP="001876E4">
      <w:pPr>
        <w:spacing w:after="0" w:line="240" w:lineRule="auto"/>
        <w:jc w:val="both"/>
        <w:rPr>
          <w:rFonts w:ascii="Arial" w:eastAsia="Times New Roman" w:hAnsi="Arial" w:cs="Arial"/>
          <w:sz w:val="20"/>
          <w:szCs w:val="20"/>
          <w:lang w:val="es-ES" w:eastAsia="es-ES"/>
        </w:rPr>
      </w:pPr>
      <w:r w:rsidRPr="001876E4">
        <w:rPr>
          <w:rFonts w:ascii="Arial" w:eastAsia="Calibri" w:hAnsi="Arial" w:cs="Arial"/>
          <w:sz w:val="24"/>
          <w:szCs w:val="24"/>
          <w:lang w:val="es-ES" w:eastAsia="es-ES"/>
        </w:rPr>
        <w:t>En línea con lo anterior, el Gobierno del Estado de Colima contratará para el Ejercicio Fiscal 2018 un seguro de riesgo catastrófico para la cobertura de daños causados por desastres naturales en los bienes e infraestructura de la entidad, de conformidad con lo dispuesto en el artículo 18 de la Ley General de Protección Civil.</w:t>
      </w:r>
    </w:p>
    <w:p w:rsidR="001876E4" w:rsidRPr="001876E4" w:rsidRDefault="001876E4" w:rsidP="001876E4">
      <w:pPr>
        <w:spacing w:after="0" w:line="240" w:lineRule="auto"/>
        <w:jc w:val="both"/>
        <w:rPr>
          <w:rFonts w:ascii="Arial" w:eastAsia="Calibri" w:hAnsi="Arial" w:cs="Arial"/>
          <w:sz w:val="24"/>
          <w:szCs w:val="24"/>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25</w:t>
      </w:r>
      <w:r w:rsidRPr="001876E4">
        <w:rPr>
          <w:rFonts w:ascii="Arial" w:eastAsia="Calibri" w:hAnsi="Arial" w:cs="Arial"/>
          <w:sz w:val="24"/>
          <w:szCs w:val="24"/>
          <w:lang w:val="es-ES" w:eastAsia="en-US"/>
        </w:rPr>
        <w:t xml:space="preserve">. Para el Ejercicio Fiscal 2018, se destinan recursos para subsidiar el Impuesto sobre Tenencia o Uso de Vehículos, por un monto de </w:t>
      </w:r>
      <w:r w:rsidRPr="001876E4">
        <w:rPr>
          <w:rFonts w:ascii="Arial" w:eastAsia="Calibri" w:hAnsi="Arial" w:cs="Arial"/>
          <w:b/>
          <w:sz w:val="24"/>
          <w:szCs w:val="24"/>
          <w:lang w:val="es-ES" w:eastAsia="en-US"/>
        </w:rPr>
        <w:t>$248,600,300</w:t>
      </w:r>
      <w:r w:rsidRPr="001876E4">
        <w:rPr>
          <w:rFonts w:ascii="Arial" w:eastAsia="Calibri" w:hAnsi="Arial" w:cs="Arial"/>
          <w:sz w:val="24"/>
          <w:szCs w:val="24"/>
          <w:lang w:val="es-ES" w:eastAsia="en-US"/>
        </w:rPr>
        <w:t xml:space="preserve"> para la partida 44101 Subsidio a la Tenencia.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Para tener derecho al Subsidio a la Tenencia se deberán cumplir los requisitos que señale al respecto la Ley de Ingresos del Estado de Colima para el Ejercicio Fiscal 2018.</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26</w:t>
      </w:r>
      <w:r w:rsidRPr="001876E4">
        <w:rPr>
          <w:rFonts w:ascii="Arial" w:eastAsia="Calibri" w:hAnsi="Arial" w:cs="Arial"/>
          <w:sz w:val="24"/>
          <w:szCs w:val="24"/>
          <w:lang w:val="es-ES" w:eastAsia="en-US"/>
        </w:rPr>
        <w:t>. La Secretaría podrá reducir, suspender o terminar las Transferencias, Asignaciones, Subsidios y Otras Ayudas cuando: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3"/>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Las Dependencias de la Administración Pública Centralizada y Entidades de la Administración Pública Paraestatal, a las que se les otorguen cuenten con autosuficiencia financiera;</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3"/>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lastRenderedPageBreak/>
        <w:t xml:space="preserve">Las </w:t>
      </w:r>
      <w:r w:rsidRPr="001876E4">
        <w:rPr>
          <w:rFonts w:ascii="Arial" w:eastAsia="Calibri" w:hAnsi="Arial" w:cs="Arial"/>
          <w:sz w:val="24"/>
          <w:szCs w:val="24"/>
          <w:lang w:val="es-ES" w:eastAsia="en-US"/>
        </w:rPr>
        <w:t xml:space="preserve">Transferencias, Asignaciones, Subsidios y Otras Ayudas </w:t>
      </w:r>
      <w:r w:rsidRPr="001876E4">
        <w:rPr>
          <w:rFonts w:ascii="Arial" w:eastAsia="Times New Roman" w:hAnsi="Arial" w:cs="Arial"/>
          <w:sz w:val="24"/>
          <w:szCs w:val="24"/>
        </w:rPr>
        <w:t>ya no cumplan con el objetivo de su otorgamiento;</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3"/>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Las Dependencias de la Administración Pública Centralizada y Entidades de la Administración Pública Paraestatal no remitan la información referente a la aplicación de estas transferencias; y</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3"/>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No existan las condiciones presupuestales para seguir otorgándolas.</w:t>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27</w:t>
      </w:r>
      <w:r w:rsidRPr="001876E4">
        <w:rPr>
          <w:rFonts w:ascii="Arial" w:eastAsia="Calibri" w:hAnsi="Arial" w:cs="Arial"/>
          <w:sz w:val="24"/>
          <w:szCs w:val="24"/>
          <w:lang w:val="es-ES" w:eastAsia="en-US"/>
        </w:rPr>
        <w:t>. 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Estado y sus municipios.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Los proyectos de Asociación Público-Privada deberán estar plenamente justificados, especificar el beneficio social que se busca obtener y demostrar su ventaja financiera frente a otras formas de financiamiento y ser congruentes con los objetivos del Plan Estatal.</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gasto público contemplado para los proyectos de Asociación Público-Privada se ajustará a las disposiciones de la Constitución Política del Estado Libre y Soberano de Colima, de la Ley de Disciplina Financiera, de la Ley de Presupuesto, Ley de Asociaciones Público Privadas del Estado de Colima y las demás que resulten aplicables.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Los compromisos presupuestarios futuros que en su caso llegaren a originar los proyectos de Asociación Público-Privada que se prevea iniciar, acumulados o aquellos de los proyectos que ya hubieran iniciado algún procedimiento de contratación o que ya estuvieran operando, serán acordes con las posibilidades agregadas de gasto y de financiamiento del sector público estatal.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Para el Ejercicio Fiscal 2018, no hay asignación presupuestal para el financiamiento de proyectos de Asociación Público-Privada, suscritos entre instancias del Sector Público de Gobierno del Estado con el Sector Privado.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28</w:t>
      </w:r>
      <w:r w:rsidRPr="001876E4">
        <w:rPr>
          <w:rFonts w:ascii="Arial" w:eastAsia="Calibri" w:hAnsi="Arial" w:cs="Arial"/>
          <w:sz w:val="24"/>
          <w:szCs w:val="24"/>
          <w:lang w:val="es-ES" w:eastAsia="en-US"/>
        </w:rPr>
        <w:t xml:space="preserve">. Para el Ejercicio Fiscal 2018, se destinan </w:t>
      </w:r>
      <w:r w:rsidRPr="001876E4">
        <w:rPr>
          <w:rFonts w:ascii="Arial" w:eastAsia="Calibri" w:hAnsi="Arial" w:cs="Arial"/>
          <w:b/>
          <w:sz w:val="24"/>
          <w:szCs w:val="24"/>
          <w:lang w:val="es-ES" w:eastAsia="en-US"/>
        </w:rPr>
        <w:t>$167,226,520</w:t>
      </w:r>
      <w:r w:rsidRPr="001876E4">
        <w:rPr>
          <w:rFonts w:ascii="Arial" w:eastAsia="Calibri" w:hAnsi="Arial" w:cs="Arial"/>
          <w:sz w:val="24"/>
          <w:szCs w:val="24"/>
          <w:lang w:val="es-ES" w:eastAsia="en-US"/>
        </w:rPr>
        <w:t xml:space="preserve"> para las obligaciones contractuales de inversión pública plurianual de inversión en obra </w:t>
      </w:r>
      <w:r w:rsidRPr="001876E4">
        <w:rPr>
          <w:rFonts w:ascii="Arial" w:eastAsia="Calibri" w:hAnsi="Arial" w:cs="Arial"/>
          <w:sz w:val="24"/>
          <w:szCs w:val="24"/>
          <w:lang w:val="es-ES" w:eastAsia="en-US"/>
        </w:rPr>
        <w:lastRenderedPageBreak/>
        <w:t xml:space="preserve">pública, adquisiciones, arrendamientos y servicios, así como las que rebasen el periodo constitucional; que se detallan en la tabla siguiente: </w:t>
      </w:r>
    </w:p>
    <w:p w:rsidR="001876E4" w:rsidRPr="001876E4" w:rsidRDefault="001876E4" w:rsidP="001876E4">
      <w:pPr>
        <w:spacing w:after="0" w:line="240" w:lineRule="auto"/>
        <w:jc w:val="both"/>
        <w:rPr>
          <w:rFonts w:ascii="Arial" w:eastAsia="Times New Roman" w:hAnsi="Arial"/>
          <w:sz w:val="24"/>
          <w:lang w:val="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rPr>
      </w:pPr>
      <w:r w:rsidRPr="001876E4">
        <w:rPr>
          <w:rFonts w:ascii="Arial" w:eastAsia="Times New Roman" w:hAnsi="Arial" w:cs="Times New Roman"/>
          <w:b/>
          <w:szCs w:val="26"/>
          <w:lang w:val="es-ES"/>
        </w:rPr>
        <w:t>Tabla 32 a. Obligaciones Contractuales de Inversión Pública Plurianual</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8"/>
        <w:gridCol w:w="1030"/>
        <w:gridCol w:w="1030"/>
        <w:gridCol w:w="1030"/>
        <w:gridCol w:w="1030"/>
        <w:gridCol w:w="1030"/>
        <w:gridCol w:w="1030"/>
      </w:tblGrid>
      <w:tr w:rsidR="001876E4" w:rsidRPr="001876E4" w:rsidTr="00947D11">
        <w:trPr>
          <w:trHeight w:val="442"/>
          <w:jc w:val="center"/>
        </w:trPr>
        <w:tc>
          <w:tcPr>
            <w:tcW w:w="2648"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Proyecto/Descripción</w:t>
            </w:r>
          </w:p>
        </w:tc>
        <w:tc>
          <w:tcPr>
            <w:tcW w:w="103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2017</w:t>
            </w:r>
          </w:p>
        </w:tc>
        <w:tc>
          <w:tcPr>
            <w:tcW w:w="103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2018</w:t>
            </w:r>
          </w:p>
        </w:tc>
        <w:tc>
          <w:tcPr>
            <w:tcW w:w="103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2019</w:t>
            </w:r>
          </w:p>
        </w:tc>
        <w:tc>
          <w:tcPr>
            <w:tcW w:w="103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2020</w:t>
            </w:r>
          </w:p>
        </w:tc>
        <w:tc>
          <w:tcPr>
            <w:tcW w:w="103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2021</w:t>
            </w:r>
          </w:p>
        </w:tc>
        <w:tc>
          <w:tcPr>
            <w:tcW w:w="1030" w:type="dxa"/>
          </w:tcPr>
          <w:p w:rsidR="001876E4" w:rsidRPr="001876E4" w:rsidRDefault="001876E4" w:rsidP="001876E4">
            <w:pPr>
              <w:spacing w:after="0" w:line="240" w:lineRule="auto"/>
              <w:jc w:val="center"/>
              <w:rPr>
                <w:rFonts w:ascii="Arial" w:eastAsia="Times New Roman" w:hAnsi="Arial" w:cs="Arial"/>
                <w:b/>
                <w:bCs/>
                <w:color w:val="000000"/>
                <w:sz w:val="16"/>
                <w:szCs w:val="18"/>
              </w:rPr>
            </w:pPr>
            <w:r w:rsidRPr="001876E4">
              <w:rPr>
                <w:rFonts w:ascii="Arial" w:eastAsia="Times New Roman" w:hAnsi="Arial" w:cs="Arial"/>
                <w:b/>
                <w:bCs/>
                <w:color w:val="000000"/>
                <w:sz w:val="16"/>
                <w:szCs w:val="18"/>
              </w:rPr>
              <w:t>Total Proyecto</w:t>
            </w:r>
          </w:p>
        </w:tc>
      </w:tr>
      <w:tr w:rsidR="001876E4" w:rsidRPr="001876E4" w:rsidTr="00947D11">
        <w:trPr>
          <w:trHeight w:val="831"/>
          <w:jc w:val="center"/>
        </w:trPr>
        <w:tc>
          <w:tcPr>
            <w:tcW w:w="2648"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color w:val="212121"/>
                <w:sz w:val="16"/>
                <w:szCs w:val="18"/>
              </w:rPr>
            </w:pPr>
            <w:r w:rsidRPr="001876E4">
              <w:rPr>
                <w:rFonts w:ascii="Arial" w:eastAsia="Times New Roman" w:hAnsi="Arial" w:cs="Arial"/>
                <w:b/>
                <w:color w:val="212121"/>
                <w:sz w:val="16"/>
                <w:szCs w:val="18"/>
              </w:rPr>
              <w:t>Adquisición de Servicio en Arrendamiento de Protección y Acceso Informático en los sitios del Gobierno del Estado.</w:t>
            </w:r>
          </w:p>
          <w:p w:rsidR="001876E4" w:rsidRPr="001876E4" w:rsidRDefault="001876E4" w:rsidP="001876E4">
            <w:pPr>
              <w:spacing w:after="0" w:line="240" w:lineRule="auto"/>
              <w:jc w:val="both"/>
              <w:rPr>
                <w:rFonts w:ascii="Arial" w:eastAsia="Times New Roman" w:hAnsi="Arial" w:cs="Arial"/>
                <w:color w:val="212121"/>
                <w:sz w:val="16"/>
                <w:szCs w:val="18"/>
              </w:rPr>
            </w:pPr>
          </w:p>
          <w:p w:rsidR="001876E4" w:rsidRPr="001876E4" w:rsidRDefault="001876E4" w:rsidP="001876E4">
            <w:pPr>
              <w:spacing w:after="0" w:line="240" w:lineRule="auto"/>
              <w:jc w:val="both"/>
              <w:rPr>
                <w:rFonts w:ascii="Arial" w:eastAsia="Times New Roman" w:hAnsi="Arial" w:cs="Arial"/>
                <w:b/>
                <w:color w:val="000000"/>
                <w:sz w:val="16"/>
                <w:szCs w:val="18"/>
              </w:rPr>
            </w:pPr>
            <w:r w:rsidRPr="001876E4">
              <w:rPr>
                <w:rFonts w:ascii="Arial" w:eastAsia="Times New Roman" w:hAnsi="Arial" w:cs="Arial"/>
                <w:b/>
                <w:color w:val="000000"/>
                <w:sz w:val="16"/>
                <w:szCs w:val="18"/>
              </w:rPr>
              <w:t>Descripción</w:t>
            </w:r>
          </w:p>
          <w:p w:rsidR="001876E4" w:rsidRPr="001876E4" w:rsidRDefault="001876E4" w:rsidP="001876E4">
            <w:pPr>
              <w:spacing w:after="0" w:line="240" w:lineRule="auto"/>
              <w:jc w:val="both"/>
              <w:rPr>
                <w:rFonts w:ascii="Arial" w:eastAsia="Times New Roman" w:hAnsi="Arial" w:cs="Arial"/>
                <w:color w:val="212121"/>
                <w:sz w:val="16"/>
                <w:szCs w:val="18"/>
              </w:rPr>
            </w:pPr>
            <w:r w:rsidRPr="001876E4">
              <w:rPr>
                <w:rFonts w:ascii="Arial" w:eastAsia="Times New Roman" w:hAnsi="Arial" w:cs="Arial"/>
                <w:color w:val="000000"/>
                <w:sz w:val="16"/>
                <w:szCs w:val="18"/>
              </w:rPr>
              <w:t>Establecer los mecanismos de seguridad que permitan contar con la seguridad, administración y control de accesos a la red de datos del Gobierno del estado</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3,213,432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3,213,432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3,213,432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3,213,432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3,213,432 </w:t>
            </w:r>
          </w:p>
        </w:tc>
        <w:tc>
          <w:tcPr>
            <w:tcW w:w="1030" w:type="dxa"/>
            <w:vAlign w:val="center"/>
          </w:tcPr>
          <w:p w:rsidR="001876E4" w:rsidRPr="001876E4" w:rsidRDefault="001876E4" w:rsidP="001876E4">
            <w:pPr>
              <w:spacing w:after="0" w:line="240" w:lineRule="auto"/>
              <w:jc w:val="right"/>
              <w:rPr>
                <w:rFonts w:ascii="Arial" w:eastAsia="Times New Roman" w:hAnsi="Arial" w:cs="Arial"/>
                <w:b/>
                <w:color w:val="000000"/>
                <w:sz w:val="16"/>
                <w:szCs w:val="18"/>
              </w:rPr>
            </w:pPr>
            <w:r w:rsidRPr="001876E4">
              <w:rPr>
                <w:rFonts w:ascii="Arial" w:eastAsia="Times New Roman" w:hAnsi="Arial" w:cs="Arial"/>
                <w:b/>
                <w:color w:val="000000"/>
                <w:sz w:val="16"/>
                <w:szCs w:val="18"/>
              </w:rPr>
              <w:t>16,067,160</w:t>
            </w:r>
          </w:p>
        </w:tc>
      </w:tr>
      <w:tr w:rsidR="001876E4" w:rsidRPr="001876E4" w:rsidTr="00947D11">
        <w:trPr>
          <w:trHeight w:val="887"/>
          <w:jc w:val="center"/>
        </w:trPr>
        <w:tc>
          <w:tcPr>
            <w:tcW w:w="2648"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b/>
                <w:color w:val="000000"/>
                <w:sz w:val="16"/>
                <w:szCs w:val="18"/>
              </w:rPr>
            </w:pPr>
            <w:r w:rsidRPr="001876E4">
              <w:rPr>
                <w:rFonts w:ascii="Arial" w:eastAsia="Times New Roman" w:hAnsi="Arial" w:cs="Arial"/>
                <w:b/>
                <w:color w:val="000000"/>
                <w:sz w:val="16"/>
                <w:szCs w:val="18"/>
              </w:rPr>
              <w:t>Servicio de Internet de alta velocidad al Gobierno del Estado</w:t>
            </w:r>
          </w:p>
          <w:p w:rsidR="001876E4" w:rsidRPr="001876E4" w:rsidRDefault="001876E4" w:rsidP="001876E4">
            <w:pPr>
              <w:spacing w:after="0" w:line="240" w:lineRule="auto"/>
              <w:jc w:val="both"/>
              <w:rPr>
                <w:rFonts w:ascii="Arial" w:eastAsia="Times New Roman" w:hAnsi="Arial" w:cs="Arial"/>
                <w:color w:val="000000"/>
                <w:sz w:val="16"/>
                <w:szCs w:val="18"/>
              </w:rPr>
            </w:pPr>
          </w:p>
          <w:p w:rsidR="001876E4" w:rsidRPr="001876E4" w:rsidRDefault="001876E4" w:rsidP="001876E4">
            <w:pPr>
              <w:spacing w:after="0" w:line="240" w:lineRule="auto"/>
              <w:jc w:val="both"/>
              <w:rPr>
                <w:rFonts w:ascii="Arial" w:eastAsia="Times New Roman" w:hAnsi="Arial" w:cs="Arial"/>
                <w:b/>
                <w:color w:val="000000"/>
                <w:sz w:val="16"/>
                <w:szCs w:val="18"/>
              </w:rPr>
            </w:pPr>
            <w:r w:rsidRPr="001876E4">
              <w:rPr>
                <w:rFonts w:ascii="Arial" w:eastAsia="Times New Roman" w:hAnsi="Arial" w:cs="Arial"/>
                <w:b/>
                <w:color w:val="000000"/>
                <w:sz w:val="16"/>
                <w:szCs w:val="18"/>
              </w:rPr>
              <w:t>Descripción</w:t>
            </w:r>
          </w:p>
          <w:p w:rsidR="001876E4" w:rsidRPr="001876E4" w:rsidRDefault="001876E4" w:rsidP="001876E4">
            <w:pPr>
              <w:spacing w:after="0" w:line="240" w:lineRule="auto"/>
              <w:jc w:val="both"/>
              <w:rPr>
                <w:rFonts w:ascii="Arial" w:eastAsia="Times New Roman" w:hAnsi="Arial" w:cs="Arial"/>
                <w:color w:val="000000"/>
                <w:sz w:val="16"/>
                <w:szCs w:val="18"/>
              </w:rPr>
            </w:pPr>
            <w:r w:rsidRPr="001876E4">
              <w:rPr>
                <w:rFonts w:ascii="Arial" w:eastAsia="Times New Roman" w:hAnsi="Arial" w:cs="Arial"/>
                <w:color w:val="000000"/>
                <w:sz w:val="16"/>
                <w:szCs w:val="18"/>
              </w:rPr>
              <w:t>Internet de 500MBPS Sincrono en el Complejo Administrativo, 500MBPS en complejo de seguridad C-4,  Además de 10 MBPS en Casa de Gobierno.</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2,444,400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2,444,400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2,444,400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0 </w:t>
            </w:r>
          </w:p>
        </w:tc>
        <w:tc>
          <w:tcPr>
            <w:tcW w:w="1030"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 xml:space="preserve">0 </w:t>
            </w:r>
          </w:p>
        </w:tc>
        <w:tc>
          <w:tcPr>
            <w:tcW w:w="1030" w:type="dxa"/>
            <w:vAlign w:val="center"/>
          </w:tcPr>
          <w:p w:rsidR="001876E4" w:rsidRPr="001876E4" w:rsidRDefault="001876E4" w:rsidP="001876E4">
            <w:pPr>
              <w:spacing w:after="0" w:line="240" w:lineRule="auto"/>
              <w:jc w:val="right"/>
              <w:rPr>
                <w:rFonts w:ascii="Arial" w:eastAsia="Times New Roman" w:hAnsi="Arial" w:cs="Arial"/>
                <w:b/>
                <w:color w:val="000000"/>
                <w:sz w:val="16"/>
                <w:szCs w:val="18"/>
              </w:rPr>
            </w:pPr>
            <w:r w:rsidRPr="001876E4">
              <w:rPr>
                <w:rFonts w:ascii="Arial" w:eastAsia="Times New Roman" w:hAnsi="Arial" w:cs="Arial"/>
                <w:b/>
                <w:color w:val="000000"/>
                <w:sz w:val="16"/>
                <w:szCs w:val="18"/>
              </w:rPr>
              <w:t xml:space="preserve">7,333,200 </w:t>
            </w:r>
          </w:p>
        </w:tc>
      </w:tr>
      <w:tr w:rsidR="001876E4" w:rsidRPr="001876E4" w:rsidTr="00947D11">
        <w:trPr>
          <w:trHeight w:val="348"/>
          <w:jc w:val="center"/>
        </w:trPr>
        <w:tc>
          <w:tcPr>
            <w:tcW w:w="2648" w:type="dxa"/>
            <w:shd w:val="clear" w:color="auto" w:fill="auto"/>
            <w:vAlign w:val="center"/>
          </w:tcPr>
          <w:p w:rsidR="001876E4" w:rsidRPr="001876E4" w:rsidRDefault="001876E4" w:rsidP="001876E4">
            <w:pPr>
              <w:spacing w:after="0" w:line="240" w:lineRule="auto"/>
              <w:jc w:val="both"/>
              <w:rPr>
                <w:rFonts w:ascii="Arial" w:eastAsia="Times New Roman" w:hAnsi="Arial" w:cs="Arial"/>
                <w:b/>
                <w:color w:val="000000"/>
                <w:sz w:val="16"/>
                <w:szCs w:val="18"/>
              </w:rPr>
            </w:pPr>
            <w:r w:rsidRPr="001876E4">
              <w:rPr>
                <w:rFonts w:ascii="Arial" w:eastAsia="Times New Roman" w:hAnsi="Arial" w:cs="Arial"/>
                <w:b/>
                <w:color w:val="000000"/>
                <w:sz w:val="16"/>
                <w:szCs w:val="18"/>
              </w:rPr>
              <w:t>Centro de Control, Comando, Comunicación, Cómputo y Calidad del Estado de Colima (C5i)</w:t>
            </w:r>
          </w:p>
          <w:p w:rsidR="001876E4" w:rsidRPr="001876E4" w:rsidRDefault="001876E4" w:rsidP="001876E4">
            <w:pPr>
              <w:spacing w:after="0" w:line="240" w:lineRule="auto"/>
              <w:jc w:val="both"/>
              <w:rPr>
                <w:rFonts w:ascii="Arial" w:eastAsia="Times New Roman" w:hAnsi="Arial" w:cs="Arial"/>
                <w:b/>
                <w:color w:val="000000"/>
                <w:sz w:val="16"/>
                <w:szCs w:val="18"/>
              </w:rPr>
            </w:pPr>
          </w:p>
          <w:p w:rsidR="001876E4" w:rsidRPr="001876E4" w:rsidRDefault="001876E4" w:rsidP="001876E4">
            <w:pPr>
              <w:spacing w:after="0" w:line="240" w:lineRule="auto"/>
              <w:jc w:val="both"/>
              <w:rPr>
                <w:rFonts w:ascii="Arial" w:eastAsia="Times New Roman" w:hAnsi="Arial" w:cs="Arial"/>
                <w:b/>
                <w:color w:val="000000"/>
                <w:sz w:val="16"/>
                <w:szCs w:val="18"/>
              </w:rPr>
            </w:pPr>
            <w:r w:rsidRPr="001876E4">
              <w:rPr>
                <w:rFonts w:ascii="Arial" w:eastAsia="Times New Roman" w:hAnsi="Arial" w:cs="Arial"/>
                <w:b/>
                <w:color w:val="000000"/>
                <w:sz w:val="16"/>
                <w:szCs w:val="18"/>
              </w:rPr>
              <w:t>Descripción.</w:t>
            </w:r>
          </w:p>
          <w:p w:rsidR="001876E4" w:rsidRPr="001876E4" w:rsidRDefault="001876E4" w:rsidP="001876E4">
            <w:pPr>
              <w:spacing w:after="0" w:line="240" w:lineRule="auto"/>
              <w:jc w:val="both"/>
              <w:rPr>
                <w:rFonts w:ascii="Arial" w:eastAsia="Times New Roman" w:hAnsi="Arial" w:cs="Arial"/>
                <w:color w:val="000000"/>
                <w:sz w:val="16"/>
                <w:szCs w:val="18"/>
              </w:rPr>
            </w:pPr>
            <w:r w:rsidRPr="001876E4">
              <w:rPr>
                <w:rFonts w:ascii="Arial" w:eastAsia="Times New Roman" w:hAnsi="Arial" w:cs="Arial"/>
                <w:color w:val="000000"/>
                <w:sz w:val="16"/>
                <w:szCs w:val="18"/>
              </w:rPr>
              <w:t>Fortalecimiento institucional y operativo de las corporaciones de seguridad; mediante el uso intensivo de los sistemas de inteligencia, y coordinación efectiva entre los tres órdenes de gobierno.</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161,568,688</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161,568,688</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161,568,688</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161,568,688</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161,568,688</w:t>
            </w:r>
          </w:p>
        </w:tc>
        <w:tc>
          <w:tcPr>
            <w:tcW w:w="1030" w:type="dxa"/>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r w:rsidRPr="001876E4">
              <w:rPr>
                <w:rFonts w:ascii="Arial" w:eastAsia="Times New Roman" w:hAnsi="Arial" w:cs="Arial"/>
                <w:color w:val="000000"/>
                <w:sz w:val="16"/>
                <w:szCs w:val="18"/>
              </w:rPr>
              <w:t>807,843,440</w:t>
            </w:r>
          </w:p>
        </w:tc>
      </w:tr>
      <w:tr w:rsidR="001876E4" w:rsidRPr="001876E4" w:rsidTr="00947D11">
        <w:trPr>
          <w:trHeight w:val="348"/>
          <w:jc w:val="center"/>
        </w:trPr>
        <w:tc>
          <w:tcPr>
            <w:tcW w:w="2648" w:type="dxa"/>
            <w:shd w:val="clear" w:color="auto" w:fill="auto"/>
            <w:vAlign w:val="center"/>
          </w:tcPr>
          <w:p w:rsidR="001876E4" w:rsidRPr="001876E4" w:rsidRDefault="001876E4" w:rsidP="001876E4">
            <w:pPr>
              <w:spacing w:after="0" w:line="240" w:lineRule="auto"/>
              <w:jc w:val="center"/>
              <w:rPr>
                <w:rFonts w:ascii="Arial" w:eastAsia="Times New Roman" w:hAnsi="Arial" w:cs="Arial"/>
                <w:b/>
                <w:color w:val="000000"/>
                <w:sz w:val="16"/>
                <w:szCs w:val="18"/>
              </w:rPr>
            </w:pPr>
            <w:r w:rsidRPr="001876E4">
              <w:rPr>
                <w:rFonts w:ascii="Arial" w:eastAsia="Times New Roman" w:hAnsi="Arial" w:cs="Arial"/>
                <w:b/>
                <w:color w:val="000000"/>
                <w:sz w:val="16"/>
                <w:szCs w:val="18"/>
              </w:rPr>
              <w:t>Total</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p>
        </w:tc>
        <w:tc>
          <w:tcPr>
            <w:tcW w:w="1030"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b/>
                <w:color w:val="000000"/>
                <w:sz w:val="16"/>
                <w:szCs w:val="18"/>
              </w:rPr>
            </w:pPr>
            <w:r w:rsidRPr="001876E4">
              <w:rPr>
                <w:rFonts w:ascii="Arial" w:eastAsia="Times New Roman" w:hAnsi="Arial" w:cs="Arial"/>
                <w:b/>
                <w:color w:val="000000"/>
                <w:sz w:val="16"/>
                <w:szCs w:val="18"/>
              </w:rPr>
              <w:t>167,226,520</w:t>
            </w: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p>
        </w:tc>
        <w:tc>
          <w:tcPr>
            <w:tcW w:w="1030" w:type="dxa"/>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8"/>
              </w:rPr>
            </w:pPr>
          </w:p>
        </w:tc>
        <w:tc>
          <w:tcPr>
            <w:tcW w:w="1030" w:type="dxa"/>
            <w:vAlign w:val="center"/>
          </w:tcPr>
          <w:p w:rsidR="001876E4" w:rsidRPr="001876E4" w:rsidRDefault="001876E4" w:rsidP="001876E4">
            <w:pPr>
              <w:spacing w:after="0" w:line="240" w:lineRule="auto"/>
              <w:jc w:val="right"/>
              <w:rPr>
                <w:rFonts w:ascii="Arial" w:eastAsia="Times New Roman" w:hAnsi="Arial" w:cs="Arial"/>
                <w:b/>
                <w:color w:val="000000"/>
                <w:sz w:val="16"/>
                <w:szCs w:val="18"/>
              </w:rPr>
            </w:pP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29</w:t>
      </w:r>
      <w:r w:rsidRPr="001876E4">
        <w:rPr>
          <w:rFonts w:ascii="Arial" w:eastAsia="Calibri" w:hAnsi="Arial" w:cs="Arial"/>
          <w:sz w:val="24"/>
          <w:szCs w:val="24"/>
          <w:lang w:val="es-ES" w:eastAsia="en-US"/>
        </w:rPr>
        <w:t xml:space="preserve">. La asignación presupuestaria para la Obra Pública Directa del Ejercicio Fiscal 2018 es de </w:t>
      </w:r>
      <w:r w:rsidRPr="001876E4">
        <w:rPr>
          <w:rFonts w:ascii="Arial" w:eastAsia="Calibri" w:hAnsi="Arial" w:cs="Arial"/>
          <w:b/>
          <w:sz w:val="24"/>
          <w:szCs w:val="24"/>
          <w:lang w:val="es-ES" w:eastAsia="en-US"/>
        </w:rPr>
        <w:t>$296,627,000</w:t>
      </w:r>
      <w:r w:rsidRPr="001876E4">
        <w:rPr>
          <w:rFonts w:ascii="Arial" w:eastAsia="Calibri" w:hAnsi="Arial" w:cs="Arial"/>
          <w:sz w:val="24"/>
          <w:szCs w:val="24"/>
          <w:lang w:val="es-ES" w:eastAsia="en-US"/>
        </w:rPr>
        <w:t>, debiendo las Dependencias de la Administración Pública Centralizada y Entidades de la Administración Pública Paraestatal, observar lo siguiente: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w:t>
      </w:r>
      <w:r w:rsidRPr="001876E4">
        <w:rPr>
          <w:rFonts w:ascii="Arial" w:eastAsia="Calibri" w:hAnsi="Arial" w:cs="Arial"/>
          <w:sz w:val="24"/>
          <w:szCs w:val="24"/>
          <w:lang w:val="es-ES" w:eastAsia="en-US"/>
        </w:rPr>
        <w:tab/>
        <w:t>Dar prioridad a la terminación de los proyectos en proceso de ejecución de las obras vinculadas con la prestación de servicios públicos, especialmente a aquellos que están orientados a promover el desarrollo social;</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II. La asignación de recursos a nuevos proyectos se fundamentará en criterios que garanticen los servicios de educación, salud y asistencia social, seguridad pública </w:t>
      </w:r>
      <w:r w:rsidRPr="001876E4">
        <w:rPr>
          <w:rFonts w:ascii="Arial" w:eastAsia="Calibri" w:hAnsi="Arial" w:cs="Arial"/>
          <w:sz w:val="24"/>
          <w:szCs w:val="24"/>
          <w:lang w:val="es-ES" w:eastAsia="en-US"/>
        </w:rPr>
        <w:lastRenderedPageBreak/>
        <w:t>y procuración de justicia, combate a la pobreza, desarrollo municipal e infraestructura básica urbana y rural, considerando a la población beneficiada y su relación costo –beneficio;</w:t>
      </w: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III. Sólo se podrán iniciar nuevos proyectos cuando estén asociados al cumplimiento de los objetivos y metas del Plan Estatal. Estos proyectos podrán iniciarse cuando se tenga garantizada la disponibilidad de terrenos, así como los recursos técnicos y financieros para su terminación y operación, mantenimiento y conservación;</w:t>
      </w: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IV. La asignación de recursos para obra pública requerirá la existencia del proyecto ejecutivo y estudio socioeconómico para la contratación de los mismos; las Dependencias de la Administración Pública Centralizada y Entidades de la Administración Pública Paraestatal deberán cumplir con las disposiciones que emita la Secretaría, a efecto de obtener la autorización correspondiente; y</w:t>
      </w: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p>
    <w:p w:rsidR="001876E4" w:rsidRPr="001876E4" w:rsidRDefault="001876E4" w:rsidP="001876E4">
      <w:pPr>
        <w:spacing w:after="0" w:line="240" w:lineRule="auto"/>
        <w:ind w:left="284" w:hanging="284"/>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V. Los proyectos de inversión conjunta con los sectores social y privado, con los gobiernos federal, municipal y los de otras entidades, estimularán la ejecución de obras y proyectos de infraestructura y producción, con apego al marco normativo.</w:t>
      </w:r>
    </w:p>
    <w:p w:rsidR="001876E4" w:rsidRPr="001876E4" w:rsidRDefault="001876E4" w:rsidP="001876E4">
      <w:pPr>
        <w:spacing w:after="0" w:line="240" w:lineRule="auto"/>
        <w:rPr>
          <w:rFonts w:ascii="Arial" w:eastAsia="Calibri" w:hAnsi="Arial"/>
          <w:sz w:val="24"/>
          <w:highlight w:val="yellow"/>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33. Previsiones para Obra Pública Directa</w:t>
      </w:r>
    </w:p>
    <w:tbl>
      <w:tblPr>
        <w:tblW w:w="8701" w:type="dxa"/>
        <w:jc w:val="center"/>
        <w:tblCellMar>
          <w:left w:w="70" w:type="dxa"/>
          <w:right w:w="70" w:type="dxa"/>
        </w:tblCellMar>
        <w:tblLook w:val="04A0" w:firstRow="1" w:lastRow="0" w:firstColumn="1" w:lastColumn="0" w:noHBand="0" w:noVBand="1"/>
      </w:tblPr>
      <w:tblGrid>
        <w:gridCol w:w="7304"/>
        <w:gridCol w:w="1397"/>
      </w:tblGrid>
      <w:tr w:rsidR="001876E4" w:rsidRPr="001876E4" w:rsidTr="00947D11">
        <w:trPr>
          <w:trHeight w:val="510"/>
          <w:jc w:val="center"/>
        </w:trPr>
        <w:tc>
          <w:tcPr>
            <w:tcW w:w="7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Partida</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Fondo de Aportaciones para la Infraestructura Social Estatal</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12,500,000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 Programa 3x1 Migrantes</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12,500,000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Fondo de Aportaciones para la Seguridad Pública</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3,580,000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Fortalecimiento del Sistema Penitenciario Nacional</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3,580,000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Fondo de Aportaciones para el Fortalecimiento de las Entidades Federativas</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25,000,000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Normal de Obra</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25,000,000 </w:t>
            </w:r>
          </w:p>
        </w:tc>
      </w:tr>
      <w:tr w:rsidR="001876E4" w:rsidRPr="001876E4" w:rsidTr="00947D11">
        <w:trPr>
          <w:trHeight w:val="352"/>
          <w:jc w:val="center"/>
        </w:trPr>
        <w:tc>
          <w:tcPr>
            <w:tcW w:w="730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Fondo para el Fortalecimiento de la Infraestructura Estatal </w:t>
            </w:r>
          </w:p>
        </w:tc>
        <w:tc>
          <w:tcPr>
            <w:tcW w:w="139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25,547,000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Normal de Obra</w:t>
            </w:r>
          </w:p>
        </w:tc>
        <w:tc>
          <w:tcPr>
            <w:tcW w:w="1397"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12,773,500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Construcción de Vías de Comunicación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12,773,500</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Ramo 23 Fondo para el Fortalecimiento de la Infraestructura Estatal y Municipal FORTALECE</w:t>
            </w:r>
          </w:p>
        </w:tc>
        <w:tc>
          <w:tcPr>
            <w:tcW w:w="1397"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hAnsi="Arial" w:cs="Arial"/>
                <w:b/>
                <w:bCs/>
                <w:color w:val="000000"/>
                <w:sz w:val="20"/>
                <w:szCs w:val="20"/>
              </w:rPr>
              <w:t xml:space="preserve">230,000,000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hAnsi="Arial" w:cs="Arial"/>
                <w:color w:val="000000"/>
                <w:sz w:val="20"/>
                <w:szCs w:val="20"/>
              </w:rPr>
              <w:t>Ampliación Carretera a Chandiablo, Segunda Etapa</w:t>
            </w:r>
          </w:p>
        </w:tc>
        <w:tc>
          <w:tcPr>
            <w:tcW w:w="1397"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hAnsi="Arial" w:cs="Arial"/>
                <w:color w:val="000000"/>
                <w:sz w:val="20"/>
                <w:szCs w:val="20"/>
              </w:rPr>
              <w:t xml:space="preserve">40,000,000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hAnsi="Arial" w:cs="Arial"/>
                <w:color w:val="000000"/>
                <w:sz w:val="20"/>
                <w:szCs w:val="20"/>
              </w:rPr>
              <w:t>Segunda Etapa de Intervención Calzada Galván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color w:val="000000"/>
                <w:sz w:val="20"/>
                <w:szCs w:val="20"/>
              </w:rPr>
              <w:t xml:space="preserve">54,000,000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hAnsi="Arial" w:cs="Arial"/>
                <w:color w:val="000000"/>
                <w:sz w:val="20"/>
                <w:szCs w:val="20"/>
              </w:rPr>
            </w:pPr>
            <w:r w:rsidRPr="001876E4">
              <w:rPr>
                <w:rFonts w:ascii="Arial" w:hAnsi="Arial" w:cs="Arial"/>
                <w:color w:val="000000"/>
                <w:sz w:val="20"/>
                <w:szCs w:val="20"/>
              </w:rPr>
              <w:t>Segunda Etapa de la Segunda Etapa del Parque Metropolitano La Campana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60,000,000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hAnsi="Arial" w:cs="Arial"/>
                <w:color w:val="000000"/>
                <w:sz w:val="20"/>
                <w:szCs w:val="20"/>
              </w:rPr>
            </w:pPr>
            <w:r w:rsidRPr="001876E4">
              <w:rPr>
                <w:rFonts w:ascii="Arial" w:hAnsi="Arial" w:cs="Arial"/>
                <w:color w:val="000000"/>
                <w:sz w:val="20"/>
                <w:szCs w:val="20"/>
              </w:rPr>
              <w:t>Construcción del Puente en Tamala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7,000,000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hAnsi="Arial" w:cs="Arial"/>
                <w:color w:val="000000"/>
                <w:sz w:val="20"/>
                <w:szCs w:val="20"/>
              </w:rPr>
            </w:pPr>
            <w:r w:rsidRPr="001876E4">
              <w:rPr>
                <w:rFonts w:ascii="Arial" w:hAnsi="Arial" w:cs="Arial"/>
                <w:color w:val="000000"/>
                <w:sz w:val="20"/>
                <w:szCs w:val="20"/>
              </w:rPr>
              <w:t>Remozamiento de Ingreso al Municipio de Tecomán (Distribuidor Vial-El Limonero)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8,000,000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hAnsi="Arial" w:cs="Arial"/>
                <w:color w:val="000000"/>
                <w:sz w:val="20"/>
                <w:szCs w:val="20"/>
              </w:rPr>
            </w:pPr>
            <w:r w:rsidRPr="001876E4">
              <w:rPr>
                <w:rFonts w:ascii="Arial" w:hAnsi="Arial" w:cs="Arial"/>
                <w:color w:val="000000"/>
                <w:sz w:val="20"/>
                <w:szCs w:val="20"/>
              </w:rPr>
              <w:lastRenderedPageBreak/>
              <w:t>Río Colima (Segunda Etapa), en Parque "La Campana"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40,000,000 </w:t>
            </w:r>
          </w:p>
        </w:tc>
      </w:tr>
      <w:tr w:rsidR="001876E4" w:rsidRPr="001876E4" w:rsidTr="00947D11">
        <w:trPr>
          <w:trHeight w:val="300"/>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hAnsi="Arial" w:cs="Arial"/>
                <w:color w:val="000000"/>
                <w:sz w:val="20"/>
                <w:szCs w:val="20"/>
              </w:rPr>
            </w:pPr>
            <w:r w:rsidRPr="001876E4">
              <w:rPr>
                <w:rFonts w:ascii="Arial" w:hAnsi="Arial" w:cs="Arial"/>
                <w:color w:val="000000"/>
                <w:sz w:val="20"/>
                <w:szCs w:val="20"/>
              </w:rPr>
              <w:t>Reconstrucción de 3 Puentes en San Joaquín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 xml:space="preserve">21,000,000 </w:t>
            </w:r>
          </w:p>
        </w:tc>
      </w:tr>
      <w:tr w:rsidR="001876E4" w:rsidRPr="001876E4" w:rsidTr="00947D11">
        <w:trPr>
          <w:trHeight w:val="288"/>
          <w:jc w:val="center"/>
        </w:trPr>
        <w:tc>
          <w:tcPr>
            <w:tcW w:w="730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hAnsi="Arial" w:cs="Arial"/>
                <w:color w:val="000000"/>
                <w:sz w:val="20"/>
                <w:szCs w:val="20"/>
              </w:rPr>
            </w:pPr>
            <w:r w:rsidRPr="001876E4">
              <w:rPr>
                <w:rFonts w:ascii="Arial" w:eastAsia="Times New Roman" w:hAnsi="Arial" w:cs="Arial"/>
                <w:b/>
                <w:bCs/>
                <w:color w:val="000000"/>
                <w:sz w:val="20"/>
                <w:szCs w:val="20"/>
              </w:rPr>
              <w:t>Total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b/>
                <w:bCs/>
                <w:color w:val="000000"/>
                <w:sz w:val="20"/>
                <w:szCs w:val="20"/>
              </w:rPr>
              <w:t>296,627,000</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30</w:t>
      </w:r>
      <w:r w:rsidRPr="001876E4">
        <w:rPr>
          <w:rFonts w:ascii="Arial" w:eastAsia="Calibri" w:hAnsi="Arial" w:cs="Arial"/>
          <w:sz w:val="24"/>
          <w:szCs w:val="24"/>
          <w:lang w:val="es-ES" w:eastAsia="en-US"/>
        </w:rPr>
        <w:t>. Se incluye en el capítulo de Inversiones Financieras y Otras Provisiones, una asignación de recursos por un importe de</w:t>
      </w:r>
      <w:r w:rsidRPr="001876E4">
        <w:rPr>
          <w:rFonts w:ascii="Arial" w:eastAsia="Calibri" w:hAnsi="Arial" w:cs="Arial"/>
          <w:b/>
          <w:sz w:val="24"/>
          <w:szCs w:val="24"/>
          <w:lang w:val="es-ES" w:eastAsia="en-US"/>
        </w:rPr>
        <w:t xml:space="preserve"> $</w:t>
      </w:r>
      <w:r w:rsidRPr="001876E4">
        <w:rPr>
          <w:rFonts w:ascii="Arial" w:hAnsi="Arial"/>
          <w:b/>
          <w:sz w:val="24"/>
        </w:rPr>
        <w:t xml:space="preserve"> </w:t>
      </w:r>
      <w:r w:rsidRPr="001876E4">
        <w:rPr>
          <w:rFonts w:ascii="Arial" w:eastAsia="Calibri" w:hAnsi="Arial" w:cs="Arial"/>
          <w:b/>
          <w:sz w:val="24"/>
          <w:szCs w:val="24"/>
          <w:lang w:val="es-ES" w:eastAsia="en-US"/>
        </w:rPr>
        <w:t>26,800,000</w:t>
      </w:r>
      <w:r w:rsidRPr="001876E4">
        <w:rPr>
          <w:rFonts w:ascii="Arial" w:eastAsia="Calibri" w:hAnsi="Arial" w:cs="Arial"/>
          <w:color w:val="FF0000"/>
          <w:sz w:val="24"/>
          <w:szCs w:val="24"/>
          <w:lang w:val="es-ES" w:eastAsia="en-US"/>
        </w:rPr>
        <w:t xml:space="preserve"> </w:t>
      </w:r>
      <w:r w:rsidRPr="001876E4">
        <w:rPr>
          <w:rFonts w:ascii="Arial" w:eastAsia="Calibri" w:hAnsi="Arial" w:cs="Arial"/>
          <w:sz w:val="24"/>
          <w:szCs w:val="24"/>
          <w:lang w:val="es-ES" w:eastAsia="en-US"/>
        </w:rPr>
        <w:t>mismos que se contemplan dentro del concepto de gasto denominado Provisiones para Contingencias y Otras Erogaciones Especiales.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31</w:t>
      </w:r>
      <w:r w:rsidRPr="001876E4">
        <w:rPr>
          <w:rFonts w:ascii="Arial" w:eastAsia="Calibri" w:hAnsi="Arial" w:cs="Arial"/>
          <w:sz w:val="24"/>
          <w:szCs w:val="24"/>
          <w:lang w:val="es-ES" w:eastAsia="en-US"/>
        </w:rPr>
        <w:t xml:space="preserve">. La Relación de Cuentas Bancarias Productivas en las cuales se depositarán los Recursos Federales transferidos en el Ejercicio Fiscal 2018, para los diferentes Fondos, Programas y Convenios; se aperturarán de conformidad a </w:t>
      </w:r>
      <w:r w:rsidRPr="001876E4">
        <w:rPr>
          <w:rFonts w:ascii="Arial" w:eastAsia="Times New Roman" w:hAnsi="Arial" w:cs="Arial"/>
          <w:sz w:val="24"/>
          <w:szCs w:val="24"/>
          <w:lang w:val="es-ES" w:eastAsia="es-ES"/>
        </w:rPr>
        <w:t>los términos legales correspondientes.</w:t>
      </w:r>
      <w:r w:rsidRPr="001876E4">
        <w:rPr>
          <w:rFonts w:ascii="Arial" w:eastAsia="Calibri" w:hAnsi="Arial" w:cs="Arial"/>
          <w:sz w:val="24"/>
          <w:szCs w:val="24"/>
          <w:lang w:val="es-ES" w:eastAsia="en-US"/>
        </w:rPr>
        <w:t xml:space="preserve">   </w:t>
      </w: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 </w:t>
      </w:r>
    </w:p>
    <w:p w:rsidR="001876E4" w:rsidRPr="001876E4" w:rsidRDefault="001876E4" w:rsidP="001876E4">
      <w:pPr>
        <w:spacing w:after="0" w:line="240" w:lineRule="auto"/>
        <w:jc w:val="both"/>
        <w:rPr>
          <w:rFonts w:ascii="Arial" w:eastAsia="Times New Roman" w:hAnsi="Arial" w:cs="Arial"/>
          <w:sz w:val="24"/>
          <w:szCs w:val="24"/>
          <w:lang w:val="es-ES" w:eastAsia="es-ES"/>
        </w:rPr>
      </w:pPr>
      <w:r w:rsidRPr="001876E4">
        <w:rPr>
          <w:rFonts w:ascii="Arial" w:eastAsia="Calibri" w:hAnsi="Arial" w:cs="Arial"/>
          <w:sz w:val="24"/>
          <w:szCs w:val="24"/>
          <w:lang w:val="es-ES" w:eastAsia="en-US"/>
        </w:rPr>
        <w:t xml:space="preserve">El </w:t>
      </w:r>
      <w:r w:rsidRPr="001876E4">
        <w:rPr>
          <w:rFonts w:ascii="Arial" w:eastAsia="Calibri" w:hAnsi="Arial" w:cs="Arial"/>
          <w:b/>
          <w:sz w:val="24"/>
          <w:szCs w:val="24"/>
          <w:lang w:val="es-ES" w:eastAsia="en-US"/>
        </w:rPr>
        <w:t>Anexo 8</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Cuentas Bancarias Productivas</w:t>
      </w:r>
      <w:r w:rsidRPr="001876E4">
        <w:rPr>
          <w:rFonts w:ascii="Arial" w:eastAsia="Calibri" w:hAnsi="Arial" w:cs="Arial"/>
          <w:sz w:val="24"/>
          <w:szCs w:val="24"/>
          <w:lang w:val="es-ES" w:eastAsia="en-US"/>
        </w:rPr>
        <w:t xml:space="preserve"> del presente Decreto relaciona las </w:t>
      </w:r>
      <w:r w:rsidRPr="001876E4">
        <w:rPr>
          <w:rFonts w:ascii="Arial" w:eastAsia="Times New Roman" w:hAnsi="Arial" w:cs="Arial"/>
          <w:sz w:val="24"/>
          <w:szCs w:val="24"/>
          <w:lang w:val="es-ES" w:eastAsia="es-ES"/>
        </w:rPr>
        <w:t xml:space="preserve">cuentas bancarias productivas correspondientes al Ejercicio Fiscal vigente. </w:t>
      </w:r>
    </w:p>
    <w:p w:rsidR="001876E4" w:rsidRPr="001876E4" w:rsidRDefault="001876E4" w:rsidP="001876E4">
      <w:pPr>
        <w:spacing w:after="0" w:line="240" w:lineRule="auto"/>
        <w:rPr>
          <w:rFonts w:ascii="Arial" w:eastAsia="Calibri" w:hAnsi="Arial" w:cs="Arial"/>
          <w:sz w:val="24"/>
          <w:szCs w:val="24"/>
          <w:lang w:val="es-ES" w:eastAsia="en-US"/>
        </w:rPr>
      </w:pPr>
    </w:p>
    <w:p w:rsidR="001876E4" w:rsidRPr="001876E4" w:rsidRDefault="001876E4" w:rsidP="001876E4">
      <w:pPr>
        <w:spacing w:after="0" w:line="240" w:lineRule="auto"/>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bookmarkStart w:id="22" w:name="_Toc465292957"/>
      <w:bookmarkStart w:id="23" w:name="_Toc465292885"/>
      <w:r w:rsidRPr="001876E4">
        <w:rPr>
          <w:rFonts w:ascii="Arial" w:eastAsia="Times New Roman" w:hAnsi="Arial" w:cs="Arial"/>
          <w:b/>
          <w:sz w:val="24"/>
          <w:szCs w:val="24"/>
          <w:lang w:val="es-ES" w:eastAsia="en-US"/>
        </w:rPr>
        <w:t>CAPÍTULO III</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 xml:space="preserve"> DE LOS SERVICIOS PERSONALES</w:t>
      </w:r>
      <w:bookmarkEnd w:id="22"/>
      <w:bookmarkEnd w:id="23"/>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32</w:t>
      </w:r>
      <w:r w:rsidRPr="001876E4">
        <w:rPr>
          <w:rFonts w:ascii="Arial" w:eastAsia="Calibri" w:hAnsi="Arial" w:cs="Arial"/>
          <w:sz w:val="24"/>
          <w:szCs w:val="24"/>
          <w:lang w:val="es-ES" w:eastAsia="en-US"/>
        </w:rPr>
        <w:t xml:space="preserve">. En el Ejercicio Fiscal 2018, las </w:t>
      </w:r>
      <w:r w:rsidRPr="001876E4">
        <w:rPr>
          <w:rFonts w:ascii="Arial" w:eastAsia="Times New Roman" w:hAnsi="Arial" w:cs="Arial"/>
          <w:sz w:val="24"/>
          <w:szCs w:val="24"/>
        </w:rPr>
        <w:t>Dependencias de la Administración Pública Centralizada</w:t>
      </w:r>
      <w:r w:rsidRPr="001876E4">
        <w:rPr>
          <w:rFonts w:ascii="Arial" w:eastAsia="Calibri" w:hAnsi="Arial" w:cs="Arial"/>
          <w:sz w:val="24"/>
          <w:szCs w:val="24"/>
          <w:lang w:val="es-ES" w:eastAsia="en-US"/>
        </w:rPr>
        <w:t xml:space="preserve"> contarán con </w:t>
      </w:r>
      <w:r w:rsidRPr="001876E4">
        <w:rPr>
          <w:rFonts w:ascii="Arial" w:eastAsia="Calibri" w:hAnsi="Arial" w:cs="Arial"/>
          <w:b/>
          <w:sz w:val="24"/>
          <w:szCs w:val="24"/>
          <w:lang w:val="es-ES" w:eastAsia="en-US"/>
        </w:rPr>
        <w:t xml:space="preserve">6,861 </w:t>
      </w:r>
      <w:r w:rsidRPr="001876E4">
        <w:rPr>
          <w:rFonts w:ascii="Arial" w:eastAsia="Calibri" w:hAnsi="Arial" w:cs="Arial"/>
          <w:sz w:val="24"/>
          <w:szCs w:val="24"/>
          <w:lang w:val="es-ES" w:eastAsia="en-US"/>
        </w:rPr>
        <w:t xml:space="preserve">plazas, las cuales se integran de la forma siguiente, y su composición se detalla en el </w:t>
      </w:r>
      <w:r w:rsidRPr="001876E4">
        <w:rPr>
          <w:rFonts w:ascii="Arial" w:eastAsia="Calibri" w:hAnsi="Arial" w:cs="Arial"/>
          <w:b/>
          <w:sz w:val="24"/>
          <w:szCs w:val="24"/>
          <w:lang w:val="es-ES" w:eastAsia="en-US"/>
        </w:rPr>
        <w:t xml:space="preserve">Anexo 9 Tabuladores de Sueldos </w:t>
      </w:r>
      <w:r w:rsidRPr="001876E4">
        <w:rPr>
          <w:rFonts w:ascii="Arial" w:eastAsia="Calibri" w:hAnsi="Arial" w:cs="Arial"/>
          <w:sz w:val="24"/>
          <w:szCs w:val="24"/>
          <w:lang w:val="es-ES" w:eastAsia="en-US"/>
        </w:rPr>
        <w:t>de este Decreto.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34. Plazas de las Dependencias del Poder Ejecutivo </w:t>
      </w:r>
    </w:p>
    <w:tbl>
      <w:tblPr>
        <w:tblStyle w:val="Tablaconcuadrcula2"/>
        <w:tblW w:w="0" w:type="auto"/>
        <w:jc w:val="center"/>
        <w:tblLayout w:type="fixed"/>
        <w:tblLook w:val="04A0" w:firstRow="1" w:lastRow="0" w:firstColumn="1" w:lastColumn="0" w:noHBand="0" w:noVBand="1"/>
      </w:tblPr>
      <w:tblGrid>
        <w:gridCol w:w="3256"/>
        <w:gridCol w:w="708"/>
        <w:gridCol w:w="993"/>
        <w:gridCol w:w="992"/>
        <w:gridCol w:w="822"/>
        <w:gridCol w:w="992"/>
        <w:gridCol w:w="879"/>
      </w:tblGrid>
      <w:tr w:rsidR="001876E4" w:rsidRPr="001876E4" w:rsidTr="00947D11">
        <w:trPr>
          <w:trHeight w:val="283"/>
          <w:jc w:val="center"/>
        </w:trPr>
        <w:tc>
          <w:tcPr>
            <w:tcW w:w="3256"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Dependencia</w:t>
            </w:r>
          </w:p>
        </w:tc>
        <w:tc>
          <w:tcPr>
            <w:tcW w:w="4507" w:type="dxa"/>
            <w:gridSpan w:val="5"/>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Plazas</w:t>
            </w: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Horas</w:t>
            </w:r>
          </w:p>
        </w:tc>
      </w:tr>
      <w:tr w:rsidR="001876E4" w:rsidRPr="001876E4" w:rsidTr="00947D11">
        <w:trPr>
          <w:trHeight w:val="283"/>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b/>
                <w:bCs/>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0"/>
                <w:szCs w:val="16"/>
              </w:rPr>
            </w:pPr>
            <w:r w:rsidRPr="001876E4">
              <w:rPr>
                <w:rFonts w:ascii="Arial" w:hAnsi="Arial" w:cs="Arial"/>
                <w:b/>
                <w:bCs/>
                <w:sz w:val="10"/>
                <w:szCs w:val="16"/>
              </w:rPr>
              <w:t>Total Plazas</w:t>
            </w:r>
          </w:p>
        </w:tc>
        <w:tc>
          <w:tcPr>
            <w:tcW w:w="99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0"/>
                <w:szCs w:val="16"/>
              </w:rPr>
            </w:pPr>
            <w:r w:rsidRPr="001876E4">
              <w:rPr>
                <w:rFonts w:ascii="Arial" w:hAnsi="Arial" w:cs="Arial"/>
                <w:b/>
                <w:bCs/>
                <w:sz w:val="10"/>
                <w:szCs w:val="16"/>
              </w:rPr>
              <w:t>Sindicalizado</w:t>
            </w:r>
          </w:p>
        </w:tc>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0"/>
                <w:szCs w:val="16"/>
              </w:rPr>
            </w:pPr>
            <w:r w:rsidRPr="001876E4">
              <w:rPr>
                <w:rFonts w:ascii="Arial" w:hAnsi="Arial" w:cs="Arial"/>
                <w:b/>
                <w:bCs/>
                <w:sz w:val="10"/>
                <w:szCs w:val="16"/>
              </w:rPr>
              <w:t>Temporal Sindicalizado</w:t>
            </w:r>
          </w:p>
        </w:tc>
        <w:tc>
          <w:tcPr>
            <w:tcW w:w="82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0"/>
                <w:szCs w:val="16"/>
              </w:rPr>
            </w:pPr>
            <w:r w:rsidRPr="001876E4">
              <w:rPr>
                <w:rFonts w:ascii="Arial" w:hAnsi="Arial" w:cs="Arial"/>
                <w:b/>
                <w:bCs/>
                <w:sz w:val="10"/>
                <w:szCs w:val="16"/>
              </w:rPr>
              <w:t>Confianza</w:t>
            </w:r>
          </w:p>
        </w:tc>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0"/>
                <w:szCs w:val="16"/>
              </w:rPr>
            </w:pPr>
            <w:r w:rsidRPr="001876E4">
              <w:rPr>
                <w:rFonts w:ascii="Arial" w:hAnsi="Arial" w:cs="Arial"/>
                <w:b/>
                <w:bCs/>
                <w:sz w:val="10"/>
                <w:szCs w:val="16"/>
              </w:rPr>
              <w:t>Supernumerario</w:t>
            </w:r>
          </w:p>
        </w:tc>
        <w:tc>
          <w:tcPr>
            <w:tcW w:w="87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0"/>
                <w:szCs w:val="16"/>
              </w:rPr>
            </w:pPr>
            <w:r w:rsidRPr="001876E4">
              <w:rPr>
                <w:rFonts w:ascii="Arial" w:hAnsi="Arial" w:cs="Arial"/>
                <w:b/>
                <w:bCs/>
                <w:sz w:val="10"/>
                <w:szCs w:val="16"/>
              </w:rPr>
              <w:t>Total Horas</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Oficina del Gobernador del Estado de Colima</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232</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57</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94</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81</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General de Gobierno</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346</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35</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33</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278</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Planeación y Finanzas</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362</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199</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114</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49</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Desarrollo Social</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66</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41</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Infraestructura y Desarrollo Urbano</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203</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126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41</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36</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Desarrollo Rural</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110</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56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51</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Educación</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1,709</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876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635</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192</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22,982</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Salud y Bienestar Social</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224</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220</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lastRenderedPageBreak/>
              <w:t>Secretaría de Administración y Gestión Pública</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218</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86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61</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71</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Fomento Económico</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51</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14</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27</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10</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Cultura</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228</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140</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32</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56</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Turismo</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39</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6</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Procuraduría General de Justicia del Estado</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1,025</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110</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772</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143</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Seguridad Pública</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1,668</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110</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1,169</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389</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la Juventud</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26</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11</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del Trabajo y Previsión Social</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79</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37</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20</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Secretaría de Movilidad</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144</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45</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46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53</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both"/>
              <w:rPr>
                <w:rFonts w:ascii="Arial" w:hAnsi="Arial" w:cs="Arial"/>
                <w:sz w:val="16"/>
                <w:szCs w:val="16"/>
              </w:rPr>
            </w:pPr>
            <w:r w:rsidRPr="001876E4">
              <w:rPr>
                <w:rFonts w:ascii="Arial" w:hAnsi="Arial" w:cs="Arial"/>
                <w:sz w:val="16"/>
                <w:szCs w:val="16"/>
              </w:rPr>
              <w:t>Consejería Jurídica del Poder Ejecutivo</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131</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9</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36</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86</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sz w:val="16"/>
                <w:szCs w:val="16"/>
              </w:rPr>
            </w:pPr>
            <w:r w:rsidRPr="001876E4">
              <w:rPr>
                <w:rFonts w:ascii="Arial" w:hAnsi="Arial" w:cs="Arial"/>
                <w:sz w:val="16"/>
                <w:szCs w:val="16"/>
              </w:rPr>
              <w:t>0</w:t>
            </w:r>
          </w:p>
        </w:tc>
      </w:tr>
      <w:tr w:rsidR="001876E4" w:rsidRPr="001876E4" w:rsidTr="00947D11">
        <w:trPr>
          <w:trHeight w:val="28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Total</w:t>
            </w:r>
          </w:p>
        </w:tc>
        <w:tc>
          <w:tcPr>
            <w:tcW w:w="70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6,861</w:t>
            </w:r>
          </w:p>
        </w:tc>
        <w:tc>
          <w:tcPr>
            <w:tcW w:w="9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2,150</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635</w:t>
            </w:r>
          </w:p>
        </w:tc>
        <w:tc>
          <w:tcPr>
            <w:tcW w:w="8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2,548</w:t>
            </w:r>
          </w:p>
        </w:tc>
        <w:tc>
          <w:tcPr>
            <w:tcW w:w="99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1,528</w:t>
            </w:r>
          </w:p>
        </w:tc>
        <w:tc>
          <w:tcPr>
            <w:tcW w:w="87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22,982</w:t>
            </w:r>
          </w:p>
        </w:tc>
      </w:tr>
    </w:tbl>
    <w:p w:rsidR="001876E4" w:rsidRPr="001876E4" w:rsidRDefault="001876E4" w:rsidP="001876E4">
      <w:pPr>
        <w:spacing w:after="0" w:line="240" w:lineRule="auto"/>
        <w:jc w:val="both"/>
        <w:rPr>
          <w:rFonts w:ascii="Arial" w:eastAsia="Calibri" w:hAnsi="Arial" w:cs="Times New Roman"/>
          <w:sz w:val="24"/>
          <w:lang w:val="es-ES" w:eastAsia="en-US"/>
        </w:rPr>
      </w:pPr>
    </w:p>
    <w:p w:rsidR="001876E4" w:rsidRPr="001876E4" w:rsidRDefault="001876E4" w:rsidP="001876E4">
      <w:pPr>
        <w:spacing w:after="0" w:line="240" w:lineRule="auto"/>
        <w:ind w:left="426" w:hanging="426"/>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w:t>
      </w:r>
      <w:r w:rsidRPr="001876E4">
        <w:rPr>
          <w:rFonts w:ascii="Arial" w:eastAsia="Calibri" w:hAnsi="Arial" w:cs="Arial"/>
          <w:sz w:val="24"/>
          <w:szCs w:val="24"/>
          <w:lang w:val="es-ES" w:eastAsia="en-US"/>
        </w:rPr>
        <w:tab/>
        <w:t xml:space="preserve">El Subsistema de Educación Estatal comprende un total de </w:t>
      </w:r>
      <w:r w:rsidRPr="001876E4">
        <w:rPr>
          <w:rFonts w:ascii="Arial" w:eastAsia="Calibri" w:hAnsi="Arial" w:cs="Arial"/>
          <w:b/>
          <w:sz w:val="24"/>
          <w:szCs w:val="24"/>
          <w:lang w:val="es-ES" w:eastAsia="en-US"/>
        </w:rPr>
        <w:t>8,427</w:t>
      </w:r>
      <w:r w:rsidRPr="001876E4">
        <w:rPr>
          <w:rFonts w:ascii="Arial" w:eastAsia="Calibri" w:hAnsi="Arial" w:cs="Arial"/>
          <w:sz w:val="24"/>
          <w:szCs w:val="24"/>
          <w:lang w:val="es-ES" w:eastAsia="en-US"/>
        </w:rPr>
        <w:t xml:space="preserve"> plazas y </w:t>
      </w:r>
      <w:r w:rsidRPr="001876E4">
        <w:rPr>
          <w:rFonts w:ascii="Arial" w:eastAsia="Calibri" w:hAnsi="Arial" w:cs="Arial"/>
          <w:b/>
          <w:sz w:val="24"/>
          <w:szCs w:val="24"/>
          <w:lang w:val="es-ES" w:eastAsia="en-US"/>
        </w:rPr>
        <w:t>68,621</w:t>
      </w:r>
      <w:r w:rsidRPr="001876E4">
        <w:rPr>
          <w:rFonts w:ascii="Arial" w:eastAsia="Calibri" w:hAnsi="Arial" w:cs="Arial"/>
          <w:sz w:val="24"/>
          <w:szCs w:val="24"/>
          <w:lang w:val="es-ES" w:eastAsia="en-US"/>
        </w:rPr>
        <w:t xml:space="preserve"> horas del magisterio, que se integran de la siguiente manera.</w:t>
      </w:r>
    </w:p>
    <w:p w:rsidR="001876E4" w:rsidRPr="001876E4" w:rsidRDefault="001876E4" w:rsidP="001876E4">
      <w:pPr>
        <w:spacing w:after="0" w:line="240" w:lineRule="auto"/>
        <w:ind w:left="426" w:hanging="426"/>
        <w:jc w:val="both"/>
        <w:rPr>
          <w:rFonts w:ascii="Arial" w:eastAsia="Calibri" w:hAnsi="Arial" w:cs="Times New Roman"/>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35. Plazas y Horas del Magisterio</w:t>
      </w:r>
    </w:p>
    <w:tbl>
      <w:tblPr>
        <w:tblW w:w="6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0"/>
        <w:gridCol w:w="1200"/>
      </w:tblGrid>
      <w:tr w:rsidR="001876E4" w:rsidRPr="001876E4" w:rsidTr="00947D11">
        <w:trPr>
          <w:trHeight w:val="315"/>
          <w:jc w:val="center"/>
        </w:trPr>
        <w:tc>
          <w:tcPr>
            <w:tcW w:w="526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Times New Roman"/>
                <w:b/>
                <w:sz w:val="20"/>
                <w:szCs w:val="26"/>
                <w:lang w:val="es-ES" w:eastAsia="en-US"/>
              </w:rPr>
              <w:t>Plazas y Horas</w:t>
            </w:r>
          </w:p>
        </w:tc>
        <w:tc>
          <w:tcPr>
            <w:tcW w:w="1200"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Número</w:t>
            </w:r>
          </w:p>
        </w:tc>
      </w:tr>
      <w:tr w:rsidR="001876E4" w:rsidRPr="001876E4" w:rsidTr="00947D11">
        <w:trPr>
          <w:trHeight w:val="315"/>
          <w:jc w:val="center"/>
        </w:trPr>
        <w:tc>
          <w:tcPr>
            <w:tcW w:w="5260" w:type="dxa"/>
            <w:shd w:val="clear" w:color="auto" w:fill="auto"/>
            <w:noWrap/>
            <w:vAlign w:val="bottom"/>
            <w:hideMark/>
          </w:tcPr>
          <w:p w:rsidR="001876E4" w:rsidRPr="001876E4" w:rsidRDefault="001876E4" w:rsidP="001876E4">
            <w:pPr>
              <w:spacing w:after="0" w:line="240" w:lineRule="auto"/>
              <w:rPr>
                <w:rFonts w:ascii="Calibri" w:eastAsia="Times New Roman" w:hAnsi="Calibri" w:cs="Calibri"/>
                <w:b/>
                <w:bCs/>
                <w:color w:val="000000"/>
                <w:sz w:val="24"/>
              </w:rPr>
            </w:pPr>
            <w:r w:rsidRPr="001876E4">
              <w:rPr>
                <w:rFonts w:ascii="Calibri" w:eastAsia="Times New Roman" w:hAnsi="Calibri" w:cs="Calibri"/>
                <w:b/>
                <w:bCs/>
                <w:color w:val="000000"/>
                <w:sz w:val="24"/>
              </w:rPr>
              <w:t>Total de Plazas Estimadas</w:t>
            </w:r>
          </w:p>
        </w:tc>
        <w:tc>
          <w:tcPr>
            <w:tcW w:w="1200" w:type="dxa"/>
            <w:shd w:val="clear" w:color="auto" w:fill="auto"/>
            <w:noWrap/>
            <w:vAlign w:val="bottom"/>
            <w:hideMark/>
          </w:tcPr>
          <w:p w:rsidR="001876E4" w:rsidRPr="001876E4" w:rsidRDefault="001876E4" w:rsidP="001876E4">
            <w:pPr>
              <w:spacing w:after="0" w:line="240" w:lineRule="auto"/>
              <w:jc w:val="right"/>
              <w:rPr>
                <w:rFonts w:ascii="Calibri" w:eastAsia="Times New Roman" w:hAnsi="Calibri" w:cs="Calibri"/>
                <w:b/>
                <w:bCs/>
                <w:color w:val="000000"/>
                <w:sz w:val="24"/>
              </w:rPr>
            </w:pPr>
            <w:r w:rsidRPr="001876E4">
              <w:rPr>
                <w:rFonts w:ascii="Calibri" w:eastAsia="Times New Roman" w:hAnsi="Calibri" w:cs="Calibri"/>
                <w:b/>
                <w:bCs/>
                <w:color w:val="000000"/>
                <w:sz w:val="24"/>
              </w:rPr>
              <w:t>8,427</w:t>
            </w:r>
          </w:p>
        </w:tc>
      </w:tr>
      <w:tr w:rsidR="001876E4" w:rsidRPr="001876E4" w:rsidTr="00947D11">
        <w:trPr>
          <w:trHeight w:val="315"/>
          <w:jc w:val="center"/>
        </w:trPr>
        <w:tc>
          <w:tcPr>
            <w:tcW w:w="5260" w:type="dxa"/>
            <w:shd w:val="clear" w:color="auto" w:fill="auto"/>
            <w:vAlign w:val="center"/>
            <w:hideMark/>
          </w:tcPr>
          <w:p w:rsidR="001876E4" w:rsidRPr="001876E4" w:rsidRDefault="001876E4" w:rsidP="001876E4">
            <w:pPr>
              <w:spacing w:after="0" w:line="240" w:lineRule="auto"/>
              <w:ind w:left="209"/>
              <w:rPr>
                <w:rFonts w:ascii="Arial" w:eastAsia="Times New Roman" w:hAnsi="Arial" w:cs="Arial"/>
                <w:color w:val="000000"/>
                <w:sz w:val="18"/>
                <w:szCs w:val="20"/>
              </w:rPr>
            </w:pPr>
            <w:r w:rsidRPr="001876E4">
              <w:rPr>
                <w:rFonts w:ascii="Arial" w:eastAsia="Times New Roman" w:hAnsi="Arial" w:cs="Arial"/>
                <w:color w:val="000000"/>
                <w:sz w:val="18"/>
                <w:szCs w:val="20"/>
                <w:lang w:val="es-ES"/>
              </w:rPr>
              <w:t>Plazas Magisterio Federal Estimadas</w:t>
            </w:r>
          </w:p>
        </w:tc>
        <w:tc>
          <w:tcPr>
            <w:tcW w:w="120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lang w:val="es-ES"/>
              </w:rPr>
              <w:t>6,718</w:t>
            </w:r>
          </w:p>
        </w:tc>
      </w:tr>
      <w:tr w:rsidR="001876E4" w:rsidRPr="001876E4" w:rsidTr="00947D11">
        <w:trPr>
          <w:trHeight w:val="315"/>
          <w:jc w:val="center"/>
        </w:trPr>
        <w:tc>
          <w:tcPr>
            <w:tcW w:w="5260" w:type="dxa"/>
            <w:shd w:val="clear" w:color="auto" w:fill="auto"/>
            <w:vAlign w:val="center"/>
            <w:hideMark/>
          </w:tcPr>
          <w:p w:rsidR="001876E4" w:rsidRPr="001876E4" w:rsidRDefault="001876E4" w:rsidP="001876E4">
            <w:pPr>
              <w:spacing w:after="0" w:line="240" w:lineRule="auto"/>
              <w:ind w:left="209"/>
              <w:rPr>
                <w:rFonts w:ascii="Arial" w:eastAsia="Times New Roman" w:hAnsi="Arial" w:cs="Arial"/>
                <w:color w:val="000000"/>
                <w:sz w:val="18"/>
                <w:szCs w:val="20"/>
              </w:rPr>
            </w:pPr>
            <w:r w:rsidRPr="001876E4">
              <w:rPr>
                <w:rFonts w:ascii="Arial" w:eastAsia="Times New Roman" w:hAnsi="Arial" w:cs="Arial"/>
                <w:color w:val="000000"/>
                <w:sz w:val="18"/>
                <w:szCs w:val="20"/>
                <w:lang w:val="es-ES"/>
              </w:rPr>
              <w:t>Plazas Magisterio Estatal Estimadas</w:t>
            </w:r>
          </w:p>
        </w:tc>
        <w:tc>
          <w:tcPr>
            <w:tcW w:w="120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lang w:val="es-ES"/>
              </w:rPr>
              <w:t>1,709</w:t>
            </w:r>
          </w:p>
        </w:tc>
      </w:tr>
      <w:tr w:rsidR="001876E4" w:rsidRPr="001876E4" w:rsidTr="00947D11">
        <w:trPr>
          <w:trHeight w:val="315"/>
          <w:jc w:val="center"/>
        </w:trPr>
        <w:tc>
          <w:tcPr>
            <w:tcW w:w="5260" w:type="dxa"/>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 de Horas Estimadas</w:t>
            </w:r>
          </w:p>
        </w:tc>
        <w:tc>
          <w:tcPr>
            <w:tcW w:w="120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68,621</w:t>
            </w:r>
          </w:p>
        </w:tc>
      </w:tr>
      <w:tr w:rsidR="001876E4" w:rsidRPr="001876E4" w:rsidTr="00947D11">
        <w:trPr>
          <w:trHeight w:val="315"/>
          <w:jc w:val="center"/>
        </w:trPr>
        <w:tc>
          <w:tcPr>
            <w:tcW w:w="5260" w:type="dxa"/>
            <w:shd w:val="clear" w:color="auto" w:fill="auto"/>
            <w:vAlign w:val="center"/>
            <w:hideMark/>
          </w:tcPr>
          <w:p w:rsidR="001876E4" w:rsidRPr="001876E4" w:rsidRDefault="001876E4" w:rsidP="001876E4">
            <w:pPr>
              <w:spacing w:after="0" w:line="240" w:lineRule="auto"/>
              <w:ind w:left="209"/>
              <w:rPr>
                <w:rFonts w:ascii="Arial" w:eastAsia="Times New Roman" w:hAnsi="Arial" w:cs="Arial"/>
                <w:color w:val="000000"/>
                <w:sz w:val="18"/>
                <w:szCs w:val="20"/>
              </w:rPr>
            </w:pPr>
            <w:r w:rsidRPr="001876E4">
              <w:rPr>
                <w:rFonts w:ascii="Arial" w:eastAsia="Times New Roman" w:hAnsi="Arial" w:cs="Arial"/>
                <w:color w:val="000000"/>
                <w:sz w:val="18"/>
                <w:szCs w:val="20"/>
                <w:lang w:val="es-ES"/>
              </w:rPr>
              <w:t>Horas Magisterio Federal Estimadas</w:t>
            </w:r>
          </w:p>
        </w:tc>
        <w:tc>
          <w:tcPr>
            <w:tcW w:w="120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lang w:val="es-ES"/>
              </w:rPr>
              <w:t>45,639</w:t>
            </w:r>
          </w:p>
        </w:tc>
      </w:tr>
      <w:tr w:rsidR="001876E4" w:rsidRPr="001876E4" w:rsidTr="00947D11">
        <w:trPr>
          <w:trHeight w:val="315"/>
          <w:jc w:val="center"/>
        </w:trPr>
        <w:tc>
          <w:tcPr>
            <w:tcW w:w="5260" w:type="dxa"/>
            <w:shd w:val="clear" w:color="auto" w:fill="auto"/>
            <w:vAlign w:val="center"/>
            <w:hideMark/>
          </w:tcPr>
          <w:p w:rsidR="001876E4" w:rsidRPr="001876E4" w:rsidRDefault="001876E4" w:rsidP="001876E4">
            <w:pPr>
              <w:spacing w:after="0" w:line="240" w:lineRule="auto"/>
              <w:ind w:left="209"/>
              <w:rPr>
                <w:rFonts w:ascii="Arial" w:eastAsia="Times New Roman" w:hAnsi="Arial" w:cs="Arial"/>
                <w:color w:val="000000"/>
                <w:sz w:val="18"/>
                <w:szCs w:val="20"/>
              </w:rPr>
            </w:pPr>
            <w:r w:rsidRPr="001876E4">
              <w:rPr>
                <w:rFonts w:ascii="Arial" w:eastAsia="Times New Roman" w:hAnsi="Arial" w:cs="Arial"/>
                <w:color w:val="000000"/>
                <w:sz w:val="18"/>
                <w:szCs w:val="20"/>
                <w:lang w:val="es-ES"/>
              </w:rPr>
              <w:t>Horas Magisterio Estatal Estimadas</w:t>
            </w:r>
          </w:p>
        </w:tc>
        <w:tc>
          <w:tcPr>
            <w:tcW w:w="1200" w:type="dxa"/>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18"/>
                <w:szCs w:val="20"/>
              </w:rPr>
            </w:pPr>
            <w:r w:rsidRPr="001876E4">
              <w:rPr>
                <w:rFonts w:ascii="Arial" w:eastAsia="Times New Roman" w:hAnsi="Arial" w:cs="Arial"/>
                <w:color w:val="000000"/>
                <w:sz w:val="18"/>
                <w:szCs w:val="20"/>
                <w:lang w:val="es-ES"/>
              </w:rPr>
              <w:t>22,982</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33</w:t>
      </w:r>
      <w:r w:rsidRPr="001876E4">
        <w:rPr>
          <w:rFonts w:ascii="Arial" w:eastAsia="Calibri" w:hAnsi="Arial" w:cs="Arial"/>
          <w:sz w:val="24"/>
          <w:szCs w:val="24"/>
          <w:lang w:val="es-ES" w:eastAsia="en-US"/>
        </w:rPr>
        <w:t xml:space="preserve">. Los servidores públicos ocupantes de las plazas a que se refiere el artículo anterior, percibirán las remuneraciones que se determinen en el Tabulador de Sueldos que apruebe el Titular del Ejecutivo, mismo que se publicará como </w:t>
      </w:r>
      <w:r w:rsidRPr="001876E4">
        <w:rPr>
          <w:rFonts w:ascii="Arial" w:eastAsia="Calibri" w:hAnsi="Arial" w:cs="Arial"/>
          <w:b/>
          <w:sz w:val="24"/>
          <w:szCs w:val="24"/>
          <w:lang w:val="es-ES" w:eastAsia="en-US"/>
        </w:rPr>
        <w:t>Anexo 9</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Tabuladores de Sueldos</w:t>
      </w:r>
      <w:r w:rsidRPr="001876E4">
        <w:rPr>
          <w:rFonts w:ascii="Arial" w:eastAsia="Calibri" w:hAnsi="Arial" w:cs="Arial"/>
          <w:sz w:val="24"/>
          <w:szCs w:val="24"/>
          <w:lang w:val="es-ES" w:eastAsia="en-US"/>
        </w:rPr>
        <w:t xml:space="preserve"> del presente Decreto, de acuerdo a lo previsto en el artículo 30 de la Ley que Fija las Bases para las Remuneraciones de los Servidores Públicos del Estado y los Municipios.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La asignación global de servicios personales aprobada originalmente en el Presupuesto de Egresos no podrá incrementarse durante el ejercicio fiscal. Lo anterior, exceptuando el pago de sentencias laborales definitivas emitidas por la autoridad competente y lo señalado por la Ley de Disciplina Financiera.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El </w:t>
      </w:r>
      <w:r w:rsidRPr="001876E4">
        <w:rPr>
          <w:rFonts w:ascii="Arial" w:eastAsia="Calibri" w:hAnsi="Arial" w:cs="Arial"/>
          <w:b/>
          <w:sz w:val="24"/>
          <w:szCs w:val="24"/>
          <w:lang w:val="es-ES" w:eastAsia="en-US"/>
        </w:rPr>
        <w:t>Anexo 9 Tabuladores de Sueldos</w:t>
      </w:r>
      <w:r w:rsidRPr="001876E4">
        <w:rPr>
          <w:rFonts w:ascii="Arial" w:eastAsia="Calibri" w:hAnsi="Arial" w:cs="Arial"/>
          <w:sz w:val="24"/>
          <w:szCs w:val="24"/>
          <w:lang w:val="es-ES" w:eastAsia="en-US"/>
        </w:rPr>
        <w:t>, se integra por los siguientes Tabuladores: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lastRenderedPageBreak/>
        <w:t xml:space="preserve">Anexo 9.1 </w:t>
      </w:r>
      <w:r w:rsidRPr="001876E4">
        <w:rPr>
          <w:rFonts w:ascii="Arial" w:eastAsia="Calibri" w:hAnsi="Arial" w:cs="Arial"/>
          <w:sz w:val="24"/>
          <w:szCs w:val="24"/>
          <w:lang w:val="es-ES" w:eastAsia="en-US"/>
        </w:rPr>
        <w:t>Tabulador de Sueldos 2018 Base del Magisterio Federalizado;</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9.2 </w:t>
      </w:r>
      <w:r w:rsidRPr="001876E4">
        <w:rPr>
          <w:rFonts w:ascii="Arial" w:eastAsia="Calibri" w:hAnsi="Arial" w:cs="Arial"/>
          <w:sz w:val="24"/>
          <w:szCs w:val="24"/>
          <w:lang w:val="es-ES" w:eastAsia="en-US"/>
        </w:rPr>
        <w:t>Tabulador de Sueldos 2018 del Poder Ejecutivo del Estado de Colima (Percepciones Mensuales Básicas);</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9.3 </w:t>
      </w:r>
      <w:r w:rsidRPr="001876E4">
        <w:rPr>
          <w:rFonts w:ascii="Arial" w:eastAsia="Calibri" w:hAnsi="Arial" w:cs="Arial"/>
          <w:sz w:val="24"/>
          <w:szCs w:val="24"/>
          <w:lang w:val="es-ES" w:eastAsia="en-US"/>
        </w:rPr>
        <w:t>Tabulador de Prestaciones 2018 del Poder Ejecutivo del Estado de Colima (Prestaciones Anuales);</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9.4 </w:t>
      </w:r>
      <w:r w:rsidRPr="001876E4">
        <w:rPr>
          <w:rFonts w:ascii="Arial" w:eastAsia="Calibri" w:hAnsi="Arial" w:cs="Arial"/>
          <w:sz w:val="24"/>
          <w:szCs w:val="24"/>
          <w:lang w:val="es-ES" w:eastAsia="en-US"/>
        </w:rPr>
        <w:t>Tabulador 2018 del Poder Ejecutivo del Estado de Colima, (Prestaciones Adicionales al Sueldo Bruto Mensual);</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9.5 </w:t>
      </w:r>
      <w:r w:rsidRPr="001876E4">
        <w:rPr>
          <w:rFonts w:ascii="Arial" w:eastAsia="Calibri" w:hAnsi="Arial" w:cs="Arial"/>
          <w:sz w:val="24"/>
          <w:szCs w:val="24"/>
          <w:lang w:val="es-ES" w:eastAsia="en-US"/>
        </w:rPr>
        <w:t>Tabulador 2018 de Mandos Medios y Superiores del Poder Ejecutivo del Estado de Colima;</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9.6 </w:t>
      </w:r>
      <w:r w:rsidRPr="001876E4">
        <w:rPr>
          <w:rFonts w:ascii="Arial" w:eastAsia="Calibri" w:hAnsi="Arial" w:cs="Arial"/>
          <w:sz w:val="24"/>
          <w:szCs w:val="24"/>
          <w:lang w:val="es-ES" w:eastAsia="en-US"/>
        </w:rPr>
        <w:t>Analítico de Plazas 2018;</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9.7 </w:t>
      </w:r>
      <w:r w:rsidRPr="001876E4">
        <w:rPr>
          <w:rFonts w:ascii="Arial" w:eastAsia="Calibri" w:hAnsi="Arial" w:cs="Arial"/>
          <w:sz w:val="24"/>
          <w:szCs w:val="24"/>
          <w:lang w:val="es-ES" w:eastAsia="en-US"/>
        </w:rPr>
        <w:t>Tabulador de Sueldos 2018 del Personal de Educación Pública del Estado de Colima. (Puestos del Personal de Apoyo y Asistencia a la Educación);</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9.8 </w:t>
      </w:r>
      <w:r w:rsidRPr="001876E4">
        <w:rPr>
          <w:rFonts w:ascii="Arial" w:eastAsia="Calibri" w:hAnsi="Arial" w:cs="Arial"/>
          <w:sz w:val="24"/>
          <w:szCs w:val="24"/>
          <w:lang w:val="es-ES" w:eastAsia="en-US"/>
        </w:rPr>
        <w:t>Tabulador de Sueldos 2018 del Personal de Educación Pública del Estado de Colima. (Puestos de Profesores y Educadoras);</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9.9 </w:t>
      </w:r>
      <w:r w:rsidRPr="001876E4">
        <w:rPr>
          <w:rFonts w:ascii="Arial" w:eastAsia="Calibri" w:hAnsi="Arial" w:cs="Arial"/>
          <w:sz w:val="24"/>
          <w:szCs w:val="24"/>
          <w:lang w:val="es-ES" w:eastAsia="en-US"/>
        </w:rPr>
        <w:t>Tabulador de Sueldos 2018 del Personal de Educación Pública del Estado de Colima. (Horas Catedráticos);</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9.10 </w:t>
      </w:r>
      <w:r w:rsidRPr="001876E4">
        <w:rPr>
          <w:rFonts w:ascii="Arial" w:eastAsia="Calibri" w:hAnsi="Arial" w:cs="Arial"/>
          <w:sz w:val="24"/>
          <w:szCs w:val="24"/>
          <w:lang w:val="es-ES" w:eastAsia="en-US"/>
        </w:rPr>
        <w:t>Tabulador de Sueldos 2018 del Personal de Educación Pública del Estado de Colima. (Puestos de Directivos de Primaria y Jardín de Niños);</w:t>
      </w:r>
      <w:r w:rsidRPr="001876E4">
        <w:rPr>
          <w:rFonts w:ascii="Arial" w:eastAsia="Calibri" w:hAnsi="Arial" w:cs="Arial"/>
          <w:b/>
          <w:sz w:val="24"/>
          <w:szCs w:val="24"/>
          <w:lang w:val="es-ES" w:eastAsia="en-US"/>
        </w:rPr>
        <w:t xml:space="preserve"> Anexo 9.11 </w:t>
      </w:r>
      <w:r w:rsidRPr="001876E4">
        <w:rPr>
          <w:rFonts w:ascii="Arial" w:eastAsia="Calibri" w:hAnsi="Arial" w:cs="Arial"/>
          <w:sz w:val="24"/>
          <w:szCs w:val="24"/>
          <w:lang w:val="es-ES" w:eastAsia="en-US"/>
        </w:rPr>
        <w:t>Tabulador de Sueldos 2018 del Personal de Educación Pública del Estado de Colima. (Puestos de Directivos de Secundaria):</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9.12 </w:t>
      </w:r>
      <w:r w:rsidRPr="001876E4">
        <w:rPr>
          <w:rFonts w:ascii="Arial" w:eastAsia="Calibri" w:hAnsi="Arial" w:cs="Arial"/>
          <w:sz w:val="24"/>
          <w:szCs w:val="24"/>
          <w:lang w:val="es-ES" w:eastAsia="en-US"/>
        </w:rPr>
        <w:t>Tabulador de Sueldos 2018 del Personal de Educación Pública del Estado de Colima. (Puestos de personal de Telesecundarias); y</w:t>
      </w:r>
    </w:p>
    <w:p w:rsidR="001876E4" w:rsidRPr="001876E4" w:rsidRDefault="001876E4" w:rsidP="001876E4">
      <w:pPr>
        <w:spacing w:after="0" w:line="240" w:lineRule="auto"/>
        <w:ind w:left="284"/>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Anexo 9.13 </w:t>
      </w:r>
      <w:r w:rsidRPr="001876E4">
        <w:rPr>
          <w:rFonts w:ascii="Arial" w:eastAsia="Calibri" w:hAnsi="Arial" w:cs="Arial"/>
          <w:sz w:val="24"/>
          <w:szCs w:val="24"/>
          <w:lang w:val="es-ES" w:eastAsia="en-US"/>
        </w:rPr>
        <w:t>Tabulador de Sueldos 2018 del Personal de Educación Pública del Estado de Colima. (Puestos de personal del ISENCO).</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34</w:t>
      </w:r>
      <w:r w:rsidRPr="001876E4">
        <w:rPr>
          <w:rFonts w:ascii="Arial" w:eastAsia="Calibri" w:hAnsi="Arial" w:cs="Arial"/>
          <w:sz w:val="24"/>
          <w:szCs w:val="24"/>
          <w:lang w:val="es-ES" w:eastAsia="en-US"/>
        </w:rPr>
        <w:t>. Para el establecimiento y determinación de criterios que regulen los incrementos salariales, la Secretaría de Administración se sujetará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lo anterior con fundamento en el artículo 24 de la Ley Orgánica de la Administración Pública del Estado de Colima; y los artículos 36, 56, 57 y 112 de la Ley de los Trabajadores al Servicio del Gobierno, Ayuntamientos y Organismos Descentralizados del Estado de Colima.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Para la partida </w:t>
      </w:r>
      <w:r w:rsidRPr="001876E4">
        <w:rPr>
          <w:rFonts w:ascii="Arial" w:eastAsia="Calibri" w:hAnsi="Arial" w:cs="Arial"/>
          <w:b/>
          <w:sz w:val="24"/>
          <w:szCs w:val="24"/>
          <w:lang w:val="es-ES" w:eastAsia="en-US"/>
        </w:rPr>
        <w:t>Previsiones Salariales y Económicas</w:t>
      </w:r>
      <w:r w:rsidRPr="001876E4">
        <w:rPr>
          <w:rFonts w:ascii="Arial" w:eastAsia="Calibri" w:hAnsi="Arial" w:cs="Arial"/>
          <w:sz w:val="24"/>
          <w:szCs w:val="24"/>
          <w:lang w:val="es-ES" w:eastAsia="en-US"/>
        </w:rPr>
        <w:t xml:space="preserve">, que es destinada a cubrir incrementos en percepciones de los servidores públicos, de conformidad por lo dispuesto en el artículo 10 fracción II de la Ley de Disciplina Financiera; se presupuesta una cantidad de </w:t>
      </w:r>
      <w:r w:rsidRPr="001876E4">
        <w:rPr>
          <w:rFonts w:ascii="Arial" w:eastAsia="Calibri" w:hAnsi="Arial" w:cs="Arial"/>
          <w:b/>
          <w:sz w:val="24"/>
          <w:szCs w:val="24"/>
          <w:lang w:val="es-ES" w:eastAsia="en-US"/>
        </w:rPr>
        <w:t>$52,890,214</w:t>
      </w:r>
      <w:r w:rsidRPr="001876E4">
        <w:rPr>
          <w:rFonts w:ascii="Arial" w:eastAsia="Calibri" w:hAnsi="Arial" w:cs="Arial"/>
          <w:sz w:val="24"/>
          <w:szCs w:val="24"/>
          <w:lang w:val="es-ES" w:eastAsia="en-US"/>
        </w:rPr>
        <w:t>, y se desagrega de la siguiente manera: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Tabla 36. Previsiones Salariales y Económicas</w:t>
      </w:r>
    </w:p>
    <w:tbl>
      <w:tblPr>
        <w:tblW w:w="8784" w:type="dxa"/>
        <w:jc w:val="center"/>
        <w:tblCellMar>
          <w:left w:w="70" w:type="dxa"/>
          <w:right w:w="70" w:type="dxa"/>
        </w:tblCellMar>
        <w:tblLook w:val="04A0" w:firstRow="1" w:lastRow="0" w:firstColumn="1" w:lastColumn="0" w:noHBand="0" w:noVBand="1"/>
      </w:tblPr>
      <w:tblGrid>
        <w:gridCol w:w="819"/>
        <w:gridCol w:w="6455"/>
        <w:gridCol w:w="1510"/>
      </w:tblGrid>
      <w:tr w:rsidR="001876E4" w:rsidRPr="001876E4" w:rsidTr="00947D11">
        <w:trPr>
          <w:trHeight w:val="510"/>
          <w:jc w:val="center"/>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Partida</w:t>
            </w:r>
          </w:p>
        </w:tc>
        <w:tc>
          <w:tcPr>
            <w:tcW w:w="6455"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Concepto</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262"/>
          <w:jc w:val="center"/>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color w:val="000000"/>
                <w:sz w:val="20"/>
                <w:szCs w:val="20"/>
              </w:rPr>
              <w:t>16101</w:t>
            </w:r>
          </w:p>
        </w:tc>
        <w:tc>
          <w:tcPr>
            <w:tcW w:w="6455"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Previsiones Salariales y Económicas</w:t>
            </w:r>
          </w:p>
        </w:tc>
        <w:tc>
          <w:tcPr>
            <w:tcW w:w="1510"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52,890,214</w:t>
            </w:r>
          </w:p>
        </w:tc>
      </w:tr>
      <w:tr w:rsidR="001876E4" w:rsidRPr="001876E4" w:rsidTr="00947D11">
        <w:trPr>
          <w:trHeight w:val="255"/>
          <w:jc w:val="center"/>
        </w:trPr>
        <w:tc>
          <w:tcPr>
            <w:tcW w:w="819"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p>
        </w:tc>
        <w:tc>
          <w:tcPr>
            <w:tcW w:w="645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Previsiones Salariales y Económicas Magisterio Estatal Activos</w:t>
            </w:r>
          </w:p>
        </w:tc>
        <w:tc>
          <w:tcPr>
            <w:tcW w:w="151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20"/>
              </w:rPr>
              <w:t>18,200,000</w:t>
            </w:r>
          </w:p>
        </w:tc>
      </w:tr>
      <w:tr w:rsidR="001876E4" w:rsidRPr="001876E4" w:rsidTr="00947D11">
        <w:trPr>
          <w:trHeight w:val="255"/>
          <w:jc w:val="center"/>
        </w:trPr>
        <w:tc>
          <w:tcPr>
            <w:tcW w:w="819"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p>
        </w:tc>
        <w:tc>
          <w:tcPr>
            <w:tcW w:w="645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Previsiones Salariales y Económicas Burocracia Sindicalizados Activos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20"/>
              </w:rPr>
              <w:t>14,491,465</w:t>
            </w:r>
          </w:p>
        </w:tc>
      </w:tr>
      <w:tr w:rsidR="001876E4" w:rsidRPr="001876E4" w:rsidTr="00947D11">
        <w:trPr>
          <w:trHeight w:val="255"/>
          <w:jc w:val="center"/>
        </w:trPr>
        <w:tc>
          <w:tcPr>
            <w:tcW w:w="819"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p>
        </w:tc>
        <w:tc>
          <w:tcPr>
            <w:tcW w:w="645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Previsiones Salariales y Económicas Personal Operativo de Seguridad Activos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20"/>
              </w:rPr>
              <w:t>20,198,749</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35</w:t>
      </w:r>
      <w:r w:rsidRPr="001876E4">
        <w:rPr>
          <w:rFonts w:ascii="Arial" w:eastAsia="Calibri" w:hAnsi="Arial" w:cs="Arial"/>
          <w:sz w:val="24"/>
          <w:szCs w:val="24"/>
          <w:lang w:val="es-ES" w:eastAsia="en-US"/>
        </w:rPr>
        <w:t>. La integración del Gasto Educativo con recurso estatal y federal es la siguiente: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37. Gasto Educativo Estatal po</w:t>
      </w:r>
      <w:r w:rsidRPr="001876E4">
        <w:rPr>
          <w:rFonts w:ascii="Arial" w:eastAsia="Times New Roman" w:hAnsi="Arial" w:cs="Times New Roman"/>
          <w:szCs w:val="26"/>
          <w:lang w:val="es-ES" w:eastAsia="en-US"/>
        </w:rPr>
        <w:t>r</w:t>
      </w:r>
      <w:r w:rsidRPr="001876E4">
        <w:rPr>
          <w:rFonts w:ascii="Arial" w:eastAsia="Times New Roman" w:hAnsi="Arial" w:cs="Times New Roman"/>
          <w:b/>
          <w:szCs w:val="26"/>
          <w:lang w:val="es-ES" w:eastAsia="en-US"/>
        </w:rPr>
        <w:t xml:space="preserve"> Dependencia y Fuente de Financiamiento</w:t>
      </w:r>
    </w:p>
    <w:tbl>
      <w:tblPr>
        <w:tblW w:w="88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4536"/>
        <w:gridCol w:w="1164"/>
        <w:gridCol w:w="1164"/>
        <w:gridCol w:w="1164"/>
      </w:tblGrid>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Partida</w:t>
            </w:r>
          </w:p>
        </w:tc>
        <w:tc>
          <w:tcPr>
            <w:tcW w:w="453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Concepto</w:t>
            </w:r>
          </w:p>
        </w:tc>
        <w:tc>
          <w:tcPr>
            <w:tcW w:w="1164"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Recursos Fiscales</w:t>
            </w:r>
          </w:p>
        </w:tc>
        <w:tc>
          <w:tcPr>
            <w:tcW w:w="1164"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Recursos Federales</w:t>
            </w:r>
          </w:p>
        </w:tc>
        <w:tc>
          <w:tcPr>
            <w:tcW w:w="1164"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Total</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70000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Secretaría de Educación</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1,076,207,345</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5,146,342,988</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6,222,550,333</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10000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Servicios Personales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715,752,969</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715,752,969</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20000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Materiales y Suministros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30000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Servicios Generales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5,216,000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5,216,000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40000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Transferencias, Asignaciones, Subsidios y Otras Ayudas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355,238,375</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5,144,708,388</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5,499,946,763</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41137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Coordinación de los Servicios Educativos Estatales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20,681,294</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20,681,294</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41147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Escuela de Talentos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5,807,681</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5,807,681</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41148</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Instituto Superior de Educación Normal del Estado de Colima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4,021,525</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4,021,525</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41401</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Universidad de Colima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261,605,272</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261,605,272</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41507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 xml:space="preserve">Instituto Colimense de Infraestructura Física Educativa </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8,016,940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8,016,940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41509</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Universidad Tecnológica de Manzanillo</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20,000,000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20,000,000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41517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 xml:space="preserve">Colegio de Educación Profesional Técnica del Estado </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3,005,600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3,005,600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41527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Colegio de Educación Profesional Técnica (Tecomán)</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3,542,800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3,542,800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41529</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Fondo para la Educación Tecnológica y de Adultos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33,686,707</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33,686,707</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41530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 xml:space="preserve">Fondo para la Educación Tecnológica y de Adultos </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40,951,538</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40,951,538</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41532</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Fondo de Aportaciones para la Nómina Educativa y Gasto Operativo</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3,137,494,087</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3,137,494,087</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41534</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Infraestructura Educación Media Superior</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3,500,000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3,500,000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41535</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Infraestructura Educación Básica (Ramo 33)</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97,104,288</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97,104,288</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41550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Infraestructura (Federal-Universidad de Colima)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33,421,335</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33,421,335</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41554</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"Fondo para Fortalecer la Autonomía de Gestión en Planteles de Educación Media Superior"</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41555</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"Plan de Apoyo a la Calidad Educativa y la Transformación de las Escuelas Normales" (PACTEN)</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17,000,000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17,000,000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42442</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Nacional de Becas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1,105,232</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1,105,232</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42443</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Escuela de Tiempo Completo</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119,868,360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119,868,360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lastRenderedPageBreak/>
              <w:t>42445</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de Fortalecimiento de la Calidad en Educación Básica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2,994,806</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2,994,806</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42446</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para la Inclusión y la Equidad Educativa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1,641,569</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1,641,569</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42479</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Centros de Educación Media Superior a Distancia Aportación Federal</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19,200,000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38,200,000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42481</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Becas de Apoyo a la Práctica Intensiva y al Servicio Social para Estudiantes de Séptimo y Octavo Semestre de Escuelas Normales del País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5,000,000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42483</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Telebachillerato Comunitario</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5,100,000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8,200,000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13,300,000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42627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Nacional de Inglés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8,045,203</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8,045,203</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42628</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Nacional Convivencia Escolar</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1,453,821</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1,453,821</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42629</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Apoyo Centros de Educación (ATP´S) Apoyo Financiero Extraordinario No Regularizable</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6,000,000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42630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Fondo Concursable de Inversión en Infraestructura para la Educación Media Superior</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8,000,000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42632</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de la Reforma Educativa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2,100,000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2,100,000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42687</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Programa para el Desarrollo Profesional Docente</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2,445,000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2,445,000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42698</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Subsidio federal Universidad Tecnológica de Manzanillo</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 </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20,809,628</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20,809,628</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43905</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Subsidio federal ordinario y extraordinario de la Universidad de Colima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1,508,286,814</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1,508,286,814</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44301</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Instituto Tecnológico de Colima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1,957,263</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1,957,263</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44304</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Instituto de Educación Inicial Estado de Colima</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65,000,000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65,000,000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44305</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Instituto Estatal de Educación para Adultos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2,500,000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2,500,000</w:t>
            </w:r>
          </w:p>
        </w:tc>
      </w:tr>
      <w:tr w:rsidR="001876E4" w:rsidRPr="001876E4" w:rsidTr="00947D11">
        <w:trPr>
          <w:trHeight w:val="315"/>
        </w:trPr>
        <w:tc>
          <w:tcPr>
            <w:tcW w:w="85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50000</w:t>
            </w:r>
          </w:p>
        </w:tc>
        <w:tc>
          <w:tcPr>
            <w:tcW w:w="4536" w:type="dxa"/>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Bienes Muebles, Inmuebles e Intangibles</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c>
          <w:tcPr>
            <w:tcW w:w="1164" w:type="dxa"/>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0</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38. Gasto Educativo por Nivel</w:t>
      </w:r>
    </w:p>
    <w:tbl>
      <w:tblPr>
        <w:tblW w:w="7138" w:type="dxa"/>
        <w:jc w:val="center"/>
        <w:tblCellMar>
          <w:left w:w="70" w:type="dxa"/>
          <w:right w:w="70" w:type="dxa"/>
        </w:tblCellMar>
        <w:tblLook w:val="04A0" w:firstRow="1" w:lastRow="0" w:firstColumn="1" w:lastColumn="0" w:noHBand="0" w:noVBand="1"/>
      </w:tblPr>
      <w:tblGrid>
        <w:gridCol w:w="5271"/>
        <w:gridCol w:w="1867"/>
      </w:tblGrid>
      <w:tr w:rsidR="001876E4" w:rsidRPr="001876E4" w:rsidTr="00947D11">
        <w:trPr>
          <w:trHeight w:val="283"/>
          <w:jc w:val="center"/>
        </w:trPr>
        <w:tc>
          <w:tcPr>
            <w:tcW w:w="527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18"/>
                <w:lang w:val="es-ES" w:eastAsia="es-ES"/>
              </w:rPr>
            </w:pPr>
            <w:r w:rsidRPr="001876E4">
              <w:rPr>
                <w:rFonts w:ascii="Arial" w:eastAsia="Times New Roman" w:hAnsi="Arial" w:cs="Arial"/>
                <w:b/>
                <w:bCs/>
                <w:color w:val="000000"/>
                <w:sz w:val="20"/>
                <w:szCs w:val="18"/>
                <w:lang w:val="es-ES" w:eastAsia="es-ES"/>
              </w:rPr>
              <w:t>Concepto</w:t>
            </w:r>
          </w:p>
        </w:tc>
        <w:tc>
          <w:tcPr>
            <w:tcW w:w="1867" w:type="dxa"/>
            <w:tcBorders>
              <w:top w:val="single" w:sz="4" w:space="0" w:color="auto"/>
              <w:left w:val="nil"/>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lang w:val="es-ES" w:eastAsia="es-ES"/>
              </w:rPr>
            </w:pPr>
            <w:r w:rsidRPr="001876E4">
              <w:rPr>
                <w:rFonts w:ascii="Arial" w:eastAsia="Times New Roman" w:hAnsi="Arial" w:cs="Arial"/>
                <w:b/>
                <w:bCs/>
                <w:color w:val="000000"/>
                <w:sz w:val="20"/>
                <w:szCs w:val="20"/>
                <w:lang w:val="es-ES" w:eastAsia="es-ES"/>
              </w:rPr>
              <w:t>Asignación Presupuestal</w:t>
            </w:r>
          </w:p>
        </w:tc>
      </w:tr>
      <w:tr w:rsidR="001876E4" w:rsidRPr="001876E4" w:rsidTr="00947D11">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rPr>
                <w:rFonts w:ascii="Arial" w:eastAsia="Times New Roman" w:hAnsi="Arial" w:cs="Arial"/>
                <w:bCs/>
                <w:color w:val="000000"/>
                <w:sz w:val="20"/>
                <w:szCs w:val="18"/>
                <w:lang w:val="es-ES" w:eastAsia="es-ES"/>
              </w:rPr>
            </w:pPr>
            <w:r w:rsidRPr="001876E4">
              <w:rPr>
                <w:rFonts w:ascii="Arial" w:eastAsia="Times New Roman" w:hAnsi="Arial" w:cs="Arial"/>
                <w:bCs/>
                <w:color w:val="000000"/>
                <w:sz w:val="20"/>
                <w:szCs w:val="18"/>
                <w:lang w:val="es-ES" w:eastAsia="es-ES"/>
              </w:rPr>
              <w:t>Educación Básica</w:t>
            </w:r>
          </w:p>
        </w:tc>
        <w:tc>
          <w:tcPr>
            <w:tcW w:w="186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4,256,948,558</w:t>
            </w:r>
          </w:p>
        </w:tc>
      </w:tr>
      <w:tr w:rsidR="001876E4" w:rsidRPr="001876E4" w:rsidTr="00947D11">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rPr>
                <w:rFonts w:ascii="Arial" w:eastAsia="Times New Roman" w:hAnsi="Arial" w:cs="Arial"/>
                <w:bCs/>
                <w:color w:val="000000"/>
                <w:sz w:val="20"/>
                <w:szCs w:val="18"/>
                <w:lang w:val="es-ES" w:eastAsia="es-ES"/>
              </w:rPr>
            </w:pPr>
            <w:r w:rsidRPr="001876E4">
              <w:rPr>
                <w:rFonts w:ascii="Arial" w:eastAsia="Times New Roman" w:hAnsi="Arial" w:cs="Arial"/>
                <w:bCs/>
                <w:color w:val="000000"/>
                <w:sz w:val="20"/>
                <w:szCs w:val="18"/>
                <w:lang w:val="es-ES" w:eastAsia="es-ES"/>
              </w:rPr>
              <w:t>Educación Media Superior</w:t>
            </w:r>
          </w:p>
        </w:tc>
        <w:tc>
          <w:tcPr>
            <w:tcW w:w="186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110,499,938</w:t>
            </w:r>
          </w:p>
        </w:tc>
      </w:tr>
      <w:tr w:rsidR="001876E4" w:rsidRPr="001876E4" w:rsidTr="00947D11">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rPr>
                <w:rFonts w:ascii="Arial" w:eastAsia="Times New Roman" w:hAnsi="Arial" w:cs="Arial"/>
                <w:bCs/>
                <w:color w:val="000000"/>
                <w:sz w:val="20"/>
                <w:szCs w:val="18"/>
                <w:lang w:val="es-ES" w:eastAsia="es-ES"/>
              </w:rPr>
            </w:pPr>
            <w:r w:rsidRPr="001876E4">
              <w:rPr>
                <w:rFonts w:ascii="Arial" w:eastAsia="Times New Roman" w:hAnsi="Arial" w:cs="Arial"/>
                <w:bCs/>
                <w:color w:val="000000"/>
                <w:sz w:val="20"/>
                <w:szCs w:val="18"/>
                <w:lang w:val="es-ES" w:eastAsia="es-ES"/>
              </w:rPr>
              <w:t>Educación Superior</w:t>
            </w:r>
          </w:p>
        </w:tc>
        <w:tc>
          <w:tcPr>
            <w:tcW w:w="186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1,855,101,837</w:t>
            </w:r>
          </w:p>
        </w:tc>
      </w:tr>
      <w:tr w:rsidR="001876E4" w:rsidRPr="001876E4" w:rsidTr="00947D11">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18"/>
                <w:lang w:val="es-ES" w:eastAsia="es-ES"/>
              </w:rPr>
            </w:pPr>
            <w:r w:rsidRPr="001876E4">
              <w:rPr>
                <w:rFonts w:ascii="Arial" w:eastAsia="Times New Roman" w:hAnsi="Arial" w:cs="Arial"/>
                <w:b/>
                <w:bCs/>
                <w:color w:val="000000"/>
                <w:sz w:val="20"/>
                <w:szCs w:val="18"/>
                <w:lang w:val="es-ES" w:eastAsia="es-ES"/>
              </w:rPr>
              <w:t>Total</w:t>
            </w:r>
          </w:p>
        </w:tc>
        <w:tc>
          <w:tcPr>
            <w:tcW w:w="1867" w:type="dxa"/>
            <w:tcBorders>
              <w:top w:val="nil"/>
              <w:left w:val="nil"/>
              <w:bottom w:val="single" w:sz="4" w:space="0" w:color="auto"/>
              <w:right w:val="single" w:sz="4" w:space="0" w:color="auto"/>
            </w:tcBorders>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6,222,550,333</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keepNext/>
        <w:keepLines/>
        <w:spacing w:after="0" w:line="240" w:lineRule="auto"/>
        <w:ind w:firstLine="1"/>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38a. Instituciones de Educación Superior</w:t>
      </w:r>
    </w:p>
    <w:tbl>
      <w:tblPr>
        <w:tblW w:w="8363" w:type="dxa"/>
        <w:jc w:val="center"/>
        <w:tblCellMar>
          <w:left w:w="70" w:type="dxa"/>
          <w:right w:w="70" w:type="dxa"/>
        </w:tblCellMar>
        <w:tblLook w:val="04A0" w:firstRow="1" w:lastRow="0" w:firstColumn="1" w:lastColumn="0" w:noHBand="0" w:noVBand="1"/>
      </w:tblPr>
      <w:tblGrid>
        <w:gridCol w:w="751"/>
        <w:gridCol w:w="3540"/>
        <w:gridCol w:w="1379"/>
        <w:gridCol w:w="1292"/>
        <w:gridCol w:w="1401"/>
      </w:tblGrid>
      <w:tr w:rsidR="001876E4" w:rsidRPr="001876E4" w:rsidTr="00947D11">
        <w:trPr>
          <w:trHeight w:val="283"/>
          <w:jc w:val="center"/>
        </w:trPr>
        <w:tc>
          <w:tcPr>
            <w:tcW w:w="75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hAnsi="Arial" w:cs="Arial"/>
                <w:b/>
                <w:sz w:val="18"/>
                <w:szCs w:val="18"/>
              </w:rPr>
              <w:t>Partida</w:t>
            </w:r>
          </w:p>
        </w:tc>
        <w:tc>
          <w:tcPr>
            <w:tcW w:w="354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eastAsia="Times New Roman" w:hAnsi="Arial" w:cs="Arial"/>
                <w:b/>
                <w:bCs/>
                <w:color w:val="000000"/>
                <w:sz w:val="18"/>
                <w:szCs w:val="18"/>
                <w:lang w:val="es-ES" w:eastAsia="es-ES"/>
              </w:rPr>
              <w:t>Concepto</w:t>
            </w:r>
          </w:p>
        </w:tc>
        <w:tc>
          <w:tcPr>
            <w:tcW w:w="1379" w:type="dxa"/>
            <w:tcBorders>
              <w:top w:val="single" w:sz="4" w:space="0" w:color="auto"/>
              <w:left w:val="nil"/>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Calibri" w:hAnsi="Arial" w:cs="Arial"/>
                <w:b/>
                <w:sz w:val="18"/>
                <w:szCs w:val="18"/>
                <w:lang w:eastAsia="en-US"/>
              </w:rPr>
            </w:pPr>
            <w:r w:rsidRPr="001876E4">
              <w:rPr>
                <w:rFonts w:ascii="Arial" w:eastAsia="Calibri" w:hAnsi="Arial" w:cs="Arial"/>
                <w:b/>
                <w:sz w:val="18"/>
                <w:szCs w:val="18"/>
                <w:lang w:eastAsia="en-US"/>
              </w:rPr>
              <w:t>Recursos Fiscales</w:t>
            </w:r>
          </w:p>
        </w:tc>
        <w:tc>
          <w:tcPr>
            <w:tcW w:w="12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Calibri" w:hAnsi="Arial" w:cs="Arial"/>
                <w:b/>
                <w:sz w:val="18"/>
                <w:szCs w:val="18"/>
                <w:lang w:eastAsia="en-US"/>
              </w:rPr>
            </w:pPr>
            <w:r w:rsidRPr="001876E4">
              <w:rPr>
                <w:rFonts w:ascii="Arial" w:eastAsia="Calibri" w:hAnsi="Arial" w:cs="Arial"/>
                <w:b/>
                <w:sz w:val="18"/>
                <w:szCs w:val="18"/>
                <w:lang w:eastAsia="en-US"/>
              </w:rPr>
              <w:t>Recursos Federales</w:t>
            </w:r>
          </w:p>
        </w:tc>
        <w:tc>
          <w:tcPr>
            <w:tcW w:w="140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eastAsia="Times New Roman" w:hAnsi="Arial" w:cs="Arial"/>
                <w:b/>
                <w:bCs/>
                <w:color w:val="000000"/>
                <w:sz w:val="18"/>
                <w:szCs w:val="18"/>
                <w:lang w:val="es-ES" w:eastAsia="es-ES"/>
              </w:rPr>
              <w:t>Total</w:t>
            </w:r>
          </w:p>
        </w:tc>
      </w:tr>
      <w:tr w:rsidR="001876E4" w:rsidRPr="001876E4" w:rsidTr="00947D11">
        <w:trPr>
          <w:trHeight w:val="283"/>
          <w:jc w:val="center"/>
        </w:trPr>
        <w:tc>
          <w:tcPr>
            <w:tcW w:w="709"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Cs/>
                <w:color w:val="000000"/>
                <w:sz w:val="18"/>
                <w:szCs w:val="18"/>
                <w:lang w:val="es-ES" w:eastAsia="es-ES"/>
              </w:rPr>
            </w:pPr>
            <w:r w:rsidRPr="001876E4">
              <w:rPr>
                <w:rFonts w:ascii="Arial" w:hAnsi="Arial" w:cs="Arial"/>
                <w:sz w:val="18"/>
                <w:szCs w:val="18"/>
              </w:rPr>
              <w:t>41401</w:t>
            </w:r>
          </w:p>
        </w:tc>
        <w:tc>
          <w:tcPr>
            <w:tcW w:w="3540" w:type="dxa"/>
            <w:tcBorders>
              <w:top w:val="nil"/>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rPr>
                <w:rFonts w:ascii="Arial" w:eastAsia="Times New Roman" w:hAnsi="Arial" w:cs="Arial"/>
                <w:bCs/>
                <w:color w:val="000000"/>
                <w:sz w:val="18"/>
                <w:szCs w:val="18"/>
                <w:lang w:val="es-ES" w:eastAsia="es-ES"/>
              </w:rPr>
            </w:pPr>
            <w:r w:rsidRPr="001876E4">
              <w:rPr>
                <w:rFonts w:ascii="Arial" w:eastAsia="Times New Roman" w:hAnsi="Arial" w:cs="Arial"/>
                <w:bCs/>
                <w:color w:val="000000"/>
                <w:sz w:val="18"/>
                <w:szCs w:val="18"/>
                <w:lang w:val="es-ES" w:eastAsia="es-ES"/>
              </w:rPr>
              <w:t>Universidad de Colima</w:t>
            </w:r>
          </w:p>
        </w:tc>
        <w:tc>
          <w:tcPr>
            <w:tcW w:w="1421" w:type="dxa"/>
            <w:tcBorders>
              <w:top w:val="single" w:sz="4" w:space="0" w:color="auto"/>
              <w:left w:val="nil"/>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261,605,272</w:t>
            </w:r>
          </w:p>
        </w:tc>
        <w:tc>
          <w:tcPr>
            <w:tcW w:w="12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1,541,708,149</w:t>
            </w:r>
          </w:p>
        </w:tc>
        <w:tc>
          <w:tcPr>
            <w:tcW w:w="140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1,803,313,421</w:t>
            </w:r>
          </w:p>
        </w:tc>
      </w:tr>
      <w:tr w:rsidR="001876E4" w:rsidRPr="001876E4" w:rsidTr="00947D11">
        <w:trPr>
          <w:trHeight w:val="283"/>
          <w:jc w:val="center"/>
        </w:trPr>
        <w:tc>
          <w:tcPr>
            <w:tcW w:w="751"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Cs/>
                <w:color w:val="000000"/>
                <w:sz w:val="18"/>
                <w:szCs w:val="18"/>
                <w:lang w:val="es-ES" w:eastAsia="es-ES"/>
              </w:rPr>
            </w:pPr>
            <w:r w:rsidRPr="001876E4">
              <w:rPr>
                <w:rFonts w:ascii="Arial" w:eastAsia="Calibri" w:hAnsi="Arial" w:cs="Arial"/>
                <w:sz w:val="18"/>
                <w:szCs w:val="18"/>
                <w:lang w:val="es-ES" w:eastAsia="en-US"/>
              </w:rPr>
              <w:t>41148</w:t>
            </w:r>
          </w:p>
        </w:tc>
        <w:tc>
          <w:tcPr>
            <w:tcW w:w="3540" w:type="dxa"/>
            <w:tcBorders>
              <w:top w:val="nil"/>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rPr>
                <w:rFonts w:ascii="Arial" w:eastAsia="Times New Roman" w:hAnsi="Arial" w:cs="Arial"/>
                <w:bCs/>
                <w:color w:val="000000"/>
                <w:sz w:val="18"/>
                <w:szCs w:val="18"/>
                <w:lang w:val="es-ES" w:eastAsia="es-ES"/>
              </w:rPr>
            </w:pPr>
            <w:r w:rsidRPr="001876E4">
              <w:rPr>
                <w:rFonts w:ascii="Arial" w:eastAsia="Times New Roman" w:hAnsi="Arial" w:cs="Arial"/>
                <w:bCs/>
                <w:color w:val="000000"/>
                <w:sz w:val="18"/>
                <w:szCs w:val="18"/>
                <w:lang w:val="es-ES" w:eastAsia="es-ES"/>
              </w:rPr>
              <w:t>Instituto Superior de Educación Normal del Estado de Colima</w:t>
            </w:r>
          </w:p>
        </w:tc>
        <w:tc>
          <w:tcPr>
            <w:tcW w:w="1379" w:type="dxa"/>
            <w:tcBorders>
              <w:top w:val="single" w:sz="4" w:space="0" w:color="auto"/>
              <w:left w:val="nil"/>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4,021,525</w:t>
            </w:r>
          </w:p>
        </w:tc>
        <w:tc>
          <w:tcPr>
            <w:tcW w:w="12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22,000,000</w:t>
            </w:r>
          </w:p>
        </w:tc>
        <w:tc>
          <w:tcPr>
            <w:tcW w:w="140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26,021,525</w:t>
            </w:r>
          </w:p>
        </w:tc>
      </w:tr>
      <w:tr w:rsidR="001876E4" w:rsidRPr="001876E4" w:rsidTr="00947D11">
        <w:trPr>
          <w:trHeight w:val="283"/>
          <w:jc w:val="center"/>
        </w:trPr>
        <w:tc>
          <w:tcPr>
            <w:tcW w:w="751"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Calibri" w:hAnsi="Arial" w:cs="Arial"/>
                <w:sz w:val="18"/>
                <w:szCs w:val="18"/>
                <w:lang w:eastAsia="en-US"/>
              </w:rPr>
            </w:pPr>
            <w:r w:rsidRPr="001876E4">
              <w:rPr>
                <w:rFonts w:ascii="Arial" w:eastAsia="Calibri" w:hAnsi="Arial" w:cs="Arial"/>
                <w:sz w:val="18"/>
                <w:szCs w:val="18"/>
                <w:lang w:val="es-ES" w:eastAsia="en-US"/>
              </w:rPr>
              <w:t>41509</w:t>
            </w:r>
          </w:p>
        </w:tc>
        <w:tc>
          <w:tcPr>
            <w:tcW w:w="3540" w:type="dxa"/>
            <w:tcBorders>
              <w:top w:val="nil"/>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rPr>
                <w:rFonts w:ascii="Arial" w:eastAsia="Times New Roman" w:hAnsi="Arial" w:cs="Arial"/>
                <w:bCs/>
                <w:color w:val="000000"/>
                <w:sz w:val="18"/>
                <w:szCs w:val="18"/>
                <w:lang w:val="es-ES" w:eastAsia="es-ES"/>
              </w:rPr>
            </w:pPr>
            <w:r w:rsidRPr="001876E4">
              <w:rPr>
                <w:rFonts w:ascii="Arial" w:eastAsia="Times New Roman" w:hAnsi="Arial" w:cs="Arial"/>
                <w:bCs/>
                <w:color w:val="000000"/>
                <w:sz w:val="18"/>
                <w:szCs w:val="18"/>
                <w:lang w:val="es-ES" w:eastAsia="es-ES"/>
              </w:rPr>
              <w:t>Universidad Tecnológica de Manzanillo</w:t>
            </w:r>
          </w:p>
        </w:tc>
        <w:tc>
          <w:tcPr>
            <w:tcW w:w="1379" w:type="dxa"/>
            <w:tcBorders>
              <w:top w:val="single" w:sz="4" w:space="0" w:color="auto"/>
              <w:left w:val="nil"/>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20,000,000</w:t>
            </w:r>
          </w:p>
        </w:tc>
        <w:tc>
          <w:tcPr>
            <w:tcW w:w="12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20,809,628</w:t>
            </w:r>
          </w:p>
        </w:tc>
        <w:tc>
          <w:tcPr>
            <w:tcW w:w="140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40,809,628</w:t>
            </w:r>
          </w:p>
        </w:tc>
      </w:tr>
      <w:tr w:rsidR="001876E4" w:rsidRPr="001876E4" w:rsidTr="00947D11">
        <w:trPr>
          <w:trHeight w:val="283"/>
          <w:jc w:val="center"/>
        </w:trPr>
        <w:tc>
          <w:tcPr>
            <w:tcW w:w="751"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Calibri" w:hAnsi="Arial" w:cs="Arial"/>
                <w:sz w:val="18"/>
                <w:szCs w:val="18"/>
                <w:lang w:val="es-ES" w:eastAsia="en-US"/>
              </w:rPr>
            </w:pPr>
            <w:r w:rsidRPr="001876E4">
              <w:rPr>
                <w:rFonts w:ascii="Arial" w:eastAsia="Calibri" w:hAnsi="Arial" w:cs="Arial"/>
                <w:sz w:val="18"/>
                <w:szCs w:val="18"/>
                <w:lang w:val="es-ES" w:eastAsia="en-US"/>
              </w:rPr>
              <w:t>44301</w:t>
            </w:r>
          </w:p>
        </w:tc>
        <w:tc>
          <w:tcPr>
            <w:tcW w:w="3540" w:type="dxa"/>
            <w:tcBorders>
              <w:top w:val="nil"/>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rPr>
                <w:rFonts w:ascii="Arial" w:eastAsia="Calibri" w:hAnsi="Arial" w:cs="Arial"/>
                <w:sz w:val="18"/>
                <w:szCs w:val="18"/>
                <w:lang w:val="es-ES" w:eastAsia="en-US"/>
              </w:rPr>
            </w:pPr>
            <w:r w:rsidRPr="001876E4">
              <w:rPr>
                <w:rFonts w:ascii="Arial" w:eastAsia="Calibri" w:hAnsi="Arial" w:cs="Arial"/>
                <w:sz w:val="18"/>
                <w:szCs w:val="18"/>
                <w:lang w:val="es-ES" w:eastAsia="en-US"/>
              </w:rPr>
              <w:t>Instituto Tecnológico de Colima</w:t>
            </w:r>
          </w:p>
        </w:tc>
        <w:tc>
          <w:tcPr>
            <w:tcW w:w="1379" w:type="dxa"/>
            <w:tcBorders>
              <w:top w:val="single" w:sz="4" w:space="0" w:color="auto"/>
              <w:left w:val="nil"/>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1,957,263</w:t>
            </w:r>
          </w:p>
        </w:tc>
        <w:tc>
          <w:tcPr>
            <w:tcW w:w="12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color w:val="000000"/>
                <w:sz w:val="18"/>
                <w:szCs w:val="18"/>
              </w:rPr>
            </w:pPr>
            <w:r w:rsidRPr="001876E4">
              <w:rPr>
                <w:rFonts w:ascii="Arial" w:eastAsia="Times New Roman" w:hAnsi="Arial" w:cs="Arial"/>
                <w:color w:val="000000"/>
                <w:sz w:val="18"/>
                <w:szCs w:val="18"/>
              </w:rPr>
              <w:t>0</w:t>
            </w:r>
          </w:p>
        </w:tc>
        <w:tc>
          <w:tcPr>
            <w:tcW w:w="140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1,957,263</w:t>
            </w:r>
          </w:p>
        </w:tc>
      </w:tr>
      <w:tr w:rsidR="001876E4" w:rsidRPr="001876E4" w:rsidTr="00947D11">
        <w:trPr>
          <w:trHeight w:val="283"/>
          <w:jc w:val="center"/>
        </w:trPr>
        <w:tc>
          <w:tcPr>
            <w:tcW w:w="751"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p>
        </w:tc>
        <w:tc>
          <w:tcPr>
            <w:tcW w:w="3540" w:type="dxa"/>
            <w:tcBorders>
              <w:top w:val="nil"/>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eastAsia="Times New Roman" w:hAnsi="Arial" w:cs="Arial"/>
                <w:b/>
                <w:bCs/>
                <w:color w:val="000000"/>
                <w:sz w:val="18"/>
                <w:szCs w:val="18"/>
                <w:lang w:val="es-ES" w:eastAsia="es-ES"/>
              </w:rPr>
              <w:t>Total</w:t>
            </w:r>
          </w:p>
        </w:tc>
        <w:tc>
          <w:tcPr>
            <w:tcW w:w="1379" w:type="dxa"/>
            <w:tcBorders>
              <w:top w:val="single" w:sz="4" w:space="0" w:color="auto"/>
              <w:left w:val="nil"/>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287,584,060</w:t>
            </w:r>
          </w:p>
        </w:tc>
        <w:tc>
          <w:tcPr>
            <w:tcW w:w="12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1,584,517,777</w:t>
            </w:r>
          </w:p>
        </w:tc>
        <w:tc>
          <w:tcPr>
            <w:tcW w:w="1401"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right"/>
              <w:rPr>
                <w:rFonts w:ascii="Arial" w:eastAsia="Times New Roman" w:hAnsi="Arial" w:cs="Arial"/>
                <w:b/>
                <w:color w:val="000000"/>
                <w:sz w:val="18"/>
                <w:szCs w:val="18"/>
              </w:rPr>
            </w:pPr>
            <w:r w:rsidRPr="001876E4">
              <w:rPr>
                <w:rFonts w:ascii="Arial" w:eastAsia="Times New Roman" w:hAnsi="Arial" w:cs="Arial"/>
                <w:b/>
                <w:color w:val="000000"/>
                <w:sz w:val="18"/>
                <w:szCs w:val="18"/>
              </w:rPr>
              <w:t>1,872,101,837</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lastRenderedPageBreak/>
        <w:t>Artículo 36</w:t>
      </w:r>
      <w:r w:rsidRPr="001876E4">
        <w:rPr>
          <w:rFonts w:ascii="Arial" w:eastAsia="Calibri" w:hAnsi="Arial" w:cs="Arial"/>
          <w:sz w:val="24"/>
          <w:szCs w:val="24"/>
          <w:lang w:val="es-ES" w:eastAsia="en-US"/>
        </w:rPr>
        <w:t>. Las erogaciones previstas para Pensiones son las siguientes: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39. Erogaciones previstas para Pensiones</w:t>
      </w:r>
    </w:p>
    <w:tbl>
      <w:tblPr>
        <w:tblStyle w:val="Tablaconcuadrcula2"/>
        <w:tblW w:w="0" w:type="auto"/>
        <w:jc w:val="center"/>
        <w:tblLook w:val="04A0" w:firstRow="1" w:lastRow="0" w:firstColumn="1" w:lastColumn="0" w:noHBand="0" w:noVBand="1"/>
      </w:tblPr>
      <w:tblGrid>
        <w:gridCol w:w="895"/>
        <w:gridCol w:w="4361"/>
        <w:gridCol w:w="1559"/>
      </w:tblGrid>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Partida</w:t>
            </w:r>
          </w:p>
        </w:tc>
        <w:tc>
          <w:tcPr>
            <w:tcW w:w="436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Concepto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45101</w:t>
            </w:r>
          </w:p>
        </w:tc>
        <w:tc>
          <w:tcPr>
            <w:tcW w:w="436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Pensiones Magisterio</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Calibri"/>
                <w:color w:val="000000"/>
                <w:sz w:val="20"/>
              </w:rPr>
            </w:pPr>
            <w:r w:rsidRPr="001876E4">
              <w:rPr>
                <w:rFonts w:ascii="Arial" w:hAnsi="Arial" w:cs="Calibri"/>
                <w:color w:val="000000"/>
                <w:sz w:val="20"/>
              </w:rPr>
              <w:t xml:space="preserve">66,485,557 </w:t>
            </w:r>
          </w:p>
        </w:tc>
      </w:tr>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45102</w:t>
            </w:r>
          </w:p>
        </w:tc>
        <w:tc>
          <w:tcPr>
            <w:tcW w:w="436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Pensiones Burocracia</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Calibri"/>
                <w:color w:val="000000"/>
                <w:sz w:val="20"/>
              </w:rPr>
            </w:pPr>
            <w:r w:rsidRPr="001876E4">
              <w:rPr>
                <w:rFonts w:ascii="Arial" w:hAnsi="Arial" w:cs="Calibri"/>
                <w:color w:val="000000"/>
                <w:sz w:val="20"/>
              </w:rPr>
              <w:t xml:space="preserve">136,936,836 </w:t>
            </w:r>
          </w:p>
        </w:tc>
      </w:tr>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center"/>
              <w:rPr>
                <w:rFonts w:ascii="Arial" w:hAnsi="Arial" w:cs="Arial"/>
                <w:b/>
                <w:sz w:val="20"/>
                <w:szCs w:val="20"/>
              </w:rPr>
            </w:pPr>
          </w:p>
        </w:tc>
        <w:tc>
          <w:tcPr>
            <w:tcW w:w="4361"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Total</w:t>
            </w:r>
          </w:p>
        </w:tc>
        <w:tc>
          <w:tcPr>
            <w:tcW w:w="15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 xml:space="preserve">203,422,393 </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37</w:t>
      </w:r>
      <w:r w:rsidRPr="001876E4">
        <w:rPr>
          <w:rFonts w:ascii="Arial" w:eastAsia="Calibri" w:hAnsi="Arial" w:cs="Arial"/>
          <w:sz w:val="24"/>
          <w:szCs w:val="24"/>
          <w:lang w:val="es-ES" w:eastAsia="en-US"/>
        </w:rPr>
        <w:t>. Las erogaciones previstas para Jubilaciones son las siguientes: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8"/>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40. Erogaciones previstas para Jubilaciones</w:t>
      </w:r>
    </w:p>
    <w:tbl>
      <w:tblPr>
        <w:tblStyle w:val="Tablaconcuadrcula2"/>
        <w:tblW w:w="0" w:type="auto"/>
        <w:jc w:val="center"/>
        <w:tblLook w:val="04A0" w:firstRow="1" w:lastRow="0" w:firstColumn="1" w:lastColumn="0" w:noHBand="0" w:noVBand="1"/>
      </w:tblPr>
      <w:tblGrid>
        <w:gridCol w:w="895"/>
        <w:gridCol w:w="4755"/>
        <w:gridCol w:w="1473"/>
      </w:tblGrid>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Partida</w:t>
            </w:r>
          </w:p>
        </w:tc>
        <w:tc>
          <w:tcPr>
            <w:tcW w:w="47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Concepto</w:t>
            </w:r>
          </w:p>
        </w:tc>
        <w:tc>
          <w:tcPr>
            <w:tcW w:w="147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45201</w:t>
            </w:r>
          </w:p>
        </w:tc>
        <w:tc>
          <w:tcPr>
            <w:tcW w:w="47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Jubilaciones Magisterio</w:t>
            </w:r>
          </w:p>
        </w:tc>
        <w:tc>
          <w:tcPr>
            <w:tcW w:w="14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232,277,363 </w:t>
            </w:r>
          </w:p>
        </w:tc>
      </w:tr>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45202</w:t>
            </w:r>
          </w:p>
        </w:tc>
        <w:tc>
          <w:tcPr>
            <w:tcW w:w="47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Jubilaciones Burocracia</w:t>
            </w:r>
          </w:p>
        </w:tc>
        <w:tc>
          <w:tcPr>
            <w:tcW w:w="14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319,635,607 </w:t>
            </w:r>
          </w:p>
        </w:tc>
      </w:tr>
      <w:tr w:rsidR="001876E4" w:rsidRPr="001876E4" w:rsidTr="00947D11">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sz w:val="20"/>
                <w:szCs w:val="20"/>
              </w:rPr>
            </w:pPr>
          </w:p>
        </w:tc>
        <w:tc>
          <w:tcPr>
            <w:tcW w:w="47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Total</w:t>
            </w:r>
          </w:p>
        </w:tc>
        <w:tc>
          <w:tcPr>
            <w:tcW w:w="147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 xml:space="preserve"> 551,912,970 </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32"/>
          <w:lang w:val="es-ES" w:eastAsia="en-US"/>
        </w:rPr>
      </w:pPr>
      <w:bookmarkStart w:id="24" w:name="_Toc465292958"/>
      <w:bookmarkStart w:id="25" w:name="_Toc465292886"/>
      <w:r w:rsidRPr="001876E4">
        <w:rPr>
          <w:rFonts w:ascii="Arial" w:eastAsia="Times New Roman" w:hAnsi="Arial" w:cs="Arial"/>
          <w:b/>
          <w:sz w:val="24"/>
          <w:szCs w:val="32"/>
          <w:lang w:val="es-ES" w:eastAsia="en-US"/>
        </w:rPr>
        <w:t xml:space="preserve">CAPÍTULO IV </w:t>
      </w:r>
    </w:p>
    <w:p w:rsidR="001876E4" w:rsidRPr="001876E4" w:rsidRDefault="001876E4" w:rsidP="001876E4">
      <w:pPr>
        <w:keepNext/>
        <w:keepLines/>
        <w:spacing w:after="0" w:line="240" w:lineRule="auto"/>
        <w:jc w:val="center"/>
        <w:outlineLvl w:val="0"/>
        <w:rPr>
          <w:rFonts w:ascii="Arial" w:eastAsia="Times New Roman" w:hAnsi="Arial" w:cs="Arial"/>
          <w:b/>
          <w:sz w:val="24"/>
          <w:szCs w:val="32"/>
          <w:lang w:val="es-ES" w:eastAsia="en-US"/>
        </w:rPr>
      </w:pPr>
      <w:r w:rsidRPr="001876E4">
        <w:rPr>
          <w:rFonts w:ascii="Arial" w:eastAsia="Times New Roman" w:hAnsi="Arial" w:cs="Arial"/>
          <w:b/>
          <w:sz w:val="24"/>
          <w:szCs w:val="32"/>
          <w:lang w:val="es-ES" w:eastAsia="en-US"/>
        </w:rPr>
        <w:t>DE LA DEUDA PÚBLICA</w:t>
      </w:r>
      <w:bookmarkEnd w:id="24"/>
      <w:bookmarkEnd w:id="25"/>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color w:val="000000"/>
          <w:sz w:val="24"/>
          <w:szCs w:val="24"/>
          <w:lang w:val="es-ES" w:eastAsia="en-US"/>
        </w:rPr>
      </w:pPr>
      <w:r w:rsidRPr="001876E4">
        <w:rPr>
          <w:rFonts w:ascii="Arial" w:eastAsia="Calibri" w:hAnsi="Arial" w:cs="Arial"/>
          <w:b/>
          <w:sz w:val="24"/>
          <w:szCs w:val="24"/>
          <w:lang w:val="es-ES" w:eastAsia="en-US"/>
        </w:rPr>
        <w:t>Artículo 38</w:t>
      </w:r>
      <w:r w:rsidRPr="001876E4">
        <w:rPr>
          <w:rFonts w:ascii="Arial" w:eastAsia="Calibri" w:hAnsi="Arial" w:cs="Arial"/>
          <w:sz w:val="24"/>
          <w:szCs w:val="24"/>
          <w:lang w:val="es-ES" w:eastAsia="en-US"/>
        </w:rPr>
        <w:t xml:space="preserve">. </w:t>
      </w:r>
      <w:r w:rsidRPr="001876E4">
        <w:rPr>
          <w:rFonts w:ascii="Arial" w:eastAsia="Calibri" w:hAnsi="Arial" w:cs="Arial"/>
          <w:sz w:val="24"/>
          <w:szCs w:val="24"/>
          <w:lang w:val="es-ES" w:eastAsia="en-US"/>
        </w:rPr>
        <w:tab/>
        <w:t xml:space="preserve">Para el Ejercicio Fiscal 2018, se establece una asignación presupuestaria de </w:t>
      </w:r>
      <w:r w:rsidRPr="001876E4">
        <w:rPr>
          <w:rFonts w:ascii="Arial" w:eastAsia="Calibri" w:hAnsi="Arial" w:cs="Arial"/>
          <w:b/>
          <w:sz w:val="24"/>
          <w:szCs w:val="24"/>
          <w:lang w:val="es-ES" w:eastAsia="en-US"/>
        </w:rPr>
        <w:t xml:space="preserve">$388,862,673 </w:t>
      </w:r>
      <w:r w:rsidRPr="001876E4">
        <w:rPr>
          <w:rFonts w:ascii="Arial" w:eastAsia="Calibri" w:hAnsi="Arial" w:cs="Arial"/>
          <w:sz w:val="24"/>
          <w:szCs w:val="24"/>
          <w:lang w:val="es-ES" w:eastAsia="en-US"/>
        </w:rPr>
        <w:t xml:space="preserve">destinada a cubrir la amortización de capital e intereses de la Deuda Pública, contratada con la Banca de Desarrollo y la Banca Comercial. </w:t>
      </w:r>
      <w:r w:rsidRPr="001876E4">
        <w:rPr>
          <w:rFonts w:ascii="Arial" w:eastAsia="Calibri" w:hAnsi="Arial" w:cs="Arial"/>
          <w:color w:val="000000"/>
          <w:sz w:val="24"/>
          <w:szCs w:val="24"/>
          <w:lang w:val="es-ES" w:eastAsia="en-US"/>
        </w:rPr>
        <w:tab/>
      </w:r>
    </w:p>
    <w:p w:rsidR="001876E4" w:rsidRPr="001876E4" w:rsidRDefault="001876E4" w:rsidP="001876E4">
      <w:pPr>
        <w:spacing w:after="0" w:line="240" w:lineRule="auto"/>
        <w:jc w:val="both"/>
        <w:rPr>
          <w:rFonts w:ascii="Arial" w:eastAsia="Calibri" w:hAnsi="Arial" w:cs="Arial"/>
          <w:color w:val="000000"/>
          <w:sz w:val="24"/>
          <w:szCs w:val="24"/>
          <w:lang w:val="es-ES" w:eastAsia="en-US"/>
        </w:rPr>
      </w:pPr>
    </w:p>
    <w:p w:rsidR="001876E4" w:rsidRPr="001876E4" w:rsidRDefault="001876E4" w:rsidP="001876E4">
      <w:pPr>
        <w:spacing w:after="0" w:line="240" w:lineRule="auto"/>
        <w:jc w:val="both"/>
        <w:rPr>
          <w:rFonts w:ascii="Arial" w:eastAsia="Calibri" w:hAnsi="Arial" w:cs="Arial"/>
          <w:color w:val="000000"/>
          <w:sz w:val="24"/>
          <w:szCs w:val="24"/>
          <w:lang w:val="es-ES" w:eastAsia="en-US"/>
        </w:rPr>
      </w:pPr>
      <w:r w:rsidRPr="001876E4">
        <w:rPr>
          <w:rFonts w:ascii="Arial" w:eastAsia="Calibri" w:hAnsi="Arial" w:cs="Arial"/>
          <w:color w:val="000000"/>
          <w:sz w:val="24"/>
          <w:szCs w:val="24"/>
          <w:lang w:val="es-ES" w:eastAsia="en-US"/>
        </w:rPr>
        <w:t>La composición de dicha asignación  será ejercida de la siguiente forma:</w:t>
      </w:r>
    </w:p>
    <w:p w:rsidR="001876E4" w:rsidRPr="001876E4" w:rsidRDefault="001876E4" w:rsidP="001876E4">
      <w:pPr>
        <w:spacing w:after="0" w:line="240" w:lineRule="auto"/>
        <w:jc w:val="both"/>
        <w:rPr>
          <w:rFonts w:ascii="Arial" w:eastAsia="Calibri" w:hAnsi="Arial" w:cs="Arial"/>
          <w:color w:val="000000"/>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41. Erogaciones Previstas para Deuda Pública </w:t>
      </w:r>
      <w:r w:rsidRPr="001876E4">
        <w:rPr>
          <w:rFonts w:ascii="Arial" w:eastAsia="Times New Roman" w:hAnsi="Arial" w:cs="Times New Roman"/>
          <w:b/>
          <w:szCs w:val="26"/>
          <w:lang w:val="es-ES" w:eastAsia="en-US"/>
        </w:rPr>
        <w:br/>
        <w:t>(Servicio de Deuda)</w:t>
      </w:r>
    </w:p>
    <w:tbl>
      <w:tblPr>
        <w:tblW w:w="8217" w:type="dxa"/>
        <w:jc w:val="center"/>
        <w:tblCellMar>
          <w:left w:w="70" w:type="dxa"/>
          <w:right w:w="70" w:type="dxa"/>
        </w:tblCellMar>
        <w:tblLook w:val="04A0" w:firstRow="1" w:lastRow="0" w:firstColumn="1" w:lastColumn="0" w:noHBand="0" w:noVBand="1"/>
      </w:tblPr>
      <w:tblGrid>
        <w:gridCol w:w="3964"/>
        <w:gridCol w:w="1435"/>
        <w:gridCol w:w="1542"/>
        <w:gridCol w:w="1276"/>
      </w:tblGrid>
      <w:tr w:rsidR="001876E4" w:rsidRPr="001876E4" w:rsidTr="00947D11">
        <w:trPr>
          <w:trHeight w:val="255"/>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b/>
                <w:bCs/>
                <w:sz w:val="20"/>
                <w:szCs w:val="20"/>
                <w:lang w:val="es-ES" w:eastAsia="es-ES"/>
              </w:rPr>
              <w:t>Crédito</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sz w:val="20"/>
                <w:szCs w:val="20"/>
                <w:lang w:val="es-ES" w:eastAsia="es-ES"/>
              </w:rPr>
            </w:pPr>
            <w:r w:rsidRPr="001876E4">
              <w:rPr>
                <w:rFonts w:ascii="Arial" w:eastAsia="Times New Roman" w:hAnsi="Arial" w:cs="Arial"/>
                <w:b/>
                <w:bCs/>
                <w:sz w:val="20"/>
                <w:szCs w:val="20"/>
                <w:lang w:val="es-ES" w:eastAsia="es-ES"/>
              </w:rPr>
              <w:t>Capital</w:t>
            </w:r>
          </w:p>
        </w:tc>
        <w:tc>
          <w:tcPr>
            <w:tcW w:w="1542"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sz w:val="20"/>
                <w:szCs w:val="20"/>
                <w:lang w:val="es-ES" w:eastAsia="es-ES"/>
              </w:rPr>
            </w:pPr>
            <w:r w:rsidRPr="001876E4">
              <w:rPr>
                <w:rFonts w:ascii="Arial" w:eastAsia="Times New Roman" w:hAnsi="Arial" w:cs="Arial"/>
                <w:b/>
                <w:bCs/>
                <w:sz w:val="20"/>
                <w:szCs w:val="20"/>
                <w:lang w:val="es-ES" w:eastAsia="es-ES"/>
              </w:rPr>
              <w:t>Intereses</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sz w:val="20"/>
                <w:szCs w:val="20"/>
                <w:lang w:val="es-ES" w:eastAsia="es-ES"/>
              </w:rPr>
            </w:pPr>
            <w:r w:rsidRPr="001876E4">
              <w:rPr>
                <w:rFonts w:ascii="Arial" w:eastAsia="Times New Roman" w:hAnsi="Arial" w:cs="Arial"/>
                <w:b/>
                <w:bCs/>
                <w:sz w:val="20"/>
                <w:szCs w:val="20"/>
                <w:lang w:val="es-ES" w:eastAsia="es-ES"/>
              </w:rPr>
              <w:t>Anualidad Total</w:t>
            </w:r>
          </w:p>
        </w:tc>
      </w:tr>
      <w:tr w:rsidR="001876E4" w:rsidRPr="001876E4" w:rsidTr="00947D11">
        <w:trPr>
          <w:trHeight w:val="255"/>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Banobras 7225,7226</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14,153,112 </w:t>
            </w:r>
          </w:p>
        </w:tc>
        <w:tc>
          <w:tcPr>
            <w:tcW w:w="1542"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25,629,145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39,782,257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Banobras 7271,7272</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5,837,546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22,245,483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28,083,029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Banobras 10487</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0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28,692,250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28,692,250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vAlign w:val="bottom"/>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Banobras 11126,11282</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0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17,012,154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17,012,154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Banobras 11149</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27,529,167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39,954,040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67,483,207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Subtotal Banca de Desarrollo</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47,519,825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133,533,072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181,052,897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Banorte 34228560</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10,620,000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1,495,960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12,115,960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Crédito Banorte 45523370</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28,294,718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78,922,504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107,217,222 </w:t>
            </w:r>
          </w:p>
        </w:tc>
      </w:tr>
      <w:tr w:rsidR="001876E4" w:rsidRPr="001876E4" w:rsidTr="00947D11">
        <w:trPr>
          <w:trHeight w:val="254"/>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Crédito Interacciones 430259</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10,385,567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78,091,027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sz w:val="20"/>
                <w:szCs w:val="20"/>
              </w:rPr>
            </w:pPr>
            <w:r w:rsidRPr="001876E4">
              <w:rPr>
                <w:rFonts w:ascii="Arial" w:hAnsi="Arial" w:cs="Arial"/>
                <w:sz w:val="20"/>
                <w:szCs w:val="20"/>
              </w:rPr>
              <w:t xml:space="preserve">88,476,594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Subtotal Banca Comercial</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49,300,285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158,509,491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207,809,776 </w:t>
            </w:r>
          </w:p>
        </w:tc>
      </w:tr>
      <w:tr w:rsidR="001876E4" w:rsidRPr="001876E4" w:rsidTr="00947D11">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435"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96,820,110 </w:t>
            </w:r>
          </w:p>
        </w:tc>
        <w:tc>
          <w:tcPr>
            <w:tcW w:w="154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292,042,563 </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sz w:val="20"/>
                <w:szCs w:val="20"/>
              </w:rPr>
            </w:pPr>
            <w:r w:rsidRPr="001876E4">
              <w:rPr>
                <w:rFonts w:ascii="Arial" w:hAnsi="Arial" w:cs="Arial"/>
                <w:b/>
                <w:sz w:val="20"/>
                <w:szCs w:val="20"/>
              </w:rPr>
              <w:t xml:space="preserve">388,862,673 </w:t>
            </w:r>
          </w:p>
        </w:tc>
      </w:tr>
    </w:tbl>
    <w:p w:rsidR="001876E4" w:rsidRPr="001876E4" w:rsidRDefault="001876E4" w:rsidP="001876E4">
      <w:pPr>
        <w:spacing w:after="0" w:line="240" w:lineRule="auto"/>
        <w:rPr>
          <w:rFonts w:ascii="Arial" w:eastAsia="Times New Roman"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42. Erogaciones Previstas para Deuda Pública</w:t>
      </w:r>
      <w:r w:rsidRPr="001876E4">
        <w:rPr>
          <w:rFonts w:ascii="Arial" w:eastAsia="Times New Roman" w:hAnsi="Arial" w:cs="Times New Roman"/>
          <w:b/>
          <w:szCs w:val="26"/>
          <w:lang w:val="es-ES" w:eastAsia="en-US"/>
        </w:rPr>
        <w:br/>
        <w:t>(Calendarización Trimestral)</w:t>
      </w:r>
    </w:p>
    <w:tbl>
      <w:tblPr>
        <w:tblStyle w:val="Tablaconcuadrcula2"/>
        <w:tblW w:w="0" w:type="auto"/>
        <w:jc w:val="center"/>
        <w:tblLook w:val="04A0" w:firstRow="1" w:lastRow="0" w:firstColumn="1" w:lastColumn="0" w:noHBand="0" w:noVBand="1"/>
      </w:tblPr>
      <w:tblGrid>
        <w:gridCol w:w="2689"/>
        <w:gridCol w:w="1131"/>
        <w:gridCol w:w="1222"/>
        <w:gridCol w:w="1218"/>
        <w:gridCol w:w="1218"/>
        <w:gridCol w:w="1217"/>
      </w:tblGrid>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Crédito</w:t>
            </w:r>
          </w:p>
        </w:tc>
        <w:tc>
          <w:tcPr>
            <w:tcW w:w="113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Primer Trimestre</w:t>
            </w:r>
          </w:p>
        </w:tc>
        <w:tc>
          <w:tcPr>
            <w:tcW w:w="1222"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Segundo Trimestre</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Tercer Trimestre</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Cuarto Trimestre</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right"/>
              <w:rPr>
                <w:rFonts w:ascii="Arial" w:hAnsi="Arial" w:cs="Arial"/>
                <w:b/>
                <w:bCs/>
                <w:sz w:val="16"/>
                <w:szCs w:val="16"/>
              </w:rPr>
            </w:pPr>
            <w:r w:rsidRPr="001876E4">
              <w:rPr>
                <w:rFonts w:ascii="Arial" w:hAnsi="Arial" w:cs="Arial"/>
                <w:b/>
                <w:bCs/>
                <w:sz w:val="16"/>
                <w:szCs w:val="16"/>
              </w:rPr>
              <w:t>Total Anual</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Banobras (7225 y 7226)</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9,867,132</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9,954,822</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9,971,521</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9,988,782</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39,782,257</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Banobras (7271 y 7272)</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6,982,993</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7,039,146</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7,033,339</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7,027,551</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28,083,029</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Banobras (10487)</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7,251,888</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7,094,238</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7,173,062</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7,173,062</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28,692,250</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Banobras (11126 y 111282)</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4,217,889</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4,264,756</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4,264,755</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4,264,754</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17,012,154</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Banobras (11149)</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16,971,398</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16,960,096</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16,837,119</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16,714,594</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67,483,207</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Subtotal Banca de Desarrollo</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45,291,300</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45,313,058</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45,279,796</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45,168,743</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181,052,897</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Banorte (34228560)</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3,148,106</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3,070,421</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2,990,908</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2,906,525</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12,115,960</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Banorte (45523370)</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26,472,307</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26,915,068</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26,698,312</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27,131,535</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107,217,222</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rPr>
                <w:rFonts w:ascii="Arial" w:hAnsi="Arial" w:cs="Arial"/>
                <w:sz w:val="16"/>
                <w:szCs w:val="16"/>
              </w:rPr>
            </w:pPr>
            <w:r w:rsidRPr="001876E4">
              <w:rPr>
                <w:rFonts w:ascii="Arial" w:hAnsi="Arial" w:cs="Arial"/>
                <w:sz w:val="16"/>
                <w:szCs w:val="16"/>
              </w:rPr>
              <w:t>Interacciones (430259)</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21,857,259</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22,068,510</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22,278,172</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22,272,653</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88,476,594</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Subtotal Banca Comercial</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51,477,672</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52,053,999</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51,967,392</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52,309,713</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207,809,776</w:t>
            </w:r>
          </w:p>
        </w:tc>
      </w:tr>
      <w:tr w:rsidR="001876E4" w:rsidRPr="001876E4" w:rsidTr="00947D11">
        <w:trPr>
          <w:trHeight w:val="283"/>
          <w:jc w:val="center"/>
        </w:trPr>
        <w:tc>
          <w:tcPr>
            <w:tcW w:w="2689"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16"/>
                <w:szCs w:val="16"/>
              </w:rPr>
            </w:pPr>
            <w:r w:rsidRPr="001876E4">
              <w:rPr>
                <w:rFonts w:ascii="Arial" w:hAnsi="Arial" w:cs="Arial"/>
                <w:b/>
                <w:sz w:val="16"/>
                <w:szCs w:val="16"/>
              </w:rPr>
              <w:t>Total</w:t>
            </w:r>
          </w:p>
        </w:tc>
        <w:tc>
          <w:tcPr>
            <w:tcW w:w="113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96,768,972</w:t>
            </w:r>
          </w:p>
        </w:tc>
        <w:tc>
          <w:tcPr>
            <w:tcW w:w="12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97,367,057</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97,247,188</w:t>
            </w:r>
          </w:p>
        </w:tc>
        <w:tc>
          <w:tcPr>
            <w:tcW w:w="1218"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97,478,456</w:t>
            </w:r>
          </w:p>
        </w:tc>
        <w:tc>
          <w:tcPr>
            <w:tcW w:w="121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388,862,673</w:t>
            </w:r>
          </w:p>
        </w:tc>
      </w:tr>
    </w:tbl>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spacing w:after="0" w:line="240" w:lineRule="auto"/>
        <w:ind w:left="567" w:hanging="567"/>
        <w:jc w:val="both"/>
        <w:rPr>
          <w:rFonts w:ascii="Arial" w:eastAsia="Times New Roman" w:hAnsi="Arial" w:cs="Arial"/>
          <w:color w:val="000000"/>
          <w:sz w:val="24"/>
          <w:szCs w:val="24"/>
          <w:lang w:val="es-ES" w:eastAsia="es-ES"/>
        </w:rPr>
      </w:pPr>
      <w:r w:rsidRPr="001876E4">
        <w:rPr>
          <w:rFonts w:ascii="Arial" w:eastAsia="Times New Roman" w:hAnsi="Arial" w:cs="Arial"/>
          <w:color w:val="000000"/>
          <w:sz w:val="24"/>
          <w:szCs w:val="24"/>
          <w:lang w:val="es-ES" w:eastAsia="es-ES"/>
        </w:rPr>
        <w:t>I.</w:t>
      </w:r>
      <w:r w:rsidRPr="001876E4">
        <w:rPr>
          <w:rFonts w:ascii="Arial" w:eastAsia="Times New Roman" w:hAnsi="Arial" w:cs="Arial"/>
          <w:color w:val="000000"/>
          <w:sz w:val="24"/>
          <w:szCs w:val="24"/>
          <w:lang w:val="es-ES" w:eastAsia="es-ES"/>
        </w:rPr>
        <w:tab/>
        <w:t xml:space="preserve">El saldo neto de la Deuda Pública Directa del Gobierno del Estado de Colima al 30 de septiembre de 2017, es de un total de </w:t>
      </w:r>
      <w:r w:rsidRPr="001876E4">
        <w:rPr>
          <w:rFonts w:ascii="Arial" w:eastAsia="Times New Roman" w:hAnsi="Arial" w:cs="Arial"/>
          <w:b/>
          <w:color w:val="000000"/>
          <w:sz w:val="24"/>
          <w:szCs w:val="24"/>
          <w:lang w:val="es-ES" w:eastAsia="es-ES"/>
        </w:rPr>
        <w:t>$ 2,650,773,458</w:t>
      </w:r>
      <w:r w:rsidRPr="001876E4">
        <w:rPr>
          <w:rFonts w:ascii="Arial" w:eastAsia="Times New Roman" w:hAnsi="Arial" w:cs="Arial"/>
          <w:color w:val="000000"/>
          <w:sz w:val="24"/>
          <w:szCs w:val="24"/>
          <w:lang w:val="es-ES" w:eastAsia="es-ES"/>
        </w:rPr>
        <w:t>.</w:t>
      </w:r>
    </w:p>
    <w:p w:rsidR="001876E4" w:rsidRPr="001876E4" w:rsidRDefault="001876E4" w:rsidP="001876E4">
      <w:pPr>
        <w:spacing w:after="0" w:line="240" w:lineRule="auto"/>
        <w:ind w:left="567" w:hanging="567"/>
        <w:jc w:val="both"/>
        <w:rPr>
          <w:rFonts w:ascii="Arial" w:eastAsia="Times New Roman" w:hAnsi="Arial" w:cs="Arial"/>
          <w:color w:val="000000"/>
          <w:sz w:val="24"/>
          <w:szCs w:val="24"/>
          <w:lang w:val="es-ES" w:eastAsia="es-ES"/>
        </w:rPr>
      </w:pPr>
    </w:p>
    <w:p w:rsidR="001876E4" w:rsidRPr="001876E4" w:rsidRDefault="001876E4" w:rsidP="001876E4">
      <w:pPr>
        <w:spacing w:after="0" w:line="240" w:lineRule="auto"/>
        <w:ind w:left="567"/>
        <w:jc w:val="both"/>
        <w:rPr>
          <w:rFonts w:ascii="Arial" w:eastAsia="Times New Roman" w:hAnsi="Arial" w:cs="Arial"/>
          <w:color w:val="000000"/>
          <w:sz w:val="24"/>
          <w:szCs w:val="24"/>
          <w:lang w:val="es-ES" w:eastAsia="es-ES"/>
        </w:rPr>
      </w:pPr>
      <w:r w:rsidRPr="001876E4">
        <w:rPr>
          <w:rFonts w:ascii="Arial" w:eastAsia="Times New Roman" w:hAnsi="Arial" w:cs="Arial"/>
          <w:color w:val="000000"/>
          <w:sz w:val="24"/>
          <w:szCs w:val="24"/>
          <w:lang w:val="es-ES" w:eastAsia="es-ES"/>
        </w:rPr>
        <w:t>No incluye el saldo de los créditos contratados bajo el esquema de bono cupón cero, ya que el Estado no tiene la obligación contractual de amortizar el capital, únicamente los intereses durante la vida del crédito.</w:t>
      </w:r>
    </w:p>
    <w:p w:rsidR="001876E4" w:rsidRPr="001876E4" w:rsidRDefault="001876E4" w:rsidP="001876E4">
      <w:pPr>
        <w:spacing w:after="0" w:line="240" w:lineRule="auto"/>
        <w:ind w:left="567"/>
        <w:jc w:val="both"/>
        <w:rPr>
          <w:rFonts w:ascii="Arial" w:eastAsia="Times New Roman" w:hAnsi="Arial" w:cs="Arial"/>
          <w:color w:val="000000"/>
          <w:sz w:val="24"/>
          <w:szCs w:val="24"/>
          <w:lang w:val="es-ES" w:eastAsia="es-ES"/>
        </w:rPr>
      </w:pPr>
    </w:p>
    <w:p w:rsidR="001876E4" w:rsidRPr="001876E4" w:rsidRDefault="001876E4" w:rsidP="001876E4">
      <w:pPr>
        <w:spacing w:after="0" w:line="240" w:lineRule="auto"/>
        <w:ind w:left="567"/>
        <w:jc w:val="both"/>
        <w:rPr>
          <w:rFonts w:ascii="Arial" w:eastAsia="Times New Roman" w:hAnsi="Arial" w:cs="Arial"/>
          <w:color w:val="000000"/>
          <w:sz w:val="24"/>
          <w:szCs w:val="24"/>
          <w:lang w:val="es-ES" w:eastAsia="es-ES"/>
        </w:rPr>
      </w:pPr>
      <w:r w:rsidRPr="001876E4">
        <w:rPr>
          <w:rFonts w:ascii="Arial" w:eastAsia="Times New Roman" w:hAnsi="Arial" w:cs="Arial"/>
          <w:color w:val="000000"/>
          <w:sz w:val="24"/>
          <w:szCs w:val="24"/>
          <w:lang w:val="es-ES" w:eastAsia="es-ES"/>
        </w:rPr>
        <w:t>El desglose de la Deuda Pública Directa por institución acreedora, tipo de instrumento, monto contratado, monto dispuesto, saldo insoluto, número de crédito, tasa de interés anual, fechas de suscripción, de vencimiento y garantías es de la siguiente forma:</w:t>
      </w: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43. Deuda Pública Directa (Saldos)</w:t>
      </w: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Saldos al 30 de septiembre de 2017</w:t>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r w:rsidRPr="001876E4">
        <w:rPr>
          <w:rFonts w:ascii="Arial" w:eastAsia="Times New Roman" w:hAnsi="Arial" w:cs="Times New Roman"/>
          <w:b/>
          <w:szCs w:val="26"/>
          <w:lang w:val="es-ES" w:eastAsia="en-US"/>
        </w:rPr>
        <w:tab/>
      </w:r>
    </w:p>
    <w:tbl>
      <w:tblPr>
        <w:tblW w:w="10035" w:type="dxa"/>
        <w:jc w:val="center"/>
        <w:tblCellMar>
          <w:left w:w="70" w:type="dxa"/>
          <w:right w:w="70" w:type="dxa"/>
        </w:tblCellMar>
        <w:tblLook w:val="04A0" w:firstRow="1" w:lastRow="0" w:firstColumn="1" w:lastColumn="0" w:noHBand="0" w:noVBand="1"/>
      </w:tblPr>
      <w:tblGrid>
        <w:gridCol w:w="1092"/>
        <w:gridCol w:w="1030"/>
        <w:gridCol w:w="1164"/>
        <w:gridCol w:w="1164"/>
        <w:gridCol w:w="864"/>
        <w:gridCol w:w="993"/>
        <w:gridCol w:w="1056"/>
        <w:gridCol w:w="1092"/>
        <w:gridCol w:w="1225"/>
        <w:gridCol w:w="709"/>
      </w:tblGrid>
      <w:tr w:rsidR="001876E4" w:rsidRPr="001876E4" w:rsidTr="00947D11">
        <w:trPr>
          <w:trHeight w:val="555"/>
          <w:jc w:val="center"/>
        </w:trPr>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Acreedor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Monto Contratado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Monto Dispuesto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Saldo Insoluto</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Número de Crédito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Tasa de Interés Contratada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Fecha de Suscripción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Fecha de Vencimiento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Garantía y/o Fuente de Pago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Tipo de Crédito</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Banobras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502,012,500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498,054,065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414,932,690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7225, 7226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TIIE+ 0.27%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jun-08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jun-33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Participaciones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Simple</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Banobras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251,006,250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230,812,383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198,915,261</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7271, 7272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Fija 9.81%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jun-08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jun-33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Participaciones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Simple</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Banorte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19,457,184</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8560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TIIE + 2.5%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ago-09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ago-19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Participaciones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Simple</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lastRenderedPageBreak/>
              <w:t>Banorte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900,000,000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900,000,000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816,343,467</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45523370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TIIE+1.25%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dic-11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dic-31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Participaciones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Simple</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Banobras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660,700,000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660,700,000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578,112,500</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11149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TIIE+0.87%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sep-13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sep-38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Participaciones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Simple</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Interacciones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638,000,000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638,000,000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623,012,356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430259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TIIE+3.60%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dic-15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dic-35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En trámite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Simple</w:t>
            </w:r>
          </w:p>
        </w:tc>
      </w:tr>
      <w:tr w:rsidR="001876E4" w:rsidRPr="001876E4" w:rsidTr="00947D11">
        <w:trPr>
          <w:trHeight w:val="315"/>
          <w:jc w:val="center"/>
        </w:trPr>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Total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6"/>
                <w:szCs w:val="16"/>
              </w:rPr>
            </w:pPr>
            <w:r w:rsidRPr="001876E4">
              <w:rPr>
                <w:rFonts w:ascii="Arial" w:hAnsi="Arial" w:cs="Arial"/>
                <w:b/>
                <w:bCs/>
                <w:color w:val="000000"/>
                <w:sz w:val="16"/>
                <w:szCs w:val="16"/>
              </w:rPr>
              <w:t>3,027,566,448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hAnsi="Arial" w:cs="Arial"/>
                <w:b/>
                <w:bCs/>
                <w:color w:val="000000"/>
                <w:sz w:val="16"/>
                <w:szCs w:val="16"/>
              </w:rPr>
            </w:pPr>
            <w:r w:rsidRPr="001876E4">
              <w:rPr>
                <w:rFonts w:ascii="Arial" w:hAnsi="Arial" w:cs="Arial"/>
                <w:b/>
                <w:bCs/>
                <w:color w:val="000000"/>
                <w:sz w:val="16"/>
                <w:szCs w:val="16"/>
              </w:rPr>
              <w:t>2,650,773,458</w:t>
            </w:r>
          </w:p>
        </w:tc>
        <w:tc>
          <w:tcPr>
            <w:tcW w:w="568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 </w:t>
            </w:r>
          </w:p>
        </w:tc>
      </w:tr>
    </w:tbl>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tabs>
          <w:tab w:val="left" w:pos="567"/>
        </w:tabs>
        <w:spacing w:after="0" w:line="240" w:lineRule="auto"/>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II.</w:t>
      </w:r>
      <w:r w:rsidRPr="001876E4">
        <w:rPr>
          <w:rFonts w:ascii="Arial" w:eastAsia="Times New Roman" w:hAnsi="Arial" w:cs="Arial"/>
          <w:sz w:val="24"/>
          <w:szCs w:val="24"/>
          <w:lang w:val="es-ES" w:eastAsia="es-ES"/>
        </w:rPr>
        <w:tab/>
        <w:t>El destino de los créditos vigentes es el siguiente:</w:t>
      </w: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44. Destino de los Créditos Vigentes</w:t>
      </w:r>
    </w:p>
    <w:tbl>
      <w:tblPr>
        <w:tblW w:w="90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3119"/>
        <w:gridCol w:w="1776"/>
      </w:tblGrid>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eastAsia="Times New Roman" w:hAnsi="Arial" w:cs="Arial"/>
                <w:b/>
                <w:bCs/>
                <w:color w:val="000000"/>
                <w:sz w:val="18"/>
                <w:szCs w:val="18"/>
                <w:lang w:val="es-ES" w:eastAsia="es-ES"/>
              </w:rPr>
              <w:t>Decreto Aprobatorio</w:t>
            </w:r>
          </w:p>
        </w:tc>
        <w:tc>
          <w:tcPr>
            <w:tcW w:w="311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eastAsia="Times New Roman" w:hAnsi="Arial" w:cs="Arial"/>
                <w:b/>
                <w:bCs/>
                <w:color w:val="000000"/>
                <w:sz w:val="18"/>
                <w:szCs w:val="18"/>
                <w:lang w:eastAsia="es-ES"/>
              </w:rPr>
              <w:t>Crédito</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lang w:val="es-ES" w:eastAsia="es-ES"/>
              </w:rPr>
            </w:pPr>
            <w:r w:rsidRPr="001876E4">
              <w:rPr>
                <w:rFonts w:ascii="Arial" w:eastAsia="Times New Roman" w:hAnsi="Arial" w:cs="Arial"/>
                <w:b/>
                <w:bCs/>
                <w:color w:val="000000"/>
                <w:sz w:val="18"/>
                <w:szCs w:val="18"/>
                <w:lang w:eastAsia="es-ES"/>
              </w:rPr>
              <w:t>Destino</w:t>
            </w:r>
          </w:p>
        </w:tc>
      </w:tr>
      <w:tr w:rsidR="001876E4" w:rsidRPr="001876E4" w:rsidTr="00947D11">
        <w:trPr>
          <w:trHeight w:val="300"/>
        </w:trPr>
        <w:tc>
          <w:tcPr>
            <w:tcW w:w="4111" w:type="dxa"/>
            <w:shd w:val="clear" w:color="auto" w:fill="auto"/>
            <w:noWrap/>
            <w:vAlign w:val="center"/>
          </w:tcPr>
          <w:p w:rsidR="001876E4" w:rsidRPr="001876E4" w:rsidRDefault="001876E4" w:rsidP="001876E4">
            <w:pPr>
              <w:spacing w:after="0" w:line="240" w:lineRule="auto"/>
              <w:rPr>
                <w:rFonts w:ascii="Arial" w:eastAsia="Times New Roman" w:hAnsi="Arial" w:cs="Arial"/>
                <w:b/>
                <w:color w:val="000000"/>
                <w:sz w:val="18"/>
                <w:szCs w:val="18"/>
                <w:lang w:val="es-ES" w:eastAsia="es-ES"/>
              </w:rPr>
            </w:pPr>
            <w:r w:rsidRPr="001876E4">
              <w:rPr>
                <w:rFonts w:ascii="Arial" w:eastAsia="Times New Roman" w:hAnsi="Arial" w:cs="Arial"/>
                <w:b/>
                <w:color w:val="000000"/>
                <w:sz w:val="18"/>
                <w:szCs w:val="18"/>
                <w:lang w:val="es-ES" w:eastAsia="es-ES"/>
              </w:rPr>
              <w:t>Deuda Pública</w:t>
            </w:r>
          </w:p>
        </w:tc>
        <w:tc>
          <w:tcPr>
            <w:tcW w:w="3119" w:type="dxa"/>
            <w:shd w:val="clear" w:color="auto" w:fill="auto"/>
            <w:noWrap/>
            <w:vAlign w:val="center"/>
          </w:tcPr>
          <w:p w:rsidR="001876E4" w:rsidRPr="001876E4" w:rsidRDefault="001876E4" w:rsidP="001876E4">
            <w:pPr>
              <w:spacing w:after="0" w:line="240" w:lineRule="auto"/>
              <w:rPr>
                <w:rFonts w:ascii="Arial" w:eastAsia="Times New Roman" w:hAnsi="Arial" w:cs="Arial"/>
                <w:b/>
                <w:color w:val="000000"/>
                <w:sz w:val="18"/>
                <w:szCs w:val="18"/>
                <w:lang w:eastAsia="es-ES"/>
              </w:rPr>
            </w:pPr>
          </w:p>
        </w:tc>
        <w:tc>
          <w:tcPr>
            <w:tcW w:w="1776"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b/>
                <w:color w:val="000000"/>
                <w:sz w:val="18"/>
                <w:szCs w:val="18"/>
                <w:lang w:eastAsia="es-ES"/>
              </w:rPr>
            </w:pP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229 de fecha 22 marzo 2008</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Crédito Banobras 7225 y 7226</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Refinanciamiento e Inversión Pública</w:t>
            </w: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229 de fecha 22 marzo 2008</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Crédito Banobras 7271 y 7272</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Refinanciamiento</w:t>
            </w: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121 de fecha 26 junio 2013</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Crédito Banobras 11149</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Refinanciamiento</w:t>
            </w: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425 de fecha 29 noviembre de 2008</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Crédito Banorte 34228560</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Inversión Pública</w:t>
            </w: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411 de fecha 26 noviembre de 2011</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Crédito Banorte 45523370</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Inversión Pública</w:t>
            </w: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565 de fecha 22 septiembre de 2015</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Crédito Interacciones 430259</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eastAsia="es-ES"/>
              </w:rPr>
            </w:pPr>
            <w:r w:rsidRPr="001876E4">
              <w:rPr>
                <w:rFonts w:ascii="Arial" w:eastAsia="Times New Roman" w:hAnsi="Arial" w:cs="Arial"/>
                <w:color w:val="000000"/>
                <w:sz w:val="18"/>
                <w:szCs w:val="18"/>
                <w:lang w:eastAsia="es-ES"/>
              </w:rPr>
              <w:t>Refinanciamiento</w:t>
            </w:r>
          </w:p>
        </w:tc>
      </w:tr>
      <w:tr w:rsidR="001876E4" w:rsidRPr="001876E4" w:rsidTr="00947D11">
        <w:trPr>
          <w:trHeight w:val="300"/>
        </w:trPr>
        <w:tc>
          <w:tcPr>
            <w:tcW w:w="4111" w:type="dxa"/>
            <w:shd w:val="clear" w:color="auto" w:fill="auto"/>
            <w:noWrap/>
            <w:vAlign w:val="center"/>
          </w:tcPr>
          <w:p w:rsidR="001876E4" w:rsidRPr="001876E4" w:rsidRDefault="001876E4" w:rsidP="001876E4">
            <w:pPr>
              <w:spacing w:after="0" w:line="240" w:lineRule="auto"/>
              <w:rPr>
                <w:rFonts w:ascii="Arial" w:eastAsia="Times New Roman" w:hAnsi="Arial" w:cs="Arial"/>
                <w:b/>
                <w:color w:val="000000"/>
                <w:sz w:val="18"/>
                <w:szCs w:val="18"/>
                <w:lang w:val="es-ES" w:eastAsia="es-ES"/>
              </w:rPr>
            </w:pPr>
            <w:r w:rsidRPr="001876E4">
              <w:rPr>
                <w:rFonts w:ascii="Arial" w:eastAsia="Times New Roman" w:hAnsi="Arial" w:cs="Arial"/>
                <w:b/>
                <w:color w:val="000000"/>
                <w:sz w:val="18"/>
                <w:szCs w:val="18"/>
                <w:lang w:val="es-ES" w:eastAsia="es-ES"/>
              </w:rPr>
              <w:t>Cupón Cero</w:t>
            </w:r>
          </w:p>
        </w:tc>
        <w:tc>
          <w:tcPr>
            <w:tcW w:w="3119" w:type="dxa"/>
            <w:shd w:val="clear" w:color="auto" w:fill="auto"/>
            <w:noWrap/>
            <w:vAlign w:val="center"/>
          </w:tcPr>
          <w:p w:rsidR="001876E4" w:rsidRPr="001876E4" w:rsidRDefault="001876E4" w:rsidP="001876E4">
            <w:pPr>
              <w:spacing w:after="0" w:line="240" w:lineRule="auto"/>
              <w:rPr>
                <w:rFonts w:ascii="Arial" w:eastAsia="Times New Roman" w:hAnsi="Arial" w:cs="Arial"/>
                <w:b/>
                <w:color w:val="000000"/>
                <w:sz w:val="18"/>
                <w:szCs w:val="18"/>
                <w:lang w:val="es-ES" w:eastAsia="es-ES"/>
              </w:rPr>
            </w:pPr>
          </w:p>
        </w:tc>
        <w:tc>
          <w:tcPr>
            <w:tcW w:w="1776"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b/>
                <w:color w:val="000000"/>
                <w:sz w:val="18"/>
                <w:szCs w:val="18"/>
                <w:lang w:eastAsia="es-ES"/>
              </w:rPr>
            </w:pP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410 de fecha 26 noviembre de 2011</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Intereses Banobras 10487</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Inversión Pública</w:t>
            </w:r>
          </w:p>
        </w:tc>
      </w:tr>
      <w:tr w:rsidR="001876E4" w:rsidRPr="001876E4" w:rsidTr="00947D11">
        <w:trPr>
          <w:trHeight w:val="300"/>
        </w:trPr>
        <w:tc>
          <w:tcPr>
            <w:tcW w:w="4111"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val="es-ES" w:eastAsia="es-ES"/>
              </w:rPr>
              <w:t>Decreto No. 120 de fecha 26 junio 2013</w:t>
            </w:r>
          </w:p>
        </w:tc>
        <w:tc>
          <w:tcPr>
            <w:tcW w:w="3119"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Intereses Banobras 11126 y 111282</w:t>
            </w:r>
          </w:p>
        </w:tc>
        <w:tc>
          <w:tcPr>
            <w:tcW w:w="1776"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lang w:val="es-ES" w:eastAsia="es-ES"/>
              </w:rPr>
            </w:pPr>
            <w:r w:rsidRPr="001876E4">
              <w:rPr>
                <w:rFonts w:ascii="Arial" w:eastAsia="Times New Roman" w:hAnsi="Arial" w:cs="Arial"/>
                <w:color w:val="000000"/>
                <w:sz w:val="18"/>
                <w:szCs w:val="18"/>
                <w:lang w:eastAsia="es-ES"/>
              </w:rPr>
              <w:t>Inversión Pública</w:t>
            </w:r>
          </w:p>
        </w:tc>
      </w:tr>
    </w:tbl>
    <w:p w:rsidR="001876E4" w:rsidRPr="001876E4" w:rsidRDefault="001876E4" w:rsidP="001876E4">
      <w:pPr>
        <w:tabs>
          <w:tab w:val="left" w:pos="567"/>
        </w:tabs>
        <w:spacing w:after="0" w:line="240" w:lineRule="auto"/>
        <w:ind w:left="567" w:hanging="567"/>
        <w:jc w:val="both"/>
        <w:rPr>
          <w:rFonts w:ascii="Arial" w:eastAsia="Times New Roman" w:hAnsi="Arial" w:cs="Arial"/>
          <w:sz w:val="24"/>
          <w:szCs w:val="24"/>
          <w:lang w:val="es-ES" w:eastAsia="es-ES"/>
        </w:rPr>
      </w:pPr>
    </w:p>
    <w:p w:rsidR="001876E4" w:rsidRPr="001876E4" w:rsidRDefault="001876E4" w:rsidP="001876E4">
      <w:pPr>
        <w:tabs>
          <w:tab w:val="left" w:pos="567"/>
        </w:tabs>
        <w:spacing w:after="0" w:line="240" w:lineRule="auto"/>
        <w:ind w:left="567" w:hanging="567"/>
        <w:jc w:val="both"/>
        <w:rPr>
          <w:rFonts w:ascii="Arial" w:eastAsia="Times New Roman" w:hAnsi="Arial" w:cs="Arial"/>
          <w:sz w:val="24"/>
          <w:szCs w:val="24"/>
          <w:lang w:val="es-ES" w:eastAsia="es-ES"/>
        </w:rPr>
      </w:pPr>
    </w:p>
    <w:p w:rsidR="001876E4" w:rsidRPr="001876E4" w:rsidRDefault="001876E4" w:rsidP="001876E4">
      <w:pPr>
        <w:tabs>
          <w:tab w:val="left" w:pos="567"/>
        </w:tabs>
        <w:spacing w:after="0" w:line="240" w:lineRule="auto"/>
        <w:ind w:left="567" w:hanging="567"/>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III.</w:t>
      </w:r>
      <w:r w:rsidRPr="001876E4">
        <w:rPr>
          <w:rFonts w:ascii="Arial" w:eastAsia="Times New Roman" w:hAnsi="Arial" w:cs="Arial"/>
          <w:sz w:val="24"/>
          <w:szCs w:val="24"/>
          <w:lang w:val="es-ES" w:eastAsia="es-ES"/>
        </w:rPr>
        <w:tab/>
        <w:t>El monto estimado para el pago de honorarios por administración de Fideicomisos relacionados con la Deuda Pública es el siguiente:</w:t>
      </w: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45. Erogaciones Previstas para Deuda Pública </w:t>
      </w:r>
      <w:r w:rsidRPr="001876E4">
        <w:rPr>
          <w:rFonts w:ascii="Arial" w:eastAsia="Times New Roman" w:hAnsi="Arial" w:cs="Times New Roman"/>
          <w:b/>
          <w:szCs w:val="26"/>
          <w:lang w:val="es-ES" w:eastAsia="en-US"/>
        </w:rPr>
        <w:br/>
        <w:t>(Fideicomisos de Administración y/o Fuente de Pago)</w:t>
      </w:r>
    </w:p>
    <w:tbl>
      <w:tblPr>
        <w:tblStyle w:val="Tablaconcuadrcula2"/>
        <w:tblW w:w="0" w:type="auto"/>
        <w:jc w:val="center"/>
        <w:tblLook w:val="04A0" w:firstRow="1" w:lastRow="0" w:firstColumn="1" w:lastColumn="0" w:noHBand="0" w:noVBand="1"/>
      </w:tblPr>
      <w:tblGrid>
        <w:gridCol w:w="3177"/>
        <w:gridCol w:w="2782"/>
        <w:gridCol w:w="1701"/>
      </w:tblGrid>
      <w:tr w:rsidR="001876E4" w:rsidRPr="001876E4" w:rsidTr="00947D11">
        <w:trPr>
          <w:trHeight w:val="375"/>
          <w:jc w:val="center"/>
        </w:trPr>
        <w:tc>
          <w:tcPr>
            <w:tcW w:w="317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Fiduciario</w:t>
            </w:r>
          </w:p>
        </w:tc>
        <w:tc>
          <w:tcPr>
            <w:tcW w:w="2782"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Número de identificación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Monto</w:t>
            </w:r>
          </w:p>
        </w:tc>
      </w:tr>
      <w:tr w:rsidR="001876E4" w:rsidRPr="001876E4" w:rsidTr="00947D11">
        <w:trPr>
          <w:trHeight w:val="300"/>
          <w:jc w:val="center"/>
        </w:trPr>
        <w:tc>
          <w:tcPr>
            <w:tcW w:w="3177"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Banco Santander México S.A.</w:t>
            </w:r>
          </w:p>
        </w:tc>
        <w:tc>
          <w:tcPr>
            <w:tcW w:w="2782"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 xml:space="preserve"> F/2112337 </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835,200 </w:t>
            </w:r>
          </w:p>
        </w:tc>
      </w:tr>
      <w:tr w:rsidR="001876E4" w:rsidRPr="001876E4" w:rsidTr="00947D11">
        <w:trPr>
          <w:trHeight w:val="300"/>
          <w:jc w:val="center"/>
        </w:trPr>
        <w:tc>
          <w:tcPr>
            <w:tcW w:w="3177"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Banco Invex S.A.</w:t>
            </w:r>
          </w:p>
        </w:tc>
        <w:tc>
          <w:tcPr>
            <w:tcW w:w="2782"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 xml:space="preserve"> F/790 </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640,000 </w:t>
            </w:r>
          </w:p>
        </w:tc>
      </w:tr>
      <w:tr w:rsidR="001876E4" w:rsidRPr="001876E4" w:rsidTr="00947D11">
        <w:trPr>
          <w:trHeight w:val="315"/>
          <w:jc w:val="center"/>
        </w:trPr>
        <w:tc>
          <w:tcPr>
            <w:tcW w:w="3177"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Banco Invex S.A.</w:t>
            </w:r>
          </w:p>
        </w:tc>
        <w:tc>
          <w:tcPr>
            <w:tcW w:w="2782"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 xml:space="preserve"> F/946 </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232,000 </w:t>
            </w:r>
          </w:p>
        </w:tc>
      </w:tr>
      <w:tr w:rsidR="001876E4" w:rsidRPr="001876E4" w:rsidTr="00947D11">
        <w:trPr>
          <w:trHeight w:val="222"/>
          <w:jc w:val="center"/>
        </w:trPr>
        <w:tc>
          <w:tcPr>
            <w:tcW w:w="5959" w:type="dxa"/>
            <w:gridSpan w:val="2"/>
            <w:tcBorders>
              <w:top w:val="single" w:sz="4" w:space="0" w:color="auto"/>
              <w:left w:val="single" w:sz="4" w:space="0" w:color="auto"/>
              <w:bottom w:val="single" w:sz="4" w:space="0" w:color="auto"/>
              <w:right w:val="single" w:sz="4" w:space="0" w:color="auto"/>
            </w:tcBorders>
            <w:noWrap/>
            <w:hideMark/>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Total  </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b/>
                <w:sz w:val="20"/>
                <w:szCs w:val="20"/>
                <w:lang w:eastAsia="es-ES"/>
              </w:rPr>
            </w:pPr>
            <w:r w:rsidRPr="001876E4">
              <w:rPr>
                <w:rFonts w:ascii="Arial" w:hAnsi="Arial" w:cs="Arial"/>
                <w:b/>
                <w:sz w:val="20"/>
                <w:szCs w:val="20"/>
                <w:lang w:eastAsia="es-ES"/>
              </w:rPr>
              <w:t>1,707,200</w:t>
            </w:r>
          </w:p>
        </w:tc>
      </w:tr>
    </w:tbl>
    <w:p w:rsidR="001876E4" w:rsidRPr="001876E4" w:rsidRDefault="001876E4" w:rsidP="001876E4">
      <w:pPr>
        <w:spacing w:after="0" w:line="240" w:lineRule="auto"/>
        <w:rPr>
          <w:rFonts w:ascii="Arial" w:eastAsia="Times New Roman" w:hAnsi="Arial"/>
          <w:sz w:val="24"/>
          <w:lang w:val="es-ES" w:eastAsia="en-US"/>
        </w:rPr>
      </w:pPr>
    </w:p>
    <w:p w:rsidR="001876E4" w:rsidRPr="001876E4" w:rsidRDefault="001876E4" w:rsidP="001876E4">
      <w:pPr>
        <w:spacing w:after="0" w:line="240" w:lineRule="auto"/>
        <w:rPr>
          <w:rFonts w:ascii="Arial" w:eastAsia="Times New Roman"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46. Erogaciones Previstas para Deuda Pública </w:t>
      </w:r>
      <w:r w:rsidRPr="001876E4">
        <w:rPr>
          <w:rFonts w:ascii="Arial" w:eastAsia="Times New Roman" w:hAnsi="Arial" w:cs="Times New Roman"/>
          <w:b/>
          <w:szCs w:val="26"/>
          <w:lang w:val="es-ES" w:eastAsia="en-US"/>
        </w:rPr>
        <w:br/>
        <w:t>(Calificaciones Crediticias)</w:t>
      </w:r>
    </w:p>
    <w:tbl>
      <w:tblPr>
        <w:tblStyle w:val="Tablaconcuadrcula2"/>
        <w:tblW w:w="0" w:type="auto"/>
        <w:jc w:val="center"/>
        <w:tblLook w:val="04A0" w:firstRow="1" w:lastRow="0" w:firstColumn="1" w:lastColumn="0" w:noHBand="0" w:noVBand="1"/>
      </w:tblPr>
      <w:tblGrid>
        <w:gridCol w:w="3266"/>
        <w:gridCol w:w="2693"/>
        <w:gridCol w:w="1701"/>
      </w:tblGrid>
      <w:tr w:rsidR="001876E4" w:rsidRPr="001876E4" w:rsidTr="00947D11">
        <w:trPr>
          <w:trHeight w:val="300"/>
          <w:jc w:val="center"/>
        </w:trPr>
        <w:tc>
          <w:tcPr>
            <w:tcW w:w="3266"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Tipo</w:t>
            </w:r>
          </w:p>
        </w:tc>
        <w:tc>
          <w:tcPr>
            <w:tcW w:w="269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ind w:left="-108"/>
              <w:jc w:val="center"/>
              <w:rPr>
                <w:rFonts w:ascii="Arial" w:hAnsi="Arial" w:cs="Arial"/>
                <w:b/>
                <w:sz w:val="20"/>
                <w:szCs w:val="20"/>
                <w:lang w:val="en-US" w:eastAsia="es-ES"/>
              </w:rPr>
            </w:pPr>
            <w:r w:rsidRPr="001876E4">
              <w:rPr>
                <w:rFonts w:ascii="Arial" w:hAnsi="Arial" w:cs="Arial"/>
                <w:b/>
                <w:sz w:val="20"/>
                <w:szCs w:val="20"/>
                <w:lang w:val="en-US" w:eastAsia="es-ES"/>
              </w:rPr>
              <w:t>Calificadora</w:t>
            </w:r>
          </w:p>
        </w:tc>
        <w:tc>
          <w:tcPr>
            <w:tcW w:w="170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20"/>
                <w:szCs w:val="20"/>
              </w:rPr>
            </w:pPr>
            <w:r w:rsidRPr="001876E4">
              <w:rPr>
                <w:rFonts w:ascii="Arial" w:hAnsi="Arial" w:cs="Arial"/>
                <w:b/>
                <w:sz w:val="20"/>
                <w:szCs w:val="20"/>
                <w:lang w:eastAsia="es-ES"/>
              </w:rPr>
              <w:t>Monto</w:t>
            </w:r>
          </w:p>
        </w:tc>
      </w:tr>
      <w:tr w:rsidR="001876E4" w:rsidRPr="001876E4" w:rsidTr="00947D11">
        <w:trPr>
          <w:trHeight w:val="300"/>
          <w:jc w:val="center"/>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lang w:eastAsia="es-ES"/>
              </w:rPr>
            </w:pPr>
            <w:r w:rsidRPr="001876E4">
              <w:rPr>
                <w:rFonts w:ascii="Arial" w:hAnsi="Arial" w:cs="Arial"/>
                <w:sz w:val="20"/>
                <w:szCs w:val="20"/>
                <w:lang w:eastAsia="es-ES"/>
              </w:rPr>
              <w:lastRenderedPageBreak/>
              <w:t>Calificaciones Quirografarias</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108"/>
              <w:rPr>
                <w:rFonts w:ascii="Arial" w:hAnsi="Arial" w:cs="Arial"/>
                <w:sz w:val="20"/>
                <w:szCs w:val="20"/>
                <w:lang w:val="en-US" w:eastAsia="es-ES"/>
              </w:rPr>
            </w:pPr>
            <w:r w:rsidRPr="001876E4">
              <w:rPr>
                <w:rFonts w:ascii="Arial" w:hAnsi="Arial" w:cs="Arial"/>
                <w:sz w:val="20"/>
                <w:szCs w:val="20"/>
                <w:lang w:val="en-US" w:eastAsia="es-ES"/>
              </w:rPr>
              <w:t xml:space="preserve"> Fitch Ratings &amp; HR Ratings </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szCs w:val="20"/>
              </w:rPr>
            </w:pPr>
            <w:r w:rsidRPr="001876E4">
              <w:rPr>
                <w:rFonts w:ascii="Arial" w:hAnsi="Arial" w:cs="Arial"/>
                <w:sz w:val="20"/>
                <w:szCs w:val="20"/>
                <w:lang w:val="en-US"/>
              </w:rPr>
              <w:t xml:space="preserve"> </w:t>
            </w:r>
            <w:r w:rsidRPr="001876E4">
              <w:rPr>
                <w:rFonts w:ascii="Arial" w:hAnsi="Arial" w:cs="Arial"/>
                <w:sz w:val="20"/>
                <w:szCs w:val="20"/>
              </w:rPr>
              <w:t xml:space="preserve">650,000 </w:t>
            </w:r>
          </w:p>
        </w:tc>
      </w:tr>
      <w:tr w:rsidR="001876E4" w:rsidRPr="001876E4" w:rsidTr="00947D11">
        <w:trPr>
          <w:trHeight w:val="315"/>
          <w:jc w:val="center"/>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lang w:eastAsia="es-ES"/>
              </w:rPr>
            </w:pPr>
            <w:r w:rsidRPr="001876E4">
              <w:rPr>
                <w:rFonts w:ascii="Arial" w:hAnsi="Arial" w:cs="Arial"/>
                <w:sz w:val="20"/>
                <w:szCs w:val="20"/>
                <w:lang w:eastAsia="es-ES"/>
              </w:rPr>
              <w:t>Calificaciones Estructuradas</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108"/>
              <w:rPr>
                <w:rFonts w:ascii="Arial" w:hAnsi="Arial" w:cs="Arial"/>
                <w:sz w:val="20"/>
                <w:szCs w:val="20"/>
                <w:lang w:eastAsia="es-ES"/>
              </w:rPr>
            </w:pPr>
            <w:r w:rsidRPr="001876E4">
              <w:rPr>
                <w:rFonts w:ascii="Arial" w:hAnsi="Arial" w:cs="Arial"/>
                <w:sz w:val="20"/>
                <w:szCs w:val="20"/>
                <w:lang w:eastAsia="es-ES"/>
              </w:rPr>
              <w:t xml:space="preserve"> Fitch Ratings  </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900,000 </w:t>
            </w:r>
          </w:p>
        </w:tc>
      </w:tr>
      <w:tr w:rsidR="001876E4" w:rsidRPr="001876E4" w:rsidTr="00947D11">
        <w:trPr>
          <w:trHeight w:val="254"/>
          <w:jc w:val="center"/>
        </w:trPr>
        <w:tc>
          <w:tcPr>
            <w:tcW w:w="5959" w:type="dxa"/>
            <w:gridSpan w:val="2"/>
            <w:tcBorders>
              <w:top w:val="single" w:sz="4" w:space="0" w:color="auto"/>
              <w:left w:val="single" w:sz="4" w:space="0" w:color="auto"/>
              <w:bottom w:val="single" w:sz="4" w:space="0" w:color="auto"/>
              <w:right w:val="single" w:sz="4" w:space="0" w:color="auto"/>
            </w:tcBorders>
            <w:noWrap/>
            <w:hideMark/>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Total</w:t>
            </w:r>
          </w:p>
        </w:tc>
        <w:tc>
          <w:tcPr>
            <w:tcW w:w="170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 xml:space="preserve"> 1,550,000 </w:t>
            </w:r>
          </w:p>
        </w:tc>
      </w:tr>
    </w:tbl>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 w:val="20"/>
          <w:szCs w:val="26"/>
          <w:lang w:val="es-ES" w:eastAsia="en-US"/>
        </w:rPr>
      </w:pPr>
      <w:r w:rsidRPr="001876E4">
        <w:rPr>
          <w:rFonts w:ascii="Arial" w:eastAsia="Times New Roman" w:hAnsi="Arial" w:cs="Times New Roman"/>
          <w:b/>
          <w:sz w:val="20"/>
          <w:szCs w:val="26"/>
          <w:lang w:val="es-ES" w:eastAsia="en-US"/>
        </w:rPr>
        <w:t xml:space="preserve">Tabla 47. Erogaciones Previstas para Deuda Pública </w:t>
      </w:r>
      <w:r w:rsidRPr="001876E4">
        <w:rPr>
          <w:rFonts w:ascii="Arial" w:eastAsia="Times New Roman" w:hAnsi="Arial" w:cs="Times New Roman"/>
          <w:b/>
          <w:sz w:val="20"/>
          <w:szCs w:val="26"/>
          <w:lang w:val="es-ES" w:eastAsia="en-US"/>
        </w:rPr>
        <w:br/>
        <w:t>(Arrendamiento Puro)</w:t>
      </w:r>
    </w:p>
    <w:tbl>
      <w:tblPr>
        <w:tblStyle w:val="Tablaconcuadrcula2"/>
        <w:tblW w:w="0" w:type="auto"/>
        <w:jc w:val="center"/>
        <w:tblLook w:val="04A0" w:firstRow="1" w:lastRow="0" w:firstColumn="1" w:lastColumn="0" w:noHBand="0" w:noVBand="1"/>
      </w:tblPr>
      <w:tblGrid>
        <w:gridCol w:w="2411"/>
        <w:gridCol w:w="3827"/>
        <w:gridCol w:w="1422"/>
      </w:tblGrid>
      <w:tr w:rsidR="001876E4" w:rsidRPr="001876E4" w:rsidTr="00947D11">
        <w:trPr>
          <w:trHeight w:val="330"/>
          <w:jc w:val="center"/>
        </w:trPr>
        <w:tc>
          <w:tcPr>
            <w:tcW w:w="2411"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20"/>
              </w:rPr>
            </w:pPr>
            <w:r w:rsidRPr="001876E4">
              <w:rPr>
                <w:rFonts w:ascii="Arial" w:hAnsi="Arial" w:cs="Arial"/>
                <w:b/>
                <w:sz w:val="20"/>
              </w:rPr>
              <w:t>Fiduciario</w:t>
            </w:r>
          </w:p>
        </w:tc>
        <w:tc>
          <w:tcPr>
            <w:tcW w:w="382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20"/>
              </w:rPr>
            </w:pPr>
            <w:r w:rsidRPr="001876E4">
              <w:rPr>
                <w:rFonts w:ascii="Arial" w:hAnsi="Arial" w:cs="Arial"/>
                <w:b/>
                <w:sz w:val="20"/>
              </w:rPr>
              <w:t>Número de identificación</w:t>
            </w:r>
          </w:p>
        </w:tc>
        <w:tc>
          <w:tcPr>
            <w:tcW w:w="1422"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sz w:val="20"/>
              </w:rPr>
            </w:pPr>
            <w:r w:rsidRPr="001876E4">
              <w:rPr>
                <w:rFonts w:ascii="Arial" w:hAnsi="Arial" w:cs="Arial"/>
                <w:b/>
                <w:sz w:val="20"/>
              </w:rPr>
              <w:t>Monto</w:t>
            </w:r>
          </w:p>
        </w:tc>
      </w:tr>
      <w:tr w:rsidR="001876E4" w:rsidRPr="001876E4" w:rsidTr="00947D11">
        <w:trPr>
          <w:trHeight w:val="330"/>
          <w:jc w:val="center"/>
        </w:trPr>
        <w:tc>
          <w:tcPr>
            <w:tcW w:w="2411"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rPr>
            </w:pPr>
            <w:r w:rsidRPr="001876E4">
              <w:rPr>
                <w:rFonts w:ascii="Arial" w:hAnsi="Arial" w:cs="Arial"/>
                <w:sz w:val="20"/>
              </w:rPr>
              <w:t>Financiera Bajío S.A.</w:t>
            </w:r>
          </w:p>
        </w:tc>
        <w:tc>
          <w:tcPr>
            <w:tcW w:w="3827"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rPr>
            </w:pPr>
            <w:r w:rsidRPr="001876E4">
              <w:rPr>
                <w:rFonts w:ascii="Arial" w:hAnsi="Arial" w:cs="Arial"/>
                <w:sz w:val="20"/>
              </w:rPr>
              <w:t xml:space="preserve"> 2606-APPE-0001 y 2606-AP1PE-0001 </w:t>
            </w:r>
          </w:p>
        </w:tc>
        <w:tc>
          <w:tcPr>
            <w:tcW w:w="1422"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rPr>
            </w:pPr>
            <w:r w:rsidRPr="001876E4">
              <w:rPr>
                <w:rFonts w:ascii="Arial" w:hAnsi="Arial" w:cs="Arial"/>
                <w:sz w:val="20"/>
              </w:rPr>
              <w:t xml:space="preserve"> 2,532,543 </w:t>
            </w:r>
          </w:p>
        </w:tc>
      </w:tr>
      <w:tr w:rsidR="001876E4" w:rsidRPr="001876E4" w:rsidTr="00947D11">
        <w:trPr>
          <w:trHeight w:val="330"/>
          <w:jc w:val="center"/>
        </w:trPr>
        <w:tc>
          <w:tcPr>
            <w:tcW w:w="6238" w:type="dxa"/>
            <w:gridSpan w:val="2"/>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center"/>
              <w:rPr>
                <w:rFonts w:ascii="Arial" w:hAnsi="Arial" w:cs="Arial"/>
                <w:b/>
                <w:sz w:val="20"/>
              </w:rPr>
            </w:pPr>
            <w:r w:rsidRPr="001876E4">
              <w:rPr>
                <w:rFonts w:ascii="Arial" w:hAnsi="Arial" w:cs="Arial"/>
                <w:b/>
                <w:sz w:val="20"/>
              </w:rPr>
              <w:t>Total</w:t>
            </w:r>
          </w:p>
        </w:tc>
        <w:tc>
          <w:tcPr>
            <w:tcW w:w="1422"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b/>
                <w:sz w:val="20"/>
              </w:rPr>
            </w:pPr>
            <w:r w:rsidRPr="001876E4">
              <w:rPr>
                <w:rFonts w:ascii="Arial" w:hAnsi="Arial" w:cs="Arial"/>
                <w:b/>
                <w:sz w:val="20"/>
              </w:rPr>
              <w:t>2,532,543</w:t>
            </w:r>
          </w:p>
        </w:tc>
      </w:tr>
    </w:tbl>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48. Erogaciones Previstas para Deuda Pública </w:t>
      </w:r>
      <w:r w:rsidRPr="001876E4">
        <w:rPr>
          <w:rFonts w:ascii="Arial" w:eastAsia="Times New Roman" w:hAnsi="Arial" w:cs="Times New Roman"/>
          <w:b/>
          <w:szCs w:val="26"/>
          <w:lang w:val="es-ES" w:eastAsia="en-US"/>
        </w:rPr>
        <w:br/>
        <w:t>Coberturas de Tasa de Interés</w:t>
      </w:r>
    </w:p>
    <w:tbl>
      <w:tblPr>
        <w:tblStyle w:val="Tablaconcuadrcula2"/>
        <w:tblW w:w="0" w:type="auto"/>
        <w:jc w:val="center"/>
        <w:tblLook w:val="04A0" w:firstRow="1" w:lastRow="0" w:firstColumn="1" w:lastColumn="0" w:noHBand="0" w:noVBand="1"/>
      </w:tblPr>
      <w:tblGrid>
        <w:gridCol w:w="3266"/>
        <w:gridCol w:w="3114"/>
        <w:gridCol w:w="1280"/>
      </w:tblGrid>
      <w:tr w:rsidR="001876E4" w:rsidRPr="001876E4" w:rsidTr="00947D11">
        <w:trPr>
          <w:trHeight w:val="315"/>
          <w:jc w:val="center"/>
        </w:trPr>
        <w:tc>
          <w:tcPr>
            <w:tcW w:w="3266"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Tipo</w:t>
            </w:r>
          </w:p>
        </w:tc>
        <w:tc>
          <w:tcPr>
            <w:tcW w:w="3114"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Institución</w:t>
            </w:r>
          </w:p>
        </w:tc>
        <w:tc>
          <w:tcPr>
            <w:tcW w:w="1280"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 xml:space="preserve">Monto </w:t>
            </w:r>
          </w:p>
        </w:tc>
      </w:tr>
      <w:tr w:rsidR="001876E4" w:rsidRPr="001876E4" w:rsidTr="00947D11">
        <w:trPr>
          <w:trHeight w:val="315"/>
          <w:jc w:val="center"/>
        </w:trPr>
        <w:tc>
          <w:tcPr>
            <w:tcW w:w="3266"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Coberturas de Tasa de Interés</w:t>
            </w:r>
          </w:p>
        </w:tc>
        <w:tc>
          <w:tcPr>
            <w:tcW w:w="3114"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rPr>
                <w:rFonts w:ascii="Arial" w:hAnsi="Arial" w:cs="Arial"/>
                <w:sz w:val="20"/>
                <w:szCs w:val="20"/>
              </w:rPr>
            </w:pPr>
            <w:r w:rsidRPr="001876E4">
              <w:rPr>
                <w:rFonts w:ascii="Arial" w:hAnsi="Arial" w:cs="Arial"/>
                <w:sz w:val="20"/>
                <w:szCs w:val="20"/>
              </w:rPr>
              <w:t xml:space="preserve"> Créditos Banobras y Banorte  </w:t>
            </w:r>
          </w:p>
        </w:tc>
        <w:tc>
          <w:tcPr>
            <w:tcW w:w="1280"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sz w:val="20"/>
                <w:szCs w:val="20"/>
              </w:rPr>
            </w:pPr>
            <w:r w:rsidRPr="001876E4">
              <w:rPr>
                <w:rFonts w:ascii="Arial" w:hAnsi="Arial" w:cs="Arial"/>
                <w:sz w:val="20"/>
                <w:szCs w:val="20"/>
              </w:rPr>
              <w:t xml:space="preserve"> 1,600,000 </w:t>
            </w:r>
          </w:p>
        </w:tc>
      </w:tr>
      <w:tr w:rsidR="001876E4" w:rsidRPr="001876E4" w:rsidTr="00947D11">
        <w:trPr>
          <w:trHeight w:val="248"/>
          <w:jc w:val="center"/>
        </w:trPr>
        <w:tc>
          <w:tcPr>
            <w:tcW w:w="6380" w:type="dxa"/>
            <w:gridSpan w:val="2"/>
            <w:tcBorders>
              <w:top w:val="single" w:sz="4" w:space="0" w:color="auto"/>
              <w:left w:val="single" w:sz="4" w:space="0" w:color="auto"/>
              <w:bottom w:val="single" w:sz="4" w:space="0" w:color="auto"/>
              <w:right w:val="single" w:sz="4" w:space="0" w:color="auto"/>
            </w:tcBorders>
            <w:noWrap/>
            <w:hideMark/>
          </w:tcPr>
          <w:p w:rsidR="001876E4" w:rsidRPr="001876E4" w:rsidRDefault="001876E4" w:rsidP="001876E4">
            <w:pPr>
              <w:jc w:val="center"/>
              <w:rPr>
                <w:rFonts w:ascii="Arial" w:hAnsi="Arial" w:cs="Arial"/>
                <w:b/>
                <w:sz w:val="20"/>
                <w:szCs w:val="20"/>
                <w:lang w:eastAsia="es-ES"/>
              </w:rPr>
            </w:pPr>
            <w:r w:rsidRPr="001876E4">
              <w:rPr>
                <w:rFonts w:ascii="Arial" w:hAnsi="Arial" w:cs="Arial"/>
                <w:b/>
                <w:sz w:val="20"/>
                <w:szCs w:val="20"/>
                <w:lang w:eastAsia="es-ES"/>
              </w:rPr>
              <w:t>Total</w:t>
            </w:r>
          </w:p>
        </w:tc>
        <w:tc>
          <w:tcPr>
            <w:tcW w:w="1280"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right"/>
              <w:rPr>
                <w:rFonts w:ascii="Arial" w:hAnsi="Arial" w:cs="Arial"/>
                <w:b/>
                <w:sz w:val="20"/>
                <w:szCs w:val="20"/>
                <w:lang w:eastAsia="es-ES"/>
              </w:rPr>
            </w:pPr>
            <w:r w:rsidRPr="001876E4">
              <w:rPr>
                <w:rFonts w:ascii="Arial" w:hAnsi="Arial" w:cs="Arial"/>
                <w:b/>
                <w:sz w:val="20"/>
                <w:szCs w:val="20"/>
              </w:rPr>
              <w:t>1,600,000</w:t>
            </w:r>
          </w:p>
        </w:tc>
      </w:tr>
    </w:tbl>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tabs>
          <w:tab w:val="left" w:pos="567"/>
        </w:tabs>
        <w:spacing w:after="0" w:line="240" w:lineRule="auto"/>
        <w:ind w:left="567" w:hanging="567"/>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IV.</w:t>
      </w:r>
      <w:r w:rsidRPr="001876E4">
        <w:rPr>
          <w:rFonts w:ascii="Arial" w:eastAsia="Times New Roman" w:hAnsi="Arial" w:cs="Arial"/>
          <w:sz w:val="24"/>
          <w:szCs w:val="24"/>
          <w:lang w:val="es-ES" w:eastAsia="es-ES"/>
        </w:rPr>
        <w:tab/>
        <w:t xml:space="preserve">En las obligaciones contratadas con esquema de bono cupón cero, el Estado no tiene la obligación contractual de amortizar el capital, sino únicamente del pago de los intereses. El saldo insoluto con fecha de corte al 30 de septiembre de 2017 es de </w:t>
      </w:r>
      <w:r w:rsidRPr="001876E4">
        <w:rPr>
          <w:rFonts w:ascii="Arial" w:eastAsia="Times New Roman" w:hAnsi="Arial" w:cs="Arial"/>
          <w:b/>
          <w:sz w:val="24"/>
          <w:szCs w:val="24"/>
          <w:lang w:val="es-ES" w:eastAsia="es-ES"/>
        </w:rPr>
        <w:t>$314,017,400</w:t>
      </w:r>
      <w:r w:rsidRPr="001876E4">
        <w:rPr>
          <w:rFonts w:ascii="Arial" w:eastAsia="Times New Roman" w:hAnsi="Arial" w:cs="Arial"/>
          <w:sz w:val="24"/>
          <w:szCs w:val="24"/>
          <w:lang w:val="es-ES" w:eastAsia="es-ES"/>
        </w:rPr>
        <w:t>, y se compone de la siguiente forma:</w:t>
      </w: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49. Obligaciones con Esquema de Bono Cupón Cero</w:t>
      </w:r>
      <w:r w:rsidRPr="001876E4">
        <w:rPr>
          <w:rFonts w:ascii="Arial" w:eastAsia="Times New Roman" w:hAnsi="Arial" w:cs="Times New Roman"/>
          <w:b/>
          <w:szCs w:val="26"/>
          <w:lang w:val="es-ES" w:eastAsia="en-US"/>
        </w:rPr>
        <w:br/>
        <w:t xml:space="preserve"> (Cupón Cero)</w:t>
      </w:r>
    </w:p>
    <w:tbl>
      <w:tblPr>
        <w:tblW w:w="10770" w:type="dxa"/>
        <w:jc w:val="center"/>
        <w:tblCellMar>
          <w:left w:w="70" w:type="dxa"/>
          <w:right w:w="70" w:type="dxa"/>
        </w:tblCellMar>
        <w:tblLook w:val="04A0" w:firstRow="1" w:lastRow="0" w:firstColumn="1" w:lastColumn="0" w:noHBand="0" w:noVBand="1"/>
      </w:tblPr>
      <w:tblGrid>
        <w:gridCol w:w="843"/>
        <w:gridCol w:w="1030"/>
        <w:gridCol w:w="1030"/>
        <w:gridCol w:w="1030"/>
        <w:gridCol w:w="1030"/>
        <w:gridCol w:w="851"/>
        <w:gridCol w:w="992"/>
        <w:gridCol w:w="986"/>
        <w:gridCol w:w="992"/>
        <w:gridCol w:w="1090"/>
        <w:gridCol w:w="896"/>
      </w:tblGrid>
      <w:tr w:rsidR="001876E4" w:rsidRPr="001876E4" w:rsidTr="00947D11">
        <w:trPr>
          <w:trHeight w:val="300"/>
          <w:jc w:val="center"/>
        </w:trPr>
        <w:tc>
          <w:tcPr>
            <w:tcW w:w="1077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Saldos al 30 de septiembre de 2017</w:t>
            </w:r>
          </w:p>
        </w:tc>
      </w:tr>
      <w:tr w:rsidR="001876E4" w:rsidRPr="001876E4" w:rsidTr="00947D11">
        <w:trPr>
          <w:trHeight w:val="540"/>
          <w:jc w:val="center"/>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Acreedor</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Monto Contratado</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Monto Dispuesto</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 xml:space="preserve">Valor Nominal del Bono </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Saldo Insoluto</w:t>
            </w:r>
          </w:p>
        </w:tc>
        <w:tc>
          <w:tcPr>
            <w:tcW w:w="851"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Número de Crédito</w:t>
            </w:r>
          </w:p>
        </w:tc>
        <w:tc>
          <w:tcPr>
            <w:tcW w:w="99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Tasa de Interés Contratada</w:t>
            </w:r>
          </w:p>
        </w:tc>
        <w:tc>
          <w:tcPr>
            <w:tcW w:w="98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Fecha de Suscripción</w:t>
            </w:r>
          </w:p>
        </w:tc>
        <w:tc>
          <w:tcPr>
            <w:tcW w:w="99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Fecha de Vencimiento</w:t>
            </w:r>
          </w:p>
        </w:tc>
        <w:tc>
          <w:tcPr>
            <w:tcW w:w="109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Garantía y/o Fuente de Pago</w:t>
            </w:r>
          </w:p>
        </w:tc>
        <w:tc>
          <w:tcPr>
            <w:tcW w:w="89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Destino</w:t>
            </w:r>
          </w:p>
        </w:tc>
      </w:tr>
      <w:tr w:rsidR="001876E4" w:rsidRPr="001876E4" w:rsidTr="00947D11">
        <w:trPr>
          <w:trHeight w:val="729"/>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Banobras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159,963,093</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159,963,093</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40,802,737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119,160,356</w:t>
            </w:r>
          </w:p>
        </w:tc>
        <w:tc>
          <w:tcPr>
            <w:tcW w:w="85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11282, 11126</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Base +1.13%</w:t>
            </w:r>
          </w:p>
        </w:tc>
        <w:tc>
          <w:tcPr>
            <w:tcW w:w="98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jul-13</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jul-33</w:t>
            </w:r>
          </w:p>
        </w:tc>
        <w:tc>
          <w:tcPr>
            <w:tcW w:w="109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Participaciones</w:t>
            </w:r>
          </w:p>
        </w:tc>
        <w:tc>
          <w:tcPr>
            <w:tcW w:w="89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Inversión Pública Productiva</w:t>
            </w:r>
          </w:p>
        </w:tc>
      </w:tr>
      <w:tr w:rsidR="001876E4" w:rsidRPr="001876E4" w:rsidTr="00947D11">
        <w:trPr>
          <w:trHeight w:val="723"/>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6"/>
                <w:szCs w:val="16"/>
              </w:rPr>
            </w:pPr>
            <w:r w:rsidRPr="001876E4">
              <w:rPr>
                <w:rFonts w:ascii="Arial" w:eastAsia="Times New Roman" w:hAnsi="Arial" w:cs="Arial"/>
                <w:color w:val="000000"/>
                <w:sz w:val="16"/>
                <w:szCs w:val="16"/>
              </w:rPr>
              <w:t>Banobras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280,948,782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280,948,782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86,091,738</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194,857,044</w:t>
            </w:r>
          </w:p>
        </w:tc>
        <w:tc>
          <w:tcPr>
            <w:tcW w:w="85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10487</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8.63% Fija</w:t>
            </w:r>
          </w:p>
        </w:tc>
        <w:tc>
          <w:tcPr>
            <w:tcW w:w="98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feb-12</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feb-32</w:t>
            </w:r>
          </w:p>
        </w:tc>
        <w:tc>
          <w:tcPr>
            <w:tcW w:w="109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Participaciones</w:t>
            </w:r>
          </w:p>
        </w:tc>
        <w:tc>
          <w:tcPr>
            <w:tcW w:w="89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Inversión Pública Productiva</w:t>
            </w:r>
          </w:p>
        </w:tc>
      </w:tr>
      <w:tr w:rsidR="001876E4" w:rsidRPr="001876E4" w:rsidTr="00947D11">
        <w:trPr>
          <w:trHeight w:val="461"/>
          <w:jc w:val="center"/>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Total</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440,911,875</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440,911,875</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126,894,475</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314,017,400</w:t>
            </w:r>
          </w:p>
        </w:tc>
        <w:tc>
          <w:tcPr>
            <w:tcW w:w="5807" w:type="dxa"/>
            <w:gridSpan w:val="6"/>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Calibri" w:eastAsia="Times New Roman" w:hAnsi="Calibri" w:cs="Calibri"/>
                <w:color w:val="000000"/>
                <w:sz w:val="16"/>
                <w:szCs w:val="16"/>
              </w:rPr>
            </w:pPr>
            <w:r w:rsidRPr="001876E4">
              <w:rPr>
                <w:rFonts w:ascii="Calibri" w:eastAsia="Times New Roman" w:hAnsi="Calibri" w:cs="Calibri"/>
                <w:color w:val="000000"/>
                <w:sz w:val="16"/>
                <w:szCs w:val="16"/>
              </w:rPr>
              <w:t> </w:t>
            </w:r>
          </w:p>
        </w:tc>
      </w:tr>
    </w:tbl>
    <w:p w:rsidR="001876E4" w:rsidRPr="001876E4" w:rsidRDefault="001876E4" w:rsidP="001876E4">
      <w:pPr>
        <w:spacing w:after="0" w:line="240" w:lineRule="auto"/>
        <w:jc w:val="both"/>
        <w:rPr>
          <w:rFonts w:ascii="Arial" w:eastAsia="Calibri" w:hAnsi="Arial" w:cs="Arial"/>
          <w:sz w:val="18"/>
          <w:szCs w:val="16"/>
          <w:lang w:val="es-ES" w:eastAsia="es-ES"/>
        </w:rPr>
      </w:pPr>
      <w:r w:rsidRPr="001876E4">
        <w:rPr>
          <w:rFonts w:ascii="Arial" w:eastAsia="Calibri" w:hAnsi="Arial" w:cs="Arial"/>
          <w:b/>
          <w:sz w:val="18"/>
          <w:szCs w:val="16"/>
          <w:lang w:val="es-ES" w:eastAsia="es-ES"/>
        </w:rPr>
        <w:lastRenderedPageBreak/>
        <w:t>Nota</w:t>
      </w:r>
      <w:r w:rsidRPr="001876E4">
        <w:rPr>
          <w:rFonts w:ascii="Arial" w:eastAsia="Calibri" w:hAnsi="Arial" w:cs="Arial"/>
          <w:sz w:val="18"/>
          <w:szCs w:val="16"/>
          <w:lang w:val="es-ES" w:eastAsia="es-ES"/>
        </w:rPr>
        <w:t>: No se consideran dentro de la Deuda Directa ya que durante la vida del crédito el Estado no pagará capital, sólo intereses. El capital se pagará  al vencimiento con los recursos de la redención de los bonos cupón cero por parte del fideicomiso emisor al acreedor.</w:t>
      </w:r>
    </w:p>
    <w:p w:rsidR="001876E4" w:rsidRPr="001876E4" w:rsidRDefault="001876E4" w:rsidP="001876E4">
      <w:pPr>
        <w:spacing w:after="0" w:line="240" w:lineRule="auto"/>
        <w:ind w:left="567" w:hanging="567"/>
        <w:jc w:val="both"/>
        <w:rPr>
          <w:rFonts w:ascii="Arial" w:eastAsia="Times New Roman" w:hAnsi="Arial" w:cs="Arial"/>
          <w:sz w:val="24"/>
          <w:szCs w:val="24"/>
          <w:lang w:val="es-ES" w:eastAsia="es-ES"/>
        </w:rPr>
      </w:pPr>
    </w:p>
    <w:p w:rsidR="001876E4" w:rsidRPr="001876E4" w:rsidRDefault="001876E4" w:rsidP="001876E4">
      <w:pPr>
        <w:spacing w:after="0" w:line="240" w:lineRule="auto"/>
        <w:ind w:left="567" w:hanging="567"/>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V.</w:t>
      </w:r>
      <w:r w:rsidRPr="001876E4">
        <w:rPr>
          <w:rFonts w:ascii="Arial" w:eastAsia="Times New Roman" w:hAnsi="Arial" w:cs="Arial"/>
          <w:sz w:val="24"/>
          <w:szCs w:val="24"/>
          <w:lang w:val="es-ES" w:eastAsia="es-ES"/>
        </w:rPr>
        <w:tab/>
        <w:t>Las erogaciones obligaciones de factoraje financiero a través de Cadenas Productivas, es la siguiente:</w:t>
      </w:r>
    </w:p>
    <w:p w:rsidR="001876E4" w:rsidRPr="001876E4" w:rsidRDefault="001876E4" w:rsidP="001876E4">
      <w:pPr>
        <w:spacing w:after="0" w:line="240" w:lineRule="auto"/>
        <w:ind w:left="567" w:hanging="567"/>
        <w:jc w:val="both"/>
        <w:rPr>
          <w:rFonts w:ascii="Arial" w:eastAsia="Calibri" w:hAnsi="Arial" w:cs="Arial"/>
          <w:b/>
          <w:sz w:val="18"/>
          <w:szCs w:val="16"/>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50. Obligaciones de Factoraje Financiero a través de Cadenas Productivas</w:t>
      </w:r>
    </w:p>
    <w:p w:rsidR="001876E4" w:rsidRPr="001876E4" w:rsidRDefault="001876E4" w:rsidP="001876E4">
      <w:pPr>
        <w:spacing w:after="0" w:line="240" w:lineRule="auto"/>
        <w:ind w:left="567" w:hanging="567"/>
        <w:jc w:val="center"/>
        <w:rPr>
          <w:rFonts w:ascii="Arial" w:eastAsia="Calibri" w:hAnsi="Arial" w:cs="Arial"/>
          <w:b/>
          <w:sz w:val="20"/>
          <w:szCs w:val="16"/>
          <w:lang w:val="es-ES" w:eastAsia="es-ES"/>
        </w:rPr>
      </w:pPr>
      <w:r w:rsidRPr="001876E4">
        <w:rPr>
          <w:rFonts w:ascii="Arial" w:eastAsia="Calibri" w:hAnsi="Arial" w:cs="Arial"/>
          <w:b/>
          <w:sz w:val="20"/>
          <w:szCs w:val="16"/>
          <w:lang w:val="es-ES" w:eastAsia="es-ES"/>
        </w:rPr>
        <w:t>Saldos al 30 de septiembre de 2017</w:t>
      </w:r>
    </w:p>
    <w:tbl>
      <w:tblPr>
        <w:tblW w:w="8832" w:type="dxa"/>
        <w:jc w:val="center"/>
        <w:tblCellMar>
          <w:left w:w="70" w:type="dxa"/>
          <w:right w:w="70" w:type="dxa"/>
        </w:tblCellMar>
        <w:tblLook w:val="04A0" w:firstRow="1" w:lastRow="0" w:firstColumn="1" w:lastColumn="0" w:noHBand="0" w:noVBand="1"/>
      </w:tblPr>
      <w:tblGrid>
        <w:gridCol w:w="1268"/>
        <w:gridCol w:w="1030"/>
        <w:gridCol w:w="954"/>
        <w:gridCol w:w="991"/>
        <w:gridCol w:w="1056"/>
        <w:gridCol w:w="1092"/>
        <w:gridCol w:w="1193"/>
        <w:gridCol w:w="1248"/>
      </w:tblGrid>
      <w:tr w:rsidR="001876E4" w:rsidRPr="001876E4" w:rsidTr="00947D11">
        <w:trPr>
          <w:trHeight w:val="690"/>
          <w:jc w:val="center"/>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 xml:space="preserve">Acreedor </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 xml:space="preserve">Monto Contratado </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Monto Dispuesto</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Tasa de Interés Contratada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Fecha de Suscripción</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Fecha de Vencimiento</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Garantía y/o Fuente de Pago</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Destino</w:t>
            </w:r>
          </w:p>
        </w:tc>
      </w:tr>
      <w:tr w:rsidR="001876E4" w:rsidRPr="001876E4" w:rsidTr="00947D11">
        <w:trPr>
          <w:trHeight w:val="433"/>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sz w:val="16"/>
                <w:szCs w:val="16"/>
              </w:rPr>
            </w:pPr>
            <w:r w:rsidRPr="001876E4">
              <w:rPr>
                <w:rFonts w:ascii="Arial" w:eastAsia="Times New Roman" w:hAnsi="Arial" w:cs="Arial"/>
                <w:sz w:val="16"/>
                <w:szCs w:val="16"/>
              </w:rPr>
              <w:t>Banco del Bajío</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100,000,000</w:t>
            </w:r>
          </w:p>
        </w:tc>
        <w:tc>
          <w:tcPr>
            <w:tcW w:w="954"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14,044,531</w:t>
            </w:r>
          </w:p>
        </w:tc>
        <w:tc>
          <w:tcPr>
            <w:tcW w:w="99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TIIE+3.0%</w:t>
            </w:r>
          </w:p>
        </w:tc>
        <w:tc>
          <w:tcPr>
            <w:tcW w:w="10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ene-17</w:t>
            </w:r>
          </w:p>
        </w:tc>
        <w:tc>
          <w:tcPr>
            <w:tcW w:w="10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ene-18</w:t>
            </w:r>
          </w:p>
        </w:tc>
        <w:tc>
          <w:tcPr>
            <w:tcW w:w="119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Recursos propios</w:t>
            </w:r>
          </w:p>
        </w:tc>
        <w:tc>
          <w:tcPr>
            <w:tcW w:w="1248"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Factoraje Financiero</w:t>
            </w:r>
          </w:p>
        </w:tc>
      </w:tr>
      <w:tr w:rsidR="001876E4" w:rsidRPr="001876E4" w:rsidTr="00947D11">
        <w:trPr>
          <w:trHeight w:val="426"/>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sz w:val="16"/>
                <w:szCs w:val="16"/>
              </w:rPr>
            </w:pPr>
            <w:r w:rsidRPr="001876E4">
              <w:rPr>
                <w:rFonts w:ascii="Arial" w:eastAsia="Times New Roman" w:hAnsi="Arial" w:cs="Arial"/>
                <w:sz w:val="16"/>
                <w:szCs w:val="16"/>
              </w:rPr>
              <w:t>Banca Afirme</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100,000,000</w:t>
            </w:r>
          </w:p>
        </w:tc>
        <w:tc>
          <w:tcPr>
            <w:tcW w:w="954"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27,518,803</w:t>
            </w:r>
          </w:p>
        </w:tc>
        <w:tc>
          <w:tcPr>
            <w:tcW w:w="99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TIIE+3.0%</w:t>
            </w:r>
          </w:p>
        </w:tc>
        <w:tc>
          <w:tcPr>
            <w:tcW w:w="10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mzo-17</w:t>
            </w:r>
          </w:p>
        </w:tc>
        <w:tc>
          <w:tcPr>
            <w:tcW w:w="10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mzo-18</w:t>
            </w:r>
          </w:p>
        </w:tc>
        <w:tc>
          <w:tcPr>
            <w:tcW w:w="119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Recursos propios</w:t>
            </w:r>
          </w:p>
        </w:tc>
        <w:tc>
          <w:tcPr>
            <w:tcW w:w="1248"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sz w:val="16"/>
                <w:szCs w:val="16"/>
              </w:rPr>
            </w:pPr>
            <w:r w:rsidRPr="001876E4">
              <w:rPr>
                <w:rFonts w:ascii="Arial" w:eastAsia="Times New Roman" w:hAnsi="Arial" w:cs="Arial"/>
                <w:sz w:val="16"/>
                <w:szCs w:val="16"/>
              </w:rPr>
              <w:t>Factoraje Financiero</w:t>
            </w:r>
          </w:p>
        </w:tc>
      </w:tr>
      <w:tr w:rsidR="001876E4" w:rsidRPr="001876E4" w:rsidTr="00947D11">
        <w:trPr>
          <w:trHeight w:val="404"/>
          <w:jc w:val="center"/>
        </w:trPr>
        <w:tc>
          <w:tcPr>
            <w:tcW w:w="1268"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Total</w:t>
            </w:r>
          </w:p>
        </w:tc>
        <w:tc>
          <w:tcPr>
            <w:tcW w:w="1030"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sz w:val="16"/>
                <w:szCs w:val="16"/>
              </w:rPr>
            </w:pPr>
            <w:r w:rsidRPr="001876E4">
              <w:rPr>
                <w:rFonts w:ascii="Arial" w:eastAsia="Times New Roman" w:hAnsi="Arial" w:cs="Arial"/>
                <w:b/>
                <w:sz w:val="16"/>
                <w:szCs w:val="16"/>
              </w:rPr>
              <w:t>200,000,000</w:t>
            </w:r>
          </w:p>
        </w:tc>
        <w:tc>
          <w:tcPr>
            <w:tcW w:w="95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sz w:val="16"/>
                <w:szCs w:val="16"/>
              </w:rPr>
            </w:pPr>
            <w:r w:rsidRPr="001876E4">
              <w:rPr>
                <w:rFonts w:ascii="Arial" w:eastAsia="Times New Roman" w:hAnsi="Arial" w:cs="Arial"/>
                <w:b/>
                <w:sz w:val="16"/>
                <w:szCs w:val="16"/>
              </w:rPr>
              <w:t>41,563,334</w:t>
            </w:r>
          </w:p>
        </w:tc>
        <w:tc>
          <w:tcPr>
            <w:tcW w:w="5580" w:type="dxa"/>
            <w:gridSpan w:val="5"/>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sz w:val="16"/>
                <w:szCs w:val="16"/>
              </w:rPr>
            </w:pPr>
            <w:r w:rsidRPr="001876E4">
              <w:rPr>
                <w:rFonts w:ascii="Arial" w:eastAsia="Times New Roman" w:hAnsi="Arial" w:cs="Arial"/>
                <w:b/>
                <w:sz w:val="16"/>
                <w:szCs w:val="16"/>
              </w:rPr>
              <w:t> </w:t>
            </w:r>
          </w:p>
        </w:tc>
      </w:tr>
    </w:tbl>
    <w:p w:rsidR="001876E4" w:rsidRPr="001876E4" w:rsidRDefault="001876E4" w:rsidP="001876E4">
      <w:pPr>
        <w:spacing w:after="0" w:line="240" w:lineRule="auto"/>
        <w:rPr>
          <w:rFonts w:ascii="Arial" w:eastAsia="Calibri" w:hAnsi="Arial"/>
          <w:sz w:val="24"/>
          <w:lang w:val="es-ES" w:eastAsia="es-ES"/>
        </w:rPr>
      </w:pPr>
    </w:p>
    <w:p w:rsidR="001876E4" w:rsidRPr="001876E4" w:rsidRDefault="001876E4" w:rsidP="001876E4">
      <w:pPr>
        <w:spacing w:after="0" w:line="240" w:lineRule="auto"/>
        <w:ind w:left="567" w:hanging="567"/>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VI.</w:t>
      </w:r>
      <w:r w:rsidRPr="001876E4">
        <w:rPr>
          <w:rFonts w:ascii="Arial" w:eastAsia="Times New Roman" w:hAnsi="Arial" w:cs="Arial"/>
          <w:sz w:val="24"/>
          <w:szCs w:val="24"/>
          <w:lang w:val="es-ES" w:eastAsia="es-ES"/>
        </w:rPr>
        <w:tab/>
        <w:t>Las erogaciones previstas para Deuda Pública, de acuerdo a la Clasificación por Objeto del Gasto, es la siguiente:</w:t>
      </w: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51. Erogaciones Previstas para Deuda Pública </w:t>
      </w:r>
      <w:r w:rsidRPr="001876E4">
        <w:rPr>
          <w:rFonts w:ascii="Arial" w:eastAsia="Times New Roman" w:hAnsi="Arial" w:cs="Times New Roman"/>
          <w:b/>
          <w:szCs w:val="26"/>
          <w:lang w:val="es-ES" w:eastAsia="en-US"/>
        </w:rPr>
        <w:br/>
        <w:t>(Clasificación por Objeto del Gasto)</w:t>
      </w:r>
    </w:p>
    <w:tbl>
      <w:tblPr>
        <w:tblW w:w="8931" w:type="dxa"/>
        <w:jc w:val="center"/>
        <w:tblCellMar>
          <w:left w:w="70" w:type="dxa"/>
          <w:right w:w="70" w:type="dxa"/>
        </w:tblCellMar>
        <w:tblLook w:val="04A0" w:firstRow="1" w:lastRow="0" w:firstColumn="1" w:lastColumn="0" w:noHBand="0" w:noVBand="1"/>
      </w:tblPr>
      <w:tblGrid>
        <w:gridCol w:w="585"/>
        <w:gridCol w:w="3342"/>
        <w:gridCol w:w="1030"/>
        <w:gridCol w:w="1030"/>
        <w:gridCol w:w="941"/>
        <w:gridCol w:w="973"/>
        <w:gridCol w:w="1030"/>
      </w:tblGrid>
      <w:tr w:rsidR="001876E4" w:rsidRPr="001876E4" w:rsidTr="00947D11">
        <w:trPr>
          <w:trHeight w:val="45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Clave</w:t>
            </w:r>
          </w:p>
        </w:tc>
        <w:tc>
          <w:tcPr>
            <w:tcW w:w="3342"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Descripción</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Primer Trimestre</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Segundo Trimestre</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Tercer Trimestre</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Cuarto Trimestre</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6"/>
                <w:szCs w:val="16"/>
              </w:rPr>
            </w:pPr>
            <w:r w:rsidRPr="001876E4">
              <w:rPr>
                <w:rFonts w:ascii="Arial" w:eastAsia="Times New Roman" w:hAnsi="Arial" w:cs="Arial"/>
                <w:b/>
                <w:bCs/>
                <w:color w:val="000000"/>
                <w:sz w:val="16"/>
                <w:szCs w:val="16"/>
              </w:rPr>
              <w:t>Total Anual</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90000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DEUDA PÚBLICA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hAnsi="Arial" w:cs="Arial"/>
                <w:b/>
                <w:bCs/>
                <w:sz w:val="16"/>
                <w:szCs w:val="16"/>
              </w:rPr>
              <w:t>132,862,322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hAnsi="Arial" w:cs="Arial"/>
                <w:b/>
                <w:bCs/>
                <w:sz w:val="16"/>
                <w:szCs w:val="16"/>
              </w:rPr>
              <w:t>122,210,405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hAnsi="Arial" w:cs="Arial"/>
                <w:b/>
                <w:bCs/>
                <w:sz w:val="16"/>
                <w:szCs w:val="16"/>
              </w:rPr>
              <w:t>98,140,538</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hAnsi="Arial" w:cs="Arial"/>
                <w:b/>
                <w:bCs/>
                <w:sz w:val="16"/>
                <w:szCs w:val="16"/>
              </w:rPr>
              <w:t>97,866,297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hAnsi="Arial" w:cs="Arial"/>
                <w:b/>
                <w:bCs/>
                <w:sz w:val="16"/>
                <w:szCs w:val="16"/>
              </w:rPr>
              <w:t>451,079,562</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91000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AMORTIZACIÓN DE LA DEUDA PÚBLICA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24,427,075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24,779,564</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25,140,979</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25,005,042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99,352,660</w:t>
            </w:r>
          </w:p>
        </w:tc>
      </w:tr>
      <w:tr w:rsidR="001876E4" w:rsidRPr="001876E4" w:rsidTr="00947D11">
        <w:trPr>
          <w:trHeight w:val="45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91100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Amortización de la deuda interna con instituciones de crédito</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23,667,310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24,019,799</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24,381,214</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24,751,787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96,820,110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91101</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Crédito Banobras 7225,7226</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3,430,368</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3,501,325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3,573,749</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3,647,671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14,153,112</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91102</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Crédito Banobras 7271,7272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1,406,361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1,441,134</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1,476,768</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1,513,283</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5,837,546</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91103</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Crédito Banorte 34228560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2,655,000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2,655,000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2,655,000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2,655,000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10,620,000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91106</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Crédito Banorte 45523370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6,811,973</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6,983,545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7,159,438</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7,339,762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28,294,718</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91107</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Crédito Banobras 11149</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6,882,292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6,882,292</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6,882,292</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6,882,292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27,529,167</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91113</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Crédito Interacciones 430259</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2,481,317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2,556,503</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2,633,968</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2,713,780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10,385,567</w:t>
            </w:r>
          </w:p>
        </w:tc>
      </w:tr>
      <w:tr w:rsidR="001876E4" w:rsidRPr="001876E4" w:rsidTr="00947D11">
        <w:trPr>
          <w:trHeight w:val="45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91300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Amortización de arrendamientos financieros nacionales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759,765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759,765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759,765</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253,255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2,532,550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91301</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Amortización de Arrendamientos Financieros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759,765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759,765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759,765</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253,255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2,532,550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92000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INTERESES DE LA DEUDA PÚBLICA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73,101,662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73,347,256</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72,865,974</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72,727,671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292,042,563</w:t>
            </w:r>
          </w:p>
        </w:tc>
      </w:tr>
      <w:tr w:rsidR="001876E4" w:rsidRPr="001876E4" w:rsidTr="00947D11">
        <w:trPr>
          <w:trHeight w:val="416"/>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92100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Intereses sin deuda pública según convenio</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73,101,662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73,347,256</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72,865,974</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72,727,671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292,042,563</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92102</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Banobras 7225,7226</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6,436,764</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6,453,497</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6,397,773</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6,341,111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25,629,145</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lastRenderedPageBreak/>
              <w:t>92103</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Interés Banobras 7271,7272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5,576,631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5,598,012</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5,556,572</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5,514,268</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22,245,483</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92104</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Interés Banorte 34228560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493,106</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415,421</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335,908</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251,525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1,495,960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92105</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Interés Banobras 10487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7,251,887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7,094,238</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7,173,063</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7,173,063</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28,692,250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92106</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Interés Banorte 45523370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19,660,335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19,931,523</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19,538,873</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19,791,773</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78,922,504</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92107</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Interés Banobras 11126,11282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4,217,889</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4,264,755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4,264,755</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4,264,755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17,012,154</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92108</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Interés Banobras 11149</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10,089,107</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10,077,804</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9,954,827</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9,832,302</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39,954,040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92113</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Intereses Crédito Interacciones 430259</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19,375,941</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19,512,007</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19,644,204</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19,558,875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78,091,028</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93000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Comisiones de la Deuda Pública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94000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Gastos de la Deuda Pública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1,550,000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1,550,000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94100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Gastos de la deuda pública interna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1,550,000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1,550,000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94101</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Servicios de Calificación Crediticia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1,550,000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1,550,000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95000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COSTO POR COBERTURAS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1,600,000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1,600,000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95100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COSTO POR COBERTURAS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1,600,000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1,600,000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95101</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Costos por coberturas de la deuda pública interna</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1,600,000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1,600,000</w:t>
            </w:r>
          </w:p>
        </w:tc>
      </w:tr>
      <w:tr w:rsidR="001876E4" w:rsidRPr="001876E4" w:rsidTr="00947D11">
        <w:trPr>
          <w:trHeight w:val="30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96000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APOYOS FINANCIEROS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16"/>
                <w:szCs w:val="16"/>
              </w:rPr>
            </w:pPr>
            <w:r w:rsidRPr="001876E4">
              <w:rPr>
                <w:rFonts w:ascii="Arial" w:eastAsia="Times New Roman" w:hAnsi="Arial" w:cs="Arial"/>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sz w:val="16"/>
                <w:szCs w:val="16"/>
              </w:rPr>
            </w:pPr>
            <w:r w:rsidRPr="001876E4">
              <w:rPr>
                <w:rFonts w:ascii="Arial" w:eastAsia="Times New Roman" w:hAnsi="Arial" w:cs="Arial"/>
                <w:b/>
                <w:bCs/>
                <w:sz w:val="16"/>
                <w:szCs w:val="16"/>
              </w:rPr>
              <w:t>0</w:t>
            </w:r>
          </w:p>
        </w:tc>
      </w:tr>
      <w:tr w:rsidR="001876E4" w:rsidRPr="001876E4" w:rsidTr="00947D11">
        <w:trPr>
          <w:trHeight w:val="45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99000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ADEUDOS DE EJERCICIOS FISCALES ANTERIORES (ADEFAS)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33,733,585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22,533,585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133,584</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133,584</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56,534,338</w:t>
            </w:r>
          </w:p>
        </w:tc>
      </w:tr>
      <w:tr w:rsidR="001876E4" w:rsidRPr="001876E4" w:rsidTr="00947D11">
        <w:trPr>
          <w:trHeight w:val="316"/>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6"/>
                <w:szCs w:val="16"/>
              </w:rPr>
            </w:pPr>
            <w:r w:rsidRPr="001876E4">
              <w:rPr>
                <w:rFonts w:ascii="Arial" w:eastAsia="Times New Roman" w:hAnsi="Arial" w:cs="Arial"/>
                <w:b/>
                <w:bCs/>
                <w:sz w:val="16"/>
                <w:szCs w:val="16"/>
              </w:rPr>
              <w:t>99100</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sz w:val="16"/>
                <w:szCs w:val="16"/>
              </w:rPr>
            </w:pPr>
            <w:r w:rsidRPr="001876E4">
              <w:rPr>
                <w:rFonts w:ascii="Arial" w:eastAsia="Times New Roman" w:hAnsi="Arial" w:cs="Arial"/>
                <w:b/>
                <w:bCs/>
                <w:sz w:val="16"/>
                <w:szCs w:val="16"/>
              </w:rPr>
              <w:t>ADEFAS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33,733,585</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22,533,585</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133,584</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133,584</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hAnsi="Arial" w:cs="Arial"/>
                <w:b/>
                <w:bCs/>
                <w:sz w:val="16"/>
                <w:szCs w:val="16"/>
              </w:rPr>
            </w:pPr>
            <w:r w:rsidRPr="001876E4">
              <w:rPr>
                <w:rFonts w:ascii="Arial" w:hAnsi="Arial" w:cs="Arial"/>
                <w:b/>
                <w:bCs/>
                <w:sz w:val="16"/>
                <w:szCs w:val="16"/>
              </w:rPr>
              <w:t>56,534,338</w:t>
            </w:r>
          </w:p>
        </w:tc>
      </w:tr>
      <w:tr w:rsidR="001876E4" w:rsidRPr="001876E4" w:rsidTr="00947D11">
        <w:trPr>
          <w:trHeight w:val="45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99101</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Adeudos de ejercicios anteriores por concepto de servicios personales magisterio</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600,000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400,000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1,000,000</w:t>
            </w:r>
          </w:p>
        </w:tc>
      </w:tr>
      <w:tr w:rsidR="001876E4" w:rsidRPr="001876E4" w:rsidTr="00947D11">
        <w:trPr>
          <w:trHeight w:val="45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99103</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Adeudos de ejercicios anteriores por conceptos distintos de servicios personales</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33,000,000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22,000,000</w:t>
            </w:r>
          </w:p>
        </w:tc>
        <w:tc>
          <w:tcPr>
            <w:tcW w:w="941"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97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eastAsia="Times New Roman" w:hAnsi="Arial" w:cs="Arial"/>
                <w:color w:val="000000"/>
                <w:sz w:val="16"/>
                <w:szCs w:val="16"/>
              </w:rPr>
              <w:t>0</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rPr>
            </w:pPr>
            <w:r w:rsidRPr="001876E4">
              <w:rPr>
                <w:rFonts w:ascii="Arial" w:eastAsia="Times New Roman" w:hAnsi="Arial" w:cs="Arial"/>
                <w:bCs/>
                <w:sz w:val="16"/>
                <w:szCs w:val="16"/>
              </w:rPr>
              <w:t>55,000,000</w:t>
            </w:r>
          </w:p>
        </w:tc>
      </w:tr>
      <w:tr w:rsidR="001876E4" w:rsidRPr="001876E4" w:rsidTr="00947D11">
        <w:trPr>
          <w:trHeight w:val="45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6"/>
                <w:szCs w:val="16"/>
              </w:rPr>
            </w:pPr>
            <w:r w:rsidRPr="001876E4">
              <w:rPr>
                <w:rFonts w:ascii="Arial" w:eastAsia="Times New Roman" w:hAnsi="Arial" w:cs="Arial"/>
                <w:color w:val="000000"/>
                <w:sz w:val="16"/>
                <w:szCs w:val="16"/>
              </w:rPr>
              <w:t>99104</w:t>
            </w:r>
          </w:p>
        </w:tc>
        <w:tc>
          <w:tcPr>
            <w:tcW w:w="334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6"/>
                <w:szCs w:val="16"/>
              </w:rPr>
            </w:pPr>
            <w:r w:rsidRPr="001876E4">
              <w:rPr>
                <w:rFonts w:ascii="Arial" w:eastAsia="Times New Roman" w:hAnsi="Arial" w:cs="Arial"/>
                <w:color w:val="000000"/>
                <w:sz w:val="16"/>
                <w:szCs w:val="16"/>
              </w:rPr>
              <w:t>Devolución de ingresos percibidos indebidamente en ejercicios fiscales anteriores</w:t>
            </w:r>
          </w:p>
        </w:tc>
        <w:tc>
          <w:tcPr>
            <w:tcW w:w="103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hAnsi="Arial" w:cs="Arial"/>
                <w:color w:val="000000"/>
                <w:sz w:val="16"/>
                <w:szCs w:val="16"/>
              </w:rPr>
              <w:t>133,585</w:t>
            </w:r>
          </w:p>
        </w:tc>
        <w:tc>
          <w:tcPr>
            <w:tcW w:w="103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hAnsi="Arial" w:cs="Arial"/>
                <w:color w:val="000000"/>
                <w:sz w:val="16"/>
                <w:szCs w:val="16"/>
              </w:rPr>
              <w:t>133,585</w:t>
            </w:r>
          </w:p>
        </w:tc>
        <w:tc>
          <w:tcPr>
            <w:tcW w:w="941"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hAnsi="Arial" w:cs="Arial"/>
                <w:color w:val="000000"/>
                <w:sz w:val="16"/>
                <w:szCs w:val="16"/>
              </w:rPr>
              <w:t>133,584</w:t>
            </w:r>
          </w:p>
        </w:tc>
        <w:tc>
          <w:tcPr>
            <w:tcW w:w="973"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eastAsia="Times New Roman" w:hAnsi="Arial" w:cs="Arial"/>
                <w:color w:val="000000"/>
                <w:sz w:val="16"/>
                <w:szCs w:val="16"/>
              </w:rPr>
            </w:pPr>
            <w:r w:rsidRPr="001876E4">
              <w:rPr>
                <w:rFonts w:ascii="Arial" w:hAnsi="Arial" w:cs="Arial"/>
                <w:color w:val="000000"/>
                <w:sz w:val="16"/>
                <w:szCs w:val="16"/>
              </w:rPr>
              <w:t>133,584</w:t>
            </w:r>
          </w:p>
        </w:tc>
        <w:tc>
          <w:tcPr>
            <w:tcW w:w="103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Cs/>
                <w:sz w:val="16"/>
                <w:szCs w:val="16"/>
                <w:highlight w:val="yellow"/>
              </w:rPr>
            </w:pPr>
            <w:r w:rsidRPr="001876E4">
              <w:rPr>
                <w:rFonts w:ascii="Arial" w:hAnsi="Arial" w:cs="Arial"/>
                <w:bCs/>
                <w:sz w:val="16"/>
                <w:szCs w:val="16"/>
              </w:rPr>
              <w:t>534,338</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ind w:left="567" w:hanging="567"/>
        <w:jc w:val="both"/>
        <w:rPr>
          <w:rFonts w:ascii="Arial" w:eastAsia="Times New Roman" w:hAnsi="Arial" w:cs="Arial"/>
          <w:color w:val="000000"/>
          <w:sz w:val="24"/>
          <w:szCs w:val="24"/>
          <w:lang w:val="es-ES" w:eastAsia="es-ES"/>
        </w:rPr>
      </w:pPr>
      <w:r w:rsidRPr="001876E4">
        <w:rPr>
          <w:rFonts w:ascii="Arial" w:eastAsia="Times New Roman" w:hAnsi="Arial" w:cs="Arial"/>
          <w:color w:val="000000"/>
          <w:sz w:val="24"/>
          <w:szCs w:val="24"/>
          <w:lang w:val="es-ES" w:eastAsia="es-ES"/>
        </w:rPr>
        <w:t>VII.</w:t>
      </w:r>
      <w:r w:rsidRPr="001876E4">
        <w:rPr>
          <w:rFonts w:ascii="Arial" w:eastAsia="Times New Roman" w:hAnsi="Arial" w:cs="Arial"/>
          <w:color w:val="000000"/>
          <w:sz w:val="24"/>
          <w:szCs w:val="24"/>
          <w:lang w:val="es-ES" w:eastAsia="es-ES"/>
        </w:rPr>
        <w:tab/>
        <w:t xml:space="preserve">La evolución de las Obligaciones de Corto Plazo por institución acreedora, monto contratado, monto dispuesto, saldo insoluto, tasa de interés contratada, fechas de suscripción, de vencimiento y garantías </w:t>
      </w:r>
      <w:r w:rsidRPr="001876E4">
        <w:rPr>
          <w:rFonts w:ascii="Arial" w:eastAsia="Times New Roman" w:hAnsi="Arial" w:cs="Arial"/>
          <w:sz w:val="24"/>
          <w:szCs w:val="24"/>
          <w:lang w:val="es-ES" w:eastAsia="es-ES"/>
        </w:rPr>
        <w:t>es de la siguiente forma:</w:t>
      </w: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51 a. Presupuesto Servicio de Deuda </w:t>
      </w:r>
      <w:r w:rsidRPr="001876E4">
        <w:rPr>
          <w:rFonts w:ascii="Arial" w:eastAsia="Times New Roman" w:hAnsi="Arial" w:cs="Times New Roman"/>
          <w:b/>
          <w:szCs w:val="26"/>
          <w:lang w:val="es-ES" w:eastAsia="en-US"/>
        </w:rPr>
        <w:br/>
        <w:t>Financiamientos de Corto Plazo 2018 (Anual)</w:t>
      </w:r>
    </w:p>
    <w:tbl>
      <w:tblPr>
        <w:tblW w:w="10627" w:type="dxa"/>
        <w:jc w:val="center"/>
        <w:tblCellMar>
          <w:left w:w="70" w:type="dxa"/>
          <w:right w:w="70" w:type="dxa"/>
        </w:tblCellMar>
        <w:tblLook w:val="04A0" w:firstRow="1" w:lastRow="0" w:firstColumn="1" w:lastColumn="0" w:noHBand="0" w:noVBand="1"/>
      </w:tblPr>
      <w:tblGrid>
        <w:gridCol w:w="988"/>
        <w:gridCol w:w="992"/>
        <w:gridCol w:w="1036"/>
        <w:gridCol w:w="948"/>
        <w:gridCol w:w="993"/>
        <w:gridCol w:w="992"/>
        <w:gridCol w:w="992"/>
        <w:gridCol w:w="1276"/>
        <w:gridCol w:w="1276"/>
        <w:gridCol w:w="1134"/>
      </w:tblGrid>
      <w:tr w:rsidR="001876E4" w:rsidRPr="001876E4" w:rsidTr="00947D11">
        <w:trPr>
          <w:trHeight w:val="300"/>
          <w:jc w:val="center"/>
        </w:trPr>
        <w:tc>
          <w:tcPr>
            <w:tcW w:w="1062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Saldos al 30 de septiembre de 2017</w:t>
            </w:r>
          </w:p>
        </w:tc>
      </w:tr>
      <w:tr w:rsidR="001876E4" w:rsidRPr="001876E4" w:rsidTr="00947D11">
        <w:trPr>
          <w:trHeight w:val="54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Acreedor</w:t>
            </w:r>
          </w:p>
        </w:tc>
        <w:tc>
          <w:tcPr>
            <w:tcW w:w="99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Monto Contratado</w:t>
            </w:r>
          </w:p>
        </w:tc>
        <w:tc>
          <w:tcPr>
            <w:tcW w:w="103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Monto Dispuesto</w:t>
            </w:r>
          </w:p>
        </w:tc>
        <w:tc>
          <w:tcPr>
            <w:tcW w:w="948"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Saldo Insoluto</w:t>
            </w:r>
          </w:p>
        </w:tc>
        <w:tc>
          <w:tcPr>
            <w:tcW w:w="99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Tasa de Interés Contratada</w:t>
            </w:r>
          </w:p>
        </w:tc>
        <w:tc>
          <w:tcPr>
            <w:tcW w:w="99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Fecha de Suscripción</w:t>
            </w:r>
          </w:p>
        </w:tc>
        <w:tc>
          <w:tcPr>
            <w:tcW w:w="99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Fecha de Vencimiento</w:t>
            </w:r>
          </w:p>
        </w:tc>
        <w:tc>
          <w:tcPr>
            <w:tcW w:w="127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Garantía y/o Fuente de Pago</w:t>
            </w:r>
          </w:p>
        </w:tc>
        <w:tc>
          <w:tcPr>
            <w:tcW w:w="127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Tipo de Crédito</w:t>
            </w:r>
          </w:p>
        </w:tc>
        <w:tc>
          <w:tcPr>
            <w:tcW w:w="113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Destino</w:t>
            </w:r>
          </w:p>
        </w:tc>
      </w:tr>
      <w:tr w:rsidR="001876E4" w:rsidRPr="001876E4" w:rsidTr="00947D11">
        <w:trPr>
          <w:trHeight w:val="3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Interacciones</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4"/>
                <w:szCs w:val="16"/>
              </w:rPr>
            </w:pPr>
            <w:r w:rsidRPr="001876E4">
              <w:rPr>
                <w:rFonts w:ascii="Arial" w:eastAsia="Times New Roman" w:hAnsi="Arial" w:cs="Arial"/>
                <w:color w:val="000000"/>
                <w:sz w:val="14"/>
                <w:szCs w:val="16"/>
              </w:rPr>
              <w:t>200,000,000</w:t>
            </w:r>
          </w:p>
        </w:tc>
        <w:tc>
          <w:tcPr>
            <w:tcW w:w="103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4"/>
                <w:szCs w:val="16"/>
              </w:rPr>
            </w:pPr>
            <w:r w:rsidRPr="001876E4">
              <w:rPr>
                <w:rFonts w:ascii="Arial" w:eastAsia="Times New Roman" w:hAnsi="Arial" w:cs="Arial"/>
                <w:color w:val="000000"/>
                <w:sz w:val="14"/>
                <w:szCs w:val="16"/>
              </w:rPr>
              <w:t>276,781,000</w:t>
            </w:r>
          </w:p>
        </w:tc>
        <w:tc>
          <w:tcPr>
            <w:tcW w:w="94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14"/>
                <w:szCs w:val="16"/>
              </w:rPr>
            </w:pPr>
            <w:r w:rsidRPr="001876E4">
              <w:rPr>
                <w:rFonts w:ascii="Arial" w:eastAsia="Times New Roman" w:hAnsi="Arial" w:cs="Arial"/>
                <w:color w:val="000000"/>
                <w:sz w:val="14"/>
                <w:szCs w:val="16"/>
              </w:rPr>
              <w:t>124,832,300</w:t>
            </w:r>
          </w:p>
        </w:tc>
        <w:tc>
          <w:tcPr>
            <w:tcW w:w="993"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TIIE+2.0%</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nov-16</w:t>
            </w:r>
          </w:p>
        </w:tc>
        <w:tc>
          <w:tcPr>
            <w:tcW w:w="992"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nov-17</w:t>
            </w:r>
          </w:p>
        </w:tc>
        <w:tc>
          <w:tcPr>
            <w:tcW w:w="127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Recursos Propios</w:t>
            </w:r>
          </w:p>
        </w:tc>
        <w:tc>
          <w:tcPr>
            <w:tcW w:w="127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Cuenta Corriente Quirografario</w:t>
            </w:r>
          </w:p>
        </w:tc>
        <w:tc>
          <w:tcPr>
            <w:tcW w:w="1134"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4"/>
                <w:szCs w:val="16"/>
              </w:rPr>
            </w:pPr>
            <w:r w:rsidRPr="001876E4">
              <w:rPr>
                <w:rFonts w:ascii="Arial" w:eastAsia="Times New Roman" w:hAnsi="Arial" w:cs="Arial"/>
                <w:color w:val="000000"/>
                <w:sz w:val="14"/>
                <w:szCs w:val="16"/>
              </w:rPr>
              <w:t>Necesidades de Liquidez de Carácter Temporal</w:t>
            </w:r>
          </w:p>
        </w:tc>
      </w:tr>
      <w:tr w:rsidR="001876E4" w:rsidRPr="001876E4" w:rsidTr="00947D11">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Total</w:t>
            </w:r>
          </w:p>
        </w:tc>
        <w:tc>
          <w:tcPr>
            <w:tcW w:w="992"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 </w:t>
            </w:r>
          </w:p>
        </w:tc>
        <w:tc>
          <w:tcPr>
            <w:tcW w:w="103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3,027,566,447</w:t>
            </w:r>
          </w:p>
        </w:tc>
        <w:tc>
          <w:tcPr>
            <w:tcW w:w="948"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14"/>
                <w:szCs w:val="16"/>
              </w:rPr>
            </w:pPr>
            <w:r w:rsidRPr="001876E4">
              <w:rPr>
                <w:rFonts w:ascii="Arial" w:eastAsia="Times New Roman" w:hAnsi="Arial" w:cs="Arial"/>
                <w:b/>
                <w:bCs/>
                <w:color w:val="000000"/>
                <w:sz w:val="14"/>
                <w:szCs w:val="16"/>
              </w:rPr>
              <w:t>124,832,300</w:t>
            </w:r>
          </w:p>
        </w:tc>
        <w:tc>
          <w:tcPr>
            <w:tcW w:w="993" w:type="dxa"/>
            <w:tcBorders>
              <w:top w:val="nil"/>
              <w:left w:val="nil"/>
              <w:bottom w:val="single" w:sz="4" w:space="0" w:color="auto"/>
              <w:right w:val="nil"/>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 </w:t>
            </w:r>
          </w:p>
        </w:tc>
        <w:tc>
          <w:tcPr>
            <w:tcW w:w="992" w:type="dxa"/>
            <w:tcBorders>
              <w:top w:val="nil"/>
              <w:left w:val="nil"/>
              <w:bottom w:val="single" w:sz="4" w:space="0" w:color="auto"/>
              <w:right w:val="nil"/>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 </w:t>
            </w:r>
          </w:p>
        </w:tc>
        <w:tc>
          <w:tcPr>
            <w:tcW w:w="992" w:type="dxa"/>
            <w:tcBorders>
              <w:top w:val="nil"/>
              <w:left w:val="nil"/>
              <w:bottom w:val="single" w:sz="4" w:space="0" w:color="auto"/>
              <w:right w:val="nil"/>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 </w:t>
            </w:r>
          </w:p>
        </w:tc>
        <w:tc>
          <w:tcPr>
            <w:tcW w:w="1276" w:type="dxa"/>
            <w:tcBorders>
              <w:top w:val="nil"/>
              <w:left w:val="nil"/>
              <w:bottom w:val="single" w:sz="4" w:space="0" w:color="auto"/>
              <w:right w:val="nil"/>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 </w:t>
            </w:r>
          </w:p>
        </w:tc>
        <w:tc>
          <w:tcPr>
            <w:tcW w:w="1276" w:type="dxa"/>
            <w:tcBorders>
              <w:top w:val="nil"/>
              <w:left w:val="nil"/>
              <w:bottom w:val="single" w:sz="4" w:space="0" w:color="auto"/>
              <w:right w:val="nil"/>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rPr>
                <w:rFonts w:ascii="Arial" w:eastAsia="Times New Roman" w:hAnsi="Arial" w:cs="Arial"/>
                <w:color w:val="000000"/>
                <w:sz w:val="14"/>
                <w:szCs w:val="16"/>
              </w:rPr>
            </w:pPr>
            <w:r w:rsidRPr="001876E4">
              <w:rPr>
                <w:rFonts w:ascii="Arial" w:eastAsia="Times New Roman" w:hAnsi="Arial" w:cs="Arial"/>
                <w:color w:val="000000"/>
                <w:sz w:val="14"/>
                <w:szCs w:val="16"/>
              </w:rPr>
              <w:t> </w:t>
            </w:r>
          </w:p>
        </w:tc>
      </w:tr>
    </w:tbl>
    <w:p w:rsidR="001876E4" w:rsidRPr="001876E4" w:rsidRDefault="001876E4" w:rsidP="001876E4">
      <w:pPr>
        <w:spacing w:after="0" w:line="240" w:lineRule="auto"/>
        <w:ind w:left="567" w:hanging="567"/>
        <w:jc w:val="both"/>
        <w:rPr>
          <w:rFonts w:ascii="Arial" w:eastAsia="Times New Roman" w:hAnsi="Arial" w:cs="Arial"/>
          <w:color w:val="000000"/>
          <w:sz w:val="24"/>
          <w:szCs w:val="24"/>
          <w:lang w:val="es-ES" w:eastAsia="es-ES"/>
        </w:rPr>
      </w:pPr>
    </w:p>
    <w:p w:rsidR="001876E4" w:rsidRPr="001876E4" w:rsidRDefault="001876E4" w:rsidP="001876E4">
      <w:pPr>
        <w:spacing w:after="0" w:line="240" w:lineRule="auto"/>
        <w:ind w:left="567" w:hanging="567"/>
        <w:jc w:val="both"/>
        <w:rPr>
          <w:rFonts w:ascii="Arial" w:eastAsia="Times New Roman" w:hAnsi="Arial" w:cs="Arial"/>
          <w:sz w:val="24"/>
          <w:szCs w:val="24"/>
          <w:lang w:val="es-ES" w:eastAsia="es-ES"/>
        </w:rPr>
      </w:pPr>
      <w:r w:rsidRPr="001876E4">
        <w:rPr>
          <w:rFonts w:ascii="Arial" w:eastAsia="Times New Roman" w:hAnsi="Arial" w:cs="Arial"/>
          <w:color w:val="000000"/>
          <w:sz w:val="24"/>
          <w:szCs w:val="24"/>
          <w:lang w:val="es-ES" w:eastAsia="es-ES"/>
        </w:rPr>
        <w:lastRenderedPageBreak/>
        <w:t>VIII.</w:t>
      </w:r>
      <w:r w:rsidRPr="001876E4">
        <w:rPr>
          <w:rFonts w:ascii="Arial" w:eastAsia="Times New Roman" w:hAnsi="Arial" w:cs="Arial"/>
          <w:color w:val="000000"/>
          <w:sz w:val="24"/>
          <w:szCs w:val="24"/>
          <w:lang w:val="es-ES" w:eastAsia="es-ES"/>
        </w:rPr>
        <w:tab/>
        <w:t xml:space="preserve">El desglose de la Deuda Pública Indirecta por institución acreedora, monto contratado, monto dispuesto, saldo insoluto, número de crédito, tasa de interés anual, fechas de suscripción, de vencimiento y garantías </w:t>
      </w:r>
      <w:r w:rsidRPr="001876E4">
        <w:rPr>
          <w:rFonts w:ascii="Arial" w:eastAsia="Times New Roman" w:hAnsi="Arial" w:cs="Arial"/>
          <w:sz w:val="24"/>
          <w:szCs w:val="24"/>
          <w:lang w:val="es-ES" w:eastAsia="es-ES"/>
        </w:rPr>
        <w:t>es de la siguiente forma:</w:t>
      </w:r>
    </w:p>
    <w:p w:rsidR="001876E4" w:rsidRPr="001876E4" w:rsidRDefault="001876E4" w:rsidP="001876E4">
      <w:pPr>
        <w:spacing w:after="0" w:line="240" w:lineRule="auto"/>
        <w:ind w:left="567" w:hanging="567"/>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52. Saldos de Deuda Pública Indirecta</w:t>
      </w:r>
    </w:p>
    <w:tbl>
      <w:tblPr>
        <w:tblStyle w:val="Tablaconcuadrcula2"/>
        <w:tblW w:w="10557" w:type="dxa"/>
        <w:jc w:val="center"/>
        <w:tblCellMar>
          <w:left w:w="28" w:type="dxa"/>
          <w:right w:w="28" w:type="dxa"/>
        </w:tblCellMar>
        <w:tblLook w:val="04A0" w:firstRow="1" w:lastRow="0" w:firstColumn="1" w:lastColumn="0" w:noHBand="0" w:noVBand="1"/>
      </w:tblPr>
      <w:tblGrid>
        <w:gridCol w:w="776"/>
        <w:gridCol w:w="892"/>
        <w:gridCol w:w="925"/>
        <w:gridCol w:w="955"/>
        <w:gridCol w:w="718"/>
        <w:gridCol w:w="864"/>
        <w:gridCol w:w="923"/>
        <w:gridCol w:w="968"/>
        <w:gridCol w:w="1098"/>
        <w:gridCol w:w="1023"/>
        <w:gridCol w:w="1415"/>
      </w:tblGrid>
      <w:tr w:rsidR="001876E4" w:rsidRPr="001876E4" w:rsidTr="00947D11">
        <w:trPr>
          <w:trHeight w:val="330"/>
          <w:jc w:val="center"/>
        </w:trPr>
        <w:tc>
          <w:tcPr>
            <w:tcW w:w="9141" w:type="dxa"/>
            <w:gridSpan w:val="10"/>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Saldos al 30 de septiembre de 2017</w:t>
            </w:r>
          </w:p>
        </w:tc>
        <w:tc>
          <w:tcPr>
            <w:tcW w:w="1416"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center"/>
              <w:rPr>
                <w:rFonts w:ascii="Arial" w:hAnsi="Arial" w:cs="Arial"/>
                <w:sz w:val="16"/>
                <w:szCs w:val="16"/>
              </w:rPr>
            </w:pPr>
          </w:p>
        </w:tc>
      </w:tr>
      <w:tr w:rsidR="001876E4" w:rsidRPr="001876E4" w:rsidTr="00947D11">
        <w:trPr>
          <w:trHeight w:val="450"/>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142"/>
              <w:jc w:val="center"/>
              <w:rPr>
                <w:rFonts w:ascii="Arial" w:hAnsi="Arial" w:cs="Arial"/>
                <w:b/>
                <w:bCs/>
                <w:sz w:val="16"/>
                <w:szCs w:val="16"/>
              </w:rPr>
            </w:pPr>
            <w:r w:rsidRPr="001876E4">
              <w:rPr>
                <w:rFonts w:ascii="Arial" w:hAnsi="Arial" w:cs="Arial"/>
                <w:b/>
                <w:bCs/>
                <w:sz w:val="16"/>
                <w:szCs w:val="16"/>
              </w:rPr>
              <w:t>Acreedor</w:t>
            </w:r>
          </w:p>
        </w:tc>
        <w:tc>
          <w:tcPr>
            <w:tcW w:w="8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Acreditado</w:t>
            </w:r>
          </w:p>
        </w:tc>
        <w:tc>
          <w:tcPr>
            <w:tcW w:w="92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Monto Dispuesto</w:t>
            </w:r>
          </w:p>
        </w:tc>
        <w:tc>
          <w:tcPr>
            <w:tcW w:w="95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Saldo Insoluto</w:t>
            </w:r>
          </w:p>
        </w:tc>
        <w:tc>
          <w:tcPr>
            <w:tcW w:w="71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Número de Crédito</w:t>
            </w:r>
          </w:p>
        </w:tc>
        <w:tc>
          <w:tcPr>
            <w:tcW w:w="86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56"/>
              <w:jc w:val="center"/>
              <w:rPr>
                <w:rFonts w:ascii="Arial" w:hAnsi="Arial" w:cs="Arial"/>
                <w:b/>
                <w:bCs/>
                <w:sz w:val="16"/>
                <w:szCs w:val="16"/>
              </w:rPr>
            </w:pPr>
            <w:r w:rsidRPr="001876E4">
              <w:rPr>
                <w:rFonts w:ascii="Arial" w:hAnsi="Arial" w:cs="Arial"/>
                <w:b/>
                <w:bCs/>
                <w:sz w:val="16"/>
                <w:szCs w:val="16"/>
              </w:rPr>
              <w:t>Tasa de Interés Contratada</w:t>
            </w:r>
          </w:p>
        </w:tc>
        <w:tc>
          <w:tcPr>
            <w:tcW w:w="92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49"/>
              <w:jc w:val="center"/>
              <w:rPr>
                <w:rFonts w:ascii="Arial" w:hAnsi="Arial" w:cs="Arial"/>
                <w:b/>
                <w:bCs/>
                <w:sz w:val="16"/>
                <w:szCs w:val="16"/>
              </w:rPr>
            </w:pPr>
            <w:r w:rsidRPr="001876E4">
              <w:rPr>
                <w:rFonts w:ascii="Arial" w:hAnsi="Arial" w:cs="Arial"/>
                <w:b/>
                <w:bCs/>
                <w:sz w:val="16"/>
                <w:szCs w:val="16"/>
              </w:rPr>
              <w:t>Fecha de Suscripción</w:t>
            </w:r>
          </w:p>
        </w:tc>
        <w:tc>
          <w:tcPr>
            <w:tcW w:w="9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40"/>
              <w:jc w:val="center"/>
              <w:rPr>
                <w:rFonts w:ascii="Arial" w:hAnsi="Arial" w:cs="Arial"/>
                <w:b/>
                <w:bCs/>
                <w:sz w:val="16"/>
                <w:szCs w:val="16"/>
              </w:rPr>
            </w:pPr>
            <w:r w:rsidRPr="001876E4">
              <w:rPr>
                <w:rFonts w:ascii="Arial" w:hAnsi="Arial" w:cs="Arial"/>
                <w:b/>
                <w:bCs/>
                <w:sz w:val="16"/>
                <w:szCs w:val="16"/>
              </w:rPr>
              <w:t>Fecha de Vencimiento</w:t>
            </w:r>
          </w:p>
        </w:tc>
        <w:tc>
          <w:tcPr>
            <w:tcW w:w="109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left="-44"/>
              <w:jc w:val="center"/>
              <w:rPr>
                <w:rFonts w:ascii="Arial" w:hAnsi="Arial" w:cs="Arial"/>
                <w:b/>
                <w:bCs/>
                <w:sz w:val="16"/>
                <w:szCs w:val="16"/>
              </w:rPr>
            </w:pPr>
            <w:r w:rsidRPr="001876E4">
              <w:rPr>
                <w:rFonts w:ascii="Arial" w:hAnsi="Arial" w:cs="Arial"/>
                <w:b/>
                <w:bCs/>
                <w:sz w:val="16"/>
                <w:szCs w:val="16"/>
              </w:rPr>
              <w:t xml:space="preserve">Garantía </w:t>
            </w:r>
            <w:r w:rsidRPr="001876E4">
              <w:rPr>
                <w:rFonts w:ascii="Arial" w:hAnsi="Arial" w:cs="Arial"/>
                <w:b/>
                <w:bCs/>
                <w:sz w:val="16"/>
                <w:szCs w:val="16"/>
              </w:rPr>
              <w:br/>
              <w:t xml:space="preserve">y/o Fuente </w:t>
            </w:r>
            <w:r w:rsidRPr="001876E4">
              <w:rPr>
                <w:rFonts w:ascii="Arial" w:hAnsi="Arial" w:cs="Arial"/>
                <w:b/>
                <w:bCs/>
                <w:sz w:val="16"/>
                <w:szCs w:val="16"/>
              </w:rPr>
              <w:br/>
              <w:t>de Pago</w:t>
            </w:r>
          </w:p>
        </w:tc>
        <w:tc>
          <w:tcPr>
            <w:tcW w:w="102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left="-44"/>
              <w:jc w:val="center"/>
              <w:rPr>
                <w:rFonts w:ascii="Arial" w:hAnsi="Arial" w:cs="Arial"/>
                <w:b/>
                <w:bCs/>
                <w:sz w:val="16"/>
                <w:szCs w:val="16"/>
              </w:rPr>
            </w:pPr>
            <w:r w:rsidRPr="001876E4">
              <w:rPr>
                <w:rFonts w:ascii="Arial" w:hAnsi="Arial" w:cs="Arial"/>
                <w:b/>
                <w:bCs/>
                <w:sz w:val="16"/>
                <w:szCs w:val="16"/>
              </w:rPr>
              <w:t>Tipo de Crédito</w:t>
            </w:r>
          </w:p>
        </w:tc>
        <w:tc>
          <w:tcPr>
            <w:tcW w:w="141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left="-44"/>
              <w:jc w:val="center"/>
              <w:rPr>
                <w:rFonts w:ascii="Arial" w:hAnsi="Arial" w:cs="Arial"/>
                <w:b/>
                <w:bCs/>
                <w:sz w:val="16"/>
                <w:szCs w:val="16"/>
              </w:rPr>
            </w:pPr>
            <w:r w:rsidRPr="001876E4">
              <w:rPr>
                <w:rFonts w:ascii="Arial" w:hAnsi="Arial" w:cs="Arial"/>
                <w:b/>
                <w:bCs/>
                <w:sz w:val="16"/>
                <w:szCs w:val="16"/>
              </w:rPr>
              <w:t>Destino</w:t>
            </w:r>
          </w:p>
        </w:tc>
      </w:tr>
      <w:tr w:rsidR="001876E4" w:rsidRPr="001876E4" w:rsidTr="00947D11">
        <w:trPr>
          <w:trHeight w:val="330"/>
          <w:jc w:val="center"/>
        </w:trPr>
        <w:tc>
          <w:tcPr>
            <w:tcW w:w="77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9"/>
              <w:rPr>
                <w:rFonts w:ascii="Arial" w:hAnsi="Arial" w:cs="Arial"/>
                <w:sz w:val="16"/>
                <w:szCs w:val="16"/>
              </w:rPr>
            </w:pPr>
            <w:r w:rsidRPr="001876E4">
              <w:rPr>
                <w:rFonts w:ascii="Arial" w:hAnsi="Arial" w:cs="Arial"/>
                <w:sz w:val="16"/>
                <w:szCs w:val="16"/>
              </w:rPr>
              <w:t>Banobras</w:t>
            </w:r>
          </w:p>
        </w:tc>
        <w:tc>
          <w:tcPr>
            <w:tcW w:w="892"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16"/>
                <w:szCs w:val="16"/>
              </w:rPr>
            </w:pPr>
            <w:r w:rsidRPr="001876E4">
              <w:rPr>
                <w:rFonts w:ascii="Arial" w:hAnsi="Arial" w:cs="Arial"/>
                <w:sz w:val="16"/>
                <w:szCs w:val="16"/>
              </w:rPr>
              <w:t>INSUVI</w:t>
            </w:r>
          </w:p>
        </w:tc>
        <w:tc>
          <w:tcPr>
            <w:tcW w:w="92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ind w:left="-32"/>
              <w:jc w:val="right"/>
              <w:rPr>
                <w:rFonts w:ascii="Arial" w:hAnsi="Arial" w:cs="Arial"/>
                <w:sz w:val="16"/>
                <w:szCs w:val="16"/>
              </w:rPr>
            </w:pPr>
            <w:r w:rsidRPr="001876E4">
              <w:rPr>
                <w:rFonts w:ascii="Arial" w:hAnsi="Arial" w:cs="Arial"/>
                <w:sz w:val="16"/>
                <w:szCs w:val="16"/>
              </w:rPr>
              <w:t>150,466,713</w:t>
            </w:r>
          </w:p>
        </w:tc>
        <w:tc>
          <w:tcPr>
            <w:tcW w:w="95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121,898,320</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7304</w:t>
            </w:r>
          </w:p>
        </w:tc>
        <w:tc>
          <w:tcPr>
            <w:tcW w:w="86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35"/>
              <w:jc w:val="center"/>
              <w:rPr>
                <w:rFonts w:ascii="Arial" w:hAnsi="Arial" w:cs="Arial"/>
                <w:sz w:val="16"/>
                <w:szCs w:val="16"/>
              </w:rPr>
            </w:pPr>
            <w:r w:rsidRPr="001876E4">
              <w:rPr>
                <w:rFonts w:ascii="Arial" w:hAnsi="Arial" w:cs="Arial"/>
                <w:sz w:val="16"/>
                <w:szCs w:val="16"/>
              </w:rPr>
              <w:t>TIIE + 0.86%</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Jun-08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Ago-33</w:t>
            </w:r>
          </w:p>
        </w:tc>
        <w:tc>
          <w:tcPr>
            <w:tcW w:w="109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left="-44"/>
              <w:jc w:val="center"/>
              <w:rPr>
                <w:rFonts w:ascii="Arial" w:hAnsi="Arial" w:cs="Arial"/>
                <w:sz w:val="16"/>
                <w:szCs w:val="16"/>
              </w:rPr>
            </w:pPr>
            <w:r w:rsidRPr="001876E4">
              <w:rPr>
                <w:rFonts w:ascii="Arial" w:hAnsi="Arial" w:cs="Arial"/>
                <w:sz w:val="16"/>
                <w:szCs w:val="16"/>
              </w:rPr>
              <w:t>Participaciones</w:t>
            </w:r>
          </w:p>
        </w:tc>
        <w:tc>
          <w:tcPr>
            <w:tcW w:w="10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ind w:left="-44"/>
              <w:jc w:val="center"/>
              <w:rPr>
                <w:rFonts w:ascii="Arial" w:hAnsi="Arial" w:cs="Arial"/>
                <w:sz w:val="16"/>
                <w:szCs w:val="16"/>
              </w:rPr>
            </w:pPr>
            <w:r w:rsidRPr="001876E4">
              <w:rPr>
                <w:rFonts w:ascii="Arial" w:hAnsi="Arial" w:cs="Arial"/>
                <w:sz w:val="16"/>
                <w:szCs w:val="16"/>
              </w:rPr>
              <w:t>Simple</w:t>
            </w:r>
          </w:p>
        </w:tc>
        <w:tc>
          <w:tcPr>
            <w:tcW w:w="1416"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ind w:left="-44"/>
              <w:jc w:val="center"/>
              <w:rPr>
                <w:rFonts w:ascii="Arial" w:hAnsi="Arial" w:cs="Arial"/>
                <w:sz w:val="16"/>
                <w:szCs w:val="16"/>
              </w:rPr>
            </w:pPr>
            <w:r w:rsidRPr="001876E4">
              <w:rPr>
                <w:rFonts w:ascii="Arial" w:hAnsi="Arial" w:cs="Arial"/>
                <w:sz w:val="16"/>
                <w:szCs w:val="16"/>
              </w:rPr>
              <w:t>Refinanciamiento</w:t>
            </w:r>
          </w:p>
        </w:tc>
      </w:tr>
      <w:tr w:rsidR="001876E4" w:rsidRPr="001876E4" w:rsidTr="00947D11">
        <w:trPr>
          <w:trHeight w:val="330"/>
          <w:jc w:val="center"/>
        </w:trPr>
        <w:tc>
          <w:tcPr>
            <w:tcW w:w="77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16"/>
                <w:szCs w:val="16"/>
              </w:rPr>
            </w:pPr>
            <w:r w:rsidRPr="001876E4">
              <w:rPr>
                <w:rFonts w:ascii="Arial" w:hAnsi="Arial" w:cs="Arial"/>
                <w:sz w:val="16"/>
                <w:szCs w:val="16"/>
              </w:rPr>
              <w:t>Banorte</w:t>
            </w:r>
          </w:p>
        </w:tc>
        <w:tc>
          <w:tcPr>
            <w:tcW w:w="892"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22"/>
              <w:rPr>
                <w:rFonts w:ascii="Arial" w:hAnsi="Arial" w:cs="Arial"/>
                <w:sz w:val="16"/>
                <w:szCs w:val="16"/>
              </w:rPr>
            </w:pPr>
            <w:r w:rsidRPr="001876E4">
              <w:rPr>
                <w:rFonts w:ascii="Arial" w:hAnsi="Arial" w:cs="Arial"/>
                <w:sz w:val="16"/>
                <w:szCs w:val="16"/>
              </w:rPr>
              <w:t>CIAPACOV</w:t>
            </w:r>
          </w:p>
        </w:tc>
        <w:tc>
          <w:tcPr>
            <w:tcW w:w="92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95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sz w:val="16"/>
                <w:szCs w:val="16"/>
              </w:rPr>
            </w:pPr>
            <w:r w:rsidRPr="001876E4">
              <w:rPr>
                <w:rFonts w:ascii="Arial" w:hAnsi="Arial" w:cs="Arial"/>
                <w:sz w:val="16"/>
                <w:szCs w:val="16"/>
              </w:rPr>
              <w:t>0</w:t>
            </w:r>
          </w:p>
        </w:tc>
        <w:tc>
          <w:tcPr>
            <w:tcW w:w="71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31750</w:t>
            </w:r>
          </w:p>
        </w:tc>
        <w:tc>
          <w:tcPr>
            <w:tcW w:w="86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ind w:left="-35"/>
              <w:jc w:val="center"/>
              <w:rPr>
                <w:rFonts w:ascii="Arial" w:hAnsi="Arial" w:cs="Arial"/>
                <w:sz w:val="16"/>
                <w:szCs w:val="16"/>
              </w:rPr>
            </w:pPr>
            <w:r w:rsidRPr="001876E4">
              <w:rPr>
                <w:rFonts w:ascii="Arial" w:hAnsi="Arial" w:cs="Arial"/>
                <w:sz w:val="16"/>
                <w:szCs w:val="16"/>
              </w:rPr>
              <w:t xml:space="preserve">TIIE + </w:t>
            </w:r>
            <w:r w:rsidRPr="001876E4">
              <w:rPr>
                <w:rFonts w:ascii="Arial" w:hAnsi="Arial" w:cs="Arial"/>
                <w:sz w:val="16"/>
                <w:szCs w:val="16"/>
              </w:rPr>
              <w:br/>
              <w:t>1.3 %</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Ago-06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16"/>
                <w:szCs w:val="16"/>
              </w:rPr>
            </w:pPr>
            <w:r w:rsidRPr="001876E4">
              <w:rPr>
                <w:rFonts w:ascii="Arial" w:hAnsi="Arial" w:cs="Arial"/>
                <w:sz w:val="16"/>
                <w:szCs w:val="16"/>
              </w:rPr>
              <w:t>Ago-26</w:t>
            </w:r>
          </w:p>
        </w:tc>
        <w:tc>
          <w:tcPr>
            <w:tcW w:w="109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left="-44"/>
              <w:jc w:val="center"/>
              <w:rPr>
                <w:rFonts w:ascii="Arial" w:hAnsi="Arial" w:cs="Arial"/>
                <w:sz w:val="16"/>
                <w:szCs w:val="16"/>
              </w:rPr>
            </w:pPr>
            <w:r w:rsidRPr="001876E4">
              <w:rPr>
                <w:rFonts w:ascii="Arial" w:hAnsi="Arial" w:cs="Arial"/>
                <w:sz w:val="16"/>
                <w:szCs w:val="16"/>
              </w:rPr>
              <w:t>Participaciones</w:t>
            </w:r>
          </w:p>
        </w:tc>
        <w:tc>
          <w:tcPr>
            <w:tcW w:w="10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ind w:left="-44"/>
              <w:jc w:val="center"/>
              <w:rPr>
                <w:rFonts w:ascii="Arial" w:hAnsi="Arial" w:cs="Arial"/>
                <w:sz w:val="16"/>
                <w:szCs w:val="16"/>
              </w:rPr>
            </w:pPr>
            <w:r w:rsidRPr="001876E4">
              <w:rPr>
                <w:rFonts w:ascii="Arial" w:hAnsi="Arial" w:cs="Arial"/>
                <w:sz w:val="16"/>
                <w:szCs w:val="16"/>
              </w:rPr>
              <w:t>Contingente</w:t>
            </w:r>
          </w:p>
        </w:tc>
        <w:tc>
          <w:tcPr>
            <w:tcW w:w="1416"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ind w:left="-44"/>
              <w:jc w:val="center"/>
              <w:rPr>
                <w:rFonts w:ascii="Arial" w:hAnsi="Arial" w:cs="Arial"/>
                <w:sz w:val="16"/>
                <w:szCs w:val="16"/>
              </w:rPr>
            </w:pPr>
            <w:r w:rsidRPr="001876E4">
              <w:rPr>
                <w:rFonts w:ascii="Arial" w:hAnsi="Arial" w:cs="Arial"/>
                <w:sz w:val="16"/>
                <w:szCs w:val="16"/>
              </w:rPr>
              <w:t>Inversión Pública Productiva</w:t>
            </w:r>
          </w:p>
        </w:tc>
      </w:tr>
      <w:tr w:rsidR="001876E4" w:rsidRPr="001876E4" w:rsidTr="00947D11">
        <w:trPr>
          <w:trHeight w:val="322"/>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Total</w:t>
            </w:r>
          </w:p>
        </w:tc>
        <w:tc>
          <w:tcPr>
            <w:tcW w:w="8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before="120" w:after="120" w:line="360" w:lineRule="auto"/>
              <w:jc w:val="both"/>
              <w:rPr>
                <w:rFonts w:ascii="Arial" w:hAnsi="Arial" w:cs="Arial"/>
                <w:b/>
                <w:bCs/>
                <w:sz w:val="16"/>
                <w:szCs w:val="16"/>
              </w:rPr>
            </w:pPr>
          </w:p>
        </w:tc>
        <w:tc>
          <w:tcPr>
            <w:tcW w:w="92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ind w:left="-32"/>
              <w:jc w:val="center"/>
              <w:rPr>
                <w:rFonts w:ascii="Arial" w:hAnsi="Arial" w:cs="Arial"/>
                <w:b/>
                <w:bCs/>
                <w:sz w:val="16"/>
                <w:szCs w:val="16"/>
              </w:rPr>
            </w:pPr>
            <w:r w:rsidRPr="001876E4">
              <w:rPr>
                <w:rFonts w:ascii="Arial" w:hAnsi="Arial" w:cs="Arial"/>
                <w:b/>
                <w:bCs/>
                <w:sz w:val="16"/>
                <w:szCs w:val="16"/>
              </w:rPr>
              <w:t>150,466,713</w:t>
            </w:r>
          </w:p>
        </w:tc>
        <w:tc>
          <w:tcPr>
            <w:tcW w:w="955"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bCs/>
                <w:sz w:val="16"/>
                <w:szCs w:val="16"/>
              </w:rPr>
            </w:pPr>
            <w:r w:rsidRPr="001876E4">
              <w:rPr>
                <w:rFonts w:ascii="Arial" w:hAnsi="Arial" w:cs="Arial"/>
                <w:b/>
                <w:bCs/>
                <w:sz w:val="16"/>
                <w:szCs w:val="16"/>
              </w:rPr>
              <w:t>121,898,320</w:t>
            </w:r>
          </w:p>
        </w:tc>
        <w:tc>
          <w:tcPr>
            <w:tcW w:w="718"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spacing w:before="120" w:after="120" w:line="360" w:lineRule="auto"/>
              <w:jc w:val="both"/>
              <w:rPr>
                <w:rFonts w:ascii="Arial" w:hAnsi="Arial" w:cs="Arial"/>
                <w:b/>
                <w:bCs/>
                <w:sz w:val="16"/>
                <w:szCs w:val="16"/>
              </w:rPr>
            </w:pPr>
          </w:p>
        </w:tc>
        <w:tc>
          <w:tcPr>
            <w:tcW w:w="4875" w:type="dxa"/>
            <w:gridSpan w:val="5"/>
            <w:tcBorders>
              <w:top w:val="single" w:sz="4" w:space="0" w:color="auto"/>
              <w:left w:val="single" w:sz="4" w:space="0" w:color="auto"/>
              <w:bottom w:val="single" w:sz="4" w:space="0" w:color="auto"/>
              <w:right w:val="nil"/>
            </w:tcBorders>
            <w:vAlign w:val="center"/>
            <w:hideMark/>
          </w:tcPr>
          <w:p w:rsidR="001876E4" w:rsidRPr="001876E4" w:rsidRDefault="001876E4" w:rsidP="001876E4">
            <w:pPr>
              <w:spacing w:before="120" w:after="120" w:line="360" w:lineRule="auto"/>
              <w:jc w:val="both"/>
              <w:rPr>
                <w:rFonts w:ascii="Arial" w:hAnsi="Arial" w:cs="Arial"/>
                <w:b/>
                <w:bCs/>
                <w:sz w:val="16"/>
                <w:szCs w:val="16"/>
              </w:rPr>
            </w:pPr>
          </w:p>
        </w:tc>
        <w:tc>
          <w:tcPr>
            <w:tcW w:w="1416" w:type="dxa"/>
            <w:tcBorders>
              <w:top w:val="single" w:sz="4" w:space="0" w:color="auto"/>
              <w:left w:val="nil"/>
              <w:bottom w:val="single" w:sz="4" w:space="0" w:color="auto"/>
              <w:right w:val="single" w:sz="4" w:space="0" w:color="auto"/>
            </w:tcBorders>
          </w:tcPr>
          <w:p w:rsidR="001876E4" w:rsidRPr="001876E4" w:rsidRDefault="001876E4" w:rsidP="001876E4">
            <w:pPr>
              <w:spacing w:before="120" w:after="120" w:line="360" w:lineRule="auto"/>
              <w:jc w:val="both"/>
              <w:rPr>
                <w:rFonts w:ascii="Arial" w:hAnsi="Arial" w:cs="Arial"/>
                <w:b/>
                <w:bCs/>
                <w:sz w:val="16"/>
                <w:szCs w:val="16"/>
              </w:rPr>
            </w:pPr>
          </w:p>
        </w:tc>
      </w:tr>
    </w:tbl>
    <w:p w:rsidR="001876E4" w:rsidRPr="001876E4" w:rsidRDefault="001876E4" w:rsidP="001876E4">
      <w:pPr>
        <w:spacing w:after="0" w:line="240" w:lineRule="auto"/>
        <w:jc w:val="both"/>
        <w:rPr>
          <w:rFonts w:ascii="Arial" w:eastAsia="Calibri" w:hAnsi="Arial" w:cs="Arial"/>
          <w:sz w:val="16"/>
          <w:szCs w:val="18"/>
          <w:lang w:val="es-ES" w:eastAsia="en-US"/>
        </w:rPr>
      </w:pPr>
      <w:r w:rsidRPr="001876E4">
        <w:rPr>
          <w:rFonts w:ascii="Arial" w:eastAsia="Calibri" w:hAnsi="Arial" w:cs="Arial"/>
          <w:b/>
          <w:sz w:val="16"/>
          <w:szCs w:val="18"/>
          <w:lang w:val="es-ES" w:eastAsia="en-US"/>
        </w:rPr>
        <w:t>NOTA</w:t>
      </w:r>
      <w:r w:rsidRPr="001876E4">
        <w:rPr>
          <w:rFonts w:ascii="Arial" w:eastAsia="Calibri" w:hAnsi="Arial" w:cs="Arial"/>
          <w:sz w:val="16"/>
          <w:szCs w:val="18"/>
          <w:lang w:val="es-ES" w:eastAsia="en-US"/>
        </w:rPr>
        <w:t>: CIAPACOV mantiene una línea abierta de crédito contingente con Banorte por un monto original de $31,274,750.64, la cual, durante</w:t>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t xml:space="preserve"> el periodo del reporte no ha sido dispuesta.</w:t>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p>
    <w:p w:rsidR="001876E4" w:rsidRPr="001876E4" w:rsidRDefault="001876E4" w:rsidP="001876E4">
      <w:pPr>
        <w:spacing w:after="0" w:line="240" w:lineRule="auto"/>
        <w:jc w:val="both"/>
        <w:rPr>
          <w:rFonts w:ascii="Arial" w:eastAsia="Calibri" w:hAnsi="Arial" w:cs="Arial"/>
          <w:sz w:val="16"/>
          <w:szCs w:val="18"/>
          <w:lang w:val="es-ES" w:eastAsia="en-US"/>
        </w:rPr>
      </w:pPr>
      <w:r w:rsidRPr="001876E4">
        <w:rPr>
          <w:rFonts w:ascii="Arial" w:eastAsia="Calibri" w:hAnsi="Arial" w:cs="Arial"/>
          <w:sz w:val="16"/>
          <w:szCs w:val="18"/>
          <w:lang w:val="es-ES" w:eastAsia="en-US"/>
        </w:rPr>
        <w:t>* INSUVI. Instituto de Suelo Urbanización y Vivienda del Estado de Colima</w:t>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p>
    <w:p w:rsidR="001876E4" w:rsidRPr="001876E4" w:rsidRDefault="001876E4" w:rsidP="001876E4">
      <w:pPr>
        <w:spacing w:after="0" w:line="240" w:lineRule="auto"/>
        <w:jc w:val="both"/>
        <w:rPr>
          <w:rFonts w:ascii="Arial" w:eastAsia="Calibri" w:hAnsi="Arial" w:cs="Arial"/>
          <w:sz w:val="16"/>
          <w:szCs w:val="18"/>
          <w:lang w:val="es-ES" w:eastAsia="en-US"/>
        </w:rPr>
      </w:pPr>
      <w:r w:rsidRPr="001876E4">
        <w:rPr>
          <w:rFonts w:ascii="Arial" w:eastAsia="Calibri" w:hAnsi="Arial" w:cs="Arial"/>
          <w:sz w:val="16"/>
          <w:szCs w:val="18"/>
          <w:lang w:val="es-ES" w:eastAsia="en-US"/>
        </w:rPr>
        <w:t>* CIAPACOV. Comisión Intermunicipal de Agua Potable y Alcantarillado de Colima- Villa de Álvarez</w:t>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r w:rsidRPr="001876E4">
        <w:rPr>
          <w:rFonts w:ascii="Arial" w:eastAsia="Calibri" w:hAnsi="Arial" w:cs="Arial"/>
          <w:sz w:val="16"/>
          <w:szCs w:val="18"/>
          <w:lang w:val="es-ES" w:eastAsia="en-US"/>
        </w:rPr>
        <w:tab/>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39</w:t>
      </w:r>
      <w:r w:rsidRPr="001876E4">
        <w:rPr>
          <w:rFonts w:ascii="Arial" w:eastAsia="Calibri" w:hAnsi="Arial" w:cs="Arial"/>
          <w:sz w:val="24"/>
          <w:szCs w:val="24"/>
          <w:lang w:val="es-ES" w:eastAsia="en-US"/>
        </w:rPr>
        <w:t xml:space="preserve">. Dentro del mismo capítulo correspondiente a Deuda Pública se establece por separado una asignación por un importe de </w:t>
      </w:r>
      <w:r w:rsidRPr="001876E4">
        <w:rPr>
          <w:rFonts w:ascii="Arial" w:eastAsia="Calibri" w:hAnsi="Arial" w:cs="Arial"/>
          <w:b/>
          <w:sz w:val="24"/>
          <w:szCs w:val="24"/>
          <w:lang w:val="es-ES" w:eastAsia="en-US"/>
        </w:rPr>
        <w:t>$56,534,338</w:t>
      </w:r>
      <w:r w:rsidRPr="001876E4">
        <w:rPr>
          <w:rFonts w:ascii="Arial" w:eastAsia="Calibri" w:hAnsi="Arial" w:cs="Arial"/>
          <w:sz w:val="24"/>
          <w:szCs w:val="24"/>
          <w:lang w:val="es-ES" w:eastAsia="en-US"/>
        </w:rPr>
        <w:t xml:space="preserve">, para el concepto denominado </w:t>
      </w:r>
      <w:r w:rsidRPr="001876E4">
        <w:rPr>
          <w:rFonts w:ascii="Arial" w:eastAsia="Calibri" w:hAnsi="Arial" w:cs="Arial"/>
          <w:b/>
          <w:sz w:val="24"/>
          <w:szCs w:val="24"/>
          <w:lang w:val="es-ES" w:eastAsia="en-US"/>
        </w:rPr>
        <w:t>Adeudos de Ejercicios Fiscales Anteriores (</w:t>
      </w:r>
      <w:r w:rsidRPr="001876E4">
        <w:rPr>
          <w:rFonts w:ascii="Arial" w:eastAsia="Calibri" w:hAnsi="Arial" w:cs="Arial"/>
          <w:b/>
          <w:i/>
          <w:sz w:val="24"/>
          <w:szCs w:val="24"/>
          <w:lang w:val="es-ES" w:eastAsia="en-US"/>
        </w:rPr>
        <w:t>ADEFAS</w:t>
      </w:r>
      <w:r w:rsidRPr="001876E4">
        <w:rPr>
          <w:rFonts w:ascii="Arial" w:eastAsia="Calibri" w:hAnsi="Arial" w:cs="Arial"/>
          <w:sz w:val="24"/>
          <w:szCs w:val="24"/>
          <w:lang w:val="es-ES" w:eastAsia="en-US"/>
        </w:rPr>
        <w:t>). Esta asignación presupuestaria cumple con la hipótesis legal establecida en los artículos 12 y Séptimo Transitorio de la Ley de Disciplina Financiera.</w:t>
      </w:r>
      <w:r w:rsidRPr="001876E4">
        <w:rPr>
          <w:rFonts w:ascii="Arial" w:eastAsia="Calibri" w:hAnsi="Arial" w:cs="Times New Roman"/>
          <w:sz w:val="24"/>
          <w:lang w:val="es-ES" w:eastAsia="en-US"/>
        </w:rPr>
        <w:t xml:space="preserve"> </w:t>
      </w:r>
      <w:r w:rsidRPr="001876E4">
        <w:rPr>
          <w:rFonts w:ascii="Arial" w:eastAsia="Calibri" w:hAnsi="Arial" w:cs="Arial"/>
          <w:sz w:val="24"/>
          <w:szCs w:val="24"/>
          <w:lang w:val="es-ES" w:eastAsia="en-US"/>
        </w:rPr>
        <w:t>Se desglosa de la siguiente forma:</w:t>
      </w:r>
    </w:p>
    <w:p w:rsidR="001876E4" w:rsidRPr="001876E4" w:rsidRDefault="001876E4" w:rsidP="001876E4">
      <w:pPr>
        <w:tabs>
          <w:tab w:val="left" w:pos="2592"/>
        </w:tabs>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ab/>
      </w:r>
    </w:p>
    <w:p w:rsidR="001876E4" w:rsidRPr="001876E4" w:rsidRDefault="001876E4" w:rsidP="001876E4">
      <w:pPr>
        <w:tabs>
          <w:tab w:val="left" w:pos="2592"/>
        </w:tabs>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53. Adeudos de Ejercicios Fiscales Anteriores (ADEFAS)</w:t>
      </w:r>
    </w:p>
    <w:tbl>
      <w:tblPr>
        <w:tblStyle w:val="Tablaconcuadrcula2"/>
        <w:tblW w:w="0" w:type="auto"/>
        <w:jc w:val="center"/>
        <w:tblLook w:val="04A0" w:firstRow="1" w:lastRow="0" w:firstColumn="1" w:lastColumn="0" w:noHBand="0" w:noVBand="1"/>
      </w:tblPr>
      <w:tblGrid>
        <w:gridCol w:w="895"/>
        <w:gridCol w:w="6388"/>
        <w:gridCol w:w="1473"/>
      </w:tblGrid>
      <w:tr w:rsidR="001876E4" w:rsidRPr="001876E4" w:rsidTr="00947D11">
        <w:trPr>
          <w:trHeight w:val="283"/>
          <w:jc w:val="center"/>
        </w:trPr>
        <w:tc>
          <w:tcPr>
            <w:tcW w:w="82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Partida</w:t>
            </w:r>
          </w:p>
        </w:tc>
        <w:tc>
          <w:tcPr>
            <w:tcW w:w="638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Denominación</w:t>
            </w:r>
          </w:p>
        </w:tc>
        <w:tc>
          <w:tcPr>
            <w:tcW w:w="134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3"/>
          <w:jc w:val="center"/>
        </w:trPr>
        <w:tc>
          <w:tcPr>
            <w:tcW w:w="8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99101</w:t>
            </w:r>
          </w:p>
        </w:tc>
        <w:tc>
          <w:tcPr>
            <w:tcW w:w="638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Adeudos de ejercicios anteriores por concepto de servicios personales magisterio</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1,000,000</w:t>
            </w:r>
          </w:p>
        </w:tc>
      </w:tr>
      <w:tr w:rsidR="001876E4" w:rsidRPr="001876E4" w:rsidTr="00947D11">
        <w:trPr>
          <w:trHeight w:val="283"/>
          <w:jc w:val="center"/>
        </w:trPr>
        <w:tc>
          <w:tcPr>
            <w:tcW w:w="8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99103</w:t>
            </w:r>
          </w:p>
        </w:tc>
        <w:tc>
          <w:tcPr>
            <w:tcW w:w="638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Adeudos de ejercicios anteriores por conceptos distintos de servicios personales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55,000,000</w:t>
            </w:r>
          </w:p>
        </w:tc>
      </w:tr>
      <w:tr w:rsidR="001876E4" w:rsidRPr="001876E4" w:rsidTr="00947D11">
        <w:trPr>
          <w:trHeight w:val="283"/>
          <w:jc w:val="center"/>
        </w:trPr>
        <w:tc>
          <w:tcPr>
            <w:tcW w:w="8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99104</w:t>
            </w:r>
          </w:p>
        </w:tc>
        <w:tc>
          <w:tcPr>
            <w:tcW w:w="638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Devolución de ingresos percibidos indebidamente en ejercicios fiscales anteriores</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534,338</w:t>
            </w:r>
          </w:p>
        </w:tc>
      </w:tr>
      <w:tr w:rsidR="001876E4" w:rsidRPr="001876E4" w:rsidTr="00947D11">
        <w:trPr>
          <w:trHeight w:val="283"/>
          <w:jc w:val="center"/>
        </w:trPr>
        <w:tc>
          <w:tcPr>
            <w:tcW w:w="827" w:type="dxa"/>
            <w:tcBorders>
              <w:top w:val="single" w:sz="4" w:space="0" w:color="auto"/>
              <w:left w:val="single" w:sz="4" w:space="0" w:color="auto"/>
              <w:bottom w:val="single" w:sz="4" w:space="0" w:color="auto"/>
              <w:right w:val="single" w:sz="4" w:space="0" w:color="auto"/>
            </w:tcBorders>
            <w:noWrap/>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 </w:t>
            </w:r>
          </w:p>
        </w:tc>
        <w:tc>
          <w:tcPr>
            <w:tcW w:w="6388"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Total</w:t>
            </w:r>
          </w:p>
        </w:tc>
        <w:tc>
          <w:tcPr>
            <w:tcW w:w="1347"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sz w:val="20"/>
                <w:szCs w:val="20"/>
              </w:rPr>
            </w:pPr>
            <w:r w:rsidRPr="001876E4">
              <w:rPr>
                <w:rFonts w:ascii="Arial" w:hAnsi="Arial" w:cs="Arial"/>
                <w:b/>
                <w:bCs/>
                <w:color w:val="000000"/>
                <w:sz w:val="20"/>
                <w:szCs w:val="20"/>
              </w:rPr>
              <w:t>56,534,338</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Times New Roman" w:hAnsi="Arial" w:cs="Arial"/>
          <w:color w:val="000000"/>
          <w:sz w:val="24"/>
          <w:szCs w:val="24"/>
          <w:lang w:val="es-ES" w:eastAsia="es-ES"/>
        </w:rPr>
      </w:pPr>
      <w:r w:rsidRPr="001876E4">
        <w:rPr>
          <w:rFonts w:ascii="Arial" w:eastAsia="Calibri" w:hAnsi="Arial" w:cs="Arial"/>
          <w:b/>
          <w:sz w:val="24"/>
          <w:szCs w:val="24"/>
          <w:lang w:val="es-ES" w:eastAsia="en-US"/>
        </w:rPr>
        <w:t>Artículo 40</w:t>
      </w:r>
      <w:r w:rsidRPr="001876E4">
        <w:rPr>
          <w:rFonts w:ascii="Arial" w:eastAsia="Calibri" w:hAnsi="Arial" w:cs="Arial"/>
          <w:sz w:val="24"/>
          <w:szCs w:val="24"/>
          <w:lang w:val="es-ES" w:eastAsia="en-US"/>
        </w:rPr>
        <w:t xml:space="preserve">. </w:t>
      </w:r>
      <w:r w:rsidRPr="001876E4">
        <w:rPr>
          <w:rFonts w:ascii="Arial" w:eastAsia="Times New Roman" w:hAnsi="Arial" w:cs="Arial"/>
          <w:color w:val="000000"/>
          <w:sz w:val="24"/>
          <w:szCs w:val="24"/>
          <w:lang w:val="es-ES" w:eastAsia="es-ES"/>
        </w:rPr>
        <w:t>Los topes o techos de financiamiento para el Estado en el Ejercicio Fiscal 2018, serán los que se contemplan en el Capítulo V, de la Ley de Disciplina Financiera, en relación al Sistema de Alertas, al que están obligados a observar las entidades federativas y los municipios.</w:t>
      </w: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TÍTULO SEGUNDO</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DE LOS RECURSOS FEDERALES</w:t>
      </w: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 xml:space="preserve"> </w:t>
      </w:r>
      <w:bookmarkStart w:id="26" w:name="_Toc465292959"/>
      <w:bookmarkStart w:id="27" w:name="_Toc465292887"/>
      <w:r w:rsidRPr="001876E4">
        <w:rPr>
          <w:rFonts w:ascii="Arial" w:eastAsia="Times New Roman" w:hAnsi="Arial" w:cs="Arial"/>
          <w:b/>
          <w:sz w:val="24"/>
          <w:szCs w:val="24"/>
          <w:lang w:val="es-ES" w:eastAsia="en-US"/>
        </w:rPr>
        <w:t xml:space="preserve">CAPÍTULO ÚNICO </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DE LOS RECURSOS FEDERALES TRANSFERIDOS AL ESTADO Y SUS MUNICIPIOS</w:t>
      </w:r>
      <w:bookmarkEnd w:id="26"/>
      <w:bookmarkEnd w:id="27"/>
    </w:p>
    <w:p w:rsidR="001876E4" w:rsidRPr="001876E4" w:rsidRDefault="001876E4" w:rsidP="001876E4">
      <w:pPr>
        <w:shd w:val="clear" w:color="auto" w:fill="FFFFFF"/>
        <w:spacing w:after="0" w:line="240" w:lineRule="auto"/>
        <w:jc w:val="both"/>
        <w:rPr>
          <w:rFonts w:ascii="Arial" w:eastAsia="Times New Roman" w:hAnsi="Arial" w:cs="Arial"/>
          <w:b/>
          <w:color w:val="000000"/>
          <w:sz w:val="24"/>
          <w:szCs w:val="24"/>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b/>
          <w:color w:val="000000"/>
          <w:sz w:val="24"/>
          <w:szCs w:val="24"/>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sz w:val="24"/>
          <w:szCs w:val="24"/>
          <w:lang w:val="es-ES" w:eastAsia="es-ES"/>
        </w:rPr>
      </w:pPr>
      <w:r w:rsidRPr="001876E4">
        <w:rPr>
          <w:rFonts w:ascii="Arial" w:eastAsia="Times New Roman" w:hAnsi="Arial" w:cs="Arial"/>
          <w:b/>
          <w:color w:val="000000"/>
          <w:sz w:val="24"/>
          <w:szCs w:val="24"/>
          <w:lang w:val="es-ES" w:eastAsia="es-ES"/>
        </w:rPr>
        <w:t>Artículo 41</w:t>
      </w:r>
      <w:r w:rsidRPr="001876E4">
        <w:rPr>
          <w:rFonts w:ascii="Arial" w:eastAsia="Times New Roman" w:hAnsi="Arial" w:cs="Arial"/>
          <w:b/>
          <w:sz w:val="24"/>
          <w:szCs w:val="24"/>
          <w:lang w:val="es-ES" w:eastAsia="es-ES"/>
        </w:rPr>
        <w:t xml:space="preserve">. </w:t>
      </w:r>
      <w:r w:rsidRPr="001876E4">
        <w:rPr>
          <w:rFonts w:ascii="Arial" w:eastAsia="Times New Roman" w:hAnsi="Arial" w:cs="Arial"/>
          <w:sz w:val="24"/>
          <w:szCs w:val="24"/>
          <w:lang w:val="es-ES" w:eastAsia="es-ES"/>
        </w:rPr>
        <w:t xml:space="preserve">El Gasto No Etiquetado, y el Gasto Etiquetado permite identificar el origen de los ingresos que financian los egresos, y precisan la orientación específica de cada fuente a efecto de controlar su aplicación. </w:t>
      </w:r>
    </w:p>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54. Gasto No Etiquetado, Gasto Etiquetado</w:t>
      </w:r>
    </w:p>
    <w:tbl>
      <w:tblPr>
        <w:tblStyle w:val="Tablaconcuadrcula2"/>
        <w:tblW w:w="0" w:type="auto"/>
        <w:jc w:val="center"/>
        <w:tblLook w:val="04A0" w:firstRow="1" w:lastRow="0" w:firstColumn="1" w:lastColumn="0" w:noHBand="0" w:noVBand="1"/>
      </w:tblPr>
      <w:tblGrid>
        <w:gridCol w:w="964"/>
        <w:gridCol w:w="5245"/>
        <w:gridCol w:w="1885"/>
      </w:tblGrid>
      <w:tr w:rsidR="001876E4" w:rsidRPr="001876E4" w:rsidTr="00947D11">
        <w:trPr>
          <w:trHeight w:val="390"/>
          <w:jc w:val="center"/>
        </w:trPr>
        <w:tc>
          <w:tcPr>
            <w:tcW w:w="96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lang w:eastAsia="es-ES"/>
              </w:rPr>
            </w:pPr>
            <w:r w:rsidRPr="001876E4">
              <w:rPr>
                <w:rFonts w:ascii="Arial" w:hAnsi="Arial" w:cs="Arial"/>
                <w:b/>
                <w:bCs/>
                <w:sz w:val="20"/>
                <w:szCs w:val="20"/>
                <w:lang w:eastAsia="es-ES"/>
              </w:rPr>
              <w:t>Clave</w:t>
            </w: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lang w:eastAsia="es-ES"/>
              </w:rPr>
            </w:pPr>
            <w:r w:rsidRPr="001876E4">
              <w:rPr>
                <w:rFonts w:ascii="Arial" w:hAnsi="Arial" w:cs="Arial"/>
                <w:b/>
                <w:bCs/>
                <w:sz w:val="20"/>
                <w:szCs w:val="20"/>
                <w:lang w:eastAsia="es-ES"/>
              </w:rPr>
              <w:t>Denominación</w:t>
            </w:r>
          </w:p>
        </w:tc>
        <w:tc>
          <w:tcPr>
            <w:tcW w:w="1885"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lang w:eastAsia="es-ES"/>
              </w:rPr>
            </w:pPr>
            <w:r w:rsidRPr="001876E4">
              <w:rPr>
                <w:rFonts w:ascii="Arial" w:hAnsi="Arial" w:cs="Arial"/>
                <w:b/>
                <w:bCs/>
                <w:sz w:val="20"/>
                <w:szCs w:val="20"/>
                <w:lang w:eastAsia="es-ES"/>
              </w:rPr>
              <w:t>Asignación Presupuestal</w:t>
            </w:r>
          </w:p>
        </w:tc>
      </w:tr>
      <w:tr w:rsidR="001876E4" w:rsidRPr="001876E4" w:rsidTr="00947D11">
        <w:trPr>
          <w:trHeight w:val="270"/>
          <w:jc w:val="center"/>
        </w:trPr>
        <w:tc>
          <w:tcPr>
            <w:tcW w:w="96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lang w:eastAsia="es-ES"/>
              </w:rPr>
            </w:pPr>
            <w:r w:rsidRPr="001876E4">
              <w:rPr>
                <w:rFonts w:ascii="Arial" w:hAnsi="Arial" w:cs="Arial"/>
                <w:sz w:val="20"/>
                <w:szCs w:val="20"/>
                <w:lang w:eastAsia="es-ES"/>
              </w:rPr>
              <w:t>1</w:t>
            </w: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lang w:eastAsia="es-ES"/>
              </w:rPr>
            </w:pPr>
            <w:r w:rsidRPr="001876E4">
              <w:rPr>
                <w:rFonts w:ascii="Arial" w:hAnsi="Arial" w:cs="Arial"/>
                <w:sz w:val="20"/>
                <w:szCs w:val="20"/>
              </w:rPr>
              <w:t>No Etiquetado</w:t>
            </w:r>
          </w:p>
        </w:tc>
        <w:tc>
          <w:tcPr>
            <w:tcW w:w="188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7,069,661,665</w:t>
            </w:r>
          </w:p>
        </w:tc>
      </w:tr>
      <w:tr w:rsidR="001876E4" w:rsidRPr="001876E4" w:rsidTr="00947D11">
        <w:trPr>
          <w:trHeight w:val="270"/>
          <w:jc w:val="center"/>
        </w:trPr>
        <w:tc>
          <w:tcPr>
            <w:tcW w:w="964"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sz w:val="20"/>
                <w:szCs w:val="20"/>
                <w:lang w:eastAsia="es-ES"/>
              </w:rPr>
            </w:pPr>
            <w:r w:rsidRPr="001876E4">
              <w:rPr>
                <w:rFonts w:ascii="Arial" w:hAnsi="Arial" w:cs="Arial"/>
                <w:sz w:val="20"/>
                <w:szCs w:val="20"/>
                <w:lang w:eastAsia="es-ES"/>
              </w:rPr>
              <w:t>2</w:t>
            </w: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rPr>
                <w:rFonts w:ascii="Arial" w:hAnsi="Arial" w:cs="Arial"/>
                <w:sz w:val="20"/>
                <w:szCs w:val="20"/>
                <w:lang w:eastAsia="es-ES"/>
              </w:rPr>
            </w:pPr>
            <w:r w:rsidRPr="001876E4">
              <w:rPr>
                <w:rFonts w:ascii="Arial" w:hAnsi="Arial" w:cs="Arial"/>
                <w:sz w:val="20"/>
                <w:szCs w:val="20"/>
              </w:rPr>
              <w:t>Etiquetado</w:t>
            </w:r>
          </w:p>
        </w:tc>
        <w:tc>
          <w:tcPr>
            <w:tcW w:w="188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9,660,709,335</w:t>
            </w:r>
          </w:p>
        </w:tc>
      </w:tr>
      <w:tr w:rsidR="001876E4" w:rsidRPr="001876E4" w:rsidTr="00947D11">
        <w:trPr>
          <w:trHeight w:val="270"/>
          <w:jc w:val="center"/>
        </w:trPr>
        <w:tc>
          <w:tcPr>
            <w:tcW w:w="964" w:type="dxa"/>
            <w:tcBorders>
              <w:top w:val="single" w:sz="4" w:space="0" w:color="auto"/>
              <w:left w:val="single" w:sz="4" w:space="0" w:color="auto"/>
              <w:bottom w:val="single" w:sz="4" w:space="0" w:color="auto"/>
              <w:right w:val="single" w:sz="4" w:space="0" w:color="auto"/>
            </w:tcBorders>
            <w:noWrap/>
          </w:tcPr>
          <w:p w:rsidR="001876E4" w:rsidRPr="001876E4" w:rsidRDefault="001876E4" w:rsidP="001876E4">
            <w:pPr>
              <w:jc w:val="center"/>
              <w:rPr>
                <w:rFonts w:ascii="Arial" w:hAnsi="Arial" w:cs="Arial"/>
                <w:sz w:val="20"/>
                <w:szCs w:val="20"/>
                <w:lang w:eastAsia="es-ES"/>
              </w:rPr>
            </w:pP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20"/>
                <w:szCs w:val="20"/>
                <w:lang w:eastAsia="es-ES"/>
              </w:rPr>
            </w:pPr>
            <w:r w:rsidRPr="001876E4">
              <w:rPr>
                <w:rFonts w:ascii="Arial" w:hAnsi="Arial" w:cs="Arial"/>
                <w:b/>
                <w:bCs/>
                <w:sz w:val="20"/>
                <w:szCs w:val="20"/>
                <w:lang w:eastAsia="es-ES"/>
              </w:rPr>
              <w:t>Total</w:t>
            </w:r>
          </w:p>
        </w:tc>
        <w:tc>
          <w:tcPr>
            <w:tcW w:w="188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center"/>
        <w:rPr>
          <w:rFonts w:ascii="Arial" w:eastAsia="Times New Roman" w:hAnsi="Arial" w:cs="Arial"/>
          <w:sz w:val="24"/>
          <w:szCs w:val="24"/>
          <w:lang w:val="es-ES" w:eastAsia="es-E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Las ministraciones de recursos federales a que se refiere este artículo, se realizarán de conformidad con las disposiciones aplicables y los calendarios de gasto correspondientes.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42</w:t>
      </w:r>
      <w:r w:rsidRPr="001876E4">
        <w:rPr>
          <w:rFonts w:ascii="Arial" w:eastAsia="Calibri" w:hAnsi="Arial" w:cs="Arial"/>
          <w:sz w:val="24"/>
          <w:szCs w:val="24"/>
          <w:lang w:val="es-ES" w:eastAsia="en-US"/>
        </w:rPr>
        <w:t xml:space="preserve">. Las </w:t>
      </w:r>
      <w:r w:rsidRPr="001876E4">
        <w:rPr>
          <w:rFonts w:ascii="Arial" w:eastAsia="Times New Roman" w:hAnsi="Arial" w:cs="Arial"/>
          <w:sz w:val="24"/>
          <w:szCs w:val="24"/>
        </w:rPr>
        <w:t>Dependencias de la Administración Pública Centralizada</w:t>
      </w:r>
      <w:r w:rsidRPr="001876E4">
        <w:rPr>
          <w:rFonts w:ascii="Arial" w:eastAsia="Calibri" w:hAnsi="Arial" w:cs="Arial"/>
          <w:sz w:val="24"/>
          <w:szCs w:val="24"/>
          <w:lang w:val="es-ES" w:eastAsia="en-US"/>
        </w:rPr>
        <w:t xml:space="preserve">, </w:t>
      </w:r>
      <w:r w:rsidRPr="001876E4">
        <w:rPr>
          <w:rFonts w:ascii="Arial" w:eastAsia="Times New Roman" w:hAnsi="Arial" w:cs="Arial"/>
          <w:sz w:val="24"/>
          <w:szCs w:val="24"/>
        </w:rPr>
        <w:t>Entidades de la Administración Pública Paraestatal</w:t>
      </w:r>
      <w:r w:rsidRPr="001876E4">
        <w:rPr>
          <w:rFonts w:ascii="Arial" w:eastAsia="Calibri" w:hAnsi="Arial" w:cs="Arial"/>
          <w:sz w:val="24"/>
          <w:szCs w:val="24"/>
          <w:lang w:val="es-ES" w:eastAsia="en-US"/>
        </w:rPr>
        <w:t xml:space="preserve"> y </w:t>
      </w:r>
      <w:r w:rsidRPr="001876E4">
        <w:rPr>
          <w:rFonts w:ascii="Arial" w:eastAsia="Times New Roman" w:hAnsi="Arial" w:cs="Arial"/>
          <w:sz w:val="24"/>
          <w:szCs w:val="24"/>
        </w:rPr>
        <w:t>Órganos Estatales Autónomos</w:t>
      </w:r>
      <w:r w:rsidRPr="001876E4">
        <w:rPr>
          <w:rFonts w:ascii="Arial" w:eastAsia="Calibri" w:hAnsi="Arial" w:cs="Arial"/>
          <w:sz w:val="24"/>
          <w:szCs w:val="24"/>
          <w:lang w:val="es-ES" w:eastAsia="en-US"/>
        </w:rPr>
        <w:t>, en el ejercicio de los recursos que les sean transferidos a través del Ramo 33 Aportaciones Federales para Entidades Federativas y Municipios, se sujetarán a las disposiciones aplicables en materia de información, rendición de cuentas, transparencia y evaluación establecidas en los artículos 134</w:t>
      </w:r>
      <w:r w:rsidRPr="001876E4">
        <w:rPr>
          <w:rFonts w:ascii="Arial" w:eastAsia="Calibri" w:hAnsi="Arial" w:cs="Arial"/>
          <w:color w:val="FF0000"/>
          <w:sz w:val="24"/>
          <w:szCs w:val="24"/>
          <w:lang w:val="es-ES" w:eastAsia="en-US"/>
        </w:rPr>
        <w:t xml:space="preserve"> </w:t>
      </w:r>
      <w:r w:rsidRPr="001876E4">
        <w:rPr>
          <w:rFonts w:ascii="Arial" w:eastAsia="Calibri" w:hAnsi="Arial" w:cs="Arial"/>
          <w:sz w:val="24"/>
          <w:szCs w:val="24"/>
          <w:lang w:val="es-ES" w:eastAsia="en-US"/>
        </w:rPr>
        <w:t>de la Constitución Política de los Estados Unidos Mexicanos; 48 y 49, Fracción V, de la Ley de Coordinación Fiscal, 85 y 110 de la Ley Federal de Presupuesto y Responsabilidad Hacendaria;  así como en las demás disposiciones que correspondan.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hd w:val="clear" w:color="auto" w:fill="FFFFFF"/>
        <w:spacing w:after="0" w:line="240" w:lineRule="auto"/>
        <w:contextualSpacing/>
        <w:jc w:val="both"/>
        <w:rPr>
          <w:rFonts w:ascii="Arial" w:eastAsia="Times New Roman" w:hAnsi="Arial" w:cs="Arial"/>
          <w:sz w:val="24"/>
          <w:szCs w:val="24"/>
          <w:lang w:val="es-ES" w:eastAsia="es-ES"/>
        </w:rPr>
      </w:pPr>
      <w:r w:rsidRPr="001876E4">
        <w:rPr>
          <w:rFonts w:ascii="Arial" w:eastAsia="Times New Roman" w:hAnsi="Arial" w:cs="Arial"/>
          <w:b/>
          <w:sz w:val="24"/>
          <w:szCs w:val="24"/>
          <w:lang w:val="es-ES" w:eastAsia="es-ES"/>
        </w:rPr>
        <w:t>Artículo 43</w:t>
      </w:r>
      <w:r w:rsidRPr="001876E4">
        <w:rPr>
          <w:rFonts w:ascii="Arial" w:eastAsia="Times New Roman" w:hAnsi="Arial" w:cs="Arial"/>
          <w:sz w:val="24"/>
          <w:szCs w:val="24"/>
          <w:lang w:val="es-ES" w:eastAsia="es-ES"/>
        </w:rPr>
        <w:t xml:space="preserve">. Para el Ejercicio Fiscal 2018, se destinan </w:t>
      </w:r>
      <w:r w:rsidRPr="001876E4">
        <w:rPr>
          <w:rFonts w:ascii="Arial" w:eastAsia="Times New Roman" w:hAnsi="Arial" w:cs="Arial"/>
          <w:b/>
          <w:sz w:val="24"/>
          <w:szCs w:val="24"/>
          <w:lang w:val="es-ES" w:eastAsia="es-ES"/>
        </w:rPr>
        <w:t>$1,971,259,647</w:t>
      </w:r>
      <w:r w:rsidRPr="001876E4">
        <w:rPr>
          <w:rFonts w:ascii="Arial" w:eastAsia="Times New Roman" w:hAnsi="Arial" w:cs="Arial"/>
          <w:sz w:val="24"/>
          <w:szCs w:val="24"/>
          <w:lang w:val="es-ES" w:eastAsia="es-ES"/>
        </w:rPr>
        <w:t xml:space="preserve"> para los municipios de la Entidad, que se integran de la siguiente manera:</w:t>
      </w:r>
    </w:p>
    <w:p w:rsidR="001876E4" w:rsidRPr="001876E4" w:rsidRDefault="001876E4" w:rsidP="001876E4">
      <w:pPr>
        <w:shd w:val="clear" w:color="auto" w:fill="FFFFFF"/>
        <w:spacing w:after="0" w:line="240" w:lineRule="auto"/>
        <w:contextualSpacing/>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Tabla 55. Monto Total de recursos destinados a los Municipios</w:t>
      </w:r>
    </w:p>
    <w:tbl>
      <w:tblPr>
        <w:tblW w:w="6880" w:type="dxa"/>
        <w:jc w:val="center"/>
        <w:tblCellMar>
          <w:left w:w="70" w:type="dxa"/>
          <w:right w:w="70" w:type="dxa"/>
        </w:tblCellMar>
        <w:tblLook w:val="04A0" w:firstRow="1" w:lastRow="0" w:firstColumn="1" w:lastColumn="0" w:noHBand="0" w:noVBand="1"/>
      </w:tblPr>
      <w:tblGrid>
        <w:gridCol w:w="2240"/>
        <w:gridCol w:w="1680"/>
        <w:gridCol w:w="1500"/>
        <w:gridCol w:w="1460"/>
      </w:tblGrid>
      <w:tr w:rsidR="001876E4" w:rsidRPr="001876E4" w:rsidTr="00947D11">
        <w:trPr>
          <w:trHeight w:val="765"/>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Municipio</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Participaciones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Aportaciones Federales (Ramo 33)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Totales</w:t>
            </w:r>
          </w:p>
        </w:tc>
      </w:tr>
      <w:tr w:rsidR="001876E4" w:rsidRPr="001876E4" w:rsidTr="00947D11">
        <w:trPr>
          <w:trHeight w:val="368"/>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Armería</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64,479,081</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35,421,158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99,900,239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Colima</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278,169,037</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129,092,397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407,261,434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Comala</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61,312,594</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28,210,231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89,522,825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Coquimatlán</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56,071,479</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21,956,530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78,028,009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Cuauhtémoc</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67,176,534</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24,961,463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92,137,997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Ixtlahuacán</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73,949,782</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9,146,221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83,096,003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Manzanillo</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314,165,988</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162,760,776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476,926,764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Minatitlán</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63,070,770</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12,003,962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75,074,732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Tecomán</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173,879,114</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130,866,204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304,745,318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20"/>
                <w:szCs w:val="20"/>
              </w:rPr>
            </w:pPr>
            <w:r w:rsidRPr="001876E4">
              <w:rPr>
                <w:rFonts w:ascii="Arial" w:eastAsia="Times New Roman" w:hAnsi="Arial" w:cs="Arial"/>
                <w:color w:val="000000"/>
                <w:sz w:val="20"/>
                <w:szCs w:val="20"/>
              </w:rPr>
              <w:t>Villa de Álvarez</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sz w:val="20"/>
                <w:szCs w:val="20"/>
              </w:rPr>
            </w:pPr>
            <w:r w:rsidRPr="001876E4">
              <w:rPr>
                <w:rFonts w:ascii="Arial" w:eastAsia="Times New Roman" w:hAnsi="Arial" w:cs="Arial"/>
                <w:sz w:val="20"/>
                <w:szCs w:val="20"/>
              </w:rPr>
              <w:t>171,187,962</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93,378,364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rPr>
              <w:t xml:space="preserve">264,566,326 </w:t>
            </w:r>
          </w:p>
        </w:tc>
      </w:tr>
      <w:tr w:rsidR="001876E4" w:rsidRPr="001876E4" w:rsidTr="00947D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Totales</w:t>
            </w:r>
          </w:p>
        </w:tc>
        <w:tc>
          <w:tcPr>
            <w:tcW w:w="168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1,323,462,341 </w:t>
            </w:r>
          </w:p>
        </w:tc>
        <w:tc>
          <w:tcPr>
            <w:tcW w:w="150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647,797,306 </w:t>
            </w:r>
          </w:p>
        </w:tc>
        <w:tc>
          <w:tcPr>
            <w:tcW w:w="14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1,971,259,647 </w:t>
            </w:r>
          </w:p>
        </w:tc>
      </w:tr>
    </w:tbl>
    <w:p w:rsidR="001876E4" w:rsidRPr="001876E4" w:rsidRDefault="001876E4" w:rsidP="001876E4">
      <w:pPr>
        <w:shd w:val="clear" w:color="auto" w:fill="FFFFFF"/>
        <w:spacing w:after="0" w:line="240" w:lineRule="auto"/>
        <w:contextualSpacing/>
        <w:jc w:val="both"/>
        <w:rPr>
          <w:rFonts w:ascii="Arial" w:eastAsia="Times New Roman" w:hAnsi="Arial" w:cs="Arial"/>
          <w:sz w:val="24"/>
          <w:szCs w:val="24"/>
          <w:lang w:val="es-ES" w:eastAsia="es-ES"/>
        </w:rPr>
      </w:pPr>
    </w:p>
    <w:p w:rsidR="001876E4" w:rsidRPr="001876E4" w:rsidRDefault="001876E4" w:rsidP="001876E4">
      <w:pPr>
        <w:shd w:val="clear" w:color="auto" w:fill="FFFFFF"/>
        <w:spacing w:after="0" w:line="240" w:lineRule="auto"/>
        <w:ind w:left="426" w:hanging="426"/>
        <w:contextualSpacing/>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I.</w:t>
      </w:r>
      <w:r w:rsidRPr="001876E4">
        <w:rPr>
          <w:rFonts w:ascii="Arial" w:eastAsia="Times New Roman" w:hAnsi="Arial" w:cs="Arial"/>
          <w:sz w:val="24"/>
          <w:szCs w:val="24"/>
          <w:lang w:val="es-ES" w:eastAsia="es-ES"/>
        </w:rPr>
        <w:tab/>
        <w:t>Las Participaciones a los Municipios del Estado tendrán la siguiente distribución, de acuerdo a cada uno de los conceptos previstos en la Ley de Coordinación Fiscal del Estado de Colima:</w:t>
      </w:r>
    </w:p>
    <w:p w:rsidR="001876E4" w:rsidRPr="001876E4" w:rsidRDefault="001876E4" w:rsidP="001876E4">
      <w:pPr>
        <w:shd w:val="clear" w:color="auto" w:fill="FFFFFF"/>
        <w:spacing w:after="0" w:line="240" w:lineRule="auto"/>
        <w:contextualSpacing/>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56. Participaciones a los Municipios</w:t>
      </w:r>
      <w:r w:rsidRPr="001876E4">
        <w:rPr>
          <w:rFonts w:ascii="Arial" w:eastAsia="Times New Roman" w:hAnsi="Arial" w:cs="Times New Roman"/>
          <w:b/>
          <w:szCs w:val="26"/>
          <w:lang w:val="es-ES" w:eastAsia="en-US"/>
        </w:rPr>
        <w:br/>
        <w:t xml:space="preserve"> (Por Fuente)</w:t>
      </w:r>
    </w:p>
    <w:tbl>
      <w:tblPr>
        <w:tblStyle w:val="Tablaconcuadrcula2"/>
        <w:tblW w:w="0" w:type="auto"/>
        <w:jc w:val="center"/>
        <w:tblLook w:val="04A0" w:firstRow="1" w:lastRow="0" w:firstColumn="1" w:lastColumn="0" w:noHBand="0" w:noVBand="1"/>
      </w:tblPr>
      <w:tblGrid>
        <w:gridCol w:w="7095"/>
        <w:gridCol w:w="1670"/>
      </w:tblGrid>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jc w:val="center"/>
              <w:rPr>
                <w:rFonts w:ascii="Arial" w:hAnsi="Arial" w:cs="Arial"/>
                <w:b/>
                <w:sz w:val="20"/>
                <w:lang w:eastAsia="es-ES"/>
              </w:rPr>
            </w:pPr>
            <w:r w:rsidRPr="001876E4">
              <w:rPr>
                <w:rFonts w:ascii="Arial" w:hAnsi="Arial" w:cs="Arial"/>
                <w:b/>
                <w:sz w:val="20"/>
                <w:lang w:eastAsia="es-ES"/>
              </w:rPr>
              <w:t>Concepto</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jc w:val="center"/>
              <w:rPr>
                <w:rFonts w:ascii="Arial" w:hAnsi="Arial" w:cs="Arial"/>
                <w:b/>
                <w:sz w:val="20"/>
                <w:lang w:eastAsia="es-ES"/>
              </w:rPr>
            </w:pPr>
            <w:r w:rsidRPr="001876E4">
              <w:rPr>
                <w:rFonts w:ascii="Arial" w:hAnsi="Arial" w:cs="Arial"/>
                <w:b/>
                <w:sz w:val="20"/>
                <w:lang w:eastAsia="es-ES"/>
              </w:rPr>
              <w:t>Asignación Presupuestal</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Fondo General de Participaciones (</w:t>
            </w:r>
            <w:r w:rsidRPr="001876E4">
              <w:rPr>
                <w:rFonts w:ascii="Arial" w:hAnsi="Arial" w:cs="Arial"/>
                <w:b/>
                <w:sz w:val="20"/>
                <w:lang w:eastAsia="es-ES"/>
              </w:rPr>
              <w:t>F.G.P.</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811,912,119</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Fondo de Fomento Municipal (</w:t>
            </w:r>
            <w:r w:rsidRPr="001876E4">
              <w:rPr>
                <w:rFonts w:ascii="Arial" w:hAnsi="Arial" w:cs="Arial"/>
                <w:b/>
                <w:sz w:val="20"/>
                <w:lang w:eastAsia="es-ES"/>
              </w:rPr>
              <w:t>F.F.M.</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309,290,133</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Fondo de Fiscalización y Recaudación (</w:t>
            </w:r>
            <w:r w:rsidRPr="001876E4">
              <w:rPr>
                <w:rFonts w:ascii="Arial" w:hAnsi="Arial" w:cs="Arial"/>
                <w:b/>
                <w:sz w:val="20"/>
                <w:lang w:eastAsia="es-ES"/>
              </w:rPr>
              <w:t>FOFIR</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38,886,553</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Fondo de Compensación del ISAN (</w:t>
            </w:r>
            <w:r w:rsidRPr="001876E4">
              <w:rPr>
                <w:rFonts w:ascii="Arial" w:hAnsi="Arial" w:cs="Arial"/>
                <w:b/>
                <w:sz w:val="20"/>
                <w:lang w:eastAsia="es-ES"/>
              </w:rPr>
              <w:t>FDO. COMP. ISAN</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2,973,435</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Participación Específica del Impuesto Especial (</w:t>
            </w:r>
            <w:r w:rsidRPr="001876E4">
              <w:rPr>
                <w:rFonts w:ascii="Arial" w:hAnsi="Arial" w:cs="Arial"/>
                <w:b/>
                <w:sz w:val="20"/>
                <w:lang w:eastAsia="es-ES"/>
              </w:rPr>
              <w:t>I.E.P.S.</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16,290,854</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Incentivo del Impuesto sobre Automóviles Nuevos (</w:t>
            </w:r>
            <w:r w:rsidRPr="001876E4">
              <w:rPr>
                <w:rFonts w:ascii="Arial" w:hAnsi="Arial" w:cs="Arial"/>
                <w:b/>
                <w:sz w:val="20"/>
                <w:lang w:eastAsia="es-ES"/>
              </w:rPr>
              <w:t>INCENTIVO ISAN</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12,063,100</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Fondo de Gasolina y Diésel (</w:t>
            </w:r>
            <w:r w:rsidRPr="001876E4">
              <w:rPr>
                <w:rFonts w:ascii="Arial" w:hAnsi="Arial" w:cs="Arial"/>
                <w:b/>
                <w:sz w:val="20"/>
                <w:lang w:eastAsia="es-ES"/>
              </w:rPr>
              <w:t>FDO. IEPS G. y D</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39,838,216</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Fondo del Impuesto sobre la Renta (</w:t>
            </w:r>
            <w:r w:rsidRPr="001876E4">
              <w:rPr>
                <w:rFonts w:ascii="Arial" w:hAnsi="Arial" w:cs="Arial"/>
                <w:b/>
                <w:sz w:val="20"/>
                <w:lang w:eastAsia="es-ES"/>
              </w:rPr>
              <w:t>FONDO DE ISR</w:t>
            </w:r>
            <w:r w:rsidRPr="001876E4">
              <w:rPr>
                <w:rFonts w:ascii="Arial" w:hAnsi="Arial" w:cs="Arial"/>
                <w:sz w:val="20"/>
                <w:lang w:eastAsia="es-ES"/>
              </w:rPr>
              <w:t>)</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92,205,841</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shd w:val="clear" w:color="auto" w:fill="FFFFFF"/>
              <w:rPr>
                <w:rFonts w:ascii="Arial" w:hAnsi="Arial" w:cs="Arial"/>
                <w:sz w:val="20"/>
                <w:lang w:eastAsia="es-ES"/>
              </w:rPr>
            </w:pPr>
            <w:r w:rsidRPr="001876E4">
              <w:rPr>
                <w:rFonts w:ascii="Arial" w:hAnsi="Arial" w:cs="Arial"/>
                <w:sz w:val="20"/>
                <w:lang w:eastAsia="es-ES"/>
              </w:rPr>
              <w:t>Incentivo Tenencia</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2,090</w:t>
            </w:r>
          </w:p>
        </w:tc>
      </w:tr>
      <w:tr w:rsidR="001876E4" w:rsidRPr="001876E4" w:rsidTr="00947D11">
        <w:trPr>
          <w:trHeight w:val="283"/>
          <w:jc w:val="center"/>
        </w:trPr>
        <w:tc>
          <w:tcPr>
            <w:tcW w:w="7095"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jc w:val="center"/>
              <w:rPr>
                <w:rFonts w:ascii="Arial" w:hAnsi="Arial" w:cs="Arial"/>
                <w:b/>
                <w:sz w:val="20"/>
                <w:lang w:eastAsia="es-ES"/>
              </w:rPr>
            </w:pPr>
            <w:r w:rsidRPr="001876E4">
              <w:rPr>
                <w:rFonts w:ascii="Arial" w:hAnsi="Arial" w:cs="Arial"/>
                <w:b/>
                <w:sz w:val="20"/>
                <w:lang w:eastAsia="es-ES"/>
              </w:rPr>
              <w:t>Total</w:t>
            </w:r>
          </w:p>
        </w:tc>
        <w:tc>
          <w:tcPr>
            <w:tcW w:w="1670"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1,323,462,341</w:t>
            </w:r>
          </w:p>
        </w:tc>
      </w:tr>
    </w:tbl>
    <w:p w:rsidR="001876E4" w:rsidRPr="001876E4" w:rsidRDefault="001876E4" w:rsidP="001876E4">
      <w:pPr>
        <w:shd w:val="clear" w:color="auto" w:fill="FFFFFF"/>
        <w:spacing w:after="0" w:line="240" w:lineRule="auto"/>
        <w:jc w:val="both"/>
        <w:rPr>
          <w:rFonts w:ascii="Arial" w:eastAsia="Times New Roman" w:hAnsi="Arial" w:cs="Arial"/>
          <w:sz w:val="24"/>
          <w:szCs w:val="24"/>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 xml:space="preserve">Tabla 57. Participaciones a los Municipios </w:t>
      </w:r>
      <w:r w:rsidRPr="001876E4">
        <w:rPr>
          <w:rFonts w:ascii="Arial" w:eastAsia="Times New Roman" w:hAnsi="Arial" w:cs="Times New Roman"/>
          <w:b/>
          <w:szCs w:val="26"/>
          <w:lang w:val="es-ES" w:eastAsia="en-US"/>
        </w:rPr>
        <w:br/>
        <w:t>(Desagregado Municipio)</w:t>
      </w:r>
    </w:p>
    <w:tbl>
      <w:tblPr>
        <w:tblStyle w:val="Tablaconcuadrcula"/>
        <w:tblW w:w="9209" w:type="dxa"/>
        <w:tblLayout w:type="fixed"/>
        <w:tblCellMar>
          <w:left w:w="28" w:type="dxa"/>
          <w:right w:w="28" w:type="dxa"/>
        </w:tblCellMar>
        <w:tblLook w:val="04A0" w:firstRow="1" w:lastRow="0" w:firstColumn="1" w:lastColumn="0" w:noHBand="0" w:noVBand="1"/>
      </w:tblPr>
      <w:tblGrid>
        <w:gridCol w:w="898"/>
        <w:gridCol w:w="883"/>
        <w:gridCol w:w="864"/>
        <w:gridCol w:w="836"/>
        <w:gridCol w:w="837"/>
        <w:gridCol w:w="836"/>
        <w:gridCol w:w="860"/>
        <w:gridCol w:w="865"/>
        <w:gridCol w:w="799"/>
        <w:gridCol w:w="539"/>
        <w:gridCol w:w="992"/>
      </w:tblGrid>
      <w:tr w:rsidR="001876E4" w:rsidRPr="001876E4" w:rsidTr="00947D11">
        <w:trPr>
          <w:trHeight w:val="694"/>
        </w:trPr>
        <w:tc>
          <w:tcPr>
            <w:tcW w:w="898" w:type="dxa"/>
            <w:noWrap/>
            <w:vAlign w:val="center"/>
            <w:hideMark/>
          </w:tcPr>
          <w:p w:rsidR="001876E4" w:rsidRPr="001876E4" w:rsidRDefault="001876E4" w:rsidP="001876E4">
            <w:pPr>
              <w:rPr>
                <w:rFonts w:ascii="Arial" w:hAnsi="Arial" w:cs="Arial"/>
                <w:b/>
                <w:bCs/>
                <w:sz w:val="14"/>
                <w:szCs w:val="14"/>
              </w:rPr>
            </w:pPr>
            <w:r w:rsidRPr="001876E4">
              <w:rPr>
                <w:rFonts w:ascii="Arial" w:hAnsi="Arial" w:cs="Arial"/>
                <w:b/>
                <w:bCs/>
                <w:sz w:val="14"/>
                <w:szCs w:val="14"/>
              </w:rPr>
              <w:t>Municipio</w:t>
            </w:r>
          </w:p>
        </w:tc>
        <w:tc>
          <w:tcPr>
            <w:tcW w:w="883" w:type="dxa"/>
            <w:noWrap/>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F.G.P.</w:t>
            </w:r>
          </w:p>
        </w:tc>
        <w:tc>
          <w:tcPr>
            <w:tcW w:w="864" w:type="dxa"/>
            <w:noWrap/>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F.F.M.</w:t>
            </w:r>
          </w:p>
        </w:tc>
        <w:tc>
          <w:tcPr>
            <w:tcW w:w="836" w:type="dxa"/>
            <w:noWrap/>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FOFIR</w:t>
            </w:r>
          </w:p>
        </w:tc>
        <w:tc>
          <w:tcPr>
            <w:tcW w:w="837" w:type="dxa"/>
            <w:noWrap/>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I.E.P.S.</w:t>
            </w:r>
          </w:p>
        </w:tc>
        <w:tc>
          <w:tcPr>
            <w:tcW w:w="836" w:type="dxa"/>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FDO. COMP. ISAN</w:t>
            </w:r>
          </w:p>
        </w:tc>
        <w:tc>
          <w:tcPr>
            <w:tcW w:w="860" w:type="dxa"/>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FDO. IEPS G. Y D</w:t>
            </w:r>
          </w:p>
        </w:tc>
        <w:tc>
          <w:tcPr>
            <w:tcW w:w="865" w:type="dxa"/>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INCENTIVO ISAN</w:t>
            </w:r>
          </w:p>
        </w:tc>
        <w:tc>
          <w:tcPr>
            <w:tcW w:w="799" w:type="dxa"/>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FONDO DE ISR</w:t>
            </w:r>
          </w:p>
        </w:tc>
        <w:tc>
          <w:tcPr>
            <w:tcW w:w="539" w:type="dxa"/>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INCENTIVO TENENCIA</w:t>
            </w:r>
          </w:p>
        </w:tc>
        <w:tc>
          <w:tcPr>
            <w:tcW w:w="992" w:type="dxa"/>
            <w:vAlign w:val="center"/>
            <w:hideMark/>
          </w:tcPr>
          <w:p w:rsidR="001876E4" w:rsidRPr="001876E4" w:rsidRDefault="001876E4" w:rsidP="001876E4">
            <w:pPr>
              <w:jc w:val="center"/>
              <w:rPr>
                <w:rFonts w:ascii="Arial" w:hAnsi="Arial" w:cs="Arial"/>
                <w:b/>
                <w:bCs/>
                <w:sz w:val="14"/>
                <w:szCs w:val="14"/>
              </w:rPr>
            </w:pPr>
            <w:r w:rsidRPr="001876E4">
              <w:rPr>
                <w:rFonts w:ascii="Arial" w:hAnsi="Arial" w:cs="Arial"/>
                <w:b/>
                <w:bCs/>
                <w:sz w:val="14"/>
                <w:szCs w:val="14"/>
              </w:rPr>
              <w:t>Totales</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Armería</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39,869,529</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15,227,083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1,807,387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788,920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163,779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2,650,433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664,444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3,307,328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178</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64,479,081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Colima</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167,160,567</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66,677,110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7,655,905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2,758,842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595,398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7,268,760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2,415,504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23,636,644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307</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278,169,037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Comala</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38,220,455</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13,211,900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2,398,931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1,067,951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167,926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2,104,010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681,268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3,460,000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153</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61,312,594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Coquimatlán</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34,311,146</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13,574,562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1,728,554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851,904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145,082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2,301,047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588,592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2,570,418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174</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56,071,479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Cuauhtémoc</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42,365,298</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15,022,107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1,989,510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1,003,350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148,380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4,016,772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601,971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2,028,849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297</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67,176,534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Ixtlahuacán</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49,025,795</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17,792,994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2,749,246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1,297,949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187,815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693,912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761,960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1,440,000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111</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73,949,782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Manzanillo</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181,940,534</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72,404,941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8,088,645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2,905,025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624,083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7,235,652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2,531,878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38,435,000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230</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314,165,988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Minatitlán</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43,810,827</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11,505,695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2,249,738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1,339,373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182,488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1,922,118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740,345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1,320,000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186</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63,070,770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Tecomán</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110,215,292</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44,119,087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4,904,506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1,821,858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395,996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5,807,991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1,606,541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5,007,602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241</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173,879,114 </w:t>
            </w:r>
          </w:p>
        </w:tc>
      </w:tr>
      <w:tr w:rsidR="001876E4" w:rsidRPr="001876E4" w:rsidTr="00947D11">
        <w:trPr>
          <w:trHeight w:val="300"/>
        </w:trPr>
        <w:tc>
          <w:tcPr>
            <w:tcW w:w="898" w:type="dxa"/>
            <w:noWrap/>
            <w:vAlign w:val="center"/>
            <w:hideMark/>
          </w:tcPr>
          <w:p w:rsidR="001876E4" w:rsidRPr="001876E4" w:rsidRDefault="001876E4" w:rsidP="001876E4">
            <w:pPr>
              <w:rPr>
                <w:rFonts w:ascii="Arial" w:hAnsi="Arial" w:cs="Arial"/>
                <w:sz w:val="14"/>
                <w:szCs w:val="14"/>
              </w:rPr>
            </w:pPr>
            <w:r w:rsidRPr="001876E4">
              <w:rPr>
                <w:rFonts w:ascii="Arial" w:hAnsi="Arial" w:cs="Arial"/>
                <w:sz w:val="14"/>
                <w:szCs w:val="14"/>
              </w:rPr>
              <w:t>Villa de Álvarez</w:t>
            </w:r>
          </w:p>
        </w:tc>
        <w:tc>
          <w:tcPr>
            <w:tcW w:w="883"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104,992,676</w:t>
            </w:r>
          </w:p>
        </w:tc>
        <w:tc>
          <w:tcPr>
            <w:tcW w:w="864"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39,754,654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5,314,131 </w:t>
            </w:r>
          </w:p>
        </w:tc>
        <w:tc>
          <w:tcPr>
            <w:tcW w:w="837"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2,455,682 </w:t>
            </w:r>
          </w:p>
        </w:tc>
        <w:tc>
          <w:tcPr>
            <w:tcW w:w="836"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362,488 </w:t>
            </w:r>
          </w:p>
        </w:tc>
        <w:tc>
          <w:tcPr>
            <w:tcW w:w="860"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5,837,521 </w:t>
            </w:r>
          </w:p>
        </w:tc>
        <w:tc>
          <w:tcPr>
            <w:tcW w:w="865"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1,470,597 </w:t>
            </w:r>
          </w:p>
        </w:tc>
        <w:tc>
          <w:tcPr>
            <w:tcW w:w="799" w:type="dxa"/>
            <w:noWrap/>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 xml:space="preserve"> 11,000,000 </w:t>
            </w:r>
          </w:p>
        </w:tc>
        <w:tc>
          <w:tcPr>
            <w:tcW w:w="539" w:type="dxa"/>
            <w:vAlign w:val="center"/>
          </w:tcPr>
          <w:p w:rsidR="001876E4" w:rsidRPr="001876E4" w:rsidRDefault="001876E4" w:rsidP="001876E4">
            <w:pPr>
              <w:jc w:val="right"/>
              <w:rPr>
                <w:rFonts w:ascii="Arial" w:hAnsi="Arial" w:cs="Arial"/>
                <w:sz w:val="14"/>
                <w:szCs w:val="14"/>
              </w:rPr>
            </w:pPr>
            <w:r w:rsidRPr="001876E4">
              <w:rPr>
                <w:rFonts w:ascii="Arial" w:hAnsi="Arial" w:cs="Arial"/>
                <w:sz w:val="14"/>
                <w:szCs w:val="14"/>
              </w:rPr>
              <w:t>213</w:t>
            </w:r>
          </w:p>
        </w:tc>
        <w:tc>
          <w:tcPr>
            <w:tcW w:w="992" w:type="dxa"/>
            <w:noWrap/>
            <w:vAlign w:val="center"/>
          </w:tcPr>
          <w:p w:rsidR="001876E4" w:rsidRPr="001876E4" w:rsidRDefault="001876E4" w:rsidP="001876E4">
            <w:pPr>
              <w:jc w:val="right"/>
              <w:rPr>
                <w:rFonts w:ascii="Arial" w:hAnsi="Arial" w:cs="Arial"/>
                <w:color w:val="000000"/>
                <w:sz w:val="14"/>
                <w:szCs w:val="14"/>
              </w:rPr>
            </w:pPr>
            <w:r w:rsidRPr="001876E4">
              <w:rPr>
                <w:rFonts w:ascii="Arial" w:hAnsi="Arial" w:cs="Arial"/>
                <w:color w:val="000000"/>
                <w:sz w:val="14"/>
                <w:szCs w:val="14"/>
              </w:rPr>
              <w:t xml:space="preserve">171,187,962 </w:t>
            </w:r>
          </w:p>
        </w:tc>
      </w:tr>
      <w:tr w:rsidR="001876E4" w:rsidRPr="001876E4" w:rsidTr="00947D11">
        <w:trPr>
          <w:trHeight w:val="300"/>
        </w:trPr>
        <w:tc>
          <w:tcPr>
            <w:tcW w:w="898" w:type="dxa"/>
            <w:noWrap/>
            <w:vAlign w:val="center"/>
            <w:hideMark/>
          </w:tcPr>
          <w:p w:rsidR="001876E4" w:rsidRPr="001876E4" w:rsidRDefault="001876E4" w:rsidP="001876E4">
            <w:pPr>
              <w:jc w:val="center"/>
              <w:rPr>
                <w:rFonts w:ascii="Arial" w:hAnsi="Arial" w:cs="Arial"/>
                <w:b/>
                <w:sz w:val="14"/>
                <w:szCs w:val="14"/>
              </w:rPr>
            </w:pPr>
            <w:r w:rsidRPr="001876E4">
              <w:rPr>
                <w:rFonts w:ascii="Arial" w:hAnsi="Arial" w:cs="Arial"/>
                <w:b/>
                <w:sz w:val="14"/>
                <w:szCs w:val="14"/>
              </w:rPr>
              <w:t>Totales</w:t>
            </w:r>
          </w:p>
        </w:tc>
        <w:tc>
          <w:tcPr>
            <w:tcW w:w="883"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811,912,119 </w:t>
            </w:r>
          </w:p>
        </w:tc>
        <w:tc>
          <w:tcPr>
            <w:tcW w:w="864"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309,290,133 </w:t>
            </w:r>
          </w:p>
        </w:tc>
        <w:tc>
          <w:tcPr>
            <w:tcW w:w="836"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38,886,553 </w:t>
            </w:r>
          </w:p>
        </w:tc>
        <w:tc>
          <w:tcPr>
            <w:tcW w:w="837"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16,290,854 </w:t>
            </w:r>
          </w:p>
        </w:tc>
        <w:tc>
          <w:tcPr>
            <w:tcW w:w="836"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2,973,435 </w:t>
            </w:r>
          </w:p>
        </w:tc>
        <w:tc>
          <w:tcPr>
            <w:tcW w:w="860"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39,838,216 </w:t>
            </w:r>
          </w:p>
        </w:tc>
        <w:tc>
          <w:tcPr>
            <w:tcW w:w="865"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12,063,100 </w:t>
            </w:r>
          </w:p>
        </w:tc>
        <w:tc>
          <w:tcPr>
            <w:tcW w:w="799" w:type="dxa"/>
            <w:noWrap/>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92,205,841 </w:t>
            </w:r>
          </w:p>
        </w:tc>
        <w:tc>
          <w:tcPr>
            <w:tcW w:w="539" w:type="dxa"/>
            <w:vAlign w:val="center"/>
          </w:tcPr>
          <w:p w:rsidR="001876E4" w:rsidRPr="001876E4" w:rsidRDefault="001876E4" w:rsidP="001876E4">
            <w:pPr>
              <w:jc w:val="right"/>
              <w:rPr>
                <w:rFonts w:ascii="Arial" w:hAnsi="Arial" w:cs="Arial"/>
                <w:b/>
                <w:sz w:val="14"/>
                <w:szCs w:val="14"/>
              </w:rPr>
            </w:pPr>
            <w:r w:rsidRPr="001876E4">
              <w:rPr>
                <w:rFonts w:ascii="Arial" w:hAnsi="Arial" w:cs="Arial"/>
                <w:b/>
                <w:sz w:val="14"/>
                <w:szCs w:val="14"/>
              </w:rPr>
              <w:t xml:space="preserve"> 2,090 </w:t>
            </w:r>
          </w:p>
        </w:tc>
        <w:tc>
          <w:tcPr>
            <w:tcW w:w="992" w:type="dxa"/>
            <w:noWrap/>
            <w:vAlign w:val="center"/>
          </w:tcPr>
          <w:p w:rsidR="001876E4" w:rsidRPr="001876E4" w:rsidRDefault="001876E4" w:rsidP="001876E4">
            <w:pPr>
              <w:jc w:val="right"/>
              <w:rPr>
                <w:rFonts w:ascii="Arial" w:hAnsi="Arial" w:cs="Arial"/>
                <w:b/>
                <w:bCs/>
                <w:color w:val="000000"/>
                <w:sz w:val="14"/>
                <w:szCs w:val="14"/>
              </w:rPr>
            </w:pPr>
            <w:r w:rsidRPr="001876E4">
              <w:rPr>
                <w:rFonts w:ascii="Arial" w:hAnsi="Arial" w:cs="Arial"/>
                <w:b/>
                <w:bCs/>
                <w:color w:val="000000"/>
                <w:sz w:val="14"/>
                <w:szCs w:val="14"/>
              </w:rPr>
              <w:t xml:space="preserve">1,323,462,341 </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hd w:val="clear" w:color="auto" w:fill="FFFFFF"/>
        <w:spacing w:after="0" w:line="240" w:lineRule="auto"/>
        <w:ind w:left="426" w:hanging="426"/>
        <w:contextualSpacing/>
        <w:jc w:val="both"/>
        <w:rPr>
          <w:rFonts w:ascii="Arial" w:eastAsia="Times New Roman" w:hAnsi="Arial" w:cs="Arial"/>
          <w:sz w:val="24"/>
          <w:szCs w:val="24"/>
          <w:lang w:val="es-ES" w:eastAsia="es-ES"/>
        </w:rPr>
      </w:pPr>
      <w:r w:rsidRPr="001876E4">
        <w:rPr>
          <w:rFonts w:ascii="Arial" w:eastAsia="Times New Roman" w:hAnsi="Arial" w:cs="Arial"/>
          <w:sz w:val="24"/>
          <w:szCs w:val="24"/>
          <w:lang w:val="es-ES" w:eastAsia="es-ES"/>
        </w:rPr>
        <w:t>II.</w:t>
      </w:r>
      <w:r w:rsidRPr="001876E4">
        <w:rPr>
          <w:rFonts w:ascii="Arial" w:eastAsia="Times New Roman" w:hAnsi="Arial" w:cs="Arial"/>
          <w:sz w:val="24"/>
          <w:szCs w:val="24"/>
          <w:lang w:val="es-ES" w:eastAsia="es-ES"/>
        </w:rPr>
        <w:tab/>
        <w:t>Los recursos federales por concepto de Zona Federal Marítimo Terrestre, se distribuyen de la siguiente manera.</w:t>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57a. Zona Federal Marítimo Terrestre</w:t>
      </w:r>
    </w:p>
    <w:tbl>
      <w:tblPr>
        <w:tblW w:w="6760" w:type="dxa"/>
        <w:jc w:val="center"/>
        <w:tblCellMar>
          <w:left w:w="70" w:type="dxa"/>
          <w:right w:w="70" w:type="dxa"/>
        </w:tblCellMar>
        <w:tblLook w:val="04A0" w:firstRow="1" w:lastRow="0" w:firstColumn="1" w:lastColumn="0" w:noHBand="0" w:noVBand="1"/>
      </w:tblPr>
      <w:tblGrid>
        <w:gridCol w:w="4600"/>
        <w:gridCol w:w="2160"/>
      </w:tblGrid>
      <w:tr w:rsidR="001876E4" w:rsidRPr="001876E4" w:rsidTr="00947D11">
        <w:trPr>
          <w:trHeight w:val="510"/>
          <w:jc w:val="center"/>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lang w:val="es-ES"/>
              </w:rPr>
              <w:t>Concepto</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lang w:val="es-ES"/>
              </w:rPr>
              <w:t>Asignación Presupuestal</w:t>
            </w:r>
          </w:p>
        </w:tc>
      </w:tr>
      <w:tr w:rsidR="001876E4" w:rsidRPr="001876E4" w:rsidTr="00947D11">
        <w:trPr>
          <w:trHeight w:val="300"/>
          <w:jc w:val="center"/>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b/>
                <w:color w:val="000000"/>
                <w:sz w:val="20"/>
                <w:szCs w:val="20"/>
              </w:rPr>
            </w:pPr>
            <w:r w:rsidRPr="001876E4">
              <w:rPr>
                <w:rFonts w:ascii="Arial" w:eastAsia="Times New Roman" w:hAnsi="Arial" w:cs="Arial"/>
                <w:b/>
                <w:color w:val="000000"/>
                <w:sz w:val="20"/>
                <w:szCs w:val="20"/>
                <w:lang w:val="es-ES"/>
              </w:rPr>
              <w:t>Zona Federal Marítimo Terrestre</w:t>
            </w:r>
          </w:p>
        </w:tc>
        <w:tc>
          <w:tcPr>
            <w:tcW w:w="2160"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color w:val="000000"/>
                <w:sz w:val="20"/>
                <w:szCs w:val="20"/>
              </w:rPr>
            </w:pPr>
            <w:r w:rsidRPr="001876E4">
              <w:rPr>
                <w:rFonts w:ascii="Arial" w:eastAsia="Times New Roman" w:hAnsi="Arial" w:cs="Arial"/>
                <w:b/>
                <w:color w:val="000000"/>
                <w:sz w:val="20"/>
                <w:szCs w:val="20"/>
                <w:lang w:val="es-ES"/>
              </w:rPr>
              <w:t>2,282,192</w:t>
            </w:r>
          </w:p>
        </w:tc>
      </w:tr>
      <w:tr w:rsidR="001876E4" w:rsidRPr="001876E4" w:rsidTr="00947D11">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ind w:left="351"/>
              <w:rPr>
                <w:rFonts w:ascii="Arial" w:eastAsia="Times New Roman" w:hAnsi="Arial" w:cs="Arial"/>
                <w:color w:val="000000"/>
                <w:sz w:val="20"/>
                <w:szCs w:val="20"/>
              </w:rPr>
            </w:pPr>
            <w:r w:rsidRPr="001876E4">
              <w:rPr>
                <w:rFonts w:ascii="Arial" w:eastAsia="Times New Roman" w:hAnsi="Arial" w:cs="Arial"/>
                <w:color w:val="000000"/>
                <w:sz w:val="20"/>
                <w:szCs w:val="20"/>
              </w:rPr>
              <w:t>Manzanillo</w:t>
            </w:r>
          </w:p>
        </w:tc>
        <w:tc>
          <w:tcPr>
            <w:tcW w:w="2160" w:type="dxa"/>
            <w:tcBorders>
              <w:top w:val="nil"/>
              <w:left w:val="nil"/>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1,141,096</w:t>
            </w:r>
          </w:p>
        </w:tc>
      </w:tr>
      <w:tr w:rsidR="001876E4" w:rsidRPr="001876E4" w:rsidTr="00947D11">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ind w:left="351"/>
              <w:rPr>
                <w:rFonts w:ascii="Arial" w:eastAsia="Times New Roman" w:hAnsi="Arial" w:cs="Arial"/>
                <w:color w:val="000000"/>
                <w:sz w:val="20"/>
                <w:szCs w:val="20"/>
              </w:rPr>
            </w:pPr>
            <w:r w:rsidRPr="001876E4">
              <w:rPr>
                <w:rFonts w:ascii="Arial" w:eastAsia="Times New Roman" w:hAnsi="Arial" w:cs="Arial"/>
                <w:color w:val="000000"/>
                <w:sz w:val="20"/>
                <w:szCs w:val="20"/>
              </w:rPr>
              <w:t>Tecomán</w:t>
            </w:r>
          </w:p>
        </w:tc>
        <w:tc>
          <w:tcPr>
            <w:tcW w:w="2160" w:type="dxa"/>
            <w:tcBorders>
              <w:top w:val="nil"/>
              <w:left w:val="nil"/>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684,658</w:t>
            </w:r>
          </w:p>
        </w:tc>
      </w:tr>
      <w:tr w:rsidR="001876E4" w:rsidRPr="001876E4" w:rsidTr="00947D11">
        <w:trPr>
          <w:trHeight w:val="300"/>
          <w:jc w:val="center"/>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ind w:left="351"/>
              <w:rPr>
                <w:rFonts w:ascii="Arial" w:eastAsia="Times New Roman" w:hAnsi="Arial" w:cs="Arial"/>
                <w:color w:val="000000"/>
                <w:sz w:val="20"/>
                <w:szCs w:val="20"/>
              </w:rPr>
            </w:pPr>
            <w:r w:rsidRPr="001876E4">
              <w:rPr>
                <w:rFonts w:ascii="Arial" w:eastAsia="Times New Roman" w:hAnsi="Arial" w:cs="Arial"/>
                <w:color w:val="000000"/>
                <w:sz w:val="20"/>
                <w:szCs w:val="20"/>
              </w:rPr>
              <w:t>Armería</w:t>
            </w:r>
          </w:p>
        </w:tc>
        <w:tc>
          <w:tcPr>
            <w:tcW w:w="2160" w:type="dxa"/>
            <w:tcBorders>
              <w:top w:val="nil"/>
              <w:left w:val="nil"/>
              <w:bottom w:val="single" w:sz="4" w:space="0" w:color="auto"/>
              <w:right w:val="single" w:sz="4" w:space="0" w:color="auto"/>
            </w:tcBorders>
            <w:shd w:val="clear" w:color="auto" w:fill="auto"/>
            <w:noWrap/>
            <w:vAlign w:val="bottom"/>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456,438</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44</w:t>
      </w:r>
      <w:r w:rsidRPr="001876E4">
        <w:rPr>
          <w:rFonts w:ascii="Arial" w:eastAsia="Calibri" w:hAnsi="Arial" w:cs="Arial"/>
          <w:sz w:val="24"/>
          <w:szCs w:val="24"/>
          <w:lang w:val="es-ES" w:eastAsia="en-US"/>
        </w:rPr>
        <w:t>. Los recursos provenientes del Ramo 33 Aportaciones Federales para Entidades Federativas y Municipios, que ejercerán los municipios del Estado, tendrán la siguiente distribución de acuerdo a los conceptos previstos en la Ley de Coordinación Fiscal:</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 w:val="20"/>
          <w:szCs w:val="26"/>
          <w:lang w:val="es-ES" w:eastAsia="es-ES"/>
        </w:rPr>
      </w:pPr>
      <w:r w:rsidRPr="001876E4">
        <w:rPr>
          <w:rFonts w:ascii="Arial" w:eastAsia="Times New Roman" w:hAnsi="Arial" w:cs="Times New Roman"/>
          <w:b/>
          <w:sz w:val="20"/>
          <w:szCs w:val="26"/>
          <w:lang w:val="es-ES" w:eastAsia="en-US"/>
        </w:rPr>
        <w:t xml:space="preserve">Tabla 58. Aportaciones Federales (Ramo 33) </w:t>
      </w:r>
      <w:r w:rsidRPr="001876E4">
        <w:rPr>
          <w:rFonts w:ascii="Arial" w:eastAsia="Times New Roman" w:hAnsi="Arial" w:cs="Times New Roman"/>
          <w:b/>
          <w:sz w:val="20"/>
          <w:szCs w:val="26"/>
          <w:lang w:val="es-ES" w:eastAsia="es-ES"/>
        </w:rPr>
        <w:t xml:space="preserve">a los Municipios </w:t>
      </w:r>
      <w:r w:rsidRPr="001876E4">
        <w:rPr>
          <w:rFonts w:ascii="Arial" w:eastAsia="Times New Roman" w:hAnsi="Arial" w:cs="Times New Roman"/>
          <w:b/>
          <w:sz w:val="20"/>
          <w:szCs w:val="26"/>
          <w:lang w:val="es-ES" w:eastAsia="es-ES"/>
        </w:rPr>
        <w:br/>
        <w:t>(Agregado)</w:t>
      </w:r>
    </w:p>
    <w:tbl>
      <w:tblPr>
        <w:tblStyle w:val="Tablaconcuadrcula2"/>
        <w:tblW w:w="8550" w:type="dxa"/>
        <w:jc w:val="center"/>
        <w:tblLook w:val="04A0" w:firstRow="1" w:lastRow="0" w:firstColumn="1" w:lastColumn="0" w:noHBand="0" w:noVBand="1"/>
      </w:tblPr>
      <w:tblGrid>
        <w:gridCol w:w="7037"/>
        <w:gridCol w:w="1513"/>
      </w:tblGrid>
      <w:tr w:rsidR="001876E4" w:rsidRPr="001876E4" w:rsidTr="00947D11">
        <w:trPr>
          <w:trHeight w:val="283"/>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hd w:val="clear" w:color="auto" w:fill="FFFFFF"/>
              <w:jc w:val="center"/>
              <w:rPr>
                <w:rFonts w:ascii="Arial" w:hAnsi="Arial" w:cs="Arial"/>
                <w:b/>
                <w:bCs/>
                <w:sz w:val="20"/>
                <w:szCs w:val="20"/>
                <w:lang w:eastAsia="es-ES"/>
              </w:rPr>
            </w:pPr>
            <w:r w:rsidRPr="001876E4">
              <w:rPr>
                <w:rFonts w:ascii="Arial" w:hAnsi="Arial" w:cs="Arial"/>
                <w:b/>
                <w:bCs/>
                <w:sz w:val="20"/>
                <w:szCs w:val="20"/>
                <w:lang w:eastAsia="es-ES"/>
              </w:rPr>
              <w:t>Concepto</w:t>
            </w:r>
          </w:p>
        </w:tc>
        <w:tc>
          <w:tcPr>
            <w:tcW w:w="151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hd w:val="clear" w:color="auto" w:fill="FFFFFF"/>
              <w:jc w:val="center"/>
              <w:rPr>
                <w:rFonts w:ascii="Arial" w:hAnsi="Arial" w:cs="Arial"/>
                <w:b/>
                <w:bCs/>
                <w:sz w:val="20"/>
                <w:szCs w:val="20"/>
                <w:lang w:eastAsia="es-ES"/>
              </w:rPr>
            </w:pPr>
            <w:r w:rsidRPr="001876E4">
              <w:rPr>
                <w:rFonts w:ascii="Arial" w:hAnsi="Arial" w:cs="Arial"/>
                <w:b/>
                <w:bCs/>
                <w:sz w:val="20"/>
                <w:szCs w:val="20"/>
                <w:lang w:eastAsia="es-ES"/>
              </w:rPr>
              <w:t>Asignación Presupuestal</w:t>
            </w:r>
          </w:p>
        </w:tc>
      </w:tr>
      <w:tr w:rsidR="001876E4" w:rsidRPr="001876E4" w:rsidTr="00947D11">
        <w:trPr>
          <w:trHeight w:val="283"/>
          <w:jc w:val="center"/>
        </w:trPr>
        <w:tc>
          <w:tcPr>
            <w:tcW w:w="703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hd w:val="clear" w:color="auto" w:fill="FFFFFF"/>
              <w:rPr>
                <w:rFonts w:ascii="Arial" w:hAnsi="Arial" w:cs="Arial"/>
                <w:sz w:val="20"/>
                <w:szCs w:val="20"/>
                <w:lang w:eastAsia="es-ES"/>
              </w:rPr>
            </w:pPr>
            <w:r w:rsidRPr="001876E4">
              <w:rPr>
                <w:rFonts w:ascii="Arial" w:hAnsi="Arial" w:cs="Arial"/>
                <w:sz w:val="20"/>
                <w:szCs w:val="20"/>
                <w:lang w:eastAsia="es-ES"/>
              </w:rPr>
              <w:t>Fondo de Aportaciones para la Infraestructura Social Municipal</w:t>
            </w:r>
          </w:p>
        </w:tc>
        <w:tc>
          <w:tcPr>
            <w:tcW w:w="151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207,549,402</w:t>
            </w:r>
          </w:p>
        </w:tc>
      </w:tr>
      <w:tr w:rsidR="001876E4" w:rsidRPr="001876E4" w:rsidTr="00947D11">
        <w:trPr>
          <w:trHeight w:val="283"/>
          <w:jc w:val="center"/>
        </w:trPr>
        <w:tc>
          <w:tcPr>
            <w:tcW w:w="703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hd w:val="clear" w:color="auto" w:fill="FFFFFF"/>
              <w:rPr>
                <w:rFonts w:ascii="Arial" w:hAnsi="Arial" w:cs="Arial"/>
                <w:sz w:val="20"/>
                <w:szCs w:val="20"/>
                <w:lang w:eastAsia="es-ES"/>
              </w:rPr>
            </w:pPr>
            <w:r w:rsidRPr="001876E4">
              <w:rPr>
                <w:rFonts w:ascii="Arial" w:hAnsi="Arial" w:cs="Arial"/>
                <w:sz w:val="20"/>
                <w:szCs w:val="20"/>
                <w:lang w:eastAsia="es-ES"/>
              </w:rPr>
              <w:lastRenderedPageBreak/>
              <w:t>Fondo de Aportaciones para el Fortalecimiento de los Municipios y de las Demarcaciones Territoriales del Distrito Federal</w:t>
            </w:r>
          </w:p>
        </w:tc>
        <w:tc>
          <w:tcPr>
            <w:tcW w:w="151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440,247,904</w:t>
            </w:r>
          </w:p>
        </w:tc>
      </w:tr>
      <w:tr w:rsidR="001876E4" w:rsidRPr="001876E4" w:rsidTr="00947D11">
        <w:trPr>
          <w:trHeight w:val="283"/>
          <w:jc w:val="center"/>
        </w:trPr>
        <w:tc>
          <w:tcPr>
            <w:tcW w:w="703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hd w:val="clear" w:color="auto" w:fill="FFFFFF"/>
              <w:jc w:val="center"/>
              <w:rPr>
                <w:rFonts w:ascii="Arial" w:hAnsi="Arial" w:cs="Arial"/>
                <w:b/>
                <w:sz w:val="20"/>
                <w:szCs w:val="20"/>
                <w:lang w:eastAsia="es-ES"/>
              </w:rPr>
            </w:pPr>
            <w:r w:rsidRPr="001876E4">
              <w:rPr>
                <w:rFonts w:ascii="Arial" w:hAnsi="Arial" w:cs="Arial"/>
                <w:b/>
                <w:sz w:val="20"/>
                <w:szCs w:val="20"/>
                <w:lang w:eastAsia="es-ES"/>
              </w:rPr>
              <w:t>Total</w:t>
            </w:r>
          </w:p>
        </w:tc>
        <w:tc>
          <w:tcPr>
            <w:tcW w:w="151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647,797,306</w:t>
            </w:r>
          </w:p>
        </w:tc>
      </w:tr>
    </w:tbl>
    <w:p w:rsidR="001876E4" w:rsidRPr="001876E4" w:rsidRDefault="001876E4" w:rsidP="001876E4">
      <w:pPr>
        <w:spacing w:after="0" w:line="240" w:lineRule="auto"/>
        <w:rPr>
          <w:rFonts w:ascii="Arial" w:eastAsia="Times New Roman" w:hAnsi="Arial"/>
          <w:sz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s-ES"/>
        </w:rPr>
      </w:pPr>
      <w:r w:rsidRPr="001876E4">
        <w:rPr>
          <w:rFonts w:ascii="Arial" w:eastAsia="Times New Roman" w:hAnsi="Arial" w:cs="Times New Roman"/>
          <w:b/>
          <w:szCs w:val="26"/>
          <w:lang w:val="es-ES" w:eastAsia="en-US"/>
        </w:rPr>
        <w:t xml:space="preserve">Tabla 59. Aportaciones Federales (Ramo 33) </w:t>
      </w:r>
      <w:r w:rsidRPr="001876E4">
        <w:rPr>
          <w:rFonts w:ascii="Arial" w:eastAsia="Times New Roman" w:hAnsi="Arial" w:cs="Times New Roman"/>
          <w:b/>
          <w:szCs w:val="26"/>
          <w:lang w:val="es-ES" w:eastAsia="es-ES"/>
        </w:rPr>
        <w:t>a los Municipios</w:t>
      </w:r>
    </w:p>
    <w:tbl>
      <w:tblPr>
        <w:tblStyle w:val="Tablaconcuadrcula2"/>
        <w:tblW w:w="0" w:type="auto"/>
        <w:jc w:val="center"/>
        <w:tblLook w:val="04A0" w:firstRow="1" w:lastRow="0" w:firstColumn="1" w:lastColumn="0" w:noHBand="0" w:noVBand="1"/>
      </w:tblPr>
      <w:tblGrid>
        <w:gridCol w:w="2127"/>
        <w:gridCol w:w="2159"/>
        <w:gridCol w:w="2093"/>
        <w:gridCol w:w="1629"/>
      </w:tblGrid>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8"/>
                <w:szCs w:val="18"/>
              </w:rPr>
            </w:pPr>
            <w:r w:rsidRPr="001876E4">
              <w:rPr>
                <w:rFonts w:ascii="Arial" w:hAnsi="Arial" w:cs="Arial"/>
                <w:b/>
                <w:bCs/>
                <w:sz w:val="18"/>
                <w:szCs w:val="18"/>
              </w:rPr>
              <w:t>Municipios</w:t>
            </w:r>
          </w:p>
        </w:tc>
        <w:tc>
          <w:tcPr>
            <w:tcW w:w="215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Fondo de Aportaciones para el Fortalecimiento de los Municipios y de las Demarcaciones Territoriales del Distrito Federal</w:t>
            </w:r>
          </w:p>
        </w:tc>
        <w:tc>
          <w:tcPr>
            <w:tcW w:w="209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 xml:space="preserve">Fondo de Aportaciones para la Infraestructura Social Municipal </w:t>
            </w:r>
          </w:p>
        </w:tc>
        <w:tc>
          <w:tcPr>
            <w:tcW w:w="1629"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18"/>
                <w:szCs w:val="18"/>
              </w:rPr>
            </w:pPr>
            <w:r w:rsidRPr="001876E4">
              <w:rPr>
                <w:rFonts w:ascii="Arial" w:hAnsi="Arial" w:cs="Arial"/>
                <w:b/>
                <w:bCs/>
                <w:sz w:val="18"/>
                <w:szCs w:val="18"/>
                <w:lang w:eastAsia="es-ES"/>
              </w:rPr>
              <w:t>Asignación Presupuestal</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Armería</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19,418,671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16,002,487</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35,421,158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Colima</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99,413,851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29,678,546</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129,092,397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Comala</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14,135,466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14,074,765</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28,210,231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Coquimatlán</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13,118,346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8,838,184</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21,956,530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Cuauhtémoc</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18,344,029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6,617,434</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24,961,463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Ixtlahuacán</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3,586,651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5,559,570</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9,146,221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Manzanillo</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109,237,216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53,523,560</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162,760,776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Minatitlán</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5,531,564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6,472,398</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12,003,962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Tecomán</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76,284,688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54,581,516</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130,866,204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18"/>
              </w:rPr>
            </w:pPr>
            <w:r w:rsidRPr="001876E4">
              <w:rPr>
                <w:rFonts w:ascii="Arial" w:hAnsi="Arial" w:cs="Arial"/>
                <w:sz w:val="20"/>
                <w:szCs w:val="18"/>
              </w:rPr>
              <w:t>Villa de Álvarez</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81,177,422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12,200,942</w:t>
            </w:r>
          </w:p>
        </w:tc>
        <w:tc>
          <w:tcPr>
            <w:tcW w:w="162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20"/>
                <w:szCs w:val="18"/>
              </w:rPr>
            </w:pPr>
            <w:r w:rsidRPr="001876E4">
              <w:rPr>
                <w:rFonts w:ascii="Arial" w:hAnsi="Arial" w:cs="Arial"/>
                <w:sz w:val="20"/>
                <w:szCs w:val="18"/>
              </w:rPr>
              <w:t xml:space="preserve"> 93,378,364 </w:t>
            </w:r>
          </w:p>
        </w:tc>
      </w:tr>
      <w:tr w:rsidR="001876E4" w:rsidRPr="001876E4" w:rsidTr="00947D11">
        <w:trPr>
          <w:trHeight w:val="28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18"/>
              </w:rPr>
            </w:pPr>
            <w:r w:rsidRPr="001876E4">
              <w:rPr>
                <w:rFonts w:ascii="Arial" w:hAnsi="Arial" w:cs="Arial"/>
                <w:b/>
                <w:bCs/>
                <w:sz w:val="20"/>
                <w:szCs w:val="18"/>
              </w:rPr>
              <w:t>Totales</w:t>
            </w:r>
          </w:p>
        </w:tc>
        <w:tc>
          <w:tcPr>
            <w:tcW w:w="215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20"/>
                <w:szCs w:val="18"/>
              </w:rPr>
            </w:pPr>
            <w:r w:rsidRPr="001876E4">
              <w:rPr>
                <w:rFonts w:ascii="Arial" w:hAnsi="Arial" w:cs="Arial"/>
                <w:b/>
                <w:sz w:val="20"/>
                <w:szCs w:val="18"/>
              </w:rPr>
              <w:t xml:space="preserve"> 440,247,904 </w:t>
            </w:r>
          </w:p>
        </w:tc>
        <w:tc>
          <w:tcPr>
            <w:tcW w:w="2093"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20"/>
                <w:szCs w:val="18"/>
              </w:rPr>
            </w:pPr>
            <w:r w:rsidRPr="001876E4">
              <w:rPr>
                <w:rFonts w:ascii="Arial" w:hAnsi="Arial" w:cs="Arial"/>
                <w:b/>
                <w:sz w:val="20"/>
                <w:szCs w:val="18"/>
              </w:rPr>
              <w:t xml:space="preserve"> 207,549,402 </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b/>
                <w:sz w:val="20"/>
                <w:szCs w:val="18"/>
              </w:rPr>
            </w:pPr>
            <w:r w:rsidRPr="001876E4">
              <w:rPr>
                <w:rFonts w:ascii="Arial" w:hAnsi="Arial" w:cs="Arial"/>
                <w:b/>
                <w:sz w:val="20"/>
                <w:szCs w:val="18"/>
              </w:rPr>
              <w:t xml:space="preserve"> 647,797,306 </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45</w:t>
      </w:r>
      <w:r w:rsidRPr="001876E4">
        <w:rPr>
          <w:rFonts w:ascii="Arial" w:eastAsia="Calibri" w:hAnsi="Arial" w:cs="Arial"/>
          <w:sz w:val="24"/>
          <w:szCs w:val="24"/>
          <w:lang w:val="es-ES" w:eastAsia="en-US"/>
        </w:rPr>
        <w:t xml:space="preserve">. Los recursos provenientes del Ramo 33 Aportaciones Federales para Entidades Federativas y Municipios, que ejercerá el Gobierno Estatal se estiman en </w:t>
      </w:r>
      <w:r w:rsidRPr="001876E4">
        <w:rPr>
          <w:rFonts w:ascii="Arial" w:eastAsia="Calibri" w:hAnsi="Arial" w:cs="Arial"/>
          <w:b/>
          <w:sz w:val="24"/>
          <w:szCs w:val="24"/>
          <w:lang w:val="es-ES" w:eastAsia="en-US"/>
        </w:rPr>
        <w:t>$5,767,342,008</w:t>
      </w:r>
      <w:r w:rsidRPr="001876E4">
        <w:rPr>
          <w:rFonts w:ascii="Arial" w:eastAsia="Calibri" w:hAnsi="Arial" w:cs="Arial"/>
          <w:sz w:val="24"/>
          <w:szCs w:val="24"/>
          <w:lang w:val="es-ES" w:eastAsia="en-US"/>
        </w:rPr>
        <w:t xml:space="preserve"> y se desglosan a continuación: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60. Aportaciones Federales (Ramo 33) </w:t>
      </w:r>
    </w:p>
    <w:tbl>
      <w:tblPr>
        <w:tblStyle w:val="Tablaconcuadrcula2"/>
        <w:tblW w:w="0" w:type="auto"/>
        <w:tblInd w:w="250" w:type="dxa"/>
        <w:tblLayout w:type="fixed"/>
        <w:tblLook w:val="04A0" w:firstRow="1" w:lastRow="0" w:firstColumn="1" w:lastColumn="0" w:noHBand="0" w:noVBand="1"/>
      </w:tblPr>
      <w:tblGrid>
        <w:gridCol w:w="284"/>
        <w:gridCol w:w="567"/>
        <w:gridCol w:w="4706"/>
        <w:gridCol w:w="1389"/>
        <w:gridCol w:w="1417"/>
      </w:tblGrid>
      <w:tr w:rsidR="001876E4" w:rsidRPr="001876E4" w:rsidTr="00947D11">
        <w:trPr>
          <w:trHeight w:val="283"/>
        </w:trPr>
        <w:tc>
          <w:tcPr>
            <w:tcW w:w="5557" w:type="dxa"/>
            <w:gridSpan w:val="3"/>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Partida</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Asignación Presupuestal</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1</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la Nómina Educativa y el Gasto Operativo</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3,137,494,087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1.1</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Servicios Personales</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r w:rsidRPr="001876E4">
              <w:rPr>
                <w:rFonts w:ascii="Arial" w:hAnsi="Arial" w:cs="Arial"/>
                <w:sz w:val="18"/>
                <w:szCs w:val="18"/>
              </w:rPr>
              <w:t xml:space="preserve"> 2,967,073,046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1.2</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Otros de Gasto Corriente</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r w:rsidRPr="001876E4">
              <w:rPr>
                <w:rFonts w:ascii="Arial" w:hAnsi="Arial" w:cs="Arial"/>
                <w:sz w:val="18"/>
                <w:szCs w:val="18"/>
              </w:rPr>
              <w:t xml:space="preserve"> 42,434,866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1.3</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Gastos de Operación</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r w:rsidRPr="001876E4">
              <w:rPr>
                <w:rFonts w:ascii="Arial" w:hAnsi="Arial" w:cs="Arial"/>
                <w:sz w:val="18"/>
                <w:szCs w:val="18"/>
              </w:rPr>
              <w:t xml:space="preserve"> 127,986,175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1.4</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Fondo de Compensación</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0 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2</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los Servicios de Salud</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1,312,524,400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3</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la Infraestructura Social</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236,177,549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3.1</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Fondo de Aportaciones para la Infraestructura Social Estatal</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sz w:val="18"/>
                <w:szCs w:val="18"/>
              </w:rPr>
            </w:pPr>
            <w:r w:rsidRPr="001876E4">
              <w:rPr>
                <w:rFonts w:ascii="Arial" w:hAnsi="Arial" w:cs="Arial"/>
                <w:sz w:val="18"/>
                <w:szCs w:val="18"/>
              </w:rPr>
              <w:t xml:space="preserve">28,628,147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3.2</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Fondo de Aportaciones para la Infraestructura Social Municipal</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sz w:val="18"/>
                <w:szCs w:val="18"/>
              </w:rPr>
            </w:pPr>
            <w:r w:rsidRPr="001876E4">
              <w:rPr>
                <w:rFonts w:ascii="Arial" w:hAnsi="Arial" w:cs="Arial"/>
                <w:sz w:val="18"/>
                <w:szCs w:val="18"/>
              </w:rPr>
              <w:t xml:space="preserve">207,549,402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lastRenderedPageBreak/>
              <w:t>4</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el Fortalecimiento de los Municipios y de las Demarcaciones Territoriales del Distrito Federal</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440,247,904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5</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Múltiples</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186,440,979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5.1</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Asistencia Social</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 xml:space="preserve">52,415,356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5.2</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Infraestructura Educativa Básica</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 xml:space="preserve">97,104,288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5.3</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Infraestructura Educativa Media Superior y Superior</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 xml:space="preserve">36,921,335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6</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la Educación Tecnológica y de Adultos</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74,638,245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6.1</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Educación Tecnológica</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 xml:space="preserve">40,951,538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6.2</w:t>
            </w:r>
          </w:p>
        </w:tc>
        <w:tc>
          <w:tcPr>
            <w:tcW w:w="470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szCs w:val="18"/>
              </w:rPr>
            </w:pPr>
            <w:r w:rsidRPr="001876E4">
              <w:rPr>
                <w:rFonts w:ascii="Arial" w:hAnsi="Arial" w:cs="Arial"/>
                <w:sz w:val="18"/>
                <w:szCs w:val="18"/>
              </w:rPr>
              <w:t>Educación de Adultos</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 xml:space="preserve">33,686,707 </w:t>
            </w: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szCs w:val="18"/>
              </w:rPr>
            </w:pP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7</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la Seguridad Pública de los Estados y del Distrito Federal</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130,230,430 </w:t>
            </w:r>
          </w:p>
        </w:tc>
      </w:tr>
      <w:tr w:rsidR="001876E4" w:rsidRPr="001876E4" w:rsidTr="00947D11">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8</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18"/>
                <w:szCs w:val="18"/>
              </w:rPr>
            </w:pPr>
            <w:r w:rsidRPr="001876E4">
              <w:rPr>
                <w:rFonts w:ascii="Arial" w:hAnsi="Arial" w:cs="Arial"/>
                <w:b/>
                <w:sz w:val="18"/>
                <w:szCs w:val="18"/>
              </w:rPr>
              <w:t>Fondo de Aportaciones para el Fortalecimiento de las Entidades Federativas</w:t>
            </w:r>
          </w:p>
        </w:tc>
        <w:tc>
          <w:tcPr>
            <w:tcW w:w="1389"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 xml:space="preserve">249,588,414 </w:t>
            </w:r>
          </w:p>
        </w:tc>
      </w:tr>
      <w:tr w:rsidR="001876E4" w:rsidRPr="001876E4" w:rsidTr="00947D11">
        <w:trPr>
          <w:trHeight w:val="283"/>
        </w:trPr>
        <w:tc>
          <w:tcPr>
            <w:tcW w:w="6946" w:type="dxa"/>
            <w:gridSpan w:val="4"/>
            <w:tcBorders>
              <w:top w:val="single" w:sz="4" w:space="0" w:color="auto"/>
              <w:left w:val="single" w:sz="4" w:space="0" w:color="auto"/>
              <w:bottom w:val="single" w:sz="4" w:space="0" w:color="auto"/>
              <w:right w:val="single" w:sz="4" w:space="0" w:color="auto"/>
            </w:tcBorders>
            <w:hideMark/>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Total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b/>
                <w:sz w:val="18"/>
                <w:szCs w:val="18"/>
              </w:rPr>
            </w:pPr>
            <w:r w:rsidRPr="001876E4">
              <w:rPr>
                <w:rFonts w:ascii="Arial" w:hAnsi="Arial" w:cs="Arial"/>
                <w:b/>
                <w:bCs/>
                <w:color w:val="000000"/>
                <w:sz w:val="18"/>
                <w:szCs w:val="18"/>
              </w:rPr>
              <w:t>5,767,342,008</w:t>
            </w:r>
          </w:p>
        </w:tc>
      </w:tr>
    </w:tbl>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46</w:t>
      </w:r>
      <w:r w:rsidRPr="001876E4">
        <w:rPr>
          <w:rFonts w:ascii="Arial" w:eastAsia="Calibri" w:hAnsi="Arial" w:cs="Arial"/>
          <w:sz w:val="24"/>
          <w:szCs w:val="24"/>
          <w:lang w:val="es-ES" w:eastAsia="en-US"/>
        </w:rPr>
        <w:t>. La aplicación, destino y distribución estimada de los recursos provenientes del Ramo 33 Aportaciones Federales para Entidades Federativas y Municipios se desglosan de la siguiente manera: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61. Aplicación Estimada de las Aportaciones del Ramo 33</w:t>
      </w:r>
    </w:p>
    <w:tbl>
      <w:tblPr>
        <w:tblW w:w="86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6237"/>
        <w:gridCol w:w="1420"/>
      </w:tblGrid>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Clave</w:t>
            </w:r>
          </w:p>
        </w:tc>
        <w:tc>
          <w:tcPr>
            <w:tcW w:w="6237"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Fondo/Proyecto</w:t>
            </w:r>
          </w:p>
        </w:tc>
        <w:tc>
          <w:tcPr>
            <w:tcW w:w="1420" w:type="dxa"/>
            <w:shd w:val="clear" w:color="auto" w:fill="auto"/>
            <w:noWrap/>
            <w:vAlign w:val="center"/>
          </w:tcPr>
          <w:p w:rsidR="001876E4" w:rsidRPr="001876E4" w:rsidRDefault="001876E4" w:rsidP="001876E4">
            <w:pPr>
              <w:spacing w:after="0" w:line="240" w:lineRule="auto"/>
              <w:jc w:val="center"/>
              <w:rPr>
                <w:rFonts w:ascii="Arial" w:hAnsi="Arial" w:cs="Arial"/>
                <w:b/>
                <w:bCs/>
                <w:color w:val="000000"/>
                <w:sz w:val="18"/>
                <w:szCs w:val="18"/>
              </w:rPr>
            </w:pPr>
            <w:r w:rsidRPr="001876E4">
              <w:rPr>
                <w:rFonts w:ascii="Arial" w:hAnsi="Arial" w:cs="Arial"/>
                <w:b/>
                <w:bCs/>
                <w:color w:val="000000"/>
                <w:sz w:val="18"/>
                <w:szCs w:val="18"/>
              </w:rPr>
              <w:t>Asignación Presupuestal</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25101-18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la Nómina Educativa y el Gasto Operativo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3,137,494,087</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63AS01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Programa de Educación Inicial Escolarizado (CENDIS)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63AS02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Programa de Educación Inicial no Escolarizada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22,510,000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Libros de Texto Gratuito Proporcionados a los Alumnos de Secundarias Generales Técnicas y Telesecundarias Federalizadas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64BS10</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de Educación Básica Otorgada a la Población de Jóvenes y Adultos (CEDEX)</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9,100,000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de Educación Especial en Escuelas Federalizadas de Educación Básica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215,000,000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de Educación Física en Educación Básica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100,810,000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64BS13</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de Educación Preescolar Federalizado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335,000,000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64BS14</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de Secundaria General Federalizada a la Población de 12 a 15 Años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363,000,000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de Secundaria Técnica Federalizada a la Población de 12 A 14 Años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320,000,000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64BS16</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Educativo de Primaria Federalizada a la Población de 6 A 11 Años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1,015,129,087</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64BS17</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Servicio Educativo de Telesecundaria Federalizada a la Población de 12 A 14 Años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105,000,000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64CS01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Consejos Escolares de Participación Social en las Escuelas de Educación Básica Articulados con las Rutas de Mejora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lastRenderedPageBreak/>
              <w:t>64CS02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Credenciales con Fotografía a Alumnos de Educación Básica Otorgadas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64CS04</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los Procesos de Inscripción Reinscripción Acreditación Regularización y Certificación de Alumnos de Educación Básica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64CS05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Servicios Proporcionados de Misiones Culturales que Atienden a Adultos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11,600,000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64CS06</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Unidades de Servicios Administrativos y Educativos Operando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66BS02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Absorción en los Programas de Nivel Superior a través de Servicios de Calidad en la Unidad Colima de la Universidad Pedagógica Nacional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19,100,000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Acciones Realizadas para Atender los Trámites y Servicios Proporcionados por el área de Asuntos Jurídicos y Laborales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Programa Estatal de Evaluación y Mejora Educativa (PEEME)</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80AS04</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para la Administración de los Recursos Materiales y Servicios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para la Administración de Recursos Financieros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542,665,000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80AS06</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para la Administración de Recursos Humanos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80AS07</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para la Capacitación y Desarrollo del Personal de la SE-CSEE</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para la Evaluación de la Política Educativa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80AS09</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para la Evaluación del Logro Educativo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64BS03</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Programa Mantenimiento de los Espacios Educativos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64BS09</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Programa Pintando Mejoramos Nuestra Escuela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64CS03</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la Microplaneación para la Creación y Ampliación de Infraestructura en Educación Básica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360,000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64BS02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Operación del Programa E-3 (Arraigo del Maestro en el Medio Rural)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13,920,000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80AS10</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Regulación del Servicio Profesional Docente</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80AS03</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sz w:val="18"/>
                <w:szCs w:val="18"/>
              </w:rPr>
            </w:pPr>
            <w:r w:rsidRPr="001876E4">
              <w:rPr>
                <w:rFonts w:ascii="Arial" w:eastAsia="Times New Roman" w:hAnsi="Arial" w:cs="Arial"/>
                <w:sz w:val="18"/>
                <w:szCs w:val="18"/>
              </w:rPr>
              <w:t>Gestión de Procesos de Tecnología Educativa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25102-18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los Servicios de Salud</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1,312,524,400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02BS01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Asignación de Presupuesto a las Entidades Federativas mediante el Fondo de Aportaciones para los Servicios de Salud a Protección</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933,947,273</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02CS01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Asignación de Presupuesto a las Entidades Federativas mediante el Fondo de Aportaciones para los Servicios de Salud a la Comunidad</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378,577,127</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25103-18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la Educación Tecnológica y de Adultos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74,638,245</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80AS05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Gestión de Procesos para la Administración de Recursos Financieros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74,638,245</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25104-18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Múltiples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186,440,979</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18FS01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Atención a Menores de 5 años que se Encuentran en Condiciones de Riesgo y Vulnerabilidad</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2,162,476</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18FS03</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Contribución a Generar Espacios Alimentarios en las Comunidades que se Encuentran dentro de la Cobertura de la Cruzada contra el Hambre</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3,376,392</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18FS04</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Contribución a Mejorar las Condiciones Sociales de Vida en las Localidades con Marginación a través de Grupos de Desarrollo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552,480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18FS05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Contribución en la Seguridad Alimentaria de la Población Escolar, Sujeta de Asistencia Social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40,132,068</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18FS06</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Contribución en la Seguridad Alimentaria de los Sujetos en Condiciones de Riesgo, Abandono y Vulnerabilidad</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5,805,204</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lastRenderedPageBreak/>
              <w:t>18FS07</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Instrumentación de Proyectos para la Protección de las Personas en Estado de Vulnerabilidad</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386,736</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80AS05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Gestión de Procesos para la Administración de Recursos Financieros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134,025,623</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25105-18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el Fortalecimiento de las Entidades Federativas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249,588,414</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bCs/>
                <w:color w:val="000000"/>
                <w:sz w:val="18"/>
                <w:szCs w:val="18"/>
              </w:rPr>
            </w:pPr>
            <w:r w:rsidRPr="001876E4">
              <w:rPr>
                <w:rFonts w:ascii="Arial" w:eastAsia="Times New Roman" w:hAnsi="Arial" w:cs="Arial"/>
                <w:bCs/>
                <w:color w:val="000000"/>
                <w:sz w:val="18"/>
                <w:szCs w:val="18"/>
              </w:rPr>
              <w:t>99AK02</w:t>
            </w:r>
          </w:p>
        </w:tc>
        <w:tc>
          <w:tcPr>
            <w:tcW w:w="6237" w:type="dxa"/>
            <w:shd w:val="clear" w:color="auto" w:fill="auto"/>
            <w:noWrap/>
            <w:vAlign w:val="center"/>
          </w:tcPr>
          <w:p w:rsidR="001876E4" w:rsidRPr="001876E4" w:rsidRDefault="001876E4" w:rsidP="001876E4">
            <w:pPr>
              <w:spacing w:after="0" w:line="240" w:lineRule="auto"/>
              <w:rPr>
                <w:rFonts w:ascii="Arial" w:eastAsia="Times New Roman" w:hAnsi="Arial" w:cs="Arial"/>
                <w:bCs/>
                <w:color w:val="000000"/>
                <w:sz w:val="18"/>
                <w:szCs w:val="18"/>
              </w:rPr>
            </w:pPr>
            <w:r w:rsidRPr="001876E4">
              <w:rPr>
                <w:rFonts w:ascii="Arial" w:eastAsia="Times New Roman" w:hAnsi="Arial" w:cs="Arial"/>
                <w:bCs/>
                <w:color w:val="000000"/>
                <w:sz w:val="18"/>
                <w:szCs w:val="18"/>
              </w:rPr>
              <w:t xml:space="preserve">Programa Normal de Obra </w:t>
            </w:r>
          </w:p>
        </w:tc>
        <w:tc>
          <w:tcPr>
            <w:tcW w:w="1420" w:type="dxa"/>
            <w:shd w:val="clear" w:color="auto" w:fill="auto"/>
            <w:noWrap/>
            <w:vAlign w:val="center"/>
          </w:tcPr>
          <w:p w:rsidR="001876E4" w:rsidRPr="001876E4" w:rsidRDefault="001876E4" w:rsidP="001876E4">
            <w:pPr>
              <w:spacing w:after="0" w:line="240" w:lineRule="auto"/>
              <w:jc w:val="right"/>
              <w:rPr>
                <w:rFonts w:ascii="Arial" w:hAnsi="Arial" w:cs="Arial"/>
                <w:bCs/>
                <w:color w:val="000000"/>
                <w:sz w:val="18"/>
                <w:szCs w:val="18"/>
              </w:rPr>
            </w:pPr>
            <w:r w:rsidRPr="001876E4">
              <w:rPr>
                <w:rFonts w:ascii="Arial" w:hAnsi="Arial" w:cs="Arial"/>
                <w:bCs/>
                <w:color w:val="000000"/>
                <w:sz w:val="18"/>
                <w:szCs w:val="18"/>
              </w:rPr>
              <w:t>25,000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61ES01</w:t>
            </w:r>
          </w:p>
        </w:tc>
        <w:tc>
          <w:tcPr>
            <w:tcW w:w="6237" w:type="dxa"/>
            <w:shd w:val="clear" w:color="auto" w:fill="auto"/>
            <w:noWrap/>
            <w:vAlign w:val="center"/>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Costo Financiero y Pago de la Deuda realizados en el Ejercicio Fiscal</w:t>
            </w:r>
          </w:p>
        </w:tc>
        <w:tc>
          <w:tcPr>
            <w:tcW w:w="1420"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224,588,414</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25106-18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la Infraestructura Social Estatal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28,628,147</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05CK01</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Programa de Concurrencia para Cuartos Adicionales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12,500,000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96BK05</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Programa 3x1 para Migrantes </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16,128,147</w:t>
            </w:r>
          </w:p>
        </w:tc>
      </w:tr>
      <w:tr w:rsidR="001876E4" w:rsidRPr="001876E4" w:rsidTr="00947D11">
        <w:trPr>
          <w:trHeight w:val="46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25107-18</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el Fortalecimiento de los Municipios y de las Demarcaciones Territoriales del Distrito Federal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207,549,402</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61CS02</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Aportaciones Federales del Ramo 33 Realizadas a Municipios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207,549,402</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25108-18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 xml:space="preserve">Fondo de Aportaciones para la Infraestructura Social Municipal </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440,247,904</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61CS02</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Aportaciones Federales del ramo 33 Realizadas a Municipios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440,247,904</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25109-18</w:t>
            </w: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Fondo de Aportaciones para la Seguridad Pública de los Estados y del Distrito Federal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130,230,430</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32AI01</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Evaluación en Control de Confianza de los Elementos de las Instituciones de Seguridad Pública y Procuración de Justicia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4,867,000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32AI04</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Aplicación de Programas de Acceso a la Justicia para las Mujeres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154,975</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32AI07</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Mantenimiento y Desarrollo de la Red Estatal de Radiocomunicaciones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20,262,045</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32AI08</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Mantenimiento y Desarrollo de la Infraestructura Estatal de Sistema Nacional de Información</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4,211,600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32AI10</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Ejecución de las Metas del Registro Público Vehicular en el Estado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300,000</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32AI13</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Fortalecimiento de Programas Prioritarios de las Instituciones Estatales de Seguridad Pública e Impartición de Justicia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13,673,789</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32AI15</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Desarrollo Profesionalización y Certificación de los Elementos de las Instituciones de Seguridad Pública y Procuración de Justicia </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4,263,000</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32AI16</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Fortalecimiento y Desarrollo del Sistema Nacional de Atención de Llamadas de Emergencia y Denuncia Ciudadana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9,561,806</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32AI17</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Implementación y Desarrollo del Sistema de Justicia Penal y Sistemas Complementarios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1,060,100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32AI19</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Desarrollo de Ciencias Forenses en la Investigación de Hechos Delictivos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6,547,663</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32AI20</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Mantenimiento y Desarrollo del Sistema de Video Vigilancia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3,505,932</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32AI21</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Fortalecimiento de las Capacidades para Prevención y Combate a Delitos de Alto Impacto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867,977</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32AI23</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Seguimiento y Evaluación del Desempeño en la Aplicación de los Recursos y el Grado de Avance en el Cumplimiento de Objetivos y Metas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1,000,001</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32AI26</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Fortalecimiento de las Unidades Estatales de Supervisión a Medidas Cautelares y Suspensión del Proceso</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960,200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32AI28</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Modelo Nacional de Policía en Funciones de Seguridad Procesal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651,790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32AI30</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Fortalecimiento del Sistema Penitenciario Nacional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5,034,467</w:t>
            </w:r>
          </w:p>
        </w:tc>
      </w:tr>
      <w:tr w:rsidR="001876E4" w:rsidRPr="001876E4" w:rsidTr="00947D11">
        <w:trPr>
          <w:trHeight w:val="46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lastRenderedPageBreak/>
              <w:t>32AI31</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Fortalecimiento de la Autoridad Administrativa Especializada del Sistema de Justicia Penal para Adolescentes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925,000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32AI32</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Acreditación (Certificación) de Establecimientos Penitenciarios</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1,000,000</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32AI33</w:t>
            </w:r>
          </w:p>
        </w:tc>
        <w:tc>
          <w:tcPr>
            <w:tcW w:w="6237" w:type="dxa"/>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Modelo Homologado de Unidades de Policía Cibernética</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1,383,086</w:t>
            </w:r>
          </w:p>
        </w:tc>
      </w:tr>
      <w:tr w:rsidR="001876E4" w:rsidRPr="001876E4" w:rsidTr="00947D11">
        <w:trPr>
          <w:trHeight w:val="315"/>
        </w:trPr>
        <w:tc>
          <w:tcPr>
            <w:tcW w:w="993" w:type="dxa"/>
            <w:shd w:val="clear" w:color="auto" w:fill="auto"/>
            <w:noWrap/>
            <w:vAlign w:val="center"/>
          </w:tcPr>
          <w:p w:rsidR="001876E4" w:rsidRPr="001876E4" w:rsidRDefault="001876E4" w:rsidP="001876E4">
            <w:pPr>
              <w:spacing w:after="0" w:line="240" w:lineRule="auto"/>
              <w:jc w:val="center"/>
              <w:rPr>
                <w:rFonts w:ascii="Arial" w:hAnsi="Arial" w:cs="Arial"/>
                <w:color w:val="000000"/>
                <w:sz w:val="18"/>
                <w:szCs w:val="18"/>
              </w:rPr>
            </w:pPr>
            <w:r w:rsidRPr="001876E4">
              <w:rPr>
                <w:rFonts w:ascii="Arial" w:hAnsi="Arial" w:cs="Arial"/>
                <w:color w:val="000000"/>
                <w:sz w:val="18"/>
                <w:szCs w:val="18"/>
              </w:rPr>
              <w:t>32DS01</w:t>
            </w:r>
          </w:p>
        </w:tc>
        <w:tc>
          <w:tcPr>
            <w:tcW w:w="6237" w:type="dxa"/>
            <w:shd w:val="clear" w:color="auto" w:fill="auto"/>
            <w:vAlign w:val="center"/>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Implementación del Monitoreo Estatal de Video vigilancia Urbana</w:t>
            </w:r>
          </w:p>
        </w:tc>
        <w:tc>
          <w:tcPr>
            <w:tcW w:w="1420"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50,000,000</w:t>
            </w:r>
          </w:p>
        </w:tc>
      </w:tr>
      <w:tr w:rsidR="001876E4" w:rsidRPr="001876E4" w:rsidTr="00947D11">
        <w:trPr>
          <w:trHeight w:val="315"/>
        </w:trPr>
        <w:tc>
          <w:tcPr>
            <w:tcW w:w="993"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p>
        </w:tc>
        <w:tc>
          <w:tcPr>
            <w:tcW w:w="6237" w:type="dxa"/>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Total</w:t>
            </w:r>
          </w:p>
        </w:tc>
        <w:tc>
          <w:tcPr>
            <w:tcW w:w="1420" w:type="dxa"/>
            <w:shd w:val="clear" w:color="auto" w:fill="auto"/>
            <w:noWrap/>
            <w:vAlign w:val="center"/>
            <w:hideMark/>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5,767,342,008</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47</w:t>
      </w:r>
      <w:r w:rsidRPr="001876E4">
        <w:rPr>
          <w:rFonts w:ascii="Arial" w:eastAsia="Calibri" w:hAnsi="Arial" w:cs="Arial"/>
          <w:sz w:val="24"/>
          <w:szCs w:val="24"/>
          <w:lang w:val="es-ES" w:eastAsia="en-US"/>
        </w:rPr>
        <w:t xml:space="preserve">. En el apartado de Convenios se establece una cantidad de </w:t>
      </w:r>
      <w:r w:rsidRPr="001876E4">
        <w:rPr>
          <w:rFonts w:ascii="Arial" w:eastAsia="Calibri" w:hAnsi="Arial" w:cs="Arial"/>
          <w:b/>
          <w:sz w:val="24"/>
          <w:szCs w:val="24"/>
          <w:lang w:val="es-ES" w:eastAsia="en-US"/>
        </w:rPr>
        <w:t xml:space="preserve">$2,883,457,482 </w:t>
      </w:r>
      <w:r w:rsidRPr="001876E4">
        <w:rPr>
          <w:rFonts w:ascii="Arial" w:eastAsia="Calibri" w:hAnsi="Arial" w:cs="Arial"/>
          <w:sz w:val="24"/>
          <w:szCs w:val="24"/>
          <w:lang w:val="es-ES" w:eastAsia="en-US"/>
        </w:rPr>
        <w:t>derivada de programas con Fuente de Financiamiento de Recursos Federales, mismos que se destinarán a fines específicos como se señala a continuación: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Arial"/>
          <w:b/>
          <w:sz w:val="20"/>
          <w:szCs w:val="18"/>
          <w:lang w:val="es-ES" w:eastAsia="en-US"/>
        </w:rPr>
      </w:pPr>
      <w:r w:rsidRPr="001876E4">
        <w:rPr>
          <w:rFonts w:ascii="Arial" w:eastAsia="Times New Roman" w:hAnsi="Arial" w:cs="Times New Roman"/>
          <w:b/>
          <w:szCs w:val="26"/>
          <w:lang w:val="es-ES" w:eastAsia="en-US"/>
        </w:rPr>
        <w:t xml:space="preserve">Tabla 62. Convenios </w:t>
      </w:r>
    </w:p>
    <w:tbl>
      <w:tblPr>
        <w:tblW w:w="8480" w:type="dxa"/>
        <w:jc w:val="center"/>
        <w:tblCellMar>
          <w:left w:w="70" w:type="dxa"/>
          <w:right w:w="70" w:type="dxa"/>
        </w:tblCellMar>
        <w:tblLook w:val="04A0" w:firstRow="1" w:lastRow="0" w:firstColumn="1" w:lastColumn="0" w:noHBand="0" w:noVBand="1"/>
      </w:tblPr>
      <w:tblGrid>
        <w:gridCol w:w="7083"/>
        <w:gridCol w:w="1397"/>
      </w:tblGrid>
      <w:tr w:rsidR="001876E4" w:rsidRPr="001876E4" w:rsidTr="00947D11">
        <w:trPr>
          <w:trHeight w:val="510"/>
          <w:jc w:val="center"/>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Sector / Convenios</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333"/>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Educación Pública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269,453,991 </w:t>
            </w:r>
          </w:p>
        </w:tc>
      </w:tr>
      <w:tr w:rsidR="001876E4" w:rsidRPr="001876E4" w:rsidTr="00947D11">
        <w:trPr>
          <w:trHeight w:val="37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Escuelas de Tiempo Completo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119,868,360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Nacional de Becas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1,105,232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Becas de Apoyo a la Practica Intensiva y al Servicio Social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Telebachillerato Comunitario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8,200,000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Centros de Educación Media Superior a Distancia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19,200,000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para la Inclusión y Equidad Educativa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1,641,569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Fortalecimiento de la Calidad en Educación Básica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2,994,806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Nacional de Inglés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8,045,203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Nacional de Convivencia Escolar</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1,453,821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Fondo para Fortalecer la Autonomía de Gestión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1,400,000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Plan de Apoyo a la Calidad Educativa y la Transformación de las Escuelas Normales (PACTEN)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17,000,000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la Reforma Educativa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2,100,000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para el Desarrollo Profesional Docente</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2,445,000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Fondo Concursable de Inversión en Infraestructura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Apoyo Financiero Extraordinario no Regularizable (Apoyos a Centros de Educación)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6,000,000 </w:t>
            </w:r>
          </w:p>
        </w:tc>
      </w:tr>
      <w:tr w:rsidR="001876E4" w:rsidRPr="001876E4" w:rsidTr="00947D11">
        <w:trPr>
          <w:trHeight w:val="51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Apoyo Financiero Extraordinario no Regularizable (Fortalecimiento a la Educación Temprana y el Desarrollo Infantil)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65,000,000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Salud</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298,279,165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highlight w:val="yellow"/>
              </w:rPr>
            </w:pPr>
            <w:r w:rsidRPr="001876E4">
              <w:rPr>
                <w:rFonts w:ascii="Arial" w:eastAsia="Times New Roman" w:hAnsi="Arial" w:cs="Arial"/>
                <w:color w:val="000000"/>
                <w:sz w:val="18"/>
                <w:szCs w:val="20"/>
              </w:rPr>
              <w:t>COESPRIS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1,973,996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Acuerdo para el Fortalecimiento de las Acciones de Salud Pública en los Estados (AFASPE)</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57,339,058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lastRenderedPageBreak/>
              <w:t>Fortalecimiento a la Atención Médica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5,402,012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Prevención y Control de Adicciones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929,766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Fortalecimiento al Servicio Brindado en el Refugio del ICM</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1,941,457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Ejecución del Sistema de Protección Social en Salud (Cuota Social)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170,500,000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Inclusión Social PROSPERA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10,726,407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Seguro Médico Siglo XXI</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5,438,209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Seguro Popular Capital Adicional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804,478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Gastos Catastróficos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43,223,782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Medio Ambiente y Recursos Naturales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230,410,000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Coordinación de Residuos Solidos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Agua Potable, Drenaje y Tratamiento (PROAGUA)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33,180,000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Devolución de Derechos (PRODDER) de la CONAGUA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7,400,000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PROAGUA Apartado Agua Limpia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Cultura del Agua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Federal PROAGUA Apartado APARURAL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8,700,000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Federal PROAGUA Apartado APAUR</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38,000,000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para el Funcionamiento y Operación de la Cuenca del Río Ayuquila – Armería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Consejo Costa Pacifico Centro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Modernización y Tecnificación de Unidades de Riego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14,400,000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Tecnificación, Modernización y Equipamiento de Distritos de Riego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91,350,000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Producción de Planta Forestal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1,200,000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Incendios Forestales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Proyecto para la Restructuración y Conservación de Manglares para el Estado de Colima (PPA)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12,080,000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Turismo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36,000,000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Desarrollo Regional Turístico y Sustentable y Pueblos Mágicos PRODERMÁGICO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36,000,000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Comunicaciones y Transportes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80,000,000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Construcción, Modernización y Mantenimiento de Caminos y Carreteras (SCT)</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Desarrollo Agrario, Territorial y Urbano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27,000,000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Infraestructura de la SEDATU</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Fondo Minero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Integral de Modernización de Registros Públicos y Catastro SEDATU 2018</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7,000,000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Hacienda y Crédito Público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835,830,425 </w:t>
            </w:r>
          </w:p>
        </w:tc>
      </w:tr>
      <w:tr w:rsidR="001876E4" w:rsidRPr="001876E4" w:rsidTr="00947D11">
        <w:trPr>
          <w:trHeight w:val="51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Fondo para la Accesibilidad en el Transporte Público para las Personas con Discapacidad (FOTRADIS)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6,633,425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Ramo 23 Fondo para el Fortalecimiento de la Infraestructura Estatal y Municipal (FORTALECE)</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230,000,000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lastRenderedPageBreak/>
              <w:t>Fortalecimiento Financiero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498,000,000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Fideicomiso para la Infraestructura en los Estados (FIES)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25,547,000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Fortalecimiento Financiero para la Infraestructura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70,000,000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Apoyo Federal al Transporte Masivo (PROTRAN)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5,650,000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Secretaria del Trabajo y Previsión Social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9,318,236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Apoyo al Empleo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9,318,236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Gobernación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71,576,952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Implementación y Desarrollo del Sistema de Justicia Penal y Sistemas Complementarios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40,747,141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Anexo de Asignación y Transferencia de Recursos para la Modernización Integral del Registro Civil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con Prioridad Nacional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29,779,811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Secretaria de Agricultura, Ganadería, Desarrollo Rural, Pesca y Alimentación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691,259,100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Repoblamiento del Hato Ganadero, Programa Especial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29,300,100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Rastro Tipo Inspección Federal, Programa Especial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Tecnificación de 30 Mil Has con Sistema de Riego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92,000,000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Establecimiento de Plantación de Palma de Coco, Programa Especial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10,009,000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Establecimiento y Reconversión de 5000 Has del Cultivo del Limón Mexicano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6,750,000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Mecanización al Campo Colimense, Programa Especial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96,000,000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Rehabilitación de Caminos Sacacosechas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Contratación de Seguros Agropecuarios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11,500,000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Concurrencia con las Entidades Federativas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140,000,000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Productividad Rural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24,600,000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Apoyo a Pequeños Productores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6,600,000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Productividad y Competitividad Agroalimentaria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Sanidad e Inocuidad Agroalimentaria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33,000,000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Despensas "Del Campo a tu Mesa"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6,000,000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Rehabilitación de Infraestructura para “El Paraíso”. Programa Especial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Obras Laguna Cuyutlán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Fomento a la Productividad Pesquera y Acuícola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Componente al Desarrollo de la Acuacultura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Instituto Nacional del Emprendedor</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12,000,000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Desarrollo de la Competitividad de la Micro, Pequeña y Mediana Empresa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9,000,000 </w:t>
            </w:r>
          </w:p>
        </w:tc>
      </w:tr>
      <w:tr w:rsidR="001876E4" w:rsidRPr="001876E4" w:rsidTr="00947D11">
        <w:trPr>
          <w:trHeight w:val="51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Convenio de Colaboración y Participación de Recursos Federales  (Instituto Nacional del Emprendedor)</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Instituto Mexicano de la Juventud</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1,390,000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Red Nacional de Programas de Radio y Televisión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240,000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lastRenderedPageBreak/>
              <w:t>Casa del Emprendedor</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Proyectos Locales Juveniles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Centros Poder Joven</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Comisión Nacional de Cultura Física y Deporte</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201,634,600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Etapa Regional de Olimpiada Nacional y Nacional Juvenil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516,600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Entrenadores Nacionales de Reserva Nacional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336,000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Entrenadores Nacionales de Talentos Deportivos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480,000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Entrenadores Nacionales Deporte Adaptado</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192,000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Premio Estatal del Deporte</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110,000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Infraestructura Deportiva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200,000,000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Consejo Nacional para la Cultura y las Artes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47,790,000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Desarrollo Cultural Infantil "Alas y Raíces"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para el Desarrollo Cultural de la Juventud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para el Desarrollo Cultural y Atención de Públicos Específicos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Convenio para el Centro Estatal de las Artes y Producción de Artes Gráficas "La Parota"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Estímulos a la Creación y al Desarrollo Artístico (PECDA)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1,600,000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para el Desarrollo Cultural de los Municipios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Fondo Regional para la Cultura y las Artes de la Zona Centro-Occidente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560,000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Fondo para el Desarrollo Cultural de la Zona de Tierra Caliente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150,000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Apoyo a las Culturas Municipales y Comunitarias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Fondo Especial de Fomento a la Lectura del Estado de Colima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Apoyo a Instituciones Estatales de Cultura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8,680,000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Cultura (Remodelación del Palacio de Gobierno)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30,000,000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Sistema Nacional para el Desarrollo Integral de la Familia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1,871,250 </w:t>
            </w:r>
          </w:p>
        </w:tc>
      </w:tr>
      <w:tr w:rsidR="001876E4" w:rsidRPr="001876E4" w:rsidTr="00947D11">
        <w:trPr>
          <w:trHeight w:val="51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RAMO XII Subprograma de Infraestructura, Rehabilitación y/o Equipamiento de Espacios Alimentarios (SIREEA)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471,250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Ramo XII Comunidad Diferente</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1,400,000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Comisión Nacional para el Desarrollo de los Pueblos Indígenas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28,767,157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Infraestructura Indígena (PROII)</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28,767,157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Secretaría de Desarrollo Social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12,500,000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(3 X 1) Migrantes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12,500,000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Instituto Nacional de las Mujeres</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13,876,606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Programa de Apoyo a Instancias de Mujeres en las Entidades Federativas (PAIMEF)</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8,251,006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t xml:space="preserve">Programa de Fortalecimiento a la Transversalidad de la Perspectiva de Genero </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5,625,600 </w:t>
            </w:r>
          </w:p>
        </w:tc>
      </w:tr>
      <w:tr w:rsidR="001876E4" w:rsidRPr="001876E4" w:rsidTr="00947D11">
        <w:trPr>
          <w:trHeight w:val="30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Consejo Nacional de Ciencia y Tecnología</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 xml:space="preserve">14,500,000 </w:t>
            </w:r>
          </w:p>
        </w:tc>
      </w:tr>
      <w:tr w:rsidR="001876E4" w:rsidRPr="001876E4" w:rsidTr="00947D11">
        <w:trPr>
          <w:trHeight w:val="510"/>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20"/>
              </w:rPr>
            </w:pPr>
            <w:r w:rsidRPr="001876E4">
              <w:rPr>
                <w:rFonts w:ascii="Arial" w:eastAsia="Times New Roman" w:hAnsi="Arial" w:cs="Arial"/>
                <w:color w:val="000000"/>
                <w:sz w:val="18"/>
                <w:szCs w:val="20"/>
              </w:rPr>
              <w:lastRenderedPageBreak/>
              <w:t>Estrategia Nacional para Fomentar y Fortalecer la Divulgación de la Ciencia, la Tecnología y la Innovación en las Entidades Federativas: 2018</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4,500,000 </w:t>
            </w:r>
          </w:p>
        </w:tc>
      </w:tr>
      <w:tr w:rsidR="001876E4" w:rsidRPr="001876E4" w:rsidTr="00947D11">
        <w:trPr>
          <w:trHeight w:val="315"/>
          <w:jc w:val="center"/>
        </w:trPr>
        <w:tc>
          <w:tcPr>
            <w:tcW w:w="7083" w:type="dxa"/>
            <w:tcBorders>
              <w:top w:val="nil"/>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bCs/>
                <w:color w:val="000000"/>
                <w:sz w:val="18"/>
                <w:szCs w:val="20"/>
              </w:rPr>
            </w:pPr>
            <w:r w:rsidRPr="001876E4">
              <w:rPr>
                <w:rFonts w:ascii="Arial" w:eastAsia="Times New Roman" w:hAnsi="Arial" w:cs="Arial"/>
                <w:bCs/>
                <w:color w:val="000000"/>
                <w:sz w:val="18"/>
                <w:szCs w:val="20"/>
              </w:rPr>
              <w:t>Anexo de Ejecución 2018 Fondo Mixto CONACYT</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xml:space="preserve">10,000,000 </w:t>
            </w:r>
          </w:p>
        </w:tc>
      </w:tr>
      <w:tr w:rsidR="001876E4" w:rsidRPr="001876E4" w:rsidTr="00947D11">
        <w:trPr>
          <w:trHeight w:val="315"/>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397"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color w:val="000000"/>
                <w:sz w:val="18"/>
                <w:szCs w:val="18"/>
              </w:rPr>
            </w:pPr>
            <w:r w:rsidRPr="001876E4">
              <w:rPr>
                <w:rFonts w:ascii="Arial" w:hAnsi="Arial" w:cs="Arial"/>
                <w:b/>
                <w:color w:val="000000"/>
                <w:sz w:val="18"/>
                <w:szCs w:val="18"/>
              </w:rPr>
              <w:t xml:space="preserve">2,883,457,482 </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48</w:t>
      </w:r>
      <w:r w:rsidRPr="001876E4">
        <w:rPr>
          <w:rFonts w:ascii="Arial" w:eastAsia="Calibri" w:hAnsi="Arial" w:cs="Arial"/>
          <w:sz w:val="24"/>
          <w:szCs w:val="24"/>
          <w:lang w:val="es-ES" w:eastAsia="en-US"/>
        </w:rPr>
        <w:t>. Para el Ejercicio Fiscal 2018 se asignan recursos para la Universidad de Colima y para la Universidad Tecnológica de Manzanillo, derivado de Subsidios y Subvenciones con recursos federales, como se detalla:</w:t>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63. Subsidios y Subvenciones: Universidad de Colima, </w:t>
      </w:r>
      <w:r w:rsidRPr="001876E4">
        <w:rPr>
          <w:rFonts w:ascii="Arial" w:eastAsia="Times New Roman" w:hAnsi="Arial" w:cs="Times New Roman"/>
          <w:b/>
          <w:szCs w:val="26"/>
          <w:lang w:val="es-ES" w:eastAsia="en-US"/>
        </w:rPr>
        <w:br/>
        <w:t>Universidad Tecnológica de Manzanillo</w:t>
      </w:r>
    </w:p>
    <w:tbl>
      <w:tblPr>
        <w:tblStyle w:val="Tablaconcuadrcula2"/>
        <w:tblW w:w="0" w:type="auto"/>
        <w:jc w:val="center"/>
        <w:tblLook w:val="04A0" w:firstRow="1" w:lastRow="0" w:firstColumn="1" w:lastColumn="0" w:noHBand="0" w:noVBand="1"/>
      </w:tblPr>
      <w:tblGrid>
        <w:gridCol w:w="6468"/>
        <w:gridCol w:w="1523"/>
      </w:tblGrid>
      <w:tr w:rsidR="001876E4" w:rsidRPr="001876E4" w:rsidTr="00947D11">
        <w:trPr>
          <w:trHeight w:val="438"/>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Concepto</w:t>
            </w:r>
          </w:p>
        </w:tc>
        <w:tc>
          <w:tcPr>
            <w:tcW w:w="1523"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20"/>
                <w:szCs w:val="20"/>
              </w:rPr>
            </w:pPr>
            <w:r w:rsidRPr="001876E4">
              <w:rPr>
                <w:rFonts w:ascii="Arial" w:hAnsi="Arial" w:cs="Arial"/>
                <w:b/>
                <w:bCs/>
                <w:sz w:val="20"/>
                <w:szCs w:val="20"/>
              </w:rPr>
              <w:t>Asignación Presupuestal</w:t>
            </w:r>
          </w:p>
        </w:tc>
      </w:tr>
      <w:tr w:rsidR="001876E4" w:rsidRPr="001876E4" w:rsidTr="00947D11">
        <w:trPr>
          <w:trHeight w:val="285"/>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20"/>
                <w:szCs w:val="20"/>
              </w:rPr>
            </w:pPr>
            <w:r w:rsidRPr="001876E4">
              <w:rPr>
                <w:rFonts w:ascii="Arial" w:hAnsi="Arial" w:cs="Arial"/>
                <w:sz w:val="20"/>
                <w:szCs w:val="20"/>
              </w:rPr>
              <w:t>Subsidio Federal Ordinario Universidad de Colima</w:t>
            </w:r>
          </w:p>
        </w:tc>
        <w:tc>
          <w:tcPr>
            <w:tcW w:w="15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1,508,286,814</w:t>
            </w:r>
          </w:p>
        </w:tc>
      </w:tr>
      <w:tr w:rsidR="001876E4" w:rsidRPr="001876E4" w:rsidTr="00947D11">
        <w:trPr>
          <w:trHeight w:val="285"/>
          <w:jc w:val="center"/>
        </w:trPr>
        <w:tc>
          <w:tcPr>
            <w:tcW w:w="64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20"/>
                <w:szCs w:val="20"/>
              </w:rPr>
            </w:pPr>
            <w:r w:rsidRPr="001876E4">
              <w:rPr>
                <w:rFonts w:ascii="Arial" w:hAnsi="Arial" w:cs="Arial"/>
                <w:sz w:val="20"/>
                <w:szCs w:val="20"/>
              </w:rPr>
              <w:t>Universidad Tecnológica de Manzanillo</w:t>
            </w:r>
          </w:p>
        </w:tc>
        <w:tc>
          <w:tcPr>
            <w:tcW w:w="15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20,809,628</w:t>
            </w:r>
          </w:p>
        </w:tc>
      </w:tr>
      <w:tr w:rsidR="001876E4" w:rsidRPr="001876E4" w:rsidTr="00947D11">
        <w:trPr>
          <w:trHeight w:val="285"/>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284"/>
              <w:jc w:val="center"/>
              <w:rPr>
                <w:rFonts w:ascii="Arial" w:hAnsi="Arial" w:cs="Arial"/>
                <w:b/>
                <w:sz w:val="20"/>
                <w:szCs w:val="20"/>
              </w:rPr>
            </w:pPr>
            <w:r w:rsidRPr="001876E4">
              <w:rPr>
                <w:rFonts w:ascii="Arial" w:hAnsi="Arial" w:cs="Arial"/>
                <w:b/>
                <w:sz w:val="20"/>
                <w:szCs w:val="20"/>
              </w:rPr>
              <w:t>Total</w:t>
            </w:r>
          </w:p>
        </w:tc>
        <w:tc>
          <w:tcPr>
            <w:tcW w:w="15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1,529,096,442</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49</w:t>
      </w:r>
      <w:r w:rsidRPr="001876E4">
        <w:rPr>
          <w:rFonts w:ascii="Arial" w:eastAsia="Calibri" w:hAnsi="Arial" w:cs="Arial"/>
          <w:sz w:val="24"/>
          <w:szCs w:val="24"/>
          <w:lang w:val="es-ES" w:eastAsia="en-US"/>
        </w:rPr>
        <w:t>. Para el Ejercicio Fiscal 2018 se asignan recursos para el Programa de Fortalecimiento para la Seguridad (FORTASEG), y se distribuye de la siguiente manera: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64. Programa de Fortalecimiento para la Seguridad (FORTASEG)</w:t>
      </w:r>
    </w:p>
    <w:tbl>
      <w:tblPr>
        <w:tblStyle w:val="Tablaconcuadrcula2"/>
        <w:tblW w:w="0" w:type="auto"/>
        <w:jc w:val="center"/>
        <w:tblLook w:val="04A0" w:firstRow="1" w:lastRow="0" w:firstColumn="1" w:lastColumn="0" w:noHBand="0" w:noVBand="1"/>
      </w:tblPr>
      <w:tblGrid>
        <w:gridCol w:w="5996"/>
        <w:gridCol w:w="1523"/>
      </w:tblGrid>
      <w:tr w:rsidR="001876E4" w:rsidRPr="001876E4" w:rsidTr="00947D11">
        <w:trPr>
          <w:trHeight w:val="546"/>
          <w:jc w:val="center"/>
        </w:trPr>
        <w:tc>
          <w:tcPr>
            <w:tcW w:w="599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284"/>
              <w:jc w:val="center"/>
              <w:rPr>
                <w:rFonts w:ascii="Arial" w:hAnsi="Arial" w:cs="Arial"/>
                <w:b/>
                <w:sz w:val="20"/>
                <w:szCs w:val="20"/>
              </w:rPr>
            </w:pPr>
            <w:r w:rsidRPr="001876E4">
              <w:rPr>
                <w:rFonts w:ascii="Arial" w:hAnsi="Arial" w:cs="Arial"/>
                <w:b/>
                <w:sz w:val="20"/>
                <w:szCs w:val="20"/>
              </w:rPr>
              <w:t>Municipio</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bCs/>
                <w:sz w:val="20"/>
                <w:szCs w:val="20"/>
              </w:rPr>
              <w:t>Asignación Presupuestal</w:t>
            </w:r>
          </w:p>
        </w:tc>
      </w:tr>
      <w:tr w:rsidR="001876E4" w:rsidRPr="001876E4" w:rsidTr="00947D11">
        <w:trPr>
          <w:trHeight w:val="358"/>
          <w:jc w:val="center"/>
        </w:trPr>
        <w:tc>
          <w:tcPr>
            <w:tcW w:w="599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b/>
                <w:sz w:val="20"/>
                <w:szCs w:val="20"/>
              </w:rPr>
            </w:pPr>
            <w:r w:rsidRPr="001876E4">
              <w:rPr>
                <w:rFonts w:ascii="Arial" w:hAnsi="Arial" w:cs="Arial"/>
                <w:b/>
                <w:sz w:val="20"/>
                <w:szCs w:val="20"/>
              </w:rPr>
              <w:t>Programa de Fortalecimiento para la Seguridad(FORTASEG)</w:t>
            </w:r>
          </w:p>
        </w:tc>
        <w:tc>
          <w:tcPr>
            <w:tcW w:w="15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center"/>
              <w:rPr>
                <w:rFonts w:ascii="Arial" w:hAnsi="Arial" w:cs="Arial"/>
                <w:b/>
                <w:bCs/>
                <w:sz w:val="20"/>
                <w:szCs w:val="20"/>
              </w:rPr>
            </w:pPr>
          </w:p>
        </w:tc>
      </w:tr>
      <w:tr w:rsidR="001876E4" w:rsidRPr="001876E4" w:rsidTr="00947D11">
        <w:trPr>
          <w:trHeight w:val="285"/>
          <w:jc w:val="center"/>
        </w:trPr>
        <w:tc>
          <w:tcPr>
            <w:tcW w:w="599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67"/>
              <w:rPr>
                <w:rFonts w:ascii="Arial" w:hAnsi="Arial" w:cs="Arial"/>
                <w:sz w:val="20"/>
                <w:szCs w:val="20"/>
              </w:rPr>
            </w:pPr>
            <w:r w:rsidRPr="001876E4">
              <w:rPr>
                <w:rFonts w:ascii="Arial" w:hAnsi="Arial" w:cs="Arial"/>
                <w:sz w:val="20"/>
                <w:szCs w:val="20"/>
              </w:rPr>
              <w:t>Municipio de Colima</w:t>
            </w:r>
          </w:p>
        </w:tc>
        <w:tc>
          <w:tcPr>
            <w:tcW w:w="1523"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iCs/>
                <w:color w:val="000000"/>
                <w:sz w:val="20"/>
                <w:szCs w:val="20"/>
              </w:rPr>
            </w:pPr>
            <w:r w:rsidRPr="001876E4">
              <w:rPr>
                <w:rFonts w:ascii="Arial" w:hAnsi="Arial" w:cs="Arial"/>
                <w:iCs/>
                <w:color w:val="000000"/>
                <w:sz w:val="20"/>
                <w:szCs w:val="20"/>
              </w:rPr>
              <w:t>12,311,277</w:t>
            </w:r>
          </w:p>
        </w:tc>
      </w:tr>
      <w:tr w:rsidR="001876E4" w:rsidRPr="001876E4" w:rsidTr="00947D11">
        <w:trPr>
          <w:trHeight w:val="285"/>
          <w:jc w:val="center"/>
        </w:trPr>
        <w:tc>
          <w:tcPr>
            <w:tcW w:w="599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67"/>
              <w:rPr>
                <w:rFonts w:ascii="Arial" w:hAnsi="Arial" w:cs="Arial"/>
                <w:sz w:val="20"/>
                <w:szCs w:val="20"/>
              </w:rPr>
            </w:pPr>
            <w:r w:rsidRPr="001876E4">
              <w:rPr>
                <w:rFonts w:ascii="Arial" w:hAnsi="Arial" w:cs="Arial"/>
                <w:sz w:val="20"/>
                <w:szCs w:val="20"/>
              </w:rPr>
              <w:t>Municipio de Manzanillo</w:t>
            </w:r>
          </w:p>
        </w:tc>
        <w:tc>
          <w:tcPr>
            <w:tcW w:w="1523"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iCs/>
                <w:color w:val="000000"/>
                <w:sz w:val="20"/>
                <w:szCs w:val="20"/>
              </w:rPr>
            </w:pPr>
            <w:r w:rsidRPr="001876E4">
              <w:rPr>
                <w:rFonts w:ascii="Arial" w:hAnsi="Arial" w:cs="Arial"/>
                <w:iCs/>
                <w:color w:val="000000"/>
                <w:sz w:val="20"/>
                <w:szCs w:val="20"/>
              </w:rPr>
              <w:t>12,778,728</w:t>
            </w:r>
          </w:p>
        </w:tc>
      </w:tr>
      <w:tr w:rsidR="001876E4" w:rsidRPr="001876E4" w:rsidTr="00947D11">
        <w:trPr>
          <w:trHeight w:val="285"/>
          <w:jc w:val="center"/>
        </w:trPr>
        <w:tc>
          <w:tcPr>
            <w:tcW w:w="599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67"/>
              <w:rPr>
                <w:rFonts w:ascii="Arial" w:hAnsi="Arial" w:cs="Arial"/>
                <w:sz w:val="20"/>
                <w:szCs w:val="20"/>
              </w:rPr>
            </w:pPr>
            <w:r w:rsidRPr="001876E4">
              <w:rPr>
                <w:rFonts w:ascii="Arial" w:hAnsi="Arial" w:cs="Arial"/>
                <w:sz w:val="20"/>
                <w:szCs w:val="20"/>
              </w:rPr>
              <w:t>Municipio de Tecomán</w:t>
            </w:r>
          </w:p>
        </w:tc>
        <w:tc>
          <w:tcPr>
            <w:tcW w:w="1523"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iCs/>
                <w:color w:val="000000"/>
                <w:sz w:val="20"/>
                <w:szCs w:val="20"/>
              </w:rPr>
            </w:pPr>
            <w:r w:rsidRPr="001876E4">
              <w:rPr>
                <w:rFonts w:ascii="Arial" w:hAnsi="Arial" w:cs="Arial"/>
                <w:iCs/>
                <w:color w:val="000000"/>
                <w:sz w:val="20"/>
                <w:szCs w:val="20"/>
              </w:rPr>
              <w:t>10,760,000</w:t>
            </w:r>
          </w:p>
        </w:tc>
      </w:tr>
      <w:tr w:rsidR="001876E4" w:rsidRPr="001876E4" w:rsidTr="00947D11">
        <w:trPr>
          <w:trHeight w:val="300"/>
          <w:jc w:val="center"/>
        </w:trPr>
        <w:tc>
          <w:tcPr>
            <w:tcW w:w="599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367"/>
              <w:rPr>
                <w:rFonts w:ascii="Arial" w:hAnsi="Arial" w:cs="Arial"/>
                <w:sz w:val="20"/>
                <w:szCs w:val="20"/>
              </w:rPr>
            </w:pPr>
            <w:r w:rsidRPr="001876E4">
              <w:rPr>
                <w:rFonts w:ascii="Arial" w:hAnsi="Arial" w:cs="Arial"/>
                <w:sz w:val="20"/>
                <w:szCs w:val="20"/>
              </w:rPr>
              <w:t>Municipio de Villa de Álvarez</w:t>
            </w:r>
          </w:p>
        </w:tc>
        <w:tc>
          <w:tcPr>
            <w:tcW w:w="1523" w:type="dxa"/>
            <w:tcBorders>
              <w:top w:val="single" w:sz="4" w:space="0" w:color="auto"/>
              <w:left w:val="single" w:sz="4" w:space="0" w:color="auto"/>
              <w:bottom w:val="single" w:sz="4" w:space="0" w:color="auto"/>
              <w:right w:val="single" w:sz="4" w:space="0" w:color="auto"/>
            </w:tcBorders>
            <w:noWrap/>
            <w:vAlign w:val="bottom"/>
          </w:tcPr>
          <w:p w:rsidR="001876E4" w:rsidRPr="001876E4" w:rsidRDefault="001876E4" w:rsidP="001876E4">
            <w:pPr>
              <w:jc w:val="right"/>
              <w:rPr>
                <w:rFonts w:ascii="Arial" w:hAnsi="Arial" w:cs="Arial"/>
                <w:iCs/>
                <w:color w:val="000000"/>
                <w:sz w:val="20"/>
                <w:szCs w:val="20"/>
              </w:rPr>
            </w:pPr>
            <w:r w:rsidRPr="001876E4">
              <w:rPr>
                <w:rFonts w:ascii="Arial" w:hAnsi="Arial" w:cs="Arial"/>
                <w:iCs/>
                <w:color w:val="000000"/>
                <w:sz w:val="20"/>
                <w:szCs w:val="20"/>
              </w:rPr>
              <w:t>10,681,206</w:t>
            </w:r>
          </w:p>
        </w:tc>
      </w:tr>
      <w:tr w:rsidR="001876E4" w:rsidRPr="001876E4" w:rsidTr="00947D11">
        <w:trPr>
          <w:trHeight w:val="358"/>
          <w:jc w:val="center"/>
        </w:trPr>
        <w:tc>
          <w:tcPr>
            <w:tcW w:w="599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ind w:left="284"/>
              <w:jc w:val="center"/>
              <w:rPr>
                <w:rFonts w:ascii="Arial" w:hAnsi="Arial" w:cs="Arial"/>
                <w:b/>
                <w:sz w:val="20"/>
                <w:szCs w:val="20"/>
              </w:rPr>
            </w:pPr>
            <w:r w:rsidRPr="001876E4">
              <w:rPr>
                <w:rFonts w:ascii="Arial" w:hAnsi="Arial" w:cs="Arial"/>
                <w:b/>
                <w:sz w:val="20"/>
                <w:szCs w:val="20"/>
              </w:rPr>
              <w:t>Total</w:t>
            </w:r>
          </w:p>
        </w:tc>
        <w:tc>
          <w:tcPr>
            <w:tcW w:w="1523" w:type="dxa"/>
            <w:tcBorders>
              <w:top w:val="single" w:sz="4" w:space="0" w:color="auto"/>
              <w:left w:val="single" w:sz="4" w:space="0" w:color="auto"/>
              <w:bottom w:val="single" w:sz="4" w:space="0" w:color="auto"/>
              <w:right w:val="single" w:sz="4" w:space="0" w:color="auto"/>
            </w:tcBorders>
            <w:noWrap/>
            <w:vAlign w:val="center"/>
          </w:tcPr>
          <w:p w:rsidR="001876E4" w:rsidRPr="001876E4" w:rsidRDefault="001876E4" w:rsidP="001876E4">
            <w:pPr>
              <w:jc w:val="right"/>
              <w:rPr>
                <w:rFonts w:ascii="Arial" w:hAnsi="Arial" w:cs="Arial"/>
                <w:b/>
                <w:sz w:val="20"/>
                <w:szCs w:val="20"/>
              </w:rPr>
            </w:pPr>
            <w:r w:rsidRPr="001876E4">
              <w:rPr>
                <w:rFonts w:ascii="Arial" w:hAnsi="Arial" w:cs="Arial"/>
                <w:b/>
                <w:sz w:val="20"/>
                <w:szCs w:val="20"/>
              </w:rPr>
              <w:t>46,531,211</w:t>
            </w:r>
          </w:p>
        </w:tc>
      </w:tr>
    </w:tbl>
    <w:p w:rsidR="001876E4" w:rsidRPr="001876E4" w:rsidRDefault="001876E4" w:rsidP="001876E4">
      <w:pPr>
        <w:shd w:val="clear" w:color="auto" w:fill="FFFFFF"/>
        <w:spacing w:after="0" w:line="240" w:lineRule="auto"/>
        <w:jc w:val="both"/>
        <w:rPr>
          <w:rFonts w:ascii="Arial" w:eastAsia="Times New Roman" w:hAnsi="Arial" w:cs="Arial"/>
          <w:b/>
          <w:sz w:val="24"/>
          <w:szCs w:val="24"/>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b/>
          <w:sz w:val="24"/>
          <w:szCs w:val="24"/>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color w:val="000000"/>
          <w:sz w:val="24"/>
          <w:szCs w:val="24"/>
          <w:lang w:val="es-ES" w:eastAsia="es-ES"/>
        </w:rPr>
      </w:pPr>
      <w:r w:rsidRPr="001876E4">
        <w:rPr>
          <w:rFonts w:ascii="Arial" w:eastAsia="Times New Roman" w:hAnsi="Arial" w:cs="Arial"/>
          <w:b/>
          <w:sz w:val="24"/>
          <w:szCs w:val="24"/>
          <w:lang w:val="es-ES" w:eastAsia="es-ES"/>
        </w:rPr>
        <w:t xml:space="preserve">Artículo 50. </w:t>
      </w:r>
      <w:r w:rsidRPr="001876E4">
        <w:rPr>
          <w:rFonts w:ascii="Arial" w:eastAsia="Times New Roman" w:hAnsi="Arial" w:cs="Arial"/>
          <w:sz w:val="24"/>
          <w:szCs w:val="24"/>
          <w:lang w:val="es-ES" w:eastAsia="es-ES"/>
        </w:rPr>
        <w:t>Las transferencias federales etiquetadas, y la aportación solidaria estatal;</w:t>
      </w:r>
      <w:r w:rsidRPr="001876E4">
        <w:rPr>
          <w:rFonts w:ascii="Arial" w:eastAsia="Times New Roman" w:hAnsi="Arial" w:cs="Arial"/>
          <w:color w:val="000000"/>
          <w:sz w:val="24"/>
          <w:szCs w:val="24"/>
          <w:lang w:val="es-ES" w:eastAsia="es-ES"/>
        </w:rPr>
        <w:t xml:space="preserve"> destinadas </w:t>
      </w:r>
      <w:r w:rsidRPr="001876E4">
        <w:rPr>
          <w:rFonts w:ascii="Arial" w:eastAsia="Times New Roman" w:hAnsi="Arial" w:cs="Arial"/>
          <w:sz w:val="24"/>
          <w:szCs w:val="24"/>
          <w:lang w:val="es-ES" w:eastAsia="es-ES"/>
        </w:rPr>
        <w:t>al organismo público descentralizado Régimen Estatal de Protección Social en Salud de Colima (</w:t>
      </w:r>
      <w:r w:rsidRPr="001876E4">
        <w:rPr>
          <w:rFonts w:ascii="Arial" w:eastAsia="Times New Roman" w:hAnsi="Arial" w:cs="Arial"/>
          <w:b/>
          <w:color w:val="000000"/>
          <w:sz w:val="24"/>
          <w:szCs w:val="24"/>
          <w:lang w:val="es-ES" w:eastAsia="es-ES"/>
        </w:rPr>
        <w:t>Seguro Popular</w:t>
      </w:r>
      <w:r w:rsidRPr="001876E4">
        <w:rPr>
          <w:rFonts w:ascii="Arial" w:eastAsia="Times New Roman" w:hAnsi="Arial" w:cs="Arial"/>
          <w:color w:val="000000"/>
          <w:sz w:val="24"/>
          <w:szCs w:val="24"/>
          <w:lang w:val="es-ES" w:eastAsia="es-ES"/>
        </w:rPr>
        <w:t>) equivalen a $</w:t>
      </w:r>
      <w:r w:rsidRPr="001876E4">
        <w:rPr>
          <w:rFonts w:ascii="Arial" w:eastAsia="Times New Roman" w:hAnsi="Arial" w:cs="Arial"/>
          <w:b/>
          <w:color w:val="000000"/>
          <w:sz w:val="24"/>
          <w:szCs w:val="24"/>
          <w:lang w:val="es-ES" w:eastAsia="es-ES"/>
        </w:rPr>
        <w:t>259,966,469</w:t>
      </w:r>
      <w:r w:rsidRPr="001876E4">
        <w:rPr>
          <w:rFonts w:ascii="Arial" w:eastAsia="Times New Roman" w:hAnsi="Arial" w:cs="Arial"/>
          <w:color w:val="000000"/>
          <w:sz w:val="24"/>
          <w:szCs w:val="24"/>
          <w:lang w:val="es-ES" w:eastAsia="es-ES"/>
        </w:rPr>
        <w:t>, y se integran de la siguiente manera:</w:t>
      </w:r>
    </w:p>
    <w:p w:rsidR="001876E4" w:rsidRPr="001876E4" w:rsidRDefault="001876E4" w:rsidP="001876E4">
      <w:pPr>
        <w:shd w:val="clear" w:color="auto" w:fill="FFFFFF"/>
        <w:spacing w:after="0" w:line="240" w:lineRule="auto"/>
        <w:jc w:val="both"/>
        <w:rPr>
          <w:rFonts w:ascii="Arial" w:eastAsia="Times New Roman" w:hAnsi="Arial" w:cs="Arial"/>
          <w:color w:val="000000"/>
          <w:sz w:val="24"/>
          <w:szCs w:val="24"/>
          <w:highlight w:val="yellow"/>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color w:val="000000"/>
          <w:sz w:val="24"/>
          <w:szCs w:val="24"/>
          <w:highlight w:val="yellow"/>
          <w:lang w:val="es-ES" w:eastAsia="es-ES"/>
        </w:rPr>
      </w:pPr>
    </w:p>
    <w:p w:rsidR="001876E4" w:rsidRPr="001876E4" w:rsidRDefault="001876E4" w:rsidP="001876E4">
      <w:pPr>
        <w:shd w:val="clear" w:color="auto" w:fill="FFFFFF"/>
        <w:spacing w:after="0" w:line="240" w:lineRule="auto"/>
        <w:jc w:val="both"/>
        <w:rPr>
          <w:rFonts w:ascii="Arial" w:eastAsia="Times New Roman" w:hAnsi="Arial" w:cs="Arial"/>
          <w:color w:val="000000"/>
          <w:sz w:val="24"/>
          <w:szCs w:val="24"/>
          <w:highlight w:val="yellow"/>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Tabla 65. Seguro Popular</w:t>
      </w:r>
    </w:p>
    <w:tbl>
      <w:tblPr>
        <w:tblW w:w="8730" w:type="dxa"/>
        <w:jc w:val="center"/>
        <w:tblCellMar>
          <w:left w:w="70" w:type="dxa"/>
          <w:right w:w="70" w:type="dxa"/>
        </w:tblCellMar>
        <w:tblLook w:val="04A0" w:firstRow="1" w:lastRow="0" w:firstColumn="1" w:lastColumn="0" w:noHBand="0" w:noVBand="1"/>
      </w:tblPr>
      <w:tblGrid>
        <w:gridCol w:w="819"/>
        <w:gridCol w:w="3720"/>
        <w:gridCol w:w="1356"/>
        <w:gridCol w:w="1417"/>
        <w:gridCol w:w="1418"/>
      </w:tblGrid>
      <w:tr w:rsidR="001876E4" w:rsidRPr="001876E4" w:rsidTr="00947D11">
        <w:trPr>
          <w:trHeight w:val="300"/>
          <w:jc w:val="center"/>
        </w:trPr>
        <w:tc>
          <w:tcPr>
            <w:tcW w:w="655" w:type="dxa"/>
            <w:vMerge w:val="restart"/>
            <w:tcBorders>
              <w:top w:val="single" w:sz="4" w:space="0" w:color="auto"/>
              <w:left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Partida</w:t>
            </w:r>
          </w:p>
        </w:tc>
        <w:tc>
          <w:tcPr>
            <w:tcW w:w="3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 xml:space="preserve">Concepto </w:t>
            </w:r>
          </w:p>
        </w:tc>
        <w:tc>
          <w:tcPr>
            <w:tcW w:w="4191" w:type="dxa"/>
            <w:gridSpan w:val="3"/>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300"/>
          <w:jc w:val="center"/>
        </w:trPr>
        <w:tc>
          <w:tcPr>
            <w:tcW w:w="655" w:type="dxa"/>
            <w:vMerge/>
            <w:tcBorders>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3884"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p>
        </w:tc>
        <w:tc>
          <w:tcPr>
            <w:tcW w:w="135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Federal</w:t>
            </w:r>
          </w:p>
        </w:tc>
        <w:tc>
          <w:tcPr>
            <w:tcW w:w="141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Estatal</w:t>
            </w:r>
          </w:p>
        </w:tc>
        <w:tc>
          <w:tcPr>
            <w:tcW w:w="1418"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r>
      <w:tr w:rsidR="001876E4" w:rsidRPr="001876E4" w:rsidTr="00947D11">
        <w:trPr>
          <w:trHeight w:val="510"/>
          <w:jc w:val="center"/>
        </w:trPr>
        <w:tc>
          <w:tcPr>
            <w:tcW w:w="655"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41538</w:t>
            </w:r>
          </w:p>
        </w:tc>
        <w:tc>
          <w:tcPr>
            <w:tcW w:w="38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Ejecución del Sistema de Protección Social en Salud (Cuota Social)</w:t>
            </w:r>
          </w:p>
        </w:tc>
        <w:tc>
          <w:tcPr>
            <w:tcW w:w="13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170,500,000</w:t>
            </w:r>
          </w:p>
        </w:tc>
        <w:tc>
          <w:tcPr>
            <w:tcW w:w="141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170,500,000</w:t>
            </w:r>
          </w:p>
        </w:tc>
      </w:tr>
      <w:tr w:rsidR="001876E4" w:rsidRPr="001876E4" w:rsidTr="00947D11">
        <w:trPr>
          <w:trHeight w:val="300"/>
          <w:jc w:val="center"/>
        </w:trPr>
        <w:tc>
          <w:tcPr>
            <w:tcW w:w="655"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41543</w:t>
            </w:r>
          </w:p>
        </w:tc>
        <w:tc>
          <w:tcPr>
            <w:tcW w:w="38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Seguro Médico Siglo XXI</w:t>
            </w:r>
          </w:p>
        </w:tc>
        <w:tc>
          <w:tcPr>
            <w:tcW w:w="13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5,438,209</w:t>
            </w:r>
          </w:p>
        </w:tc>
        <w:tc>
          <w:tcPr>
            <w:tcW w:w="141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5,438,209</w:t>
            </w:r>
          </w:p>
        </w:tc>
      </w:tr>
      <w:tr w:rsidR="001876E4" w:rsidRPr="001876E4" w:rsidTr="00947D11">
        <w:trPr>
          <w:trHeight w:val="300"/>
          <w:jc w:val="center"/>
        </w:trPr>
        <w:tc>
          <w:tcPr>
            <w:tcW w:w="655"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41544</w:t>
            </w:r>
          </w:p>
        </w:tc>
        <w:tc>
          <w:tcPr>
            <w:tcW w:w="38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Seguro Popular Capital Adicional</w:t>
            </w:r>
          </w:p>
        </w:tc>
        <w:tc>
          <w:tcPr>
            <w:tcW w:w="13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804,478</w:t>
            </w:r>
          </w:p>
        </w:tc>
        <w:tc>
          <w:tcPr>
            <w:tcW w:w="141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804,478</w:t>
            </w:r>
          </w:p>
        </w:tc>
      </w:tr>
      <w:tr w:rsidR="001876E4" w:rsidRPr="001876E4" w:rsidTr="00947D11">
        <w:trPr>
          <w:trHeight w:val="300"/>
          <w:jc w:val="center"/>
        </w:trPr>
        <w:tc>
          <w:tcPr>
            <w:tcW w:w="655"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41558</w:t>
            </w:r>
          </w:p>
        </w:tc>
        <w:tc>
          <w:tcPr>
            <w:tcW w:w="38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Gastos Catastróficos</w:t>
            </w:r>
          </w:p>
        </w:tc>
        <w:tc>
          <w:tcPr>
            <w:tcW w:w="13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43,223,782</w:t>
            </w:r>
          </w:p>
        </w:tc>
        <w:tc>
          <w:tcPr>
            <w:tcW w:w="141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43,223,782</w:t>
            </w:r>
          </w:p>
        </w:tc>
      </w:tr>
      <w:tr w:rsidR="001876E4" w:rsidRPr="001876E4" w:rsidTr="00947D11">
        <w:trPr>
          <w:trHeight w:val="300"/>
          <w:jc w:val="center"/>
        </w:trPr>
        <w:tc>
          <w:tcPr>
            <w:tcW w:w="655"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color w:val="000000"/>
                <w:sz w:val="20"/>
                <w:szCs w:val="20"/>
              </w:rPr>
            </w:pPr>
            <w:r w:rsidRPr="001876E4">
              <w:rPr>
                <w:rFonts w:ascii="Arial" w:eastAsia="Times New Roman" w:hAnsi="Arial" w:cs="Arial"/>
                <w:color w:val="000000"/>
                <w:sz w:val="20"/>
                <w:szCs w:val="20"/>
              </w:rPr>
              <w:t>41559</w:t>
            </w:r>
          </w:p>
        </w:tc>
        <w:tc>
          <w:tcPr>
            <w:tcW w:w="38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Aportación Solidaria Estatal</w:t>
            </w:r>
          </w:p>
        </w:tc>
        <w:tc>
          <w:tcPr>
            <w:tcW w:w="1356"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40,000,000</w:t>
            </w:r>
          </w:p>
        </w:tc>
        <w:tc>
          <w:tcPr>
            <w:tcW w:w="141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40,000,000</w:t>
            </w:r>
          </w:p>
        </w:tc>
      </w:tr>
      <w:tr w:rsidR="001876E4" w:rsidRPr="001876E4" w:rsidTr="00947D11">
        <w:trPr>
          <w:trHeight w:val="300"/>
          <w:jc w:val="center"/>
        </w:trPr>
        <w:tc>
          <w:tcPr>
            <w:tcW w:w="655" w:type="dxa"/>
            <w:tcBorders>
              <w:top w:val="nil"/>
              <w:left w:val="single" w:sz="4" w:space="0" w:color="auto"/>
              <w:bottom w:val="single" w:sz="4" w:space="0" w:color="auto"/>
              <w:right w:val="single" w:sz="4" w:space="0" w:color="auto"/>
            </w:tcBorders>
            <w:vAlign w:val="center"/>
          </w:tcPr>
          <w:p w:rsidR="001876E4" w:rsidRPr="001876E4" w:rsidRDefault="001876E4" w:rsidP="001876E4">
            <w:pPr>
              <w:spacing w:after="0" w:line="240" w:lineRule="auto"/>
              <w:jc w:val="center"/>
              <w:rPr>
                <w:rFonts w:ascii="Arial" w:eastAsia="Times New Roman" w:hAnsi="Arial" w:cs="Arial"/>
                <w:b/>
                <w:bCs/>
                <w:color w:val="000000"/>
                <w:sz w:val="20"/>
                <w:szCs w:val="20"/>
              </w:rPr>
            </w:pPr>
          </w:p>
        </w:tc>
        <w:tc>
          <w:tcPr>
            <w:tcW w:w="38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356"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219,966,469</w:t>
            </w:r>
          </w:p>
        </w:tc>
        <w:tc>
          <w:tcPr>
            <w:tcW w:w="1417"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40,000,000</w:t>
            </w:r>
          </w:p>
        </w:tc>
        <w:tc>
          <w:tcPr>
            <w:tcW w:w="1418" w:type="dxa"/>
            <w:tcBorders>
              <w:top w:val="nil"/>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259,966,469</w:t>
            </w:r>
          </w:p>
        </w:tc>
      </w:tr>
    </w:tbl>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51</w:t>
      </w:r>
      <w:r w:rsidRPr="001876E4">
        <w:rPr>
          <w:rFonts w:ascii="Arial" w:eastAsia="Calibri" w:hAnsi="Arial" w:cs="Arial"/>
          <w:sz w:val="24"/>
          <w:szCs w:val="24"/>
          <w:lang w:val="es-ES" w:eastAsia="en-US"/>
        </w:rPr>
        <w:t xml:space="preserve">. Para el Sistema de Justicia Penal Acusatorio se prevén recursos federales y estatales por un total </w:t>
      </w:r>
      <w:r w:rsidRPr="001876E4">
        <w:rPr>
          <w:rFonts w:ascii="Arial" w:eastAsia="Calibri" w:hAnsi="Arial" w:cs="Arial"/>
          <w:b/>
          <w:sz w:val="24"/>
          <w:szCs w:val="24"/>
          <w:lang w:val="es-ES" w:eastAsia="en-US"/>
        </w:rPr>
        <w:t>de $41,147,141</w:t>
      </w:r>
      <w:r w:rsidRPr="001876E4">
        <w:rPr>
          <w:rFonts w:ascii="Arial" w:eastAsia="Calibri" w:hAnsi="Arial" w:cs="Arial"/>
          <w:sz w:val="24"/>
          <w:szCs w:val="24"/>
          <w:lang w:val="es-ES" w:eastAsia="en-US"/>
        </w:rPr>
        <w:t>; y se distribuye de la siguiente manera.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66. Sistema de Justicia Penal Acusatorio</w:t>
      </w:r>
    </w:p>
    <w:tbl>
      <w:tblPr>
        <w:tblStyle w:val="Tablaconcuadrcula2"/>
        <w:tblW w:w="8956" w:type="dxa"/>
        <w:jc w:val="center"/>
        <w:tblLayout w:type="fixed"/>
        <w:tblLook w:val="04A0" w:firstRow="1" w:lastRow="0" w:firstColumn="1" w:lastColumn="0" w:noHBand="0" w:noVBand="1"/>
      </w:tblPr>
      <w:tblGrid>
        <w:gridCol w:w="910"/>
        <w:gridCol w:w="4210"/>
        <w:gridCol w:w="1568"/>
        <w:gridCol w:w="992"/>
        <w:gridCol w:w="1276"/>
      </w:tblGrid>
      <w:tr w:rsidR="001876E4" w:rsidRPr="001876E4" w:rsidTr="00947D11">
        <w:trPr>
          <w:trHeight w:val="283"/>
          <w:jc w:val="center"/>
        </w:trPr>
        <w:tc>
          <w:tcPr>
            <w:tcW w:w="910" w:type="dxa"/>
            <w:vMerge w:val="restart"/>
            <w:tcBorders>
              <w:top w:val="single" w:sz="4" w:space="0" w:color="auto"/>
              <w:left w:val="single" w:sz="4" w:space="0" w:color="auto"/>
              <w:right w:val="single" w:sz="4" w:space="0" w:color="auto"/>
            </w:tcBorders>
            <w:vAlign w:val="center"/>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Partida</w:t>
            </w:r>
          </w:p>
        </w:tc>
        <w:tc>
          <w:tcPr>
            <w:tcW w:w="4210"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Programa Presupuestario</w:t>
            </w:r>
          </w:p>
        </w:tc>
        <w:tc>
          <w:tcPr>
            <w:tcW w:w="3836" w:type="dxa"/>
            <w:gridSpan w:val="3"/>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Asignación Presupuestal</w:t>
            </w:r>
          </w:p>
        </w:tc>
      </w:tr>
      <w:tr w:rsidR="001876E4" w:rsidRPr="001876E4" w:rsidTr="00947D11">
        <w:trPr>
          <w:trHeight w:val="283"/>
          <w:jc w:val="center"/>
        </w:trPr>
        <w:tc>
          <w:tcPr>
            <w:tcW w:w="910" w:type="dxa"/>
            <w:vMerge/>
            <w:tcBorders>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sz w:val="20"/>
                <w:szCs w:val="18"/>
              </w:rPr>
            </w:pPr>
          </w:p>
        </w:tc>
        <w:tc>
          <w:tcPr>
            <w:tcW w:w="4210"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b/>
                <w:sz w:val="20"/>
                <w:szCs w:val="18"/>
              </w:rPr>
            </w:pPr>
          </w:p>
        </w:tc>
        <w:tc>
          <w:tcPr>
            <w:tcW w:w="1568"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Federal</w:t>
            </w:r>
          </w:p>
        </w:tc>
        <w:tc>
          <w:tcPr>
            <w:tcW w:w="99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Estatal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Total</w:t>
            </w:r>
          </w:p>
        </w:tc>
      </w:tr>
      <w:tr w:rsidR="001876E4" w:rsidRPr="001876E4" w:rsidTr="00947D11">
        <w:trPr>
          <w:trHeight w:val="601"/>
          <w:jc w:val="center"/>
        </w:trPr>
        <w:tc>
          <w:tcPr>
            <w:tcW w:w="91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sz w:val="20"/>
                <w:szCs w:val="18"/>
              </w:rPr>
            </w:pPr>
            <w:r w:rsidRPr="001876E4">
              <w:rPr>
                <w:rFonts w:ascii="Arial" w:hAnsi="Arial" w:cs="Arial"/>
                <w:sz w:val="20"/>
                <w:szCs w:val="18"/>
              </w:rPr>
              <w:t>42604</w:t>
            </w:r>
          </w:p>
        </w:tc>
        <w:tc>
          <w:tcPr>
            <w:tcW w:w="421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20"/>
                <w:szCs w:val="18"/>
              </w:rPr>
            </w:pPr>
            <w:r w:rsidRPr="001876E4">
              <w:rPr>
                <w:rFonts w:ascii="Arial" w:hAnsi="Arial" w:cs="Arial"/>
                <w:sz w:val="20"/>
                <w:szCs w:val="18"/>
              </w:rPr>
              <w:t>Implementación y Desarrollo del Sistema de Justicia Penal y Sistemas Complementarios</w:t>
            </w:r>
          </w:p>
        </w:tc>
        <w:tc>
          <w:tcPr>
            <w:tcW w:w="15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40,747,141</w:t>
            </w:r>
          </w:p>
        </w:tc>
        <w:tc>
          <w:tcPr>
            <w:tcW w:w="9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40,747,141</w:t>
            </w:r>
          </w:p>
        </w:tc>
      </w:tr>
      <w:tr w:rsidR="001876E4" w:rsidRPr="001876E4" w:rsidTr="00947D11">
        <w:trPr>
          <w:trHeight w:val="843"/>
          <w:jc w:val="center"/>
        </w:trPr>
        <w:tc>
          <w:tcPr>
            <w:tcW w:w="91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sz w:val="20"/>
                <w:szCs w:val="18"/>
              </w:rPr>
            </w:pPr>
            <w:r w:rsidRPr="001876E4">
              <w:rPr>
                <w:rFonts w:ascii="Arial" w:hAnsi="Arial" w:cs="Arial"/>
                <w:sz w:val="20"/>
                <w:szCs w:val="18"/>
              </w:rPr>
              <w:t>41122</w:t>
            </w:r>
          </w:p>
        </w:tc>
        <w:tc>
          <w:tcPr>
            <w:tcW w:w="421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color w:val="FF0000"/>
                <w:sz w:val="20"/>
                <w:szCs w:val="18"/>
              </w:rPr>
            </w:pPr>
            <w:r w:rsidRPr="001876E4">
              <w:rPr>
                <w:rFonts w:ascii="Arial" w:hAnsi="Arial" w:cs="Arial"/>
                <w:sz w:val="20"/>
                <w:szCs w:val="18"/>
              </w:rPr>
              <w:t>Comisión para la Implementación de la Reforma del Sistema de Justicia Penal en Colima</w:t>
            </w:r>
          </w:p>
        </w:tc>
        <w:tc>
          <w:tcPr>
            <w:tcW w:w="15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400,000</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18"/>
              </w:rPr>
            </w:pPr>
            <w:r w:rsidRPr="001876E4">
              <w:rPr>
                <w:rFonts w:ascii="Arial" w:hAnsi="Arial" w:cs="Arial"/>
                <w:color w:val="000000"/>
                <w:sz w:val="20"/>
                <w:szCs w:val="18"/>
              </w:rPr>
              <w:t>400,000</w:t>
            </w:r>
          </w:p>
        </w:tc>
      </w:tr>
      <w:tr w:rsidR="001876E4" w:rsidRPr="001876E4" w:rsidTr="00947D11">
        <w:trPr>
          <w:trHeight w:val="410"/>
          <w:jc w:val="center"/>
        </w:trPr>
        <w:tc>
          <w:tcPr>
            <w:tcW w:w="910"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sz w:val="20"/>
                <w:szCs w:val="18"/>
              </w:rPr>
            </w:pPr>
          </w:p>
        </w:tc>
        <w:tc>
          <w:tcPr>
            <w:tcW w:w="4210"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18"/>
              </w:rPr>
            </w:pPr>
            <w:r w:rsidRPr="001876E4">
              <w:rPr>
                <w:rFonts w:ascii="Arial" w:hAnsi="Arial" w:cs="Arial"/>
                <w:b/>
                <w:sz w:val="20"/>
                <w:szCs w:val="18"/>
              </w:rPr>
              <w:t>Total</w:t>
            </w:r>
          </w:p>
        </w:tc>
        <w:tc>
          <w:tcPr>
            <w:tcW w:w="1568"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18"/>
              </w:rPr>
            </w:pPr>
            <w:r w:rsidRPr="001876E4">
              <w:rPr>
                <w:rFonts w:ascii="Arial" w:hAnsi="Arial" w:cs="Arial"/>
                <w:b/>
                <w:bCs/>
                <w:color w:val="000000"/>
                <w:sz w:val="20"/>
                <w:szCs w:val="18"/>
              </w:rPr>
              <w:t>40,747,141</w:t>
            </w:r>
          </w:p>
        </w:tc>
        <w:tc>
          <w:tcPr>
            <w:tcW w:w="99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18"/>
              </w:rPr>
            </w:pPr>
            <w:r w:rsidRPr="001876E4">
              <w:rPr>
                <w:rFonts w:ascii="Arial" w:hAnsi="Arial" w:cs="Arial"/>
                <w:b/>
                <w:bCs/>
                <w:color w:val="000000"/>
                <w:sz w:val="20"/>
                <w:szCs w:val="18"/>
              </w:rPr>
              <w:t>400,000</w:t>
            </w:r>
          </w:p>
        </w:tc>
        <w:tc>
          <w:tcPr>
            <w:tcW w:w="127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18"/>
              </w:rPr>
            </w:pPr>
            <w:r w:rsidRPr="001876E4">
              <w:rPr>
                <w:rFonts w:ascii="Arial" w:hAnsi="Arial" w:cs="Arial"/>
                <w:b/>
                <w:bCs/>
                <w:color w:val="000000"/>
                <w:sz w:val="20"/>
                <w:szCs w:val="18"/>
              </w:rPr>
              <w:t>41,147,141</w:t>
            </w:r>
          </w:p>
        </w:tc>
      </w:tr>
    </w:tbl>
    <w:p w:rsidR="001876E4" w:rsidRPr="001876E4" w:rsidRDefault="001876E4" w:rsidP="001876E4">
      <w:pPr>
        <w:spacing w:after="0" w:line="240" w:lineRule="auto"/>
        <w:jc w:val="both"/>
        <w:rPr>
          <w:rFonts w:ascii="Arial" w:eastAsia="Calibri" w:hAnsi="Arial" w:cs="Times New Roman"/>
          <w:sz w:val="24"/>
          <w:lang w:val="es-ES" w:eastAsia="en-US"/>
        </w:rPr>
      </w:pPr>
      <w:r w:rsidRPr="001876E4">
        <w:rPr>
          <w:rFonts w:ascii="Arial" w:eastAsia="Calibri" w:hAnsi="Arial" w:cs="Times New Roman"/>
          <w:sz w:val="24"/>
          <w:lang w:val="es-ES" w:eastAsia="en-US"/>
        </w:rPr>
        <w:tab/>
      </w: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Times New Roman"/>
          <w:sz w:val="24"/>
          <w:lang w:val="es-ES" w:eastAsia="en-US"/>
        </w:rPr>
        <w:tab/>
      </w:r>
      <w:r w:rsidRPr="001876E4">
        <w:rPr>
          <w:rFonts w:ascii="Arial" w:eastAsia="Calibri" w:hAnsi="Arial" w:cs="Arial"/>
          <w:b/>
          <w:sz w:val="24"/>
          <w:szCs w:val="24"/>
          <w:lang w:val="es-ES" w:eastAsia="en-US"/>
        </w:rPr>
        <w:t>Artículo 52</w:t>
      </w:r>
      <w:r w:rsidRPr="001876E4">
        <w:rPr>
          <w:rFonts w:ascii="Arial" w:eastAsia="Calibri" w:hAnsi="Arial" w:cs="Arial"/>
          <w:sz w:val="24"/>
          <w:szCs w:val="24"/>
          <w:lang w:val="es-ES" w:eastAsia="en-US"/>
        </w:rPr>
        <w:t xml:space="preserve">. Los programas de Concurrencia con la Secretaría de Agricultura, Ganadería, Desarrollo Rural, Pesca y Alimentación (SAGARPA) y la Comisión Nacional del Agua (CONAGUA), incluidos en la partida 43102, prevén un importe de </w:t>
      </w:r>
      <w:r w:rsidRPr="001876E4">
        <w:rPr>
          <w:rFonts w:ascii="Arial" w:eastAsia="Calibri" w:hAnsi="Arial" w:cs="Arial"/>
          <w:b/>
          <w:sz w:val="24"/>
          <w:szCs w:val="24"/>
          <w:lang w:val="es-ES" w:eastAsia="en-US"/>
        </w:rPr>
        <w:t>$32,000,000</w:t>
      </w:r>
      <w:r w:rsidRPr="001876E4">
        <w:rPr>
          <w:rFonts w:ascii="Arial" w:eastAsia="Calibri" w:hAnsi="Arial" w:cs="Arial"/>
          <w:sz w:val="24"/>
          <w:szCs w:val="24"/>
          <w:lang w:val="es-ES" w:eastAsia="en-US"/>
        </w:rPr>
        <w:t>; serán ejercidos como se señalan a continuación: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67. Concurrencia con SAGARPA y CONAGUA</w:t>
      </w:r>
    </w:p>
    <w:tbl>
      <w:tblPr>
        <w:tblW w:w="9440" w:type="dxa"/>
        <w:jc w:val="center"/>
        <w:tblCellMar>
          <w:left w:w="70" w:type="dxa"/>
          <w:right w:w="70" w:type="dxa"/>
        </w:tblCellMar>
        <w:tblLook w:val="04A0" w:firstRow="1" w:lastRow="0" w:firstColumn="1" w:lastColumn="0" w:noHBand="0" w:noVBand="1"/>
      </w:tblPr>
      <w:tblGrid>
        <w:gridCol w:w="5684"/>
        <w:gridCol w:w="1250"/>
        <w:gridCol w:w="1253"/>
        <w:gridCol w:w="1253"/>
      </w:tblGrid>
      <w:tr w:rsidR="001876E4" w:rsidRPr="001876E4" w:rsidTr="00947D11">
        <w:trPr>
          <w:trHeight w:val="255"/>
          <w:jc w:val="center"/>
        </w:trPr>
        <w:tc>
          <w:tcPr>
            <w:tcW w:w="5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Nombre del Programa</w:t>
            </w:r>
          </w:p>
        </w:tc>
        <w:tc>
          <w:tcPr>
            <w:tcW w:w="3756" w:type="dxa"/>
            <w:gridSpan w:val="3"/>
            <w:tcBorders>
              <w:top w:val="single" w:sz="4" w:space="0" w:color="auto"/>
              <w:left w:val="nil"/>
              <w:bottom w:val="single" w:sz="4" w:space="0" w:color="auto"/>
              <w:right w:val="single" w:sz="4" w:space="0" w:color="000000"/>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Asignación Presupuestal</w:t>
            </w:r>
          </w:p>
        </w:tc>
      </w:tr>
      <w:tr w:rsidR="001876E4" w:rsidRPr="001876E4" w:rsidTr="00947D11">
        <w:trPr>
          <w:trHeight w:val="270"/>
          <w:jc w:val="center"/>
        </w:trPr>
        <w:tc>
          <w:tcPr>
            <w:tcW w:w="5684"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20"/>
                <w:szCs w:val="20"/>
              </w:rPr>
            </w:pPr>
          </w:p>
        </w:tc>
        <w:tc>
          <w:tcPr>
            <w:tcW w:w="1250" w:type="dxa"/>
            <w:tcBorders>
              <w:top w:val="nil"/>
              <w:left w:val="nil"/>
              <w:bottom w:val="single" w:sz="8" w:space="0" w:color="auto"/>
              <w:right w:val="single" w:sz="8"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Estatal</w:t>
            </w:r>
          </w:p>
        </w:tc>
        <w:tc>
          <w:tcPr>
            <w:tcW w:w="1253" w:type="dxa"/>
            <w:tcBorders>
              <w:top w:val="nil"/>
              <w:left w:val="nil"/>
              <w:bottom w:val="single" w:sz="8" w:space="0" w:color="auto"/>
              <w:right w:val="single" w:sz="8"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Federal</w:t>
            </w:r>
          </w:p>
        </w:tc>
        <w:tc>
          <w:tcPr>
            <w:tcW w:w="1253" w:type="dxa"/>
            <w:tcBorders>
              <w:top w:val="nil"/>
              <w:left w:val="nil"/>
              <w:bottom w:val="single" w:sz="8" w:space="0" w:color="auto"/>
              <w:right w:val="single" w:sz="8"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Total</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Contratación de Seguros Agropecuarios</w:t>
            </w:r>
          </w:p>
        </w:tc>
        <w:tc>
          <w:tcPr>
            <w:tcW w:w="1250"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3,500,000</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11,500,000</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15,000,000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Programa de Concurrencia con las Entidades Federativas </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12,800,000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140,000,000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152,800,000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de Productividad Rural  (PESA e IPASSA)</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4,000,000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24,600,000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28,600,000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de Apoyos a Pequeños Productores (Extensionismo)</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6,600,000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7,600,000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de Productividad y Competitividad Agroalimentaria</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200,000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1,200,000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de Sanidad e Inocuidad Agroalimentaria</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2,000,000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33,000,000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35,000,000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lastRenderedPageBreak/>
              <w:t>Programa de Fomento a la Productividad Pesquera y Acuícola</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1,500,000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4,500,000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6,000,000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 xml:space="preserve">Componente al Desarrollo de la Acuacultura </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2,000,000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20,000,000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22,000,000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de Modernización y Tecnificación de Unidades de Riego</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14,400,000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15,400,000</w:t>
            </w:r>
          </w:p>
        </w:tc>
      </w:tr>
      <w:tr w:rsidR="001876E4" w:rsidRPr="001876E4" w:rsidTr="00947D11">
        <w:trPr>
          <w:trHeight w:val="510"/>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20"/>
                <w:szCs w:val="20"/>
              </w:rPr>
            </w:pPr>
            <w:r w:rsidRPr="001876E4">
              <w:rPr>
                <w:rFonts w:ascii="Arial" w:eastAsia="Times New Roman" w:hAnsi="Arial" w:cs="Arial"/>
                <w:color w:val="000000"/>
                <w:sz w:val="20"/>
                <w:szCs w:val="20"/>
              </w:rPr>
              <w:t>Programa de Tecnificación, Modernización y  Equipamiento de Distritos de Riego</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4,000,000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91,350,000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color w:val="000000"/>
                <w:sz w:val="20"/>
                <w:szCs w:val="20"/>
              </w:rPr>
            </w:pPr>
            <w:r w:rsidRPr="001876E4">
              <w:rPr>
                <w:rFonts w:ascii="Arial" w:eastAsia="Times New Roman" w:hAnsi="Arial" w:cs="Arial"/>
                <w:color w:val="000000"/>
                <w:sz w:val="20"/>
                <w:szCs w:val="20"/>
              </w:rPr>
              <w:t>95,350,000</w:t>
            </w:r>
          </w:p>
        </w:tc>
      </w:tr>
      <w:tr w:rsidR="001876E4" w:rsidRPr="001876E4" w:rsidTr="00947D11">
        <w:trPr>
          <w:trHeight w:val="255"/>
          <w:jc w:val="center"/>
        </w:trPr>
        <w:tc>
          <w:tcPr>
            <w:tcW w:w="5684" w:type="dxa"/>
            <w:tcBorders>
              <w:top w:val="nil"/>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Total</w:t>
            </w:r>
          </w:p>
        </w:tc>
        <w:tc>
          <w:tcPr>
            <w:tcW w:w="1250"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32,000,000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346,950,000</w:t>
            </w:r>
          </w:p>
        </w:tc>
        <w:tc>
          <w:tcPr>
            <w:tcW w:w="125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right"/>
              <w:rPr>
                <w:rFonts w:ascii="Arial" w:eastAsia="Times New Roman" w:hAnsi="Arial" w:cs="Arial"/>
                <w:b/>
                <w:bCs/>
                <w:color w:val="000000"/>
                <w:sz w:val="20"/>
                <w:szCs w:val="20"/>
              </w:rPr>
            </w:pPr>
            <w:r w:rsidRPr="001876E4">
              <w:rPr>
                <w:rFonts w:ascii="Arial" w:eastAsia="Times New Roman" w:hAnsi="Arial" w:cs="Arial"/>
                <w:b/>
                <w:bCs/>
                <w:color w:val="000000"/>
                <w:sz w:val="20"/>
                <w:szCs w:val="20"/>
              </w:rPr>
              <w:t>378,950,000</w:t>
            </w:r>
          </w:p>
        </w:tc>
      </w:tr>
    </w:tbl>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32"/>
          <w:lang w:val="es-ES" w:eastAsia="en-US"/>
        </w:rPr>
      </w:pPr>
      <w:bookmarkStart w:id="28" w:name="_Toc465292960"/>
      <w:bookmarkStart w:id="29" w:name="_Toc465292888"/>
      <w:r w:rsidRPr="001876E4">
        <w:rPr>
          <w:rFonts w:ascii="Arial" w:eastAsia="Times New Roman" w:hAnsi="Arial" w:cs="Arial"/>
          <w:b/>
          <w:sz w:val="24"/>
          <w:szCs w:val="32"/>
          <w:lang w:val="es-ES" w:eastAsia="en-US"/>
        </w:rPr>
        <w:t>TÍTULO TERCERO</w:t>
      </w:r>
    </w:p>
    <w:p w:rsidR="001876E4" w:rsidRPr="001876E4" w:rsidRDefault="001876E4" w:rsidP="001876E4">
      <w:pPr>
        <w:keepNext/>
        <w:keepLines/>
        <w:spacing w:after="0" w:line="240" w:lineRule="auto"/>
        <w:jc w:val="center"/>
        <w:outlineLvl w:val="0"/>
        <w:rPr>
          <w:rFonts w:ascii="Arial" w:eastAsia="Times New Roman" w:hAnsi="Arial" w:cs="Arial"/>
          <w:b/>
          <w:sz w:val="24"/>
          <w:szCs w:val="32"/>
          <w:lang w:val="es-ES" w:eastAsia="en-US"/>
        </w:rPr>
      </w:pPr>
      <w:r w:rsidRPr="001876E4">
        <w:rPr>
          <w:rFonts w:ascii="Arial" w:eastAsia="Times New Roman" w:hAnsi="Arial" w:cs="Arial"/>
          <w:b/>
          <w:sz w:val="24"/>
          <w:szCs w:val="32"/>
          <w:lang w:val="es-ES" w:eastAsia="en-US"/>
        </w:rPr>
        <w:t xml:space="preserve"> DE LA DISCIPLINA PRESUPUESTARIA EN EL EJERCICIO DEL GASTO PÚBLICO</w:t>
      </w:r>
      <w:bookmarkEnd w:id="28"/>
      <w:bookmarkEnd w:id="29"/>
    </w:p>
    <w:p w:rsidR="001876E4" w:rsidRPr="001876E4" w:rsidRDefault="001876E4" w:rsidP="001876E4">
      <w:pPr>
        <w:spacing w:after="0" w:line="240" w:lineRule="auto"/>
        <w:jc w:val="center"/>
        <w:rPr>
          <w:rFonts w:ascii="Arial" w:eastAsia="Calibri" w:hAnsi="Arial" w:cs="Arial"/>
          <w:b/>
          <w:sz w:val="24"/>
          <w:lang w:val="es-ES" w:eastAsia="en-US"/>
        </w:rPr>
      </w:pPr>
    </w:p>
    <w:p w:rsidR="001876E4" w:rsidRPr="001876E4" w:rsidRDefault="001876E4" w:rsidP="001876E4">
      <w:pPr>
        <w:spacing w:after="0" w:line="240" w:lineRule="auto"/>
        <w:jc w:val="center"/>
        <w:rPr>
          <w:rFonts w:ascii="Arial" w:eastAsia="Calibri" w:hAnsi="Arial" w:cs="Arial"/>
          <w:b/>
          <w:sz w:val="24"/>
          <w:lang w:val="es-ES" w:eastAsia="en-US"/>
        </w:rPr>
      </w:pPr>
      <w:r w:rsidRPr="001876E4">
        <w:rPr>
          <w:rFonts w:ascii="Arial" w:eastAsia="Calibri" w:hAnsi="Arial" w:cs="Arial"/>
          <w:b/>
          <w:sz w:val="24"/>
          <w:lang w:val="es-ES" w:eastAsia="en-US"/>
        </w:rPr>
        <w:t>CAPÍTULO ÚNICO</w:t>
      </w:r>
    </w:p>
    <w:p w:rsidR="001876E4" w:rsidRPr="001876E4" w:rsidRDefault="001876E4" w:rsidP="001876E4">
      <w:pPr>
        <w:spacing w:after="0" w:line="240" w:lineRule="auto"/>
        <w:jc w:val="center"/>
        <w:rPr>
          <w:rFonts w:ascii="Arial" w:eastAsia="Calibri" w:hAnsi="Arial" w:cs="Arial"/>
          <w:b/>
          <w:sz w:val="24"/>
          <w:lang w:val="es-ES" w:eastAsia="en-US"/>
        </w:rPr>
      </w:pPr>
      <w:r w:rsidRPr="001876E4">
        <w:rPr>
          <w:rFonts w:ascii="Arial" w:eastAsia="Calibri" w:hAnsi="Arial" w:cs="Arial"/>
          <w:b/>
          <w:sz w:val="24"/>
          <w:lang w:val="es-ES" w:eastAsia="en-US"/>
        </w:rPr>
        <w:t xml:space="preserve"> DISPOSICIONES GENERALES</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53</w:t>
      </w:r>
      <w:r w:rsidRPr="001876E4">
        <w:rPr>
          <w:rFonts w:ascii="Arial" w:eastAsia="Calibri" w:hAnsi="Arial" w:cs="Arial"/>
          <w:sz w:val="24"/>
          <w:szCs w:val="24"/>
          <w:lang w:val="es-ES" w:eastAsia="en-US"/>
        </w:rPr>
        <w:t>. El ejercicio del gasto público deberá sujetarse estrictamente a las disposiciones previstas en la Ley de Presupuesto, Ley de Disciplina Financiera</w:t>
      </w:r>
      <w:r w:rsidRPr="001876E4">
        <w:rPr>
          <w:rFonts w:ascii="Arial" w:eastAsia="Calibri" w:hAnsi="Arial" w:cs="Arial"/>
          <w:sz w:val="24"/>
          <w:szCs w:val="24"/>
          <w:lang w:eastAsia="en-US"/>
        </w:rPr>
        <w:t>,</w:t>
      </w:r>
      <w:r w:rsidRPr="001876E4">
        <w:rPr>
          <w:rFonts w:ascii="Arial" w:eastAsia="Calibri" w:hAnsi="Arial" w:cs="Arial"/>
          <w:sz w:val="24"/>
          <w:szCs w:val="24"/>
          <w:lang w:val="es-ES" w:eastAsia="en-US"/>
        </w:rPr>
        <w:t xml:space="preserve"> y en las que al efecto emitan la Secretaría y la Secretaría de Administración, en el ámbito de la administración pública estatal. Tratándose de los Poderes Legislativo y Judicial, así como los Órganos Estatales Autónomos, sus unidades administrativas competentes emitirán las disposiciones correspondientes.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54. </w:t>
      </w:r>
      <w:r w:rsidRPr="001876E4">
        <w:rPr>
          <w:rFonts w:ascii="Arial" w:eastAsia="Calibri" w:hAnsi="Arial" w:cs="Arial"/>
          <w:sz w:val="24"/>
          <w:szCs w:val="24"/>
          <w:lang w:val="es-ES" w:eastAsia="en-US"/>
        </w:rPr>
        <w:t>El gasto total propuesto por el Titular del Poder Ejecutivo en el proyecto de Presupuesto de Egresos, aquél que apruebe el Congreso del Estado y el que se ejerza en el año fiscal 2018, deberá contribuir a un Balance presupuestario sostenible, en los términos que señalan los artículos 6 y 7 de la Ley de Disciplina Financiera.</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55. </w:t>
      </w:r>
      <w:r w:rsidRPr="001876E4">
        <w:rPr>
          <w:rFonts w:ascii="Arial" w:eastAsia="Calibri" w:hAnsi="Arial" w:cs="Arial"/>
          <w:sz w:val="24"/>
          <w:szCs w:val="24"/>
          <w:lang w:val="es-ES" w:eastAsia="en-US"/>
        </w:rPr>
        <w:t>Para el ejercicio del gasto, se deberán observar las disposiciones señaladas en el artículo 13 de la Ley de Disciplina Financiera, en particular lo siguiente: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4"/>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Sólo podrán comprometer recursos con cargo al presupuesto autorizado, contando previamente con la suficiencia presupuestaria, identificando la fuente de ingresos; y</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4"/>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 xml:space="preserve">Sólo procederá hacer pagos con base en el Presupuesto de Egresos aprobado, y por los conceptos efectivamente devengados, siempre que se </w:t>
      </w:r>
      <w:r w:rsidRPr="001876E4">
        <w:rPr>
          <w:rFonts w:ascii="Arial" w:eastAsia="Times New Roman" w:hAnsi="Arial" w:cs="Arial"/>
          <w:sz w:val="24"/>
          <w:szCs w:val="24"/>
        </w:rPr>
        <w:lastRenderedPageBreak/>
        <w:t>hubieren registrado y contabilizado debida y oportunamente las operaciones consideradas en éste.</w:t>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56. </w:t>
      </w:r>
      <w:r w:rsidRPr="001876E4">
        <w:rPr>
          <w:rFonts w:ascii="Arial" w:eastAsia="Calibri" w:hAnsi="Arial" w:cs="Arial"/>
          <w:sz w:val="24"/>
          <w:szCs w:val="24"/>
          <w:lang w:val="es-ES" w:eastAsia="en-US"/>
        </w:rPr>
        <w:t>Para el ejercicio del gasto, se podrán realizar erogaciones adicionales a las aprobadas con cargo a los Ingresos excedentes que se obtengan, y con la autorización previa de la Secretaría, observando lo siguiente:</w:t>
      </w:r>
    </w:p>
    <w:p w:rsidR="001876E4" w:rsidRPr="001876E4" w:rsidRDefault="001876E4" w:rsidP="001876E4">
      <w:pPr>
        <w:spacing w:after="0" w:line="240" w:lineRule="auto"/>
        <w:rPr>
          <w:rFonts w:ascii="Arial" w:eastAsia="Calibri" w:hAnsi="Arial"/>
          <w:sz w:val="24"/>
          <w:lang w:val="es-ES" w:eastAsia="en-US"/>
        </w:rPr>
      </w:pPr>
    </w:p>
    <w:p w:rsidR="001876E4" w:rsidRPr="001876E4" w:rsidRDefault="001876E4" w:rsidP="00185BC9">
      <w:pPr>
        <w:numPr>
          <w:ilvl w:val="0"/>
          <w:numId w:val="25"/>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Los ingresos excedentes derivados de Ingresos de Libre Disposición, deberán ser destinados a los conceptos señalados en el artículo 14 de la Ley de Disciplina Financiera; y</w:t>
      </w:r>
    </w:p>
    <w:p w:rsidR="001876E4" w:rsidRPr="001876E4" w:rsidRDefault="001876E4" w:rsidP="001876E4">
      <w:pPr>
        <w:spacing w:after="0" w:line="240" w:lineRule="auto"/>
        <w:rPr>
          <w:rFonts w:ascii="Arial" w:eastAsia="Times New Roman" w:hAnsi="Arial"/>
          <w:sz w:val="24"/>
        </w:rPr>
      </w:pPr>
    </w:p>
    <w:p w:rsidR="001876E4" w:rsidRPr="001876E4" w:rsidRDefault="001876E4" w:rsidP="00185BC9">
      <w:pPr>
        <w:numPr>
          <w:ilvl w:val="0"/>
          <w:numId w:val="25"/>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 xml:space="preserve">Los ingresos excedentes derivados de Transferencias Federales Etiquetadas, deberán ser destinados conforme a lo previsto en la legislación federal aplicable. Los recursos excedentes señalados en esta fracción se considerarán de ampliación automática.  </w:t>
      </w:r>
    </w:p>
    <w:p w:rsidR="001876E4" w:rsidRPr="001876E4" w:rsidRDefault="001876E4" w:rsidP="001876E4">
      <w:pPr>
        <w:spacing w:after="0" w:line="240" w:lineRule="auto"/>
        <w:ind w:hanging="720"/>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57. </w:t>
      </w:r>
      <w:r w:rsidRPr="001876E4">
        <w:rPr>
          <w:rFonts w:ascii="Arial" w:eastAsia="Calibri" w:hAnsi="Arial" w:cs="Arial"/>
          <w:sz w:val="24"/>
          <w:szCs w:val="24"/>
          <w:lang w:val="es-ES" w:eastAsia="en-US"/>
        </w:rPr>
        <w:t>En caso de que durante el ejercicio fiscal disminuyan los ingresos previstos en la Ley de Ingresos, el Titular del Ejecutivo, por conducto de la Secretaría, a efecto de cumplir con el principio de sostenibilidad del Balance Presupuestario y del Balance Presupuestario de Recursos Disponibles, deberá aplicar ajustes al Presupuesto de Egresos en los rubros de gasto señalados en el artículo 15 de Ley de Disciplina Financiera.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Las Dependencias de la Administración Pública Centralizada y Entidades de la Administración Pública Paraestatal deberán observar lo dispuesto en las Reglas de Austeridad, Racionalidad y Disciplina del Gasto Público Estatal, publicadas en el Periódico Oficial “</w:t>
      </w:r>
      <w:r w:rsidRPr="001876E4">
        <w:rPr>
          <w:rFonts w:ascii="Arial" w:eastAsia="Calibri" w:hAnsi="Arial" w:cs="Arial"/>
          <w:i/>
          <w:sz w:val="24"/>
          <w:szCs w:val="24"/>
          <w:lang w:val="es-ES" w:eastAsia="en-US"/>
        </w:rPr>
        <w:t>El Estado de Colima</w:t>
      </w:r>
      <w:r w:rsidRPr="001876E4">
        <w:rPr>
          <w:rFonts w:ascii="Arial" w:eastAsia="Calibri" w:hAnsi="Arial" w:cs="Arial"/>
          <w:sz w:val="24"/>
          <w:szCs w:val="24"/>
          <w:lang w:val="es-ES" w:eastAsia="en-US"/>
        </w:rPr>
        <w:t>” el 31 de enero del año 2017, última reforma publicada en el P.O. el 22 de marzo del año 2017.</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58</w:t>
      </w:r>
      <w:r w:rsidRPr="001876E4">
        <w:rPr>
          <w:rFonts w:ascii="Arial" w:eastAsia="Calibri" w:hAnsi="Arial" w:cs="Arial"/>
          <w:sz w:val="24"/>
          <w:szCs w:val="24"/>
          <w:lang w:val="es-ES" w:eastAsia="en-US"/>
        </w:rPr>
        <w:t>. Las Dependencias de la Administración Pública Centralizada sólo podrán modificar sus estructuras orgánicas y laborales aprobadas para el Ejercicio Fiscal 2018, previa autorización del Titular del Ejecutivo, y de conformidad con las normas aplicables, siempre que cuenten con los recursos presupuestarios suficientes.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59</w:t>
      </w:r>
      <w:r w:rsidRPr="001876E4">
        <w:rPr>
          <w:rFonts w:ascii="Arial" w:eastAsia="Calibri" w:hAnsi="Arial" w:cs="Arial"/>
          <w:sz w:val="24"/>
          <w:szCs w:val="24"/>
          <w:lang w:val="es-ES" w:eastAsia="en-US"/>
        </w:rPr>
        <w:t xml:space="preserve">. La Secretaría podrá entregar adelantos de Participaciones a los Municipios, previa petición que, por escrito, haga el Presidente Municipal al Secretario de Planeación y Finanzas, siempre que el primero cuente con la aprobación del Ayuntamiento.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lastRenderedPageBreak/>
        <w:t>También podrá hacerlo con respecto a las Entidades de la Administración Pública Paraestatal y Organismos Estatales Autónomos, a cuenta de las transferencias presupuestales que les correspondan, previa petición que, por escrito, presenten sus titulares al Secretario de Planeación y Finanzas.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La Secretaría podrá autorizar o negar las peticiones a que se refiere el párrafo anterior, en función de la situación de las finanzas públicas del Gobierno del Estado y del resultado que arroje el análisis practicado a la capacidad financiera del Municipio, Entidad de la Administración Pública Paraestatal u Organismo Estatal Autónomo solicitante.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60</w:t>
      </w:r>
      <w:r w:rsidRPr="001876E4">
        <w:rPr>
          <w:rFonts w:ascii="Arial" w:eastAsia="Calibri" w:hAnsi="Arial" w:cs="Arial"/>
          <w:sz w:val="24"/>
          <w:szCs w:val="24"/>
          <w:lang w:val="es-ES" w:eastAsia="en-US"/>
        </w:rPr>
        <w:t>. Los viáticos y gastos de traslado para el personal adscrito a las Dependencias de la Administración Pública Centralizada deberán ser autorizados por los titulares de las mismas, previa valoración y conveniencia de la comisión que motiva la necesidad de traslado y/o asistencia del o los servidores públicos, debiéndose ajustar lo señalado en las Reglas de Austeridad, Racionalidad y Disciplina del Gasto Público Estatal, publicadas en el Periódico Oficial “</w:t>
      </w:r>
      <w:r w:rsidRPr="001876E4">
        <w:rPr>
          <w:rFonts w:ascii="Arial" w:eastAsia="Calibri" w:hAnsi="Arial" w:cs="Arial"/>
          <w:i/>
          <w:sz w:val="24"/>
          <w:szCs w:val="24"/>
          <w:lang w:val="es-ES" w:eastAsia="en-US"/>
        </w:rPr>
        <w:t>El Estado de Colima</w:t>
      </w:r>
      <w:r w:rsidRPr="001876E4">
        <w:rPr>
          <w:rFonts w:ascii="Arial" w:eastAsia="Calibri" w:hAnsi="Arial" w:cs="Arial"/>
          <w:sz w:val="24"/>
          <w:szCs w:val="24"/>
          <w:lang w:val="es-ES" w:eastAsia="en-US"/>
        </w:rPr>
        <w:t xml:space="preserve">” el 31 de enero del año 2017, última reforma publicada en el P.O. el 22 de Marzo del año 2017.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b/>
          <w:bCs/>
          <w:sz w:val="24"/>
          <w:szCs w:val="24"/>
          <w:lang w:val="es-ES" w:eastAsia="en-US"/>
        </w:rPr>
      </w:pPr>
      <w:r w:rsidRPr="001876E4">
        <w:rPr>
          <w:rFonts w:ascii="Arial" w:eastAsia="Calibri" w:hAnsi="Arial" w:cs="Arial"/>
          <w:b/>
          <w:sz w:val="24"/>
          <w:szCs w:val="24"/>
          <w:lang w:val="es-ES" w:eastAsia="en-US"/>
        </w:rPr>
        <w:t>Artículo 61</w:t>
      </w:r>
      <w:r w:rsidRPr="001876E4">
        <w:rPr>
          <w:rFonts w:ascii="Arial" w:eastAsia="Calibri" w:hAnsi="Arial" w:cs="Arial"/>
          <w:sz w:val="24"/>
          <w:szCs w:val="24"/>
          <w:lang w:val="es-ES" w:eastAsia="en-US"/>
        </w:rPr>
        <w:t xml:space="preserve">. Las </w:t>
      </w:r>
      <w:r w:rsidRPr="001876E4">
        <w:rPr>
          <w:rFonts w:ascii="Arial" w:eastAsia="Times New Roman" w:hAnsi="Arial" w:cs="Arial"/>
          <w:sz w:val="24"/>
          <w:szCs w:val="24"/>
        </w:rPr>
        <w:t>Dependencias de la Administración Pública Centralizada y Entidades de la Administración Pública Paraestatal</w:t>
      </w:r>
      <w:r w:rsidRPr="001876E4">
        <w:rPr>
          <w:rFonts w:ascii="Arial" w:eastAsia="Calibri" w:hAnsi="Arial" w:cs="Arial"/>
          <w:sz w:val="24"/>
          <w:szCs w:val="24"/>
          <w:lang w:val="es-ES" w:eastAsia="en-US"/>
        </w:rPr>
        <w:t xml:space="preserve"> deberán registrar ante la Secretaría, todas las operaciones que involucren compromisos financieros, los cuales sólo se podrán erogar si se encuentran autorizados en el Presupuesto de Egresos.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62</w:t>
      </w:r>
      <w:r w:rsidRPr="001876E4">
        <w:rPr>
          <w:rFonts w:ascii="Arial" w:eastAsia="Calibri" w:hAnsi="Arial" w:cs="Arial"/>
          <w:sz w:val="24"/>
          <w:szCs w:val="24"/>
          <w:lang w:val="es-ES" w:eastAsia="en-US"/>
        </w:rPr>
        <w:t xml:space="preserve">. En apego a lo establecido en los artículos 43, 44 y 45 de la Ley Orgánica de la Administración Pública del Estado de Colima; sólo con autorización del Titular del Ejecutivo, emitida por conducto de la Secretaría, se podrán constituir fideicomisos, modificarlos o disolverlos.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Titular del Ejecutivo autorizará, por conducto de la Secretaría, la participación del Estado en las empresas, sociedades y asociaciones civiles o mercantiles y fideicomisos que no tengan carácter paraestatal, ya sea en su creación, para aumentar su capital o patrimonio o adquiriendo todo o parte de éstas.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color w:val="FF0000"/>
          <w:sz w:val="24"/>
          <w:szCs w:val="24"/>
          <w:lang w:val="es-ES" w:eastAsia="en-US"/>
        </w:rPr>
      </w:pPr>
      <w:r w:rsidRPr="001876E4">
        <w:rPr>
          <w:rFonts w:ascii="Arial" w:eastAsia="Calibri" w:hAnsi="Arial" w:cs="Arial"/>
          <w:b/>
          <w:sz w:val="24"/>
          <w:szCs w:val="24"/>
          <w:lang w:val="es-ES" w:eastAsia="en-US"/>
        </w:rPr>
        <w:t>Artículo 63</w:t>
      </w:r>
      <w:r w:rsidRPr="001876E4">
        <w:rPr>
          <w:rFonts w:ascii="Arial" w:eastAsia="Calibri" w:hAnsi="Arial" w:cs="Arial"/>
          <w:sz w:val="24"/>
          <w:szCs w:val="24"/>
          <w:lang w:val="es-ES" w:eastAsia="en-US"/>
        </w:rPr>
        <w:t>. Tratándose de recursos federales cuyo destino sea su transmisión al patrimonio fideicomitido, el procedimiento respectivo se realizará por conducto de la Secretaría, en apego a lo dispuesto por 43, 44 y 45 de la Ley Orgánica de la Administración Pública del Estado de Colima.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64</w:t>
      </w:r>
      <w:r w:rsidRPr="001876E4">
        <w:rPr>
          <w:rFonts w:ascii="Arial" w:eastAsia="Calibri" w:hAnsi="Arial" w:cs="Arial"/>
          <w:sz w:val="24"/>
          <w:szCs w:val="24"/>
          <w:lang w:val="es-ES" w:eastAsia="en-US"/>
        </w:rPr>
        <w:t xml:space="preserve">. En aquellos fideicomisos en los que se involucren recursos públicos estatales, se deberá establecer una subcuenta específica, con el objeto de diferenciarlos del resto de las demás aportaciones. La Secretaría llevará el registro y control de los fideicomisos en los que participe el Gobierno del Estado.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Los fideicomisos, a través de su Comité Técnico, deberán informar trimestralmente a la Secretaría, dentro de los treinta días siguientes a cada trimestre, el saldo de la subcuenta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En los contratos respectivos deberá pactarse expresamente tal previsión.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En caso de que exista compromiso del Municipio, o de los particulares con el Gobierno Estatal para otorgar sumas de recursos al patrimonio del fideicomiso y aquéllos incumplan con la aportación de dichos recursos, con las reglas de operación del fideicomiso o del Programa Presupuestario correspondiente, el Gobierno Estatal, por conducto de la Dependencia de la Administración Pública Centralizada o Entidad de la Administración Pública Paraestatal que coordine la operación del fideicomiso, podrá suspender las aportaciones subsecuentes.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color w:val="FF0000"/>
          <w:sz w:val="24"/>
          <w:szCs w:val="24"/>
          <w:lang w:val="es-ES" w:eastAsia="en-US"/>
        </w:rPr>
      </w:pPr>
      <w:r w:rsidRPr="001876E4">
        <w:rPr>
          <w:rFonts w:ascii="Arial" w:eastAsia="Calibri" w:hAnsi="Arial" w:cs="Arial"/>
          <w:b/>
          <w:sz w:val="24"/>
          <w:szCs w:val="24"/>
          <w:lang w:val="es-ES" w:eastAsia="en-US"/>
        </w:rPr>
        <w:t>Artículo 65</w:t>
      </w:r>
      <w:r w:rsidRPr="001876E4">
        <w:rPr>
          <w:rFonts w:ascii="Arial" w:eastAsia="Calibri" w:hAnsi="Arial" w:cs="Arial"/>
          <w:sz w:val="24"/>
          <w:szCs w:val="24"/>
          <w:lang w:val="es-ES" w:eastAsia="en-US"/>
        </w:rPr>
        <w:t>. Se prohíbe la celebración de fideicomisos, mandatos o contratos análogos, que tengan como propósito eludir la anualidad de este Presupuesto.</w:t>
      </w:r>
      <w:r w:rsidRPr="001876E4">
        <w:rPr>
          <w:rFonts w:ascii="Arial" w:eastAsia="Calibri" w:hAnsi="Arial" w:cs="Arial"/>
          <w:color w:val="FF0000"/>
          <w:sz w:val="24"/>
          <w:szCs w:val="24"/>
          <w:lang w:val="es-ES" w:eastAsia="en-US"/>
        </w:rPr>
        <w:t xml:space="preserve">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66</w:t>
      </w:r>
      <w:r w:rsidRPr="001876E4">
        <w:rPr>
          <w:rFonts w:ascii="Arial" w:eastAsia="Calibri" w:hAnsi="Arial" w:cs="Arial"/>
          <w:sz w:val="24"/>
          <w:szCs w:val="24"/>
          <w:lang w:val="es-ES" w:eastAsia="en-US"/>
        </w:rPr>
        <w:t>. El Titular del Poder Ejecutivo, por conducto de la Secretaría, autorizará la ministración, reducción, suspensión y en su caso, terminación de las transferencias y subsidios que se prevén en el presente Decreto.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67</w:t>
      </w:r>
      <w:r w:rsidRPr="001876E4">
        <w:rPr>
          <w:rFonts w:ascii="Arial" w:eastAsia="Calibri" w:hAnsi="Arial" w:cs="Arial"/>
          <w:sz w:val="24"/>
          <w:szCs w:val="24"/>
          <w:lang w:val="es-ES" w:eastAsia="en-US"/>
        </w:rPr>
        <w:t xml:space="preserve">. Los Titulares de las </w:t>
      </w:r>
      <w:r w:rsidRPr="001876E4">
        <w:rPr>
          <w:rFonts w:ascii="Arial" w:eastAsia="Times New Roman" w:hAnsi="Arial" w:cs="Arial"/>
          <w:sz w:val="24"/>
          <w:szCs w:val="24"/>
        </w:rPr>
        <w:t>Dependencias de la Administración Pública Centralizada</w:t>
      </w:r>
      <w:r w:rsidRPr="001876E4">
        <w:rPr>
          <w:rFonts w:ascii="Arial" w:eastAsia="Calibri" w:hAnsi="Arial" w:cs="Arial"/>
          <w:sz w:val="24"/>
          <w:szCs w:val="24"/>
          <w:lang w:val="es-ES" w:eastAsia="en-US"/>
        </w:rPr>
        <w:t xml:space="preserve">, </w:t>
      </w:r>
      <w:r w:rsidRPr="001876E4">
        <w:rPr>
          <w:rFonts w:ascii="Arial" w:eastAsia="Times New Roman" w:hAnsi="Arial" w:cs="Arial"/>
          <w:sz w:val="24"/>
          <w:szCs w:val="24"/>
        </w:rPr>
        <w:t>Entidades de la Administración Pública Paraestatal</w:t>
      </w:r>
      <w:r w:rsidRPr="001876E4">
        <w:rPr>
          <w:rFonts w:ascii="Arial" w:eastAsia="Calibri" w:hAnsi="Arial" w:cs="Arial"/>
          <w:sz w:val="24"/>
          <w:szCs w:val="24"/>
          <w:lang w:val="es-ES" w:eastAsia="en-US"/>
        </w:rPr>
        <w:t xml:space="preserve"> y </w:t>
      </w:r>
      <w:r w:rsidRPr="001876E4">
        <w:rPr>
          <w:rFonts w:ascii="Arial" w:eastAsia="Times New Roman" w:hAnsi="Arial" w:cs="Arial"/>
          <w:sz w:val="24"/>
          <w:szCs w:val="24"/>
        </w:rPr>
        <w:t>Órganos Estatales Autónomos</w:t>
      </w:r>
      <w:r w:rsidRPr="001876E4">
        <w:rPr>
          <w:rFonts w:ascii="Arial" w:eastAsia="Calibri" w:hAnsi="Arial" w:cs="Arial"/>
          <w:sz w:val="24"/>
          <w:szCs w:val="24"/>
          <w:lang w:val="es-ES" w:eastAsia="en-US"/>
        </w:rPr>
        <w:t xml:space="preserve"> a los que se autorice la asignación de transferencias y subsidios con cargo al Presupuesto, serán responsables de su correcta aplicación conforme a lo establecido en este Presupuesto y las demás disposiciones aplicables.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68</w:t>
      </w:r>
      <w:r w:rsidRPr="001876E4">
        <w:rPr>
          <w:rFonts w:ascii="Arial" w:eastAsia="Calibri" w:hAnsi="Arial" w:cs="Arial"/>
          <w:sz w:val="24"/>
          <w:szCs w:val="24"/>
          <w:lang w:val="es-ES" w:eastAsia="en-US"/>
        </w:rPr>
        <w:t xml:space="preserve">. La Secretaría podrá emitir durante el ejercicio fiscal, disposiciones sobre la operación, evaluación y ejercicio del gasto relacionado con el otorgamiento </w:t>
      </w:r>
      <w:r w:rsidRPr="001876E4">
        <w:rPr>
          <w:rFonts w:ascii="Arial" w:eastAsia="Calibri" w:hAnsi="Arial" w:cs="Arial"/>
          <w:sz w:val="24"/>
          <w:szCs w:val="24"/>
          <w:lang w:val="es-ES" w:eastAsia="en-US"/>
        </w:rPr>
        <w:lastRenderedPageBreak/>
        <w:t xml:space="preserve">y aplicación de las transferencias y subsidios, así como de las economías presupuestarias.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69</w:t>
      </w:r>
      <w:r w:rsidRPr="001876E4">
        <w:rPr>
          <w:rFonts w:ascii="Arial" w:eastAsia="Calibri" w:hAnsi="Arial" w:cs="Arial"/>
          <w:sz w:val="24"/>
          <w:szCs w:val="24"/>
          <w:lang w:val="es-ES" w:eastAsia="en-US"/>
        </w:rPr>
        <w:t>. Las erogaciones por concepto de transferencias y subsidios con cargo al Presupuesto, se sujetarán a los objetivos y las metas de los Programas Presupuestarios que realizan los Entes Públicos y a las necesidades de planeación y administración financiera del Gobierno del Estado, apegándose además a los siguientes criterios: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6"/>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Se requerirá la autorización previa y por escrito de la Secretaría para otorgar transferencias que pretendan destinarse a inversiones financieras; y</w:t>
      </w:r>
    </w:p>
    <w:p w:rsidR="001876E4" w:rsidRPr="001876E4" w:rsidRDefault="001876E4" w:rsidP="001876E4">
      <w:pPr>
        <w:spacing w:after="0" w:line="240" w:lineRule="auto"/>
        <w:ind w:left="720" w:hanging="720"/>
        <w:contextualSpacing/>
        <w:jc w:val="both"/>
        <w:rPr>
          <w:rFonts w:ascii="Arial" w:eastAsia="Times New Roman" w:hAnsi="Arial" w:cs="Arial"/>
          <w:sz w:val="24"/>
          <w:szCs w:val="24"/>
        </w:rPr>
      </w:pPr>
    </w:p>
    <w:p w:rsidR="001876E4" w:rsidRPr="001876E4" w:rsidRDefault="001876E4" w:rsidP="00185BC9">
      <w:pPr>
        <w:numPr>
          <w:ilvl w:val="0"/>
          <w:numId w:val="26"/>
        </w:numPr>
        <w:spacing w:before="120"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Se considerarán preferenciales las transferencias destinadas a las Dependencias de la Administración Pública Centralizada y Entidades de la Administración Pública Paraestatal cuya función esté orientada a: la prestación de servicios educativos, al desarrollo social y a la formación de capital en las ramas y sectores básicos de la economía, la promoción del desarrollo de la ciencia y la tecnología, y a la seguridad pública.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70</w:t>
      </w:r>
      <w:r w:rsidRPr="001876E4">
        <w:rPr>
          <w:rFonts w:ascii="Arial" w:eastAsia="Calibri" w:hAnsi="Arial" w:cs="Arial"/>
          <w:sz w:val="24"/>
          <w:szCs w:val="24"/>
          <w:lang w:val="es-ES" w:eastAsia="en-US"/>
        </w:rPr>
        <w:t xml:space="preserve">. En el ejercicio del Presupuesto de Egresos, las </w:t>
      </w:r>
      <w:r w:rsidRPr="001876E4">
        <w:rPr>
          <w:rFonts w:ascii="Arial" w:eastAsia="Times New Roman" w:hAnsi="Arial" w:cs="Arial"/>
          <w:sz w:val="24"/>
          <w:szCs w:val="24"/>
        </w:rPr>
        <w:t>Dependencias de la Administración Pública Centralizada y Entidades de la Administración Pública Paraestatal</w:t>
      </w:r>
      <w:r w:rsidRPr="001876E4">
        <w:rPr>
          <w:rFonts w:ascii="Arial" w:eastAsia="Calibri" w:hAnsi="Arial" w:cs="Arial"/>
          <w:sz w:val="24"/>
          <w:szCs w:val="24"/>
          <w:lang w:val="es-ES" w:eastAsia="en-US"/>
        </w:rPr>
        <w:t xml:space="preserve"> se sujetarán a la calendarización que determine y les dé a conocer la Secretaría, la cual será congruente con los flujos de ingresos. Asimismo, las </w:t>
      </w:r>
      <w:r w:rsidRPr="001876E4">
        <w:rPr>
          <w:rFonts w:ascii="Arial" w:eastAsia="Times New Roman" w:hAnsi="Arial" w:cs="Arial"/>
          <w:sz w:val="24"/>
          <w:szCs w:val="24"/>
        </w:rPr>
        <w:t xml:space="preserve">Dependencias de la Administración Pública Centralizada y Entidades de la Administración Pública Paraestatal </w:t>
      </w:r>
      <w:r w:rsidRPr="001876E4">
        <w:rPr>
          <w:rFonts w:ascii="Arial" w:eastAsia="Calibri" w:hAnsi="Arial" w:cs="Arial"/>
          <w:sz w:val="24"/>
          <w:szCs w:val="24"/>
          <w:lang w:val="es-ES" w:eastAsia="en-US"/>
        </w:rPr>
        <w:t>proporcionarán a dicha Secretaría, la información presupuestal y financiera que ésta les requiera, de conformidad con las disposiciones en vigor.</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71</w:t>
      </w:r>
      <w:r w:rsidRPr="001876E4">
        <w:rPr>
          <w:rFonts w:ascii="Arial" w:eastAsia="Calibri" w:hAnsi="Arial" w:cs="Arial"/>
          <w:sz w:val="24"/>
          <w:szCs w:val="24"/>
          <w:lang w:val="es-ES" w:eastAsia="en-US"/>
        </w:rPr>
        <w:t>. Los Entes Públicos</w:t>
      </w:r>
      <w:r w:rsidRPr="001876E4">
        <w:rPr>
          <w:rFonts w:ascii="Arial" w:eastAsia="Times New Roman" w:hAnsi="Arial" w:cs="Arial"/>
          <w:sz w:val="24"/>
          <w:szCs w:val="24"/>
        </w:rPr>
        <w:t xml:space="preserve"> </w:t>
      </w:r>
      <w:r w:rsidRPr="001876E4">
        <w:rPr>
          <w:rFonts w:ascii="Arial" w:eastAsia="Calibri" w:hAnsi="Arial" w:cs="Arial"/>
          <w:sz w:val="24"/>
          <w:szCs w:val="24"/>
          <w:lang w:val="es-ES" w:eastAsia="en-US"/>
        </w:rPr>
        <w:t xml:space="preserve">deberán sujetarse a los montos autorizados, y observar los criterios señalados en los artículos 55, 56 y 57 y 58 del presente Decreto; por consiguiente, no deberán adquirir compromisos distintos a los estipulados en el Presupuesto Aprobado. </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72</w:t>
      </w:r>
      <w:r w:rsidRPr="001876E4">
        <w:rPr>
          <w:rFonts w:ascii="Arial" w:eastAsia="Calibri" w:hAnsi="Arial" w:cs="Arial"/>
          <w:sz w:val="24"/>
          <w:szCs w:val="24"/>
          <w:lang w:val="es-ES" w:eastAsia="en-US"/>
        </w:rPr>
        <w:t>. En apego a lo estipulado al artículo 43 de la Ley Estatal de Obras Públicas, los montos máximos de contratación de obra pública serán los siguientes: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68. Montos Máximos de Contratación de Obra Pública</w:t>
      </w:r>
    </w:p>
    <w:tbl>
      <w:tblPr>
        <w:tblStyle w:val="Tablaconcuadrcula2"/>
        <w:tblW w:w="0" w:type="auto"/>
        <w:tblInd w:w="108" w:type="dxa"/>
        <w:tblLook w:val="04A0" w:firstRow="1" w:lastRow="0" w:firstColumn="1" w:lastColumn="0" w:noHBand="0" w:noVBand="1"/>
      </w:tblPr>
      <w:tblGrid>
        <w:gridCol w:w="2694"/>
        <w:gridCol w:w="3402"/>
        <w:gridCol w:w="2516"/>
      </w:tblGrid>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8"/>
              </w:rPr>
            </w:pPr>
            <w:r w:rsidRPr="001876E4">
              <w:rPr>
                <w:rFonts w:ascii="Arial" w:hAnsi="Arial" w:cs="Arial"/>
                <w:b/>
                <w:bCs/>
                <w:sz w:val="18"/>
              </w:rPr>
              <w:t>Procedimiento</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8"/>
              </w:rPr>
            </w:pPr>
            <w:r w:rsidRPr="001876E4">
              <w:rPr>
                <w:rFonts w:ascii="Arial" w:hAnsi="Arial" w:cs="Arial"/>
                <w:b/>
                <w:bCs/>
                <w:sz w:val="18"/>
              </w:rPr>
              <w:t>Hipótesis</w:t>
            </w:r>
          </w:p>
        </w:tc>
        <w:tc>
          <w:tcPr>
            <w:tcW w:w="25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8"/>
              </w:rPr>
            </w:pPr>
            <w:r w:rsidRPr="001876E4">
              <w:rPr>
                <w:rFonts w:ascii="Arial" w:hAnsi="Arial" w:cs="Arial"/>
                <w:b/>
                <w:bCs/>
                <w:sz w:val="18"/>
              </w:rPr>
              <w:t>Total</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Adjudicación Directa.</w:t>
            </w:r>
          </w:p>
        </w:tc>
        <w:tc>
          <w:tcPr>
            <w:tcW w:w="340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rPr>
            </w:pPr>
            <w:r w:rsidRPr="001876E4">
              <w:rPr>
                <w:rFonts w:ascii="Arial" w:hAnsi="Arial" w:cs="Arial"/>
                <w:sz w:val="18"/>
              </w:rPr>
              <w:t>Si el monto total de la obra no excede de diez mil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rPr>
            </w:pPr>
            <w:r w:rsidRPr="001876E4">
              <w:rPr>
                <w:rFonts w:ascii="Arial" w:hAnsi="Arial" w:cs="Arial"/>
                <w:sz w:val="18"/>
              </w:rPr>
              <w:t>De $0 hasta $754,900.00.</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lastRenderedPageBreak/>
              <w:t>Adjudicación Directa con tres cotizaciones y visto bueno del Comité de Adquisiciones.</w:t>
            </w:r>
          </w:p>
        </w:tc>
        <w:tc>
          <w:tcPr>
            <w:tcW w:w="340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rPr>
            </w:pPr>
            <w:r w:rsidRPr="001876E4">
              <w:rPr>
                <w:rFonts w:ascii="Arial" w:hAnsi="Arial" w:cs="Arial"/>
                <w:sz w:val="18"/>
              </w:rPr>
              <w:t>Si el importe de la obra supera de diez mil unidades pero no excede de veinte mil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rPr>
            </w:pPr>
            <w:r w:rsidRPr="001876E4">
              <w:rPr>
                <w:rFonts w:ascii="Arial" w:hAnsi="Arial" w:cs="Arial"/>
                <w:sz w:val="18"/>
              </w:rPr>
              <w:t xml:space="preserve">De $754,900.01 hasta $1,509,800.00  </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Licitación Pública Nacional.</w:t>
            </w:r>
          </w:p>
        </w:tc>
        <w:tc>
          <w:tcPr>
            <w:tcW w:w="340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rPr>
                <w:rFonts w:ascii="Arial" w:hAnsi="Arial" w:cs="Arial"/>
                <w:sz w:val="18"/>
              </w:rPr>
            </w:pPr>
            <w:r w:rsidRPr="001876E4">
              <w:rPr>
                <w:rFonts w:ascii="Arial" w:hAnsi="Arial" w:cs="Arial"/>
                <w:sz w:val="18"/>
              </w:rPr>
              <w:t>Si el importe de la obra supera los veinte mil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sz w:val="18"/>
              </w:rPr>
            </w:pPr>
            <w:r w:rsidRPr="001876E4">
              <w:rPr>
                <w:rFonts w:ascii="Arial" w:hAnsi="Arial" w:cs="Arial"/>
                <w:sz w:val="18"/>
              </w:rPr>
              <w:t>De $1,509,800.01 en adelante.</w:t>
            </w:r>
          </w:p>
        </w:tc>
      </w:tr>
    </w:tbl>
    <w:p w:rsidR="001876E4" w:rsidRPr="001876E4" w:rsidRDefault="001876E4" w:rsidP="001876E4">
      <w:pPr>
        <w:spacing w:after="0" w:line="240" w:lineRule="auto"/>
        <w:ind w:left="142" w:right="191"/>
        <w:jc w:val="both"/>
        <w:rPr>
          <w:rFonts w:ascii="Arial" w:eastAsia="Calibri" w:hAnsi="Arial" w:cs="Arial"/>
          <w:sz w:val="20"/>
          <w:szCs w:val="24"/>
          <w:lang w:val="es-ES" w:eastAsia="en-US"/>
        </w:rPr>
      </w:pPr>
      <w:r w:rsidRPr="001876E4">
        <w:rPr>
          <w:rFonts w:ascii="Arial" w:eastAsia="Calibri" w:hAnsi="Arial" w:cs="Arial"/>
          <w:b/>
          <w:sz w:val="20"/>
          <w:szCs w:val="24"/>
          <w:lang w:val="es-ES" w:eastAsia="en-US"/>
        </w:rPr>
        <w:t>Nota</w:t>
      </w:r>
      <w:r w:rsidRPr="001876E4">
        <w:rPr>
          <w:rFonts w:ascii="Arial" w:eastAsia="Calibri" w:hAnsi="Arial" w:cs="Arial"/>
          <w:sz w:val="20"/>
          <w:szCs w:val="24"/>
          <w:lang w:val="es-ES" w:eastAsia="en-US"/>
        </w:rPr>
        <w:t xml:space="preserve">: El valor de la </w:t>
      </w:r>
      <w:r w:rsidRPr="001876E4">
        <w:rPr>
          <w:rFonts w:ascii="Arial" w:hAnsi="Arial" w:cs="Arial"/>
          <w:sz w:val="18"/>
        </w:rPr>
        <w:t>Unidades de Medida y Actualización (UMA) corresponde a 2017, que es de $ 75.49 valor diario. Esta tabla se deberá actualizar con base en el valor para 2018 de la UMA.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Los montos anteriormente citados serán sin considerar el Impuesto al Valor Agregado.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Cuando se ejecuten programas en los que se ejerzan asignaciones presupuestales federales, se deberán apegar a la normatividad aplicable o a la que se pacte en los Acuerdos o Convenios respectivos.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Cuando se aplique la normatividad federal en la contratación de obra pública o servicios relacionados con la misma, financiados con cargo a recursos federales convenidos, se estará al rango que determine dicha normativa, conforme al monto de los recursos recibidos en su totalidad por el Estado.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73</w:t>
      </w:r>
      <w:r w:rsidRPr="001876E4">
        <w:rPr>
          <w:rFonts w:ascii="Arial" w:eastAsia="Calibri" w:hAnsi="Arial" w:cs="Arial"/>
          <w:sz w:val="24"/>
          <w:szCs w:val="24"/>
          <w:lang w:val="es-ES" w:eastAsia="en-US"/>
        </w:rPr>
        <w:t xml:space="preserve">. En apego a lo establecido en el artículo 20 de la </w:t>
      </w:r>
      <w:r w:rsidRPr="001876E4">
        <w:rPr>
          <w:rFonts w:ascii="Arial" w:eastAsia="Calibri" w:hAnsi="Arial" w:cs="Arial"/>
          <w:sz w:val="24"/>
          <w:szCs w:val="24"/>
          <w:lang w:eastAsia="en-US"/>
        </w:rPr>
        <w:t>Ley de Adquisiciones, Arrendamientos y Servicios del Sector Público del Estado de Colima</w:t>
      </w:r>
      <w:r w:rsidRPr="001876E4">
        <w:rPr>
          <w:rFonts w:ascii="Arial" w:eastAsia="Calibri" w:hAnsi="Arial" w:cs="Arial"/>
          <w:sz w:val="24"/>
          <w:szCs w:val="24"/>
          <w:lang w:val="es-ES" w:eastAsia="en-US"/>
        </w:rPr>
        <w:t xml:space="preserve">, la planeación, programación, presupuestación y el gasto de las adquisiciones, arrendamientos y servicios se sujetará a las disposiciones específicas del Presupuesto de Egresos que corresponda a cada ente gubernamental, así como a lo previsto en la </w:t>
      </w:r>
      <w:r w:rsidRPr="001876E4">
        <w:rPr>
          <w:rFonts w:ascii="Arial" w:eastAsia="Calibri" w:hAnsi="Arial" w:cs="Arial"/>
          <w:sz w:val="24"/>
          <w:szCs w:val="24"/>
          <w:lang w:eastAsia="en-US"/>
        </w:rPr>
        <w:t>Ley de Presupuesto</w:t>
      </w:r>
      <w:r w:rsidRPr="001876E4">
        <w:rPr>
          <w:rFonts w:ascii="Arial" w:eastAsia="Calibri" w:hAnsi="Arial" w:cs="Arial"/>
          <w:sz w:val="24"/>
          <w:szCs w:val="24"/>
          <w:lang w:val="es-ES" w:eastAsia="en-US"/>
        </w:rPr>
        <w:t>, la Ley de Disciplina Financiera, y demás disposiciones aplicables.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74</w:t>
      </w:r>
      <w:r w:rsidRPr="001876E4">
        <w:rPr>
          <w:rFonts w:ascii="Arial" w:eastAsia="Calibri" w:hAnsi="Arial" w:cs="Arial"/>
          <w:sz w:val="24"/>
          <w:szCs w:val="24"/>
          <w:lang w:val="es-ES" w:eastAsia="en-US"/>
        </w:rPr>
        <w:t xml:space="preserve">. Las </w:t>
      </w:r>
      <w:r w:rsidRPr="001876E4">
        <w:rPr>
          <w:rFonts w:ascii="Arial" w:eastAsia="Times New Roman" w:hAnsi="Arial" w:cs="Arial"/>
          <w:sz w:val="24"/>
          <w:szCs w:val="24"/>
        </w:rPr>
        <w:t xml:space="preserve">Dependencias de la Administración Pública Centralizada y Entidades de la Administración Pública Paraestatal </w:t>
      </w:r>
      <w:r w:rsidRPr="001876E4">
        <w:rPr>
          <w:rFonts w:ascii="Arial" w:eastAsia="Calibri" w:hAnsi="Arial" w:cs="Arial"/>
          <w:sz w:val="24"/>
          <w:szCs w:val="24"/>
          <w:lang w:val="es-ES" w:eastAsia="en-US"/>
        </w:rPr>
        <w:t>podrán convocar, adjudicar o contratar adquisiciones, servicios y arrendamientos solamente cuando se cuente con la autorización global o específica, por parte de la Secretaría, y de los órganos similares en las entidades; en su caso, del presupuesto de inversión y de gasto corriente, conforme a los cuales deberán programarse los pagos respectivos.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En atención a lo dispuesto por el artículo 46 de la </w:t>
      </w:r>
      <w:r w:rsidRPr="001876E4">
        <w:rPr>
          <w:rFonts w:ascii="Arial" w:eastAsia="Calibri" w:hAnsi="Arial" w:cs="Arial"/>
          <w:sz w:val="24"/>
          <w:szCs w:val="24"/>
          <w:lang w:eastAsia="en-US"/>
        </w:rPr>
        <w:t>Ley de Adquisiciones, Arrendamientos y Servicios del Sector Público del Estado de Colima</w:t>
      </w:r>
      <w:r w:rsidRPr="001876E4">
        <w:rPr>
          <w:rFonts w:ascii="Arial" w:eastAsia="Calibri" w:hAnsi="Arial" w:cs="Arial"/>
          <w:sz w:val="24"/>
          <w:szCs w:val="24"/>
          <w:lang w:val="es-ES" w:eastAsia="en-US"/>
        </w:rPr>
        <w:t xml:space="preserve">, los montos máximos de actuación para adquisiciones en sus modalidades de: Adjudicación Directa, Adjudicación Directa con tres cotizaciones y visto bueno del Comité de Adquisiciones, de Invitación Restringida con participación del Comité de Adquisiciones, y Licitación Pública Nacional; los montos máximos de actuación para </w:t>
      </w:r>
      <w:r w:rsidRPr="001876E4">
        <w:rPr>
          <w:rFonts w:ascii="Arial" w:eastAsia="Calibri" w:hAnsi="Arial" w:cs="Arial"/>
          <w:sz w:val="24"/>
          <w:szCs w:val="24"/>
          <w:lang w:val="es-ES" w:eastAsia="en-US"/>
        </w:rPr>
        <w:lastRenderedPageBreak/>
        <w:t xml:space="preserve">adquisiciones a los que deberán sujetarse las </w:t>
      </w:r>
      <w:r w:rsidRPr="001876E4">
        <w:rPr>
          <w:rFonts w:ascii="Arial" w:eastAsia="Times New Roman" w:hAnsi="Arial" w:cs="Arial"/>
          <w:sz w:val="24"/>
          <w:szCs w:val="24"/>
        </w:rPr>
        <w:t>Dependencias de la Administración Pública Centralizada y Entidades de la Administración Pública Paraestatal, serán</w:t>
      </w:r>
      <w:r w:rsidRPr="001876E4">
        <w:rPr>
          <w:rFonts w:ascii="Arial" w:eastAsia="Calibri" w:hAnsi="Arial" w:cs="Arial"/>
          <w:sz w:val="24"/>
          <w:szCs w:val="24"/>
          <w:lang w:val="es-ES" w:eastAsia="en-US"/>
        </w:rPr>
        <w:t>:</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69. Montos Máximos de Actuación para Adquisiciones</w:t>
      </w:r>
    </w:p>
    <w:tbl>
      <w:tblPr>
        <w:tblStyle w:val="Tablaconcuadrcula2"/>
        <w:tblW w:w="0" w:type="auto"/>
        <w:tblInd w:w="108" w:type="dxa"/>
        <w:tblLook w:val="04A0" w:firstRow="1" w:lastRow="0" w:firstColumn="1" w:lastColumn="0" w:noHBand="0" w:noVBand="1"/>
      </w:tblPr>
      <w:tblGrid>
        <w:gridCol w:w="2694"/>
        <w:gridCol w:w="3402"/>
        <w:gridCol w:w="2516"/>
      </w:tblGrid>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8"/>
              </w:rPr>
            </w:pPr>
            <w:r w:rsidRPr="001876E4">
              <w:rPr>
                <w:rFonts w:ascii="Arial" w:hAnsi="Arial" w:cs="Arial"/>
                <w:sz w:val="18"/>
              </w:rPr>
              <w:t xml:space="preserve"> </w:t>
            </w:r>
            <w:r w:rsidRPr="001876E4">
              <w:rPr>
                <w:rFonts w:ascii="Arial" w:hAnsi="Arial" w:cs="Arial"/>
                <w:b/>
                <w:bCs/>
                <w:sz w:val="18"/>
              </w:rPr>
              <w:t>Procedimiento</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bCs/>
                <w:sz w:val="18"/>
              </w:rPr>
            </w:pPr>
            <w:r w:rsidRPr="001876E4">
              <w:rPr>
                <w:rFonts w:ascii="Arial" w:hAnsi="Arial" w:cs="Arial"/>
                <w:b/>
                <w:bCs/>
                <w:sz w:val="18"/>
              </w:rPr>
              <w:t>Hipótesis</w:t>
            </w:r>
          </w:p>
        </w:tc>
        <w:tc>
          <w:tcPr>
            <w:tcW w:w="2516"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jc w:val="center"/>
              <w:rPr>
                <w:rFonts w:ascii="Arial" w:hAnsi="Arial" w:cs="Arial"/>
                <w:b/>
                <w:bCs/>
                <w:sz w:val="18"/>
              </w:rPr>
            </w:pPr>
            <w:r w:rsidRPr="001876E4">
              <w:rPr>
                <w:rFonts w:ascii="Arial" w:hAnsi="Arial" w:cs="Arial"/>
                <w:b/>
                <w:bCs/>
                <w:sz w:val="18"/>
              </w:rPr>
              <w:t>Total</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Adjudicación Directa.</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Cuando el monto de la operación no exceda de 100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sz w:val="18"/>
              </w:rPr>
            </w:pPr>
            <w:r w:rsidRPr="001876E4">
              <w:rPr>
                <w:rFonts w:ascii="Arial" w:hAnsi="Arial" w:cs="Arial"/>
                <w:sz w:val="18"/>
              </w:rPr>
              <w:t>De $0 hasta $7,549.00.</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Adjudicación Directa con tres cotizaciones y visto bueno del Comité de Adquisiciones.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Cuando el monto de cada operación sea superior a 101 y hasta 850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sz w:val="18"/>
              </w:rPr>
            </w:pPr>
            <w:r w:rsidRPr="001876E4">
              <w:rPr>
                <w:rFonts w:ascii="Arial" w:hAnsi="Arial" w:cs="Arial"/>
                <w:sz w:val="18"/>
              </w:rPr>
              <w:t>De $7,549.01 hasta $64,166.50.</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Invitación Restringida, con participación del Comité de Adquisiciones correspondiente.</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Cuando el monto de cada operación sea superior a 851 y hasta 11,150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sz w:val="18"/>
              </w:rPr>
            </w:pPr>
            <w:r w:rsidRPr="001876E4">
              <w:rPr>
                <w:rFonts w:ascii="Arial" w:hAnsi="Arial" w:cs="Arial"/>
                <w:sz w:val="18"/>
              </w:rPr>
              <w:t>De $64,166.51 hasta $841,713.50.</w:t>
            </w:r>
          </w:p>
        </w:tc>
      </w:tr>
      <w:tr w:rsidR="001876E4" w:rsidRPr="001876E4" w:rsidTr="00947D11">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Licitación Pública Nacional.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rPr>
                <w:rFonts w:ascii="Arial" w:hAnsi="Arial" w:cs="Arial"/>
                <w:sz w:val="18"/>
              </w:rPr>
            </w:pPr>
            <w:r w:rsidRPr="001876E4">
              <w:rPr>
                <w:rFonts w:ascii="Arial" w:hAnsi="Arial" w:cs="Arial"/>
                <w:sz w:val="18"/>
              </w:rPr>
              <w:t>Superior a 11,150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right"/>
              <w:rPr>
                <w:rFonts w:ascii="Arial" w:hAnsi="Arial" w:cs="Arial"/>
                <w:sz w:val="18"/>
              </w:rPr>
            </w:pPr>
            <w:r w:rsidRPr="001876E4">
              <w:rPr>
                <w:rFonts w:ascii="Arial" w:hAnsi="Arial" w:cs="Arial"/>
                <w:sz w:val="18"/>
              </w:rPr>
              <w:t>De $841,713.51 en adelante.</w:t>
            </w:r>
          </w:p>
        </w:tc>
      </w:tr>
    </w:tbl>
    <w:p w:rsidR="001876E4" w:rsidRPr="001876E4" w:rsidRDefault="001876E4" w:rsidP="001876E4">
      <w:pPr>
        <w:spacing w:after="0" w:line="240" w:lineRule="auto"/>
        <w:ind w:left="142" w:right="191"/>
        <w:jc w:val="both"/>
        <w:rPr>
          <w:rFonts w:ascii="Arial" w:eastAsia="Calibri" w:hAnsi="Arial" w:cs="Arial"/>
          <w:sz w:val="20"/>
          <w:szCs w:val="24"/>
          <w:lang w:val="es-ES" w:eastAsia="en-US"/>
        </w:rPr>
      </w:pPr>
      <w:r w:rsidRPr="001876E4">
        <w:rPr>
          <w:rFonts w:ascii="Arial" w:eastAsia="Calibri" w:hAnsi="Arial" w:cs="Arial"/>
          <w:b/>
          <w:sz w:val="20"/>
          <w:szCs w:val="24"/>
          <w:lang w:val="es-ES" w:eastAsia="en-US"/>
        </w:rPr>
        <w:t>Nota</w:t>
      </w:r>
      <w:r w:rsidRPr="001876E4">
        <w:rPr>
          <w:rFonts w:ascii="Arial" w:eastAsia="Calibri" w:hAnsi="Arial" w:cs="Arial"/>
          <w:sz w:val="20"/>
          <w:szCs w:val="24"/>
          <w:lang w:val="es-ES" w:eastAsia="en-US"/>
        </w:rPr>
        <w:t xml:space="preserve">: El valor de la </w:t>
      </w:r>
      <w:r w:rsidRPr="001876E4">
        <w:rPr>
          <w:rFonts w:ascii="Arial" w:hAnsi="Arial" w:cs="Arial"/>
          <w:sz w:val="18"/>
        </w:rPr>
        <w:t>Unidades de Medida y Actualización (UMA) corresponde a 2017, que es de $ 75.49 valor diario. Esta tabla se deberá actualizar con base en el valor para 2018 de la UMA.</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75</w:t>
      </w:r>
      <w:r w:rsidRPr="001876E4">
        <w:rPr>
          <w:rFonts w:ascii="Arial" w:eastAsia="Calibri" w:hAnsi="Arial" w:cs="Arial"/>
          <w:sz w:val="24"/>
          <w:szCs w:val="24"/>
          <w:lang w:val="es-ES" w:eastAsia="en-US"/>
        </w:rPr>
        <w:t xml:space="preserve">. Las operaciones de adquisiciones, arrendamientos y contratación de servicios que realicen los Entes Públicos, se llevarán a cabo con estricto apego a las disposiciones previstas en la </w:t>
      </w:r>
      <w:r w:rsidRPr="001876E4">
        <w:rPr>
          <w:rFonts w:ascii="Arial" w:eastAsia="Calibri" w:hAnsi="Arial" w:cs="Arial"/>
          <w:sz w:val="24"/>
          <w:szCs w:val="24"/>
          <w:lang w:eastAsia="en-US"/>
        </w:rPr>
        <w:t>Ley de Adquisiciones, Arrendamientos y Servicios del Sector Público del Estado de Colima</w:t>
      </w:r>
      <w:r w:rsidRPr="001876E4">
        <w:rPr>
          <w:rFonts w:ascii="Arial" w:eastAsia="Calibri" w:hAnsi="Arial" w:cs="Arial"/>
          <w:sz w:val="24"/>
          <w:szCs w:val="24"/>
          <w:lang w:val="es-ES" w:eastAsia="en-US"/>
        </w:rPr>
        <w:t>.</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Cuando en las operaciones referidas se ejerzan recursos federales, se deberá estar a la normatividad aplicable o a la que se pacte en los convenios o instrumentos jurídicos respectivos.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ind w:left="708" w:hanging="708"/>
        <w:jc w:val="center"/>
        <w:outlineLvl w:val="0"/>
        <w:rPr>
          <w:rFonts w:ascii="Arial" w:eastAsia="Times New Roman" w:hAnsi="Arial" w:cs="Arial"/>
          <w:b/>
          <w:sz w:val="24"/>
          <w:szCs w:val="32"/>
          <w:lang w:val="es-ES" w:eastAsia="en-US"/>
        </w:rPr>
      </w:pPr>
      <w:bookmarkStart w:id="30" w:name="_Toc465292961"/>
      <w:bookmarkStart w:id="31" w:name="_Toc465292889"/>
      <w:r w:rsidRPr="001876E4">
        <w:rPr>
          <w:rFonts w:ascii="Arial" w:eastAsia="Times New Roman" w:hAnsi="Arial" w:cs="Arial"/>
          <w:b/>
          <w:sz w:val="24"/>
          <w:szCs w:val="32"/>
          <w:lang w:val="es-ES" w:eastAsia="en-US"/>
        </w:rPr>
        <w:t>TÍTULO CUARTO</w:t>
      </w:r>
    </w:p>
    <w:p w:rsidR="001876E4" w:rsidRPr="001876E4" w:rsidRDefault="001876E4" w:rsidP="001876E4">
      <w:pPr>
        <w:keepNext/>
        <w:keepLines/>
        <w:spacing w:after="0" w:line="240" w:lineRule="auto"/>
        <w:ind w:left="708" w:hanging="708"/>
        <w:jc w:val="center"/>
        <w:outlineLvl w:val="0"/>
        <w:rPr>
          <w:rFonts w:ascii="Arial" w:eastAsia="Times New Roman" w:hAnsi="Arial" w:cs="Arial"/>
          <w:b/>
          <w:sz w:val="24"/>
          <w:szCs w:val="32"/>
          <w:lang w:val="es-ES" w:eastAsia="en-US"/>
        </w:rPr>
      </w:pPr>
      <w:r w:rsidRPr="001876E4">
        <w:rPr>
          <w:rFonts w:ascii="Arial" w:eastAsia="Times New Roman" w:hAnsi="Arial" w:cs="Arial"/>
          <w:b/>
          <w:sz w:val="24"/>
          <w:szCs w:val="32"/>
          <w:lang w:val="es-ES" w:eastAsia="en-US"/>
        </w:rPr>
        <w:t>DEL PRESUPUESTO BASADO EN RESULTADOS</w:t>
      </w:r>
      <w:bookmarkEnd w:id="30"/>
      <w:bookmarkEnd w:id="31"/>
    </w:p>
    <w:p w:rsidR="001876E4" w:rsidRPr="001876E4" w:rsidRDefault="001876E4" w:rsidP="001876E4">
      <w:pPr>
        <w:spacing w:after="0" w:line="240" w:lineRule="auto"/>
        <w:rPr>
          <w:rFonts w:ascii="Arial" w:eastAsia="Times New Roman" w:hAnsi="Arial"/>
          <w:sz w:val="24"/>
          <w:lang w:val="es-ES" w:eastAsia="en-US"/>
        </w:rPr>
      </w:pPr>
      <w:bookmarkStart w:id="32" w:name="_Toc465292962"/>
      <w:bookmarkStart w:id="33" w:name="_Toc465292890"/>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CAPÍTULO I</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DISPOSICIONES GENERALES</w:t>
      </w:r>
      <w:bookmarkEnd w:id="32"/>
      <w:bookmarkEnd w:id="33"/>
    </w:p>
    <w:p w:rsidR="001876E4" w:rsidRPr="001876E4" w:rsidRDefault="001876E4" w:rsidP="001876E4">
      <w:pPr>
        <w:spacing w:after="0" w:line="240" w:lineRule="auto"/>
        <w:jc w:val="center"/>
        <w:rPr>
          <w:rFonts w:ascii="Arial" w:eastAsia="Calibri" w:hAnsi="Arial" w:cs="Arial"/>
          <w:b/>
          <w:bCs/>
          <w:sz w:val="24"/>
          <w:szCs w:val="24"/>
        </w:rPr>
      </w:pPr>
    </w:p>
    <w:p w:rsidR="001876E4" w:rsidRPr="001876E4" w:rsidRDefault="001876E4" w:rsidP="001876E4">
      <w:pPr>
        <w:spacing w:after="0" w:line="240" w:lineRule="auto"/>
        <w:jc w:val="both"/>
        <w:rPr>
          <w:rFonts w:ascii="Arial" w:eastAsia="Calibri" w:hAnsi="Arial" w:cs="Arial"/>
          <w:b/>
          <w:bCs/>
          <w:sz w:val="24"/>
          <w:szCs w:val="24"/>
        </w:rPr>
      </w:pPr>
    </w:p>
    <w:p w:rsidR="001876E4" w:rsidRPr="001876E4" w:rsidRDefault="001876E4" w:rsidP="001876E4">
      <w:pPr>
        <w:spacing w:after="0" w:line="240" w:lineRule="auto"/>
        <w:jc w:val="both"/>
        <w:rPr>
          <w:rFonts w:ascii="Arial" w:eastAsia="Calibri" w:hAnsi="Arial" w:cs="Arial"/>
          <w:sz w:val="24"/>
          <w:szCs w:val="24"/>
        </w:rPr>
      </w:pPr>
      <w:r w:rsidRPr="001876E4">
        <w:rPr>
          <w:rFonts w:ascii="Arial" w:eastAsia="Calibri" w:hAnsi="Arial" w:cs="Arial"/>
          <w:b/>
          <w:bCs/>
          <w:sz w:val="24"/>
          <w:szCs w:val="24"/>
        </w:rPr>
        <w:t xml:space="preserve">Artículo 76. </w:t>
      </w:r>
      <w:r w:rsidRPr="001876E4">
        <w:rPr>
          <w:rFonts w:ascii="Arial" w:eastAsia="Calibri" w:hAnsi="Arial" w:cs="Arial"/>
          <w:sz w:val="24"/>
          <w:szCs w:val="24"/>
        </w:rPr>
        <w:t>El Presupuesto de Egresos para el Ejercicio Fiscal 2018 está orientado a satisfacer las necesidades sociales de interés colectivo, atendiendo a las prioridades y se distribuye de la siguiente manera:</w:t>
      </w:r>
    </w:p>
    <w:p w:rsidR="001876E4" w:rsidRPr="001876E4" w:rsidRDefault="001876E4" w:rsidP="001876E4">
      <w:pPr>
        <w:spacing w:after="0" w:line="240" w:lineRule="auto"/>
        <w:jc w:val="both"/>
        <w:rPr>
          <w:rFonts w:ascii="Arial" w:eastAsia="Calibri" w:hAnsi="Arial" w:cs="Arial"/>
          <w:sz w:val="24"/>
          <w:szCs w:val="24"/>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lastRenderedPageBreak/>
        <w:t>Tabla 70. Ejes Estratégicos del Plan Estatal</w:t>
      </w:r>
    </w:p>
    <w:tbl>
      <w:tblPr>
        <w:tblStyle w:val="Tablaconcuadrcula2"/>
        <w:tblW w:w="0" w:type="auto"/>
        <w:jc w:val="center"/>
        <w:tblLook w:val="04A0" w:firstRow="1" w:lastRow="0" w:firstColumn="1" w:lastColumn="0" w:noHBand="0" w:noVBand="1"/>
      </w:tblPr>
      <w:tblGrid>
        <w:gridCol w:w="497"/>
        <w:gridCol w:w="5866"/>
        <w:gridCol w:w="2052"/>
      </w:tblGrid>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center"/>
              <w:rPr>
                <w:rFonts w:ascii="Arial" w:hAnsi="Arial" w:cs="Arial"/>
                <w:b/>
                <w:sz w:val="20"/>
                <w:szCs w:val="20"/>
              </w:rPr>
            </w:pP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Eje de Política del Plan Estatal</w:t>
            </w:r>
          </w:p>
        </w:tc>
        <w:tc>
          <w:tcPr>
            <w:tcW w:w="2052"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Asignación Presupuestal</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I</w:t>
            </w: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Colima Competitivo</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1,414,758,695</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II</w:t>
            </w: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Colima con Mayor Calidad de Vida</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9,267,186,207</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III</w:t>
            </w: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Colima Seguro</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1,714,982,607</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IV</w:t>
            </w: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Transversal I. Colima con un Gobierno Moderno, Efectivo y Transparente</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4,155,356,388</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V</w:t>
            </w: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Transversal II. Colima por la Igualdad</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66,610,217</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sz w:val="20"/>
                <w:szCs w:val="20"/>
              </w:rPr>
            </w:pPr>
            <w:r w:rsidRPr="001876E4">
              <w:rPr>
                <w:rFonts w:ascii="Arial" w:hAnsi="Arial" w:cs="Arial"/>
                <w:sz w:val="20"/>
                <w:szCs w:val="20"/>
              </w:rPr>
              <w:t>VI</w:t>
            </w: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both"/>
              <w:rPr>
                <w:rFonts w:ascii="Arial" w:hAnsi="Arial" w:cs="Arial"/>
                <w:sz w:val="20"/>
                <w:szCs w:val="20"/>
              </w:rPr>
            </w:pPr>
            <w:r w:rsidRPr="001876E4">
              <w:rPr>
                <w:rFonts w:ascii="Arial" w:hAnsi="Arial" w:cs="Arial"/>
                <w:sz w:val="20"/>
                <w:szCs w:val="20"/>
              </w:rPr>
              <w:t>Transversal III. Colima Sustentable</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color w:val="000000"/>
                <w:sz w:val="20"/>
                <w:szCs w:val="20"/>
              </w:rPr>
            </w:pPr>
            <w:r w:rsidRPr="001876E4">
              <w:rPr>
                <w:rFonts w:ascii="Arial" w:hAnsi="Arial" w:cs="Arial"/>
                <w:color w:val="000000"/>
                <w:sz w:val="20"/>
                <w:szCs w:val="20"/>
              </w:rPr>
              <w:t>111,476,886</w:t>
            </w:r>
          </w:p>
        </w:tc>
      </w:tr>
      <w:tr w:rsidR="001876E4" w:rsidRPr="001876E4" w:rsidTr="00947D1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1876E4" w:rsidRPr="001876E4" w:rsidRDefault="001876E4" w:rsidP="001876E4">
            <w:pPr>
              <w:jc w:val="center"/>
              <w:rPr>
                <w:rFonts w:ascii="Arial" w:hAnsi="Arial" w:cs="Arial"/>
                <w:b/>
                <w:sz w:val="20"/>
                <w:szCs w:val="20"/>
              </w:rPr>
            </w:pPr>
          </w:p>
        </w:tc>
        <w:tc>
          <w:tcPr>
            <w:tcW w:w="5866" w:type="dxa"/>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jc w:val="center"/>
              <w:rPr>
                <w:rFonts w:ascii="Arial" w:hAnsi="Arial" w:cs="Arial"/>
                <w:b/>
                <w:sz w:val="20"/>
                <w:szCs w:val="20"/>
              </w:rPr>
            </w:pPr>
            <w:r w:rsidRPr="001876E4">
              <w:rPr>
                <w:rFonts w:ascii="Arial" w:hAnsi="Arial" w:cs="Arial"/>
                <w:b/>
                <w:sz w:val="20"/>
                <w:szCs w:val="20"/>
              </w:rPr>
              <w:t>Total</w:t>
            </w:r>
          </w:p>
        </w:tc>
        <w:tc>
          <w:tcPr>
            <w:tcW w:w="2052" w:type="dxa"/>
            <w:tcBorders>
              <w:top w:val="single" w:sz="4" w:space="0" w:color="auto"/>
              <w:left w:val="single" w:sz="4" w:space="0" w:color="auto"/>
              <w:bottom w:val="single" w:sz="4" w:space="0" w:color="auto"/>
              <w:right w:val="single" w:sz="4" w:space="0" w:color="auto"/>
            </w:tcBorders>
            <w:vAlign w:val="center"/>
          </w:tcPr>
          <w:p w:rsidR="001876E4" w:rsidRPr="001876E4" w:rsidRDefault="001876E4" w:rsidP="001876E4">
            <w:pPr>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Arial"/>
          <w:sz w:val="24"/>
          <w:szCs w:val="24"/>
          <w:lang w:val="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71. Líneas de Política del Plan Estatal</w:t>
      </w:r>
    </w:p>
    <w:tbl>
      <w:tblPr>
        <w:tblW w:w="83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6237"/>
        <w:gridCol w:w="1392"/>
      </w:tblGrid>
      <w:tr w:rsidR="001876E4" w:rsidRPr="001876E4" w:rsidTr="00947D11">
        <w:trPr>
          <w:trHeight w:val="49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Clave</w:t>
            </w:r>
          </w:p>
        </w:tc>
        <w:tc>
          <w:tcPr>
            <w:tcW w:w="6237"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Líneas de Política del PED</w:t>
            </w:r>
          </w:p>
        </w:tc>
        <w:tc>
          <w:tcPr>
            <w:tcW w:w="1392" w:type="dxa"/>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Asignación Presupuestal</w:t>
            </w:r>
          </w:p>
        </w:tc>
      </w:tr>
      <w:tr w:rsidR="001876E4" w:rsidRPr="001876E4" w:rsidTr="00947D11">
        <w:trPr>
          <w:trHeight w:val="706"/>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1.1</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Mejorar la competitividad y productividad de la economía colimense para atraer más inversiones, generar más empleos y mejorar los salarios en el estado.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51,132,003</w:t>
            </w:r>
          </w:p>
        </w:tc>
      </w:tr>
      <w:tr w:rsidR="001876E4" w:rsidRPr="001876E4" w:rsidTr="00947D11">
        <w:trPr>
          <w:trHeight w:val="49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1.2</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Fomentar la creación, el crecimiento y la consolidación de empresas en el estado.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67,265,633</w:t>
            </w:r>
          </w:p>
        </w:tc>
      </w:tr>
      <w:tr w:rsidR="001876E4" w:rsidRPr="001876E4" w:rsidTr="00947D11">
        <w:trPr>
          <w:trHeight w:val="749"/>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1.3</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Desarrollar nueva infraestructura, para mejorar conectividad y la competitividad del estado e impulsar un mayor crecimiento económico, en equilibrio con el medio ambiente.</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161,980,024</w:t>
            </w:r>
          </w:p>
        </w:tc>
      </w:tr>
      <w:tr w:rsidR="001876E4" w:rsidRPr="001876E4" w:rsidTr="00947D11">
        <w:trPr>
          <w:trHeight w:val="828"/>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1.4</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Impulsar la conformación de un sector turístico más rentable por medio de la innovación, la profesionalización y el adecuado aprovechamiento de los recursos naturales y culturales.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238,788,265</w:t>
            </w:r>
          </w:p>
        </w:tc>
      </w:tr>
      <w:tr w:rsidR="001876E4" w:rsidRPr="001876E4" w:rsidTr="00947D11">
        <w:trPr>
          <w:trHeight w:val="73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1.5</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Incrementar la competitividad y productividad del campo colimense mediante su tecnificación, mayor financiamiento y protección social a los trabajadores.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894,992,770</w:t>
            </w:r>
          </w:p>
        </w:tc>
      </w:tr>
      <w:tr w:rsidR="001876E4" w:rsidRPr="001876E4" w:rsidTr="00947D11">
        <w:trPr>
          <w:trHeight w:val="49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1.6</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Fortalecer la exportación agropecuaria y la generación de productos con valor agregado.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w:t>
            </w:r>
          </w:p>
        </w:tc>
      </w:tr>
      <w:tr w:rsidR="001876E4" w:rsidRPr="001876E4" w:rsidTr="00947D11">
        <w:trPr>
          <w:trHeight w:val="871"/>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2.1</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Disminuir la pobreza en el estado, especialmente la pobreza extrema y la carencia de acceso a la alimentación, mediante programas públicos que reduzcan la vulnerabilidad de las familias con menos recursos y les brinden opciones productivas.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658,623,325</w:t>
            </w:r>
          </w:p>
        </w:tc>
      </w:tr>
      <w:tr w:rsidR="001876E4" w:rsidRPr="001876E4" w:rsidTr="00947D11">
        <w:trPr>
          <w:trHeight w:val="68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2.2</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Mejorar el bienestar de los colimenses mediante una política de salud enfocada en la prevención, en prestar servicios de calidad y proteger a la población más vulnerable.</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1,753,024,537</w:t>
            </w:r>
          </w:p>
        </w:tc>
      </w:tr>
      <w:tr w:rsidR="001876E4" w:rsidRPr="001876E4" w:rsidTr="00947D11">
        <w:trPr>
          <w:trHeight w:val="727"/>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2.3</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Fortalecer la cobertura y la calidad educativa, la investigación y la vinculación entre el sistema educativo y productivo, como bases para mejorar el desarrollo económico de Colima y el bienestar de la población.</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6,242,441,734</w:t>
            </w:r>
          </w:p>
        </w:tc>
      </w:tr>
      <w:tr w:rsidR="001876E4" w:rsidRPr="001876E4" w:rsidTr="00947D11">
        <w:trPr>
          <w:trHeight w:val="709"/>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2.4</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Incrementar la calidad de vida de los colimenses mediante mejores bienes y servicios públicos, que coadyuven a reducir la pobreza y a mejorar la competitividad del estado.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207,955,147</w:t>
            </w:r>
          </w:p>
        </w:tc>
      </w:tr>
      <w:tr w:rsidR="001876E4" w:rsidRPr="001876E4" w:rsidTr="00947D11">
        <w:trPr>
          <w:trHeight w:val="550"/>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lastRenderedPageBreak/>
              <w:t>2.5</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Ampliar el acceso a las actividades culturales y promover el deporte como una forma de vida entre los colimenses.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405,141,464</w:t>
            </w:r>
          </w:p>
        </w:tc>
      </w:tr>
      <w:tr w:rsidR="001876E4" w:rsidRPr="001876E4" w:rsidTr="00947D11">
        <w:trPr>
          <w:trHeight w:val="763"/>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3.1</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Disminuir los índices delictivos, recuperar la cohesión social y mejorar la preparación ante eventos contingentes a fin de recobrar la tranquilidad en el estado. </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356,080,505</w:t>
            </w:r>
          </w:p>
        </w:tc>
      </w:tr>
      <w:tr w:rsidR="001876E4" w:rsidRPr="001876E4" w:rsidTr="00947D11">
        <w:trPr>
          <w:trHeight w:val="504"/>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3.2</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Contar con un sistema de procuración e impartición de justicia transparente, eficiente y equitativa, que permita recobrar la confianza de la ciudadanía.</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642,567,315</w:t>
            </w:r>
          </w:p>
        </w:tc>
      </w:tr>
      <w:tr w:rsidR="001876E4" w:rsidRPr="001876E4" w:rsidTr="00947D11">
        <w:trPr>
          <w:trHeight w:val="49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3.3</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Asegurar y transparentar la debida aplicación de la ley, así como el respeto a los derechos humanos.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375,208,156</w:t>
            </w:r>
          </w:p>
        </w:tc>
      </w:tr>
      <w:tr w:rsidR="001876E4" w:rsidRPr="001876E4" w:rsidTr="00947D11">
        <w:trPr>
          <w:trHeight w:val="618"/>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3.4</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Fortalecer y adecuar la infraestructura de las instituciones de seguridad para mejorar sus capacidades de operación y de respuesta.</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341,126,631</w:t>
            </w:r>
          </w:p>
        </w:tc>
      </w:tr>
      <w:tr w:rsidR="001876E4" w:rsidRPr="001876E4" w:rsidTr="00947D11">
        <w:trPr>
          <w:trHeight w:val="548"/>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Fortalecer las finanzas públicas del estado mediante la revisión de las políticas de ingresos, egresos y deuda pública.</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3,486,498,529</w:t>
            </w:r>
          </w:p>
        </w:tc>
      </w:tr>
      <w:tr w:rsidR="001876E4" w:rsidRPr="001876E4" w:rsidTr="00947D11">
        <w:trPr>
          <w:trHeight w:val="70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4.2</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Modernizar la gestión pública mediante la actualización del marco normativo, la implementación de mejoras regulatorias, la simplificación de trámites, la reducción de costos y la capacitación de servidores públicos.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607,137,685</w:t>
            </w:r>
          </w:p>
        </w:tc>
      </w:tr>
      <w:tr w:rsidR="001876E4" w:rsidRPr="001876E4" w:rsidTr="00947D11">
        <w:trPr>
          <w:trHeight w:val="544"/>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4.3</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Fortalecer la relación entre el gobierno y los ciudadanos mediante la implementación de la agenda de buen gobierno y gobierno electrónico.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29,891,769</w:t>
            </w:r>
          </w:p>
        </w:tc>
      </w:tr>
      <w:tr w:rsidR="001876E4" w:rsidRPr="001876E4" w:rsidTr="00947D11">
        <w:trPr>
          <w:trHeight w:val="79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4.4</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Reducir la corrupción pública mediante mayor transparencia, rendición de cuentas, mecanismos de monitoreo y evaluación y el uso de las tecnologías de la información y comunicación.</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31,828,405</w:t>
            </w:r>
          </w:p>
        </w:tc>
      </w:tr>
      <w:tr w:rsidR="001876E4" w:rsidRPr="001876E4" w:rsidTr="00947D11">
        <w:trPr>
          <w:trHeight w:val="31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5.1</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Impulsar la equidad en el ámbito laboral. </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43,733,093</w:t>
            </w:r>
          </w:p>
        </w:tc>
      </w:tr>
      <w:tr w:rsidR="001876E4" w:rsidRPr="001876E4" w:rsidTr="00947D11">
        <w:trPr>
          <w:trHeight w:val="49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5.4</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Fortalecer la prevención y la atención a las víctimas de violencia de género. </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22,877,124</w:t>
            </w:r>
          </w:p>
        </w:tc>
      </w:tr>
      <w:tr w:rsidR="001876E4" w:rsidRPr="001876E4" w:rsidTr="00947D11">
        <w:trPr>
          <w:trHeight w:val="73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6.1</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Asegurar que las políticas de desarrollo económico y social del estado sean sustentables y que brinden oportunidades a las comunidades más vulnerables.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242,500</w:t>
            </w:r>
          </w:p>
        </w:tc>
      </w:tr>
      <w:tr w:rsidR="001876E4" w:rsidRPr="001876E4" w:rsidTr="00947D11">
        <w:trPr>
          <w:trHeight w:val="354"/>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6.2</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Garantizar el manejo sustentable de los recursos naturales del estado.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4,867,775</w:t>
            </w:r>
          </w:p>
        </w:tc>
      </w:tr>
      <w:tr w:rsidR="001876E4" w:rsidRPr="001876E4" w:rsidTr="00947D11">
        <w:trPr>
          <w:trHeight w:val="416"/>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6.3</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Diseñar e implementar programas de mitigación del cambio climático.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20,438,750</w:t>
            </w:r>
          </w:p>
        </w:tc>
      </w:tr>
      <w:tr w:rsidR="001876E4" w:rsidRPr="001876E4" w:rsidTr="00947D11">
        <w:trPr>
          <w:trHeight w:val="315"/>
        </w:trPr>
        <w:tc>
          <w:tcPr>
            <w:tcW w:w="709" w:type="dxa"/>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w:t>
            </w:r>
          </w:p>
        </w:tc>
        <w:tc>
          <w:tcPr>
            <w:tcW w:w="6237" w:type="dxa"/>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Mejorar la educación ambiental de los colimenses.</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12,187,510</w:t>
            </w:r>
          </w:p>
        </w:tc>
      </w:tr>
      <w:tr w:rsidR="001876E4" w:rsidRPr="001876E4" w:rsidTr="00947D11">
        <w:trPr>
          <w:trHeight w:val="495"/>
        </w:trPr>
        <w:tc>
          <w:tcPr>
            <w:tcW w:w="709" w:type="dxa"/>
            <w:tcBorders>
              <w:bottom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6.5</w:t>
            </w:r>
          </w:p>
        </w:tc>
        <w:tc>
          <w:tcPr>
            <w:tcW w:w="6237" w:type="dxa"/>
            <w:tcBorders>
              <w:bottom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Garantizar la disponibilidad de sistemas de movilidad sustentable en todo el estado.</w:t>
            </w:r>
          </w:p>
        </w:tc>
        <w:tc>
          <w:tcPr>
            <w:tcW w:w="1392" w:type="dxa"/>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73,740,351</w:t>
            </w:r>
          </w:p>
        </w:tc>
      </w:tr>
      <w:tr w:rsidR="001876E4" w:rsidRPr="001876E4" w:rsidTr="00947D11">
        <w:trPr>
          <w:trHeight w:val="306"/>
        </w:trPr>
        <w:tc>
          <w:tcPr>
            <w:tcW w:w="709" w:type="dxa"/>
            <w:tcBorders>
              <w:top w:val="single" w:sz="4" w:space="0" w:color="auto"/>
              <w:left w:val="single" w:sz="4" w:space="0" w:color="auto"/>
              <w:bottom w:val="single" w:sz="4" w:space="0" w:color="auto"/>
              <w:right w:val="nil"/>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p>
        </w:tc>
        <w:tc>
          <w:tcPr>
            <w:tcW w:w="6237"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b/>
                <w:color w:val="000000"/>
                <w:sz w:val="18"/>
                <w:szCs w:val="18"/>
              </w:rPr>
            </w:pPr>
            <w:r w:rsidRPr="001876E4">
              <w:rPr>
                <w:rFonts w:ascii="Arial" w:eastAsia="Times New Roman" w:hAnsi="Arial" w:cs="Arial"/>
                <w:b/>
                <w:color w:val="000000"/>
                <w:sz w:val="18"/>
                <w:szCs w:val="18"/>
              </w:rPr>
              <w:t>Total</w:t>
            </w:r>
          </w:p>
        </w:tc>
        <w:tc>
          <w:tcPr>
            <w:tcW w:w="1392" w:type="dxa"/>
            <w:tcBorders>
              <w:lef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bCs/>
                <w:color w:val="000000"/>
                <w:sz w:val="18"/>
                <w:szCs w:val="18"/>
              </w:rPr>
            </w:pPr>
            <w:r w:rsidRPr="001876E4">
              <w:rPr>
                <w:rFonts w:ascii="Arial" w:hAnsi="Arial" w:cs="Arial"/>
                <w:b/>
                <w:bCs/>
                <w:color w:val="000000"/>
                <w:sz w:val="18"/>
                <w:szCs w:val="18"/>
              </w:rPr>
              <w:t>16,730,371,000</w:t>
            </w:r>
          </w:p>
        </w:tc>
      </w:tr>
    </w:tbl>
    <w:p w:rsidR="001876E4" w:rsidRPr="001876E4" w:rsidRDefault="001876E4" w:rsidP="001876E4">
      <w:pPr>
        <w:spacing w:after="0" w:line="240" w:lineRule="auto"/>
        <w:rPr>
          <w:rFonts w:ascii="Arial" w:hAnsi="Arial"/>
          <w:sz w:val="24"/>
        </w:rPr>
      </w:pPr>
    </w:p>
    <w:p w:rsidR="001876E4" w:rsidRPr="001876E4" w:rsidRDefault="001876E4" w:rsidP="001876E4">
      <w:pPr>
        <w:spacing w:after="0" w:line="240" w:lineRule="auto"/>
        <w:rPr>
          <w:rFonts w:ascii="Arial" w:hAnsi="Arial"/>
          <w:sz w:val="24"/>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77</w:t>
      </w:r>
      <w:r w:rsidRPr="001876E4">
        <w:rPr>
          <w:rFonts w:ascii="Arial" w:eastAsia="Calibri" w:hAnsi="Arial" w:cs="Arial"/>
          <w:sz w:val="24"/>
          <w:szCs w:val="24"/>
          <w:lang w:val="es-ES" w:eastAsia="en-US"/>
        </w:rPr>
        <w:t>.</w:t>
      </w:r>
      <w:r w:rsidRPr="001876E4">
        <w:rPr>
          <w:rFonts w:ascii="Arial" w:eastAsia="Calibri" w:hAnsi="Arial" w:cs="Arial"/>
          <w:color w:val="FF0000"/>
          <w:sz w:val="24"/>
          <w:szCs w:val="24"/>
          <w:lang w:val="es-ES" w:eastAsia="en-US"/>
        </w:rPr>
        <w:t xml:space="preserve"> </w:t>
      </w:r>
      <w:r w:rsidRPr="001876E4">
        <w:rPr>
          <w:rFonts w:ascii="Arial" w:eastAsia="Calibri" w:hAnsi="Arial" w:cs="Arial"/>
          <w:sz w:val="24"/>
          <w:szCs w:val="24"/>
          <w:lang w:val="es-ES" w:eastAsia="en-US"/>
        </w:rPr>
        <w:t>Los Programas Presupuestarios</w:t>
      </w:r>
      <w:r w:rsidRPr="001876E4">
        <w:rPr>
          <w:rFonts w:ascii="Arial" w:eastAsia="Calibri" w:hAnsi="Arial" w:cs="Arial"/>
          <w:color w:val="FF0000"/>
          <w:sz w:val="24"/>
          <w:szCs w:val="24"/>
          <w:lang w:val="es-ES" w:eastAsia="en-US"/>
        </w:rPr>
        <w:t xml:space="preserve"> </w:t>
      </w:r>
      <w:r w:rsidRPr="001876E4">
        <w:rPr>
          <w:rFonts w:ascii="Arial" w:eastAsia="Calibri" w:hAnsi="Arial" w:cs="Arial"/>
          <w:sz w:val="24"/>
          <w:szCs w:val="24"/>
          <w:lang w:val="es-ES" w:eastAsia="en-US"/>
        </w:rPr>
        <w:t xml:space="preserve">que forman parte del Presupuesto basado en Resultados ascienden a la cantidad de 68 Programas Presupuestarios, tienen asignados en conjunto un total de </w:t>
      </w:r>
      <w:r w:rsidRPr="001876E4">
        <w:rPr>
          <w:rFonts w:ascii="Arial" w:eastAsia="Calibri" w:hAnsi="Arial" w:cs="Arial"/>
          <w:b/>
          <w:sz w:val="24"/>
          <w:szCs w:val="24"/>
          <w:lang w:val="es-ES" w:eastAsia="en-US"/>
        </w:rPr>
        <w:t xml:space="preserve">$13,937,708,719 </w:t>
      </w:r>
      <w:r w:rsidRPr="001876E4">
        <w:rPr>
          <w:rFonts w:ascii="Arial" w:eastAsia="Calibri" w:hAnsi="Arial" w:cs="Arial"/>
          <w:sz w:val="24"/>
          <w:szCs w:val="24"/>
          <w:lang w:val="es-ES" w:eastAsia="en-US"/>
        </w:rPr>
        <w:t xml:space="preserve">y son ejercidos por los Entes Públicos.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lastRenderedPageBreak/>
        <w:t>Su distribución se señala a continuación: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72. Programas Presupuestarios </w:t>
      </w:r>
      <w:r w:rsidRPr="001876E4">
        <w:rPr>
          <w:rFonts w:ascii="Arial" w:eastAsia="Times New Roman" w:hAnsi="Arial" w:cs="Times New Roman"/>
          <w:b/>
          <w:szCs w:val="26"/>
          <w:lang w:val="es-ES" w:eastAsia="en-US"/>
        </w:rPr>
        <w:br/>
        <w:t>(Distribución por Dependencia)</w:t>
      </w:r>
    </w:p>
    <w:tbl>
      <w:tblPr>
        <w:tblW w:w="7597" w:type="dxa"/>
        <w:jc w:val="center"/>
        <w:tblCellMar>
          <w:left w:w="70" w:type="dxa"/>
          <w:right w:w="70" w:type="dxa"/>
        </w:tblCellMar>
        <w:tblLook w:val="04A0" w:firstRow="1" w:lastRow="0" w:firstColumn="1" w:lastColumn="0" w:noHBand="0" w:noVBand="1"/>
      </w:tblPr>
      <w:tblGrid>
        <w:gridCol w:w="751"/>
        <w:gridCol w:w="3952"/>
        <w:gridCol w:w="447"/>
        <w:gridCol w:w="1392"/>
        <w:gridCol w:w="470"/>
        <w:gridCol w:w="1151"/>
      </w:tblGrid>
      <w:tr w:rsidR="001876E4" w:rsidRPr="001876E4" w:rsidTr="00947D11">
        <w:trPr>
          <w:trHeight w:val="510"/>
          <w:jc w:val="center"/>
        </w:trPr>
        <w:tc>
          <w:tcPr>
            <w:tcW w:w="683"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Partida</w:t>
            </w:r>
          </w:p>
        </w:tc>
        <w:tc>
          <w:tcPr>
            <w:tcW w:w="3952" w:type="dxa"/>
            <w:vMerge w:val="restart"/>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Ente Público</w:t>
            </w:r>
          </w:p>
        </w:tc>
        <w:tc>
          <w:tcPr>
            <w:tcW w:w="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PP</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Asignación Presupuestal</w:t>
            </w:r>
          </w:p>
        </w:tc>
        <w:tc>
          <w:tcPr>
            <w:tcW w:w="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MIR</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Indicadores para Resultados</w:t>
            </w:r>
          </w:p>
        </w:tc>
      </w:tr>
      <w:tr w:rsidR="001876E4" w:rsidRPr="001876E4" w:rsidTr="00947D11">
        <w:trPr>
          <w:trHeight w:val="517"/>
          <w:jc w:val="center"/>
        </w:trPr>
        <w:tc>
          <w:tcPr>
            <w:tcW w:w="683"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3952"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hAnsi="Arial" w:cs="Arial"/>
                <w:sz w:val="18"/>
                <w:szCs w:val="18"/>
              </w:rPr>
              <w:br w:type="page"/>
            </w:r>
            <w:r w:rsidRPr="001876E4">
              <w:rPr>
                <w:rFonts w:ascii="Arial" w:eastAsia="Times New Roman" w:hAnsi="Arial" w:cs="Arial"/>
                <w:color w:val="000000"/>
                <w:sz w:val="18"/>
                <w:szCs w:val="18"/>
              </w:rPr>
              <w:t> </w:t>
            </w:r>
          </w:p>
        </w:tc>
        <w:tc>
          <w:tcPr>
            <w:tcW w:w="3952"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Poder Ejecutivo</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010000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Oficina del Gobernador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365,950,804</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60</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020000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General de Gobierno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515,908,510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47</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030000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Planeación y Finanzas</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188,874,636</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040000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Desarrollo Social</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167,775,108</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24</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050000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Secretaría de Infraestructura y Desarrollo Urbano </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889,638,168</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75</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060000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Desarrollo Rural</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894,992,770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070000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Educación</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6,273,783,829</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79</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080000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Salud y Bienestar Social</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1,742,178,630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090000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Administración y Gestión Pública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264,625,225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30</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100000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Fomento Económico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121,624,350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110000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Cultura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102,332,963</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18</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120000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Turismo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85,703,935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25</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130000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Procuraduría General de Justicia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402,983,069</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13</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140000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Seguridad Pública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561,019,538</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22</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150000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la Juventud</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18,828,531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25</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160000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del Trabajo y Previsión Social</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43,733,093</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10</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170000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de Movilidad</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73,740,351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13</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180000</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Consejería Jurídica del Poder Ejecutivo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46,705,765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23</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Poder Legislativo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hAnsi="Arial" w:cs="Arial"/>
                <w:color w:val="000000"/>
                <w:sz w:val="18"/>
                <w:szCs w:val="18"/>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41201</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H. Congreso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95,000,000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w:t>
            </w:r>
          </w:p>
        </w:tc>
      </w:tr>
      <w:tr w:rsidR="001876E4" w:rsidRPr="001876E4" w:rsidTr="00947D11">
        <w:trPr>
          <w:trHeight w:val="525"/>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41203</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Órgano Superior de Auditoría y Fiscalización Gubernamental del Estado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Poder Judicial</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41301</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Poder Judicial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208,000,000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22</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Organismos Autónomos</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 </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41401</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Universidad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261,605,272</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17</w:t>
            </w:r>
          </w:p>
        </w:tc>
      </w:tr>
      <w:tr w:rsidR="001876E4" w:rsidRPr="001876E4" w:rsidTr="00947D11">
        <w:trPr>
          <w:trHeight w:val="525"/>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41402</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de Transparencia y Acceso a la Información Pública y Protección de Datos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lastRenderedPageBreak/>
              <w:t>41403</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Comisión Estatal de los Derechos Humanos</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14</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41404</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Tribunal de Arbitraje y Escalafón</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5,026,011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41405</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Tribunal de Justicia Administrativa del Estado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8,000,000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41406</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 Instituto Electoral del Estado </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108,471,400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41407</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Tribunal Electoral del Estado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15,218,412</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Entidades de la Administración Pública Paraestatal</w:t>
            </w:r>
          </w:p>
        </w:tc>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p>
        </w:tc>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41109</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 Modulo Servicios Delegación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313,600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20</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41502</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Sistema para el Desarrollo Integral de la Familia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184,499,018</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28</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41503</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Colimense del Deporte</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51,233,496</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14</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41504</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Consejo de Participación Social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41506</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para la Atención de los Adultos en Plenitud</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41,202,045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12</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41507</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Colimense de Infraestructura Física Educativa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8,016,940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10</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41508</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Junta de Asistencia Privada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41509</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Universidad Tecnológica de Manzanillo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12</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41510</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Colimense de Radio y Televisión</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18,393,600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41513</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Colimense para la Discapacidad</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3,071,306</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41514</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Comisión Estatal del Agua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3,955,275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20</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41515</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Colimense de las Mujeres</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5,480,305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41517</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Colegio de Educación Profesional Técnica del Estado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3,005,600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10</w:t>
            </w:r>
          </w:p>
        </w:tc>
      </w:tr>
      <w:tr w:rsidR="001876E4" w:rsidRPr="001876E4" w:rsidTr="00947D11">
        <w:trPr>
          <w:trHeight w:val="525"/>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41521</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 xml:space="preserve">Instituto Colimense para la Sociedad de la Información y el Conocimiento. </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18,351,862</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35</w:t>
            </w:r>
          </w:p>
        </w:tc>
      </w:tr>
      <w:tr w:rsidR="001876E4" w:rsidRPr="001876E4" w:rsidTr="00947D11">
        <w:trPr>
          <w:trHeight w:val="416"/>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41522</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para el Medio Ambiente y Desarrollo Sustentable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12,731,260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24</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41523</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para el Registro del Territorio</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26,574,730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35</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41560</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Secretaría Ejecutiva del Sistema Anticorrupción del Estado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11</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44301</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Tecnológico de Colima</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1,957,263</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44801</w:t>
            </w:r>
          </w:p>
        </w:tc>
        <w:tc>
          <w:tcPr>
            <w:tcW w:w="3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Unidad Estatal de Protección Civil</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12,629,882</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11</w:t>
            </w:r>
          </w:p>
        </w:tc>
      </w:tr>
      <w:tr w:rsidR="001876E4" w:rsidRPr="001876E4" w:rsidTr="00947D11">
        <w:trPr>
          <w:trHeight w:val="525"/>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41512</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Consejo Estatal para la Prevención y Atención a la Violencia Intrafamiliar</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3,339,823</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44305</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Instituto Estatal de Educación para Adultos</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w:t>
            </w:r>
          </w:p>
        </w:tc>
      </w:tr>
      <w:tr w:rsidR="001876E4" w:rsidRPr="001876E4" w:rsidTr="00947D11">
        <w:trPr>
          <w:trHeight w:val="270"/>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44502</w:t>
            </w:r>
          </w:p>
        </w:tc>
        <w:tc>
          <w:tcPr>
            <w:tcW w:w="3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Centro de Apoyo a la Mujer Griselda Álvarez, A.C.</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1,578,756</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w:t>
            </w:r>
          </w:p>
        </w:tc>
      </w:tr>
      <w:tr w:rsidR="001876E4" w:rsidRPr="001876E4" w:rsidTr="00947D11">
        <w:trPr>
          <w:trHeight w:val="255"/>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 </w:t>
            </w:r>
          </w:p>
        </w:tc>
        <w:tc>
          <w:tcPr>
            <w:tcW w:w="3952"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SubTotal</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68</w:t>
            </w:r>
          </w:p>
        </w:tc>
        <w:tc>
          <w:tcPr>
            <w:tcW w:w="1253"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hAnsi="Arial" w:cs="Arial"/>
                <w:b/>
                <w:bCs/>
                <w:color w:val="000000"/>
                <w:sz w:val="18"/>
                <w:szCs w:val="18"/>
              </w:rPr>
            </w:pPr>
            <w:r w:rsidRPr="001876E4">
              <w:rPr>
                <w:rFonts w:ascii="Arial" w:hAnsi="Arial" w:cs="Arial"/>
                <w:b/>
                <w:bCs/>
                <w:color w:val="000000"/>
                <w:sz w:val="18"/>
                <w:szCs w:val="18"/>
              </w:rPr>
              <w:t>13,937,708,719</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68</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1,001</w:t>
            </w:r>
          </w:p>
        </w:tc>
      </w:tr>
      <w:tr w:rsidR="001876E4" w:rsidRPr="001876E4" w:rsidTr="00947D11">
        <w:trPr>
          <w:trHeight w:val="261"/>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3952" w:type="dxa"/>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Total Presupuesto de Egresos</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1253"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hAnsi="Arial" w:cs="Arial"/>
                <w:b/>
                <w:bCs/>
                <w:color w:val="000000"/>
                <w:sz w:val="18"/>
                <w:szCs w:val="18"/>
              </w:rPr>
              <w:t>16,730,371,000</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 </w:t>
            </w:r>
          </w:p>
        </w:tc>
      </w:tr>
      <w:tr w:rsidR="001876E4" w:rsidRPr="001876E4" w:rsidTr="00947D11">
        <w:trPr>
          <w:trHeight w:val="255"/>
          <w:jc w:val="center"/>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p>
        </w:tc>
        <w:tc>
          <w:tcPr>
            <w:tcW w:w="3952"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Porcentaje del PbR</w:t>
            </w:r>
          </w:p>
        </w:tc>
        <w:tc>
          <w:tcPr>
            <w:tcW w:w="447"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p>
        </w:tc>
        <w:tc>
          <w:tcPr>
            <w:tcW w:w="1253"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83.3%</w:t>
            </w:r>
          </w:p>
        </w:tc>
        <w:tc>
          <w:tcPr>
            <w:tcW w:w="434"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color w:val="000000"/>
                <w:sz w:val="18"/>
                <w:szCs w:val="18"/>
              </w:rPr>
            </w:pPr>
          </w:p>
        </w:tc>
      </w:tr>
    </w:tbl>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lastRenderedPageBreak/>
        <w:t>Los Programas Presupuestarios tendrán la siguiente conformación, desglosados por fuentes de financiamiento Estatal y Federal:</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 xml:space="preserve">Tabla 73. Programas Presupuestarios </w:t>
      </w:r>
      <w:r w:rsidRPr="001876E4">
        <w:rPr>
          <w:rFonts w:ascii="Arial" w:eastAsia="Times New Roman" w:hAnsi="Arial" w:cs="Times New Roman"/>
          <w:b/>
          <w:szCs w:val="26"/>
          <w:lang w:val="es-ES" w:eastAsia="en-US"/>
        </w:rPr>
        <w:br/>
        <w:t>(Por Fuente de Financiamiento)</w:t>
      </w:r>
    </w:p>
    <w:tbl>
      <w:tblPr>
        <w:tblW w:w="8369" w:type="dxa"/>
        <w:jc w:val="center"/>
        <w:tblCellMar>
          <w:left w:w="70" w:type="dxa"/>
          <w:right w:w="70" w:type="dxa"/>
        </w:tblCellMar>
        <w:tblLook w:val="04A0" w:firstRow="1" w:lastRow="0" w:firstColumn="1" w:lastColumn="0" w:noHBand="0" w:noVBand="1"/>
      </w:tblPr>
      <w:tblGrid>
        <w:gridCol w:w="621"/>
        <w:gridCol w:w="3490"/>
        <w:gridCol w:w="1420"/>
        <w:gridCol w:w="1421"/>
        <w:gridCol w:w="1417"/>
      </w:tblGrid>
      <w:tr w:rsidR="001876E4" w:rsidRPr="001876E4" w:rsidTr="00947D11">
        <w:trPr>
          <w:trHeight w:val="255"/>
          <w:jc w:val="center"/>
        </w:trPr>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Clave</w:t>
            </w:r>
          </w:p>
        </w:tc>
        <w:tc>
          <w:tcPr>
            <w:tcW w:w="3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Programa Presupuestario</w:t>
            </w:r>
          </w:p>
        </w:tc>
        <w:tc>
          <w:tcPr>
            <w:tcW w:w="4258"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Asignación Presupuestal</w:t>
            </w:r>
          </w:p>
        </w:tc>
      </w:tr>
      <w:tr w:rsidR="001876E4" w:rsidRPr="001876E4" w:rsidTr="00947D11">
        <w:trPr>
          <w:trHeight w:val="270"/>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rsidR="001876E4" w:rsidRPr="001876E4" w:rsidRDefault="001876E4" w:rsidP="001876E4">
            <w:pPr>
              <w:spacing w:after="0" w:line="240" w:lineRule="auto"/>
              <w:rPr>
                <w:rFonts w:ascii="Arial" w:eastAsia="Times New Roman" w:hAnsi="Arial" w:cs="Arial"/>
                <w:b/>
                <w:bCs/>
                <w:color w:val="000000"/>
                <w:sz w:val="18"/>
                <w:szCs w:val="18"/>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Estatal</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Federal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color w:val="000000"/>
                <w:sz w:val="18"/>
                <w:szCs w:val="18"/>
              </w:rPr>
            </w:pPr>
            <w:r w:rsidRPr="001876E4">
              <w:rPr>
                <w:rFonts w:ascii="Arial" w:eastAsia="Times New Roman" w:hAnsi="Arial" w:cs="Arial"/>
                <w:b/>
                <w:bCs/>
                <w:color w:val="000000"/>
                <w:sz w:val="18"/>
                <w:szCs w:val="18"/>
              </w:rPr>
              <w:t>Total</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Salud, Respaldo a la Sociedad</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93,316,522</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1,608,862,108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1,702,178,630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Asistencia Privada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Participación Social para la Planeación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Desarrollo Social y Humano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75,601,176</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41,267,157.00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116,868,333</w:t>
            </w:r>
          </w:p>
        </w:tc>
      </w:tr>
      <w:tr w:rsidR="001876E4" w:rsidRPr="001876E4" w:rsidTr="00947D11">
        <w:trPr>
          <w:trHeight w:val="510"/>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Media Superior, Superior y Posgrado de la Universidad de Colima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261,605,272</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1,508,286,814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1,769,892,086</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Superior ITC</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1,957,263</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1,957,263</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09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Superior UTEM</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20,809,628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40,809,628</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Infraestructura Educativa INCOIFED</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8,016,940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8,016,940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Arte y Cultura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84,542,963</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17,790,000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102,332,963</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Deporte y Recreación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51,233,496</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1,634,600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52,868,096</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Modernización del Registro Civil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1,050,000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1,050,000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Equidad de Género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5,480,305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15,818,063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21,298,368</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Acceso a una Vida Libre de Violencia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1,578,756</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1,578,756</w:t>
            </w:r>
          </w:p>
        </w:tc>
      </w:tr>
      <w:tr w:rsidR="001876E4" w:rsidRPr="001876E4" w:rsidTr="00947D11">
        <w:trPr>
          <w:trHeight w:val="344"/>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Consolidación de la Familia, Apoyo a la Niñez y Grupos Vulnerables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184,499,018</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54,286,606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238,785,624</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19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Apoyo a Grupos Vulnerables con Discapacidad</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3,071,306</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6,633,425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9,704,731</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20</w:t>
            </w:r>
          </w:p>
        </w:tc>
        <w:tc>
          <w:tcPr>
            <w:tcW w:w="3490" w:type="dxa"/>
            <w:tcBorders>
              <w:top w:val="single" w:sz="4" w:space="0" w:color="auto"/>
              <w:left w:val="nil"/>
              <w:bottom w:val="single" w:sz="4" w:space="0" w:color="auto"/>
              <w:right w:val="nil"/>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Gestión y Control del Patrimonio Inmobiliario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Atención a la Juventud</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17,438,531</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1,390,000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18,828,531</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Atención a los Adultos en Plenitud</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41,202,045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41,202,045</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Promoción de la Competitividad y el Empleo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34,414,857</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9,318,236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43,733,093</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Desarrollo Económico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7,562,360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7,562,360</w:t>
            </w:r>
          </w:p>
        </w:tc>
      </w:tr>
      <w:tr w:rsidR="001876E4" w:rsidRPr="001876E4" w:rsidTr="00947D11">
        <w:trPr>
          <w:trHeight w:val="358"/>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Modernización del Sector Agropecuario, Acuícola, Pesquero y Forestal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81,453,670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813,539,100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894,992,770</w:t>
            </w:r>
          </w:p>
        </w:tc>
      </w:tr>
      <w:tr w:rsidR="001876E4" w:rsidRPr="001876E4" w:rsidTr="00947D11">
        <w:trPr>
          <w:trHeight w:val="510"/>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Impulso del Sector Turístico Competitivo y Sustentable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28,471,296</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28,471,296</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Colima Competitivo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87,561,990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26,500,000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114,061,990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Impartición de Justicia Electoral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15,218,412</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15,218,412</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29</w:t>
            </w:r>
          </w:p>
        </w:tc>
        <w:tc>
          <w:tcPr>
            <w:tcW w:w="3490" w:type="dxa"/>
            <w:tcBorders>
              <w:top w:val="single" w:sz="4" w:space="0" w:color="auto"/>
              <w:left w:val="nil"/>
              <w:bottom w:val="single" w:sz="4" w:space="0" w:color="auto"/>
              <w:right w:val="nil"/>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Administración Electoral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108,471,400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108,471,400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Arbitraje y Escalafón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5,026,011</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5,026,011</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Impartición de Justicia Administrativa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8,000,000</w:t>
            </w:r>
          </w:p>
        </w:tc>
      </w:tr>
      <w:tr w:rsidR="001876E4" w:rsidRPr="001876E4" w:rsidTr="00947D11">
        <w:trPr>
          <w:trHeight w:val="404"/>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lastRenderedPageBreak/>
              <w:t>32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Asistencia al Sistema Estatal de Seguridad Pública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198,266,319</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130,230,430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328,496,749</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Seguridad Pública y Prevención del Delito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514,488,327</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46,531,211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561,019,538</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Procuración de Justicia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373,203,258</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29,779,811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402,983,069</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Derechos Humanos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Registro del Territorio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26,574,730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7,000,000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33,574,730</w:t>
            </w:r>
          </w:p>
        </w:tc>
      </w:tr>
      <w:tr w:rsidR="001876E4" w:rsidRPr="001876E4" w:rsidTr="00947D11">
        <w:trPr>
          <w:trHeight w:val="370"/>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38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Aprovechamiento Sustentable de los Recursos Hídricos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3,955,275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850,000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4,805,275</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y Cultura Ambiental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12,931,260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32,931,260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Finanzas Transparentes y Eficientes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161,807,632</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161,807,632</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Administración Pública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234,065,531</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234,065,531</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Agenda Digital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27,009,694</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27,009,694</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Acceso a la Información Pública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7,500,000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Sistema Estatal Anticorrupción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2,600,000</w:t>
            </w:r>
          </w:p>
        </w:tc>
      </w:tr>
      <w:tr w:rsidR="001876E4" w:rsidRPr="001876E4" w:rsidTr="00947D11">
        <w:trPr>
          <w:trHeight w:val="397"/>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Administración y Operación del Despacho del Gobernador</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91,698,597</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91,698,597</w:t>
            </w:r>
          </w:p>
        </w:tc>
      </w:tr>
      <w:tr w:rsidR="001876E4" w:rsidRPr="001876E4" w:rsidTr="00947D11">
        <w:trPr>
          <w:trHeight w:val="323"/>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49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Fiscalización Superior de los Recursos Públicos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35,000,000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50</w:t>
            </w:r>
          </w:p>
        </w:tc>
        <w:tc>
          <w:tcPr>
            <w:tcW w:w="3490" w:type="dxa"/>
            <w:tcBorders>
              <w:top w:val="single" w:sz="4" w:space="0" w:color="auto"/>
              <w:left w:val="nil"/>
              <w:bottom w:val="single" w:sz="4" w:space="0" w:color="auto"/>
              <w:right w:val="nil"/>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Poder Legislativo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95,000,000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Poder Judicial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208,000,000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208,000,000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Sistema Estatal de Planeación Democrática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26,567,005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26,567,005</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Transparencia y Control Gubernamental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16,124,983</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16,124,983</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58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Relaciones Exteriores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2,505,600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2,505,600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Gasto No Programable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2,659,589,874</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882,067,912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3,541,657,786</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Inicial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57,510,000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57,510,000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Básica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369,404,873</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2,645,273,078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3,014,677,951</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Media Superior</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41,762,071</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45,800,000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87,562,071</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66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Superior</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60,859,040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24,100,000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84,959,040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Programa de Movilidad</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68,090,351</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5,650,000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73,740,351</w:t>
            </w:r>
          </w:p>
        </w:tc>
      </w:tr>
      <w:tr w:rsidR="001876E4" w:rsidRPr="001876E4" w:rsidTr="00947D11">
        <w:trPr>
          <w:trHeight w:val="330"/>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Consolidación de la Gobernabilidad Democrática del Estado de Colima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73,316,217</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40,747,141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114,063,358</w:t>
            </w:r>
          </w:p>
        </w:tc>
      </w:tr>
      <w:tr w:rsidR="001876E4" w:rsidRPr="001876E4" w:rsidTr="00947D11">
        <w:trPr>
          <w:trHeight w:val="377"/>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79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Compromiso con la Salvaguarda de la Población en Materia de Protección Civil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12,629,882</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12,629,882</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Desempeño de Funciones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303,553,485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842,928,868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1,146,482,353</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para Adultos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2,500,000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Consejería Jurídica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46,705,765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46,705,765</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Educación Media Superior CONALEP</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6,548,400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6,548,400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85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Radio y Televisión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18,393,600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18,393,600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Prevención y Atención a la Violencia (CEPAVI)</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3,339,823</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3,339,823</w:t>
            </w:r>
          </w:p>
        </w:tc>
      </w:tr>
      <w:tr w:rsidR="001876E4" w:rsidRPr="001876E4" w:rsidTr="00947D11">
        <w:trPr>
          <w:trHeight w:val="392"/>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Planeación y Conducción de la Política de Infraestructura Estatal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77,946,485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77,946,485</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Infraestructura Desarrollo Económico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212,773,500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232,773,500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Infraestructura Social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6,000,000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38,628,147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44,628,147</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97</w:t>
            </w:r>
          </w:p>
        </w:tc>
        <w:tc>
          <w:tcPr>
            <w:tcW w:w="3490" w:type="dxa"/>
            <w:tcBorders>
              <w:top w:val="single" w:sz="4" w:space="0" w:color="auto"/>
              <w:left w:val="nil"/>
              <w:bottom w:val="single" w:sz="4" w:space="0" w:color="auto"/>
              <w:right w:val="nil"/>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Infraestructura Hidráulica</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21,500,000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79,880,000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101,380,000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lastRenderedPageBreak/>
              <w:t>98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Infraestructura Carretera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156,000,000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156,000,000</w:t>
            </w:r>
          </w:p>
        </w:tc>
      </w:tr>
      <w:tr w:rsidR="001876E4" w:rsidRPr="001876E4" w:rsidTr="00947D11">
        <w:trPr>
          <w:trHeight w:val="255"/>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color w:val="000000"/>
                <w:sz w:val="18"/>
                <w:szCs w:val="18"/>
              </w:rPr>
            </w:pPr>
            <w:r w:rsidRPr="001876E4">
              <w:rPr>
                <w:rFonts w:ascii="Arial" w:eastAsia="Times New Roman" w:hAnsi="Arial" w:cs="Arial"/>
                <w:color w:val="000000"/>
                <w:sz w:val="18"/>
                <w:szCs w:val="18"/>
              </w:rPr>
              <w:t>99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color w:val="000000"/>
                <w:sz w:val="18"/>
                <w:szCs w:val="18"/>
              </w:rPr>
            </w:pPr>
            <w:r w:rsidRPr="001876E4">
              <w:rPr>
                <w:rFonts w:ascii="Arial" w:eastAsia="Times New Roman" w:hAnsi="Arial" w:cs="Arial"/>
                <w:color w:val="000000"/>
                <w:sz w:val="18"/>
                <w:szCs w:val="18"/>
              </w:rPr>
              <w:t>Infraestructura No Habitacional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267,773,500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267,773,500</w:t>
            </w:r>
          </w:p>
        </w:tc>
      </w:tr>
      <w:tr w:rsidR="001876E4" w:rsidRPr="001876E4" w:rsidTr="00947D11">
        <w:trPr>
          <w:trHeight w:val="377"/>
          <w:jc w:val="center"/>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hAnsi="Arial" w:cs="Arial"/>
                <w:b/>
                <w:sz w:val="18"/>
                <w:szCs w:val="18"/>
              </w:rPr>
            </w:pPr>
          </w:p>
        </w:tc>
        <w:tc>
          <w:tcPr>
            <w:tcW w:w="3490"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hAnsi="Arial" w:cs="Arial"/>
                <w:b/>
                <w:color w:val="000000"/>
                <w:sz w:val="18"/>
                <w:szCs w:val="18"/>
              </w:rPr>
            </w:pPr>
            <w:r w:rsidRPr="001876E4">
              <w:rPr>
                <w:rFonts w:ascii="Arial" w:hAnsi="Arial" w:cs="Arial"/>
                <w:b/>
                <w:color w:val="000000"/>
                <w:sz w:val="18"/>
                <w:szCs w:val="18"/>
              </w:rPr>
              <w:t>T</w:t>
            </w:r>
            <w:r w:rsidRPr="001876E4">
              <w:rPr>
                <w:rFonts w:ascii="Arial" w:eastAsia="Times New Roman" w:hAnsi="Arial" w:cs="Arial"/>
                <w:b/>
                <w:color w:val="000000"/>
                <w:sz w:val="18"/>
                <w:szCs w:val="18"/>
              </w:rPr>
              <w:t>otal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color w:val="000000"/>
                <w:sz w:val="18"/>
                <w:szCs w:val="18"/>
              </w:rPr>
            </w:pPr>
            <w:r w:rsidRPr="001876E4">
              <w:rPr>
                <w:rFonts w:ascii="Arial" w:hAnsi="Arial" w:cs="Arial"/>
                <w:b/>
                <w:color w:val="000000"/>
                <w:sz w:val="18"/>
                <w:szCs w:val="18"/>
              </w:rPr>
              <w:t>7,069,661,665</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color w:val="000000"/>
                <w:sz w:val="18"/>
                <w:szCs w:val="18"/>
              </w:rPr>
            </w:pPr>
            <w:r w:rsidRPr="001876E4">
              <w:rPr>
                <w:rFonts w:ascii="Arial" w:hAnsi="Arial" w:cs="Arial"/>
                <w:b/>
                <w:color w:val="000000"/>
                <w:sz w:val="18"/>
                <w:szCs w:val="18"/>
              </w:rPr>
              <w:t>9,660,709,335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color w:val="000000"/>
                <w:sz w:val="18"/>
                <w:szCs w:val="18"/>
              </w:rPr>
            </w:pPr>
            <w:r w:rsidRPr="001876E4">
              <w:rPr>
                <w:rFonts w:ascii="Arial" w:hAnsi="Arial" w:cs="Arial"/>
                <w:b/>
                <w:color w:val="000000"/>
                <w:sz w:val="18"/>
                <w:szCs w:val="18"/>
              </w:rPr>
              <w:t>16,730,371,000</w:t>
            </w:r>
          </w:p>
        </w:tc>
      </w:tr>
    </w:tbl>
    <w:p w:rsidR="001876E4" w:rsidRPr="001876E4" w:rsidRDefault="001876E4" w:rsidP="001876E4">
      <w:pPr>
        <w:spacing w:after="0" w:line="240" w:lineRule="auto"/>
        <w:jc w:val="both"/>
        <w:rPr>
          <w:rFonts w:ascii="Arial" w:eastAsia="Calibri" w:hAnsi="Arial" w:cs="Times New Roman"/>
          <w:sz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En el </w:t>
      </w:r>
      <w:r w:rsidRPr="001876E4">
        <w:rPr>
          <w:rFonts w:ascii="Arial" w:eastAsia="Calibri" w:hAnsi="Arial" w:cs="Arial"/>
          <w:b/>
          <w:sz w:val="24"/>
          <w:szCs w:val="24"/>
          <w:lang w:val="es-ES" w:eastAsia="en-US"/>
        </w:rPr>
        <w:t>Anexo 10</w:t>
      </w:r>
      <w:r w:rsidRPr="001876E4">
        <w:rPr>
          <w:rFonts w:ascii="Arial" w:eastAsia="Calibri" w:hAnsi="Arial" w:cs="Arial"/>
          <w:sz w:val="24"/>
          <w:szCs w:val="24"/>
          <w:lang w:val="es-ES" w:eastAsia="en-US"/>
        </w:rPr>
        <w:t xml:space="preserve"> </w:t>
      </w:r>
      <w:r w:rsidRPr="001876E4">
        <w:rPr>
          <w:rFonts w:ascii="Arial" w:eastAsia="Calibri" w:hAnsi="Arial" w:cs="Arial"/>
          <w:b/>
          <w:sz w:val="24"/>
          <w:szCs w:val="24"/>
          <w:lang w:val="es-ES" w:eastAsia="en-US"/>
        </w:rPr>
        <w:t xml:space="preserve">Matrices de Indicadores para Resultados (MIR), </w:t>
      </w:r>
      <w:r w:rsidRPr="001876E4">
        <w:rPr>
          <w:rFonts w:ascii="Arial" w:eastAsia="Calibri" w:hAnsi="Arial" w:cs="Arial"/>
          <w:sz w:val="24"/>
          <w:szCs w:val="24"/>
          <w:lang w:val="es-ES" w:eastAsia="en-US"/>
        </w:rPr>
        <w:t>se presentan las MIR de cada uno de los Programas Presupuestarios del Gobierno del Estado que forman parte del Presupuesto basado en Resultados.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Times New Roman" w:hAnsi="Arial" w:cs="Arial"/>
          <w:sz w:val="24"/>
          <w:szCs w:val="24"/>
          <w:lang w:val="es-ES" w:eastAsia="es-ES"/>
        </w:rPr>
      </w:pPr>
      <w:r w:rsidRPr="001876E4">
        <w:rPr>
          <w:rFonts w:ascii="Arial" w:eastAsia="Times New Roman" w:hAnsi="Arial" w:cs="Arial"/>
          <w:b/>
          <w:sz w:val="24"/>
          <w:szCs w:val="24"/>
          <w:lang w:val="es-ES" w:eastAsia="es-ES"/>
        </w:rPr>
        <w:t xml:space="preserve">Artículo 78. </w:t>
      </w:r>
      <w:r w:rsidRPr="001876E4">
        <w:rPr>
          <w:rFonts w:ascii="Arial" w:eastAsia="Times New Roman" w:hAnsi="Arial" w:cs="Arial"/>
          <w:sz w:val="24"/>
          <w:szCs w:val="24"/>
          <w:lang w:val="es-ES" w:eastAsia="es-ES"/>
        </w:rPr>
        <w:t>La distribución del presupuesto</w:t>
      </w:r>
      <w:r w:rsidRPr="001876E4">
        <w:rPr>
          <w:rFonts w:ascii="Arial" w:eastAsia="Times New Roman" w:hAnsi="Arial" w:cs="Arial"/>
          <w:b/>
          <w:sz w:val="24"/>
          <w:szCs w:val="24"/>
          <w:lang w:val="es-ES" w:eastAsia="es-ES"/>
        </w:rPr>
        <w:t xml:space="preserve"> </w:t>
      </w:r>
      <w:r w:rsidRPr="001876E4">
        <w:rPr>
          <w:rFonts w:ascii="Arial" w:eastAsia="Times New Roman" w:hAnsi="Arial" w:cs="Arial"/>
          <w:sz w:val="24"/>
          <w:szCs w:val="24"/>
          <w:lang w:val="es-ES" w:eastAsia="es-ES"/>
        </w:rPr>
        <w:t xml:space="preserve">para el Ejercicio Fiscal 2018 en los diferentes Proyectos Presupuestarios por Dependencia se incluye en el </w:t>
      </w:r>
      <w:r w:rsidRPr="001876E4">
        <w:rPr>
          <w:rFonts w:ascii="Arial" w:eastAsia="Times New Roman" w:hAnsi="Arial" w:cs="Arial"/>
          <w:b/>
          <w:sz w:val="24"/>
          <w:szCs w:val="24"/>
          <w:lang w:val="es-ES" w:eastAsia="es-ES"/>
        </w:rPr>
        <w:t>Anexo 11</w:t>
      </w:r>
      <w:r w:rsidRPr="001876E4">
        <w:rPr>
          <w:rFonts w:ascii="Arial" w:eastAsia="Times New Roman" w:hAnsi="Arial" w:cs="Arial"/>
          <w:sz w:val="24"/>
          <w:szCs w:val="24"/>
          <w:lang w:val="es-ES" w:eastAsia="es-ES"/>
        </w:rPr>
        <w:t xml:space="preserve"> </w:t>
      </w:r>
      <w:r w:rsidRPr="001876E4">
        <w:rPr>
          <w:rFonts w:ascii="Arial" w:eastAsia="Times New Roman" w:hAnsi="Arial" w:cs="Arial"/>
          <w:b/>
          <w:sz w:val="24"/>
          <w:szCs w:val="24"/>
          <w:lang w:val="es-ES" w:eastAsia="es-ES"/>
        </w:rPr>
        <w:t>Proyectos Presupuestarios por Dependencia</w:t>
      </w:r>
      <w:r w:rsidRPr="001876E4">
        <w:rPr>
          <w:rFonts w:ascii="Arial" w:eastAsia="Times New Roman" w:hAnsi="Arial" w:cs="Arial"/>
          <w:sz w:val="24"/>
          <w:szCs w:val="24"/>
          <w:lang w:val="es-ES" w:eastAsia="es-ES"/>
        </w:rPr>
        <w:t xml:space="preserve"> del presente Decreto.</w:t>
      </w:r>
    </w:p>
    <w:p w:rsidR="001876E4" w:rsidRPr="001876E4" w:rsidRDefault="001876E4" w:rsidP="001876E4">
      <w:pPr>
        <w:spacing w:after="0" w:line="240" w:lineRule="auto"/>
        <w:jc w:val="both"/>
        <w:rPr>
          <w:rFonts w:ascii="Arial" w:eastAsia="Times New Roman" w:hAnsi="Arial" w:cs="Arial"/>
          <w:sz w:val="24"/>
          <w:szCs w:val="24"/>
          <w:lang w:val="es-ES" w:eastAsia="es-E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74. Proyectos Presupuestarios</w:t>
      </w:r>
      <w:r w:rsidRPr="001876E4">
        <w:rPr>
          <w:rFonts w:ascii="Arial" w:eastAsia="Times New Roman" w:hAnsi="Arial" w:cs="Times New Roman"/>
          <w:b/>
          <w:szCs w:val="26"/>
          <w:lang w:val="es-ES" w:eastAsia="en-US"/>
        </w:rPr>
        <w:br/>
        <w:t>(Tipo)</w:t>
      </w:r>
    </w:p>
    <w:tbl>
      <w:tblPr>
        <w:tblW w:w="7228" w:type="dxa"/>
        <w:jc w:val="center"/>
        <w:tblCellMar>
          <w:left w:w="70" w:type="dxa"/>
          <w:right w:w="70" w:type="dxa"/>
        </w:tblCellMar>
        <w:tblLook w:val="04A0" w:firstRow="1" w:lastRow="0" w:firstColumn="1" w:lastColumn="0" w:noHBand="0" w:noVBand="1"/>
      </w:tblPr>
      <w:tblGrid>
        <w:gridCol w:w="791"/>
        <w:gridCol w:w="4560"/>
        <w:gridCol w:w="1877"/>
      </w:tblGrid>
      <w:tr w:rsidR="001876E4" w:rsidRPr="001876E4" w:rsidTr="00947D11">
        <w:trPr>
          <w:trHeight w:val="506"/>
          <w:jc w:val="center"/>
        </w:trPr>
        <w:tc>
          <w:tcPr>
            <w:tcW w:w="791" w:type="dxa"/>
            <w:tcBorders>
              <w:top w:val="single" w:sz="4" w:space="0" w:color="auto"/>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lang w:val="es-ES" w:eastAsia="es-ES"/>
              </w:rPr>
            </w:pPr>
            <w:r w:rsidRPr="001876E4">
              <w:rPr>
                <w:rFonts w:ascii="Arial" w:eastAsia="Times New Roman" w:hAnsi="Arial" w:cs="Arial"/>
                <w:b/>
                <w:bCs/>
                <w:color w:val="000000"/>
                <w:sz w:val="20"/>
                <w:szCs w:val="20"/>
                <w:lang w:val="es-ES" w:eastAsia="es-ES"/>
              </w:rPr>
              <w:t>Clave</w:t>
            </w:r>
          </w:p>
        </w:tc>
        <w:tc>
          <w:tcPr>
            <w:tcW w:w="4560" w:type="dxa"/>
            <w:tcBorders>
              <w:top w:val="single" w:sz="4" w:space="0" w:color="auto"/>
              <w:left w:val="nil"/>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lang w:val="es-ES" w:eastAsia="es-ES"/>
              </w:rPr>
            </w:pPr>
            <w:r w:rsidRPr="001876E4">
              <w:rPr>
                <w:rFonts w:ascii="Arial" w:eastAsia="Times New Roman" w:hAnsi="Arial" w:cs="Arial"/>
                <w:b/>
                <w:bCs/>
                <w:color w:val="000000"/>
                <w:sz w:val="20"/>
                <w:szCs w:val="20"/>
                <w:lang w:val="es-ES" w:eastAsia="es-ES"/>
              </w:rPr>
              <w:t>Proyectos Presupuestarios</w:t>
            </w:r>
          </w:p>
        </w:tc>
        <w:tc>
          <w:tcPr>
            <w:tcW w:w="1877" w:type="dxa"/>
            <w:tcBorders>
              <w:top w:val="single" w:sz="4" w:space="0" w:color="auto"/>
              <w:left w:val="nil"/>
              <w:bottom w:val="single" w:sz="4" w:space="0" w:color="auto"/>
              <w:right w:val="single" w:sz="4" w:space="0" w:color="auto"/>
            </w:tcBorders>
            <w:vAlign w:val="center"/>
            <w:hideMark/>
          </w:tcPr>
          <w:p w:rsidR="001876E4" w:rsidRPr="001876E4" w:rsidRDefault="001876E4" w:rsidP="001876E4">
            <w:pPr>
              <w:spacing w:after="0" w:line="240" w:lineRule="auto"/>
              <w:jc w:val="center"/>
              <w:rPr>
                <w:rFonts w:ascii="Arial" w:eastAsia="Times New Roman" w:hAnsi="Arial" w:cs="Arial"/>
                <w:b/>
                <w:bCs/>
                <w:color w:val="000000"/>
                <w:sz w:val="20"/>
                <w:szCs w:val="20"/>
                <w:lang w:val="es-ES" w:eastAsia="es-ES"/>
              </w:rPr>
            </w:pPr>
            <w:r w:rsidRPr="001876E4">
              <w:rPr>
                <w:rFonts w:ascii="Arial" w:eastAsia="Times New Roman" w:hAnsi="Arial" w:cs="Arial"/>
                <w:b/>
                <w:bCs/>
                <w:color w:val="000000"/>
                <w:sz w:val="20"/>
                <w:szCs w:val="20"/>
                <w:lang w:val="es-ES" w:eastAsia="es-ES"/>
              </w:rPr>
              <w:t>Asignación Presupuestal</w:t>
            </w:r>
          </w:p>
        </w:tc>
      </w:tr>
      <w:tr w:rsidR="001876E4" w:rsidRPr="001876E4" w:rsidTr="00947D11">
        <w:trPr>
          <w:trHeight w:val="300"/>
          <w:jc w:val="center"/>
        </w:trPr>
        <w:tc>
          <w:tcPr>
            <w:tcW w:w="791" w:type="dxa"/>
            <w:tcBorders>
              <w:top w:val="nil"/>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I</w:t>
            </w:r>
          </w:p>
        </w:tc>
        <w:tc>
          <w:tcPr>
            <w:tcW w:w="4560" w:type="dxa"/>
            <w:tcBorders>
              <w:top w:val="nil"/>
              <w:left w:val="nil"/>
              <w:bottom w:val="single" w:sz="4" w:space="0" w:color="auto"/>
              <w:right w:val="single" w:sz="4" w:space="0" w:color="auto"/>
            </w:tcBorders>
            <w:noWrap/>
            <w:vAlign w:val="center"/>
            <w:hideMark/>
          </w:tcPr>
          <w:p w:rsidR="001876E4" w:rsidRPr="001876E4" w:rsidRDefault="001876E4" w:rsidP="001876E4">
            <w:pPr>
              <w:spacing w:after="0" w:line="240" w:lineRule="auto"/>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Inversión</w:t>
            </w:r>
          </w:p>
        </w:tc>
        <w:tc>
          <w:tcPr>
            <w:tcW w:w="187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1,049,877,965</w:t>
            </w:r>
          </w:p>
        </w:tc>
      </w:tr>
      <w:tr w:rsidR="001876E4" w:rsidRPr="001876E4" w:rsidTr="00947D11">
        <w:trPr>
          <w:trHeight w:val="300"/>
          <w:jc w:val="center"/>
        </w:trPr>
        <w:tc>
          <w:tcPr>
            <w:tcW w:w="791" w:type="dxa"/>
            <w:tcBorders>
              <w:top w:val="nil"/>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K</w:t>
            </w:r>
          </w:p>
        </w:tc>
        <w:tc>
          <w:tcPr>
            <w:tcW w:w="4560" w:type="dxa"/>
            <w:tcBorders>
              <w:top w:val="nil"/>
              <w:left w:val="nil"/>
              <w:bottom w:val="single" w:sz="4" w:space="0" w:color="auto"/>
              <w:right w:val="single" w:sz="4" w:space="0" w:color="auto"/>
            </w:tcBorders>
            <w:noWrap/>
            <w:vAlign w:val="center"/>
            <w:hideMark/>
          </w:tcPr>
          <w:p w:rsidR="001876E4" w:rsidRPr="001876E4" w:rsidRDefault="001876E4" w:rsidP="001876E4">
            <w:pPr>
              <w:spacing w:after="0" w:line="240" w:lineRule="auto"/>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Infraestructura</w:t>
            </w:r>
          </w:p>
        </w:tc>
        <w:tc>
          <w:tcPr>
            <w:tcW w:w="187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1,034,547,376</w:t>
            </w:r>
          </w:p>
        </w:tc>
      </w:tr>
      <w:tr w:rsidR="001876E4" w:rsidRPr="001876E4" w:rsidTr="00947D11">
        <w:trPr>
          <w:trHeight w:val="300"/>
          <w:jc w:val="center"/>
        </w:trPr>
        <w:tc>
          <w:tcPr>
            <w:tcW w:w="791" w:type="dxa"/>
            <w:tcBorders>
              <w:top w:val="nil"/>
              <w:left w:val="single" w:sz="4" w:space="0" w:color="auto"/>
              <w:bottom w:val="single" w:sz="4" w:space="0" w:color="auto"/>
              <w:right w:val="single" w:sz="4" w:space="0" w:color="auto"/>
            </w:tcBorders>
            <w:noWrap/>
            <w:vAlign w:val="center"/>
            <w:hideMark/>
          </w:tcPr>
          <w:p w:rsidR="001876E4" w:rsidRPr="001876E4" w:rsidRDefault="001876E4" w:rsidP="001876E4">
            <w:pPr>
              <w:spacing w:after="0" w:line="240" w:lineRule="auto"/>
              <w:jc w:val="center"/>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S</w:t>
            </w:r>
          </w:p>
        </w:tc>
        <w:tc>
          <w:tcPr>
            <w:tcW w:w="4560" w:type="dxa"/>
            <w:tcBorders>
              <w:top w:val="nil"/>
              <w:left w:val="nil"/>
              <w:bottom w:val="single" w:sz="4" w:space="0" w:color="auto"/>
              <w:right w:val="single" w:sz="4" w:space="0" w:color="auto"/>
            </w:tcBorders>
            <w:noWrap/>
            <w:vAlign w:val="center"/>
            <w:hideMark/>
          </w:tcPr>
          <w:p w:rsidR="001876E4" w:rsidRPr="001876E4" w:rsidRDefault="001876E4" w:rsidP="001876E4">
            <w:pPr>
              <w:spacing w:after="0" w:line="240" w:lineRule="auto"/>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Prestación de Servicios</w:t>
            </w:r>
          </w:p>
        </w:tc>
        <w:tc>
          <w:tcPr>
            <w:tcW w:w="187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color w:val="000000"/>
                <w:sz w:val="20"/>
                <w:szCs w:val="20"/>
              </w:rPr>
            </w:pPr>
            <w:r w:rsidRPr="001876E4">
              <w:rPr>
                <w:rFonts w:ascii="Arial" w:hAnsi="Arial" w:cs="Arial"/>
                <w:color w:val="000000"/>
                <w:sz w:val="20"/>
                <w:szCs w:val="20"/>
              </w:rPr>
              <w:t>14,645,945,659</w:t>
            </w:r>
          </w:p>
        </w:tc>
      </w:tr>
      <w:tr w:rsidR="001876E4" w:rsidRPr="001876E4" w:rsidTr="00947D11">
        <w:trPr>
          <w:trHeight w:val="300"/>
          <w:jc w:val="center"/>
        </w:trPr>
        <w:tc>
          <w:tcPr>
            <w:tcW w:w="791" w:type="dxa"/>
            <w:tcBorders>
              <w:top w:val="nil"/>
              <w:left w:val="single" w:sz="4" w:space="0" w:color="auto"/>
              <w:bottom w:val="single" w:sz="4" w:space="0" w:color="auto"/>
              <w:right w:val="single" w:sz="4" w:space="0" w:color="auto"/>
            </w:tcBorders>
            <w:noWrap/>
            <w:vAlign w:val="bottom"/>
            <w:hideMark/>
          </w:tcPr>
          <w:p w:rsidR="001876E4" w:rsidRPr="001876E4" w:rsidRDefault="001876E4" w:rsidP="001876E4">
            <w:pPr>
              <w:spacing w:after="0" w:line="240" w:lineRule="auto"/>
              <w:rPr>
                <w:rFonts w:ascii="Arial" w:eastAsia="Times New Roman" w:hAnsi="Arial" w:cs="Arial"/>
                <w:color w:val="000000"/>
                <w:sz w:val="20"/>
                <w:szCs w:val="20"/>
                <w:lang w:val="es-ES" w:eastAsia="es-ES"/>
              </w:rPr>
            </w:pPr>
            <w:r w:rsidRPr="001876E4">
              <w:rPr>
                <w:rFonts w:ascii="Arial" w:eastAsia="Times New Roman" w:hAnsi="Arial" w:cs="Arial"/>
                <w:color w:val="000000"/>
                <w:sz w:val="20"/>
                <w:szCs w:val="20"/>
                <w:lang w:val="es-ES" w:eastAsia="es-ES"/>
              </w:rPr>
              <w:t> </w:t>
            </w:r>
          </w:p>
        </w:tc>
        <w:tc>
          <w:tcPr>
            <w:tcW w:w="4560" w:type="dxa"/>
            <w:tcBorders>
              <w:top w:val="nil"/>
              <w:left w:val="nil"/>
              <w:bottom w:val="single" w:sz="4" w:space="0" w:color="auto"/>
              <w:right w:val="single" w:sz="4" w:space="0" w:color="auto"/>
            </w:tcBorders>
            <w:noWrap/>
            <w:vAlign w:val="center"/>
            <w:hideMark/>
          </w:tcPr>
          <w:p w:rsidR="001876E4" w:rsidRPr="001876E4" w:rsidRDefault="001876E4" w:rsidP="001876E4">
            <w:pPr>
              <w:spacing w:after="0" w:line="240" w:lineRule="auto"/>
              <w:jc w:val="center"/>
              <w:rPr>
                <w:rFonts w:ascii="Arial" w:eastAsia="Times New Roman" w:hAnsi="Arial" w:cs="Arial"/>
                <w:b/>
                <w:color w:val="000000"/>
                <w:sz w:val="20"/>
                <w:szCs w:val="20"/>
                <w:lang w:val="es-ES" w:eastAsia="es-ES"/>
              </w:rPr>
            </w:pPr>
            <w:r w:rsidRPr="001876E4">
              <w:rPr>
                <w:rFonts w:ascii="Arial" w:eastAsia="Times New Roman" w:hAnsi="Arial" w:cs="Arial"/>
                <w:b/>
                <w:color w:val="000000"/>
                <w:sz w:val="20"/>
                <w:szCs w:val="20"/>
                <w:lang w:val="es-ES" w:eastAsia="es-ES"/>
              </w:rPr>
              <w:t>Total</w:t>
            </w:r>
          </w:p>
        </w:tc>
        <w:tc>
          <w:tcPr>
            <w:tcW w:w="1877" w:type="dxa"/>
            <w:tcBorders>
              <w:top w:val="nil"/>
              <w:left w:val="nil"/>
              <w:bottom w:val="single" w:sz="4" w:space="0" w:color="auto"/>
              <w:right w:val="single" w:sz="4" w:space="0" w:color="auto"/>
            </w:tcBorders>
            <w:noWrap/>
            <w:vAlign w:val="center"/>
          </w:tcPr>
          <w:p w:rsidR="001876E4" w:rsidRPr="001876E4" w:rsidRDefault="001876E4" w:rsidP="001876E4">
            <w:pPr>
              <w:spacing w:after="0" w:line="240" w:lineRule="auto"/>
              <w:jc w:val="right"/>
              <w:rPr>
                <w:rFonts w:ascii="Arial" w:hAnsi="Arial" w:cs="Arial"/>
                <w:b/>
                <w:bCs/>
                <w:color w:val="000000"/>
                <w:sz w:val="20"/>
                <w:szCs w:val="20"/>
              </w:rPr>
            </w:pPr>
            <w:r w:rsidRPr="001876E4">
              <w:rPr>
                <w:rFonts w:ascii="Arial" w:hAnsi="Arial" w:cs="Arial"/>
                <w:b/>
                <w:bCs/>
                <w:color w:val="000000"/>
                <w:sz w:val="20"/>
                <w:szCs w:val="20"/>
              </w:rPr>
              <w:t>16,730,371,000</w:t>
            </w:r>
          </w:p>
        </w:tc>
      </w:tr>
    </w:tbl>
    <w:p w:rsidR="001876E4" w:rsidRPr="001876E4" w:rsidRDefault="001876E4" w:rsidP="001876E4">
      <w:pPr>
        <w:spacing w:after="0" w:line="240" w:lineRule="auto"/>
        <w:jc w:val="both"/>
        <w:rPr>
          <w:rFonts w:ascii="Arial" w:eastAsia="Calibri" w:hAnsi="Arial" w:cs="Times New Roman"/>
          <w:sz w:val="24"/>
          <w:lang w:val="es-ES" w:eastAsia="en-US"/>
        </w:rPr>
      </w:pPr>
    </w:p>
    <w:p w:rsidR="001876E4" w:rsidRPr="001876E4" w:rsidRDefault="001876E4" w:rsidP="001876E4">
      <w:pPr>
        <w:spacing w:after="0" w:line="240" w:lineRule="auto"/>
        <w:jc w:val="both"/>
        <w:rPr>
          <w:rFonts w:ascii="Arial" w:eastAsia="Calibri" w:hAnsi="Arial" w:cs="Times New Roman"/>
          <w:sz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bookmarkStart w:id="34" w:name="_Toc465292963"/>
      <w:bookmarkStart w:id="35" w:name="_Toc465292891"/>
      <w:r w:rsidRPr="001876E4">
        <w:rPr>
          <w:rFonts w:ascii="Arial" w:eastAsia="Times New Roman" w:hAnsi="Arial" w:cs="Arial"/>
          <w:b/>
          <w:sz w:val="24"/>
          <w:szCs w:val="24"/>
          <w:lang w:val="es-ES" w:eastAsia="en-US"/>
        </w:rPr>
        <w:t>CAPÍTULO II</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 xml:space="preserve"> DE LA EVALUACIÓN DEL DESEMPEÑO</w:t>
      </w:r>
      <w:bookmarkEnd w:id="34"/>
      <w:bookmarkEnd w:id="35"/>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79</w:t>
      </w:r>
      <w:r w:rsidRPr="001876E4">
        <w:rPr>
          <w:rFonts w:ascii="Arial" w:eastAsia="Calibri" w:hAnsi="Arial" w:cs="Arial"/>
          <w:sz w:val="24"/>
          <w:szCs w:val="24"/>
          <w:lang w:val="es-ES" w:eastAsia="en-US"/>
        </w:rPr>
        <w:t>. Los recursos públicos de que dispongan los Entes Públicos serán sujetos a un Sistema de Evaluación del Desempeño, con el propósito de orientar la operación de los Programas Presupuestarios al logro de resultados.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Poder Legislativo, el Poder Judicial y los Órganos Estatales Autónomos, diseñarán y operarán su propio Sistema de Evaluación del Desempeño, de conformidad con el marco legal vigente que les sea aplicable.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Titular del Ejecutivo, a través de la Secretaría y a petición expresa del Congreso del Estado, del Poder Judicial y de los Órganos Estatales Autónomos, les proporcionará la asesoría y apoyo técnico que requieran en materia de Evaluación del Desempeño.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lastRenderedPageBreak/>
        <w:t>Artículo 80</w:t>
      </w:r>
      <w:r w:rsidRPr="001876E4">
        <w:rPr>
          <w:rFonts w:ascii="Arial" w:eastAsia="Calibri" w:hAnsi="Arial" w:cs="Arial"/>
          <w:sz w:val="24"/>
          <w:szCs w:val="24"/>
          <w:lang w:val="es-ES" w:eastAsia="en-US"/>
        </w:rPr>
        <w:t>. Son obligaciones de las Dependencias de la Administración Pública Centralizada y de las Entidades de la Administración Pública Paraestatal, en materia de evaluación del desempeño, las siguientes: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32"/>
        </w:numPr>
        <w:tabs>
          <w:tab w:val="left" w:pos="709"/>
        </w:tabs>
        <w:spacing w:after="0" w:line="240" w:lineRule="auto"/>
        <w:ind w:left="709" w:hanging="425"/>
        <w:contextualSpacing/>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Elaborar y proponer a la Secretaría, los Indicadores de Desempeño de los Programas Presupuestarios;</w:t>
      </w:r>
    </w:p>
    <w:p w:rsidR="001876E4" w:rsidRPr="001876E4" w:rsidRDefault="001876E4" w:rsidP="001876E4">
      <w:pPr>
        <w:tabs>
          <w:tab w:val="left" w:pos="709"/>
        </w:tabs>
        <w:spacing w:after="0" w:line="240" w:lineRule="auto"/>
        <w:ind w:left="709"/>
        <w:contextualSpacing/>
        <w:jc w:val="both"/>
        <w:rPr>
          <w:rFonts w:ascii="Arial" w:eastAsia="Calibri" w:hAnsi="Arial" w:cs="Arial"/>
          <w:sz w:val="24"/>
          <w:szCs w:val="24"/>
          <w:lang w:val="es-ES" w:eastAsia="en-US"/>
        </w:rPr>
      </w:pPr>
    </w:p>
    <w:p w:rsidR="001876E4" w:rsidRPr="001876E4" w:rsidRDefault="001876E4" w:rsidP="001876E4">
      <w:pPr>
        <w:spacing w:after="0" w:line="240" w:lineRule="auto"/>
        <w:ind w:left="709" w:hanging="425"/>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II. </w:t>
      </w:r>
      <w:r w:rsidRPr="001876E4">
        <w:rPr>
          <w:rFonts w:ascii="Arial" w:eastAsia="Calibri" w:hAnsi="Arial" w:cs="Arial"/>
          <w:sz w:val="24"/>
          <w:szCs w:val="24"/>
          <w:lang w:val="es-ES" w:eastAsia="en-US"/>
        </w:rPr>
        <w:tab/>
        <w:t>Realizar la evaluación por sí mismos o a través de evaluadores externos, del grado de cumplimiento de los Indicadores de Desempeño, con cargo a su propio presupuesto, dicha evaluación deberá ser enterada a la Secretaría de Planeación y Finanzas;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ind w:left="709" w:hanging="425"/>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III. </w:t>
      </w:r>
      <w:r w:rsidRPr="001876E4">
        <w:rPr>
          <w:rFonts w:ascii="Arial" w:eastAsia="Calibri" w:hAnsi="Arial" w:cs="Arial"/>
          <w:sz w:val="24"/>
          <w:szCs w:val="24"/>
          <w:lang w:val="es-ES" w:eastAsia="en-US"/>
        </w:rPr>
        <w:tab/>
        <w:t>Dar seguimiento y monitoreo de los Indicadores Estratégicos e Indicadores de Gestión de los programas presupuestarios;</w:t>
      </w:r>
    </w:p>
    <w:p w:rsidR="001876E4" w:rsidRPr="001876E4" w:rsidRDefault="001876E4" w:rsidP="001876E4">
      <w:pPr>
        <w:spacing w:after="0" w:line="240" w:lineRule="auto"/>
        <w:ind w:left="709" w:hanging="425"/>
        <w:jc w:val="both"/>
        <w:rPr>
          <w:rFonts w:ascii="Arial" w:eastAsia="Calibri" w:hAnsi="Arial" w:cs="Arial"/>
          <w:sz w:val="24"/>
          <w:szCs w:val="24"/>
          <w:lang w:val="es-ES" w:eastAsia="en-US"/>
        </w:rPr>
      </w:pPr>
    </w:p>
    <w:p w:rsidR="001876E4" w:rsidRPr="001876E4" w:rsidRDefault="001876E4" w:rsidP="001876E4">
      <w:pPr>
        <w:spacing w:after="0" w:line="240" w:lineRule="auto"/>
        <w:ind w:left="709" w:hanging="425"/>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IV.</w:t>
      </w:r>
      <w:r w:rsidRPr="001876E4">
        <w:rPr>
          <w:rFonts w:ascii="Arial" w:eastAsia="Calibri" w:hAnsi="Arial" w:cs="Arial"/>
          <w:sz w:val="24"/>
          <w:szCs w:val="24"/>
          <w:lang w:val="es-ES" w:eastAsia="en-US"/>
        </w:rPr>
        <w:tab/>
        <w:t>Atender las revisiones y recomendaciones derivadas de los informes de las evaluaciones del desempeño;</w:t>
      </w:r>
    </w:p>
    <w:p w:rsidR="001876E4" w:rsidRPr="001876E4" w:rsidRDefault="001876E4" w:rsidP="001876E4">
      <w:pPr>
        <w:spacing w:after="0" w:line="240" w:lineRule="auto"/>
        <w:ind w:left="709" w:hanging="425"/>
        <w:jc w:val="both"/>
        <w:rPr>
          <w:rFonts w:ascii="Arial" w:eastAsia="Calibri" w:hAnsi="Arial" w:cs="Arial"/>
          <w:sz w:val="24"/>
          <w:szCs w:val="24"/>
          <w:lang w:val="es-ES" w:eastAsia="en-US"/>
        </w:rPr>
      </w:pPr>
    </w:p>
    <w:p w:rsidR="001876E4" w:rsidRPr="001876E4" w:rsidRDefault="001876E4" w:rsidP="00185BC9">
      <w:pPr>
        <w:numPr>
          <w:ilvl w:val="0"/>
          <w:numId w:val="23"/>
        </w:numPr>
        <w:spacing w:after="0" w:line="240" w:lineRule="auto"/>
        <w:contextualSpacing/>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Informar trimestralmente a la Secretaría los resultados de los Indicadores de Desempeño de los programas presupuestarios a su cargo, dentro de los veinte días siguientes a la conclusión del periodo correspondiente, respecto de los Indicadores de Desempeño, cuya periodicidad de su cálculo así lo permita;</w:t>
      </w:r>
    </w:p>
    <w:p w:rsidR="001876E4" w:rsidRPr="001876E4" w:rsidRDefault="001876E4" w:rsidP="001876E4">
      <w:pPr>
        <w:spacing w:after="0" w:line="240" w:lineRule="auto"/>
        <w:ind w:left="720"/>
        <w:contextualSpacing/>
        <w:jc w:val="both"/>
        <w:rPr>
          <w:rFonts w:ascii="Arial" w:eastAsia="Calibri" w:hAnsi="Arial" w:cs="Arial"/>
          <w:sz w:val="24"/>
          <w:szCs w:val="24"/>
          <w:lang w:val="es-ES" w:eastAsia="en-US"/>
        </w:rPr>
      </w:pPr>
    </w:p>
    <w:p w:rsidR="001876E4" w:rsidRPr="001876E4" w:rsidRDefault="001876E4" w:rsidP="00185BC9">
      <w:pPr>
        <w:numPr>
          <w:ilvl w:val="0"/>
          <w:numId w:val="23"/>
        </w:numPr>
        <w:spacing w:after="0" w:line="240" w:lineRule="auto"/>
        <w:contextualSpacing/>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Publicar la información derivada de la evaluación del desempeño, en los términos que marca la legislación en materia de trasparencia;</w:t>
      </w:r>
    </w:p>
    <w:p w:rsidR="001876E4" w:rsidRPr="001876E4" w:rsidRDefault="001876E4" w:rsidP="001876E4">
      <w:pPr>
        <w:spacing w:after="0" w:line="240" w:lineRule="auto"/>
        <w:ind w:left="720"/>
        <w:contextualSpacing/>
        <w:jc w:val="both"/>
        <w:rPr>
          <w:rFonts w:ascii="Arial" w:eastAsia="Calibri" w:hAnsi="Arial" w:cs="Arial"/>
          <w:sz w:val="24"/>
          <w:szCs w:val="24"/>
          <w:lang w:val="es-ES" w:eastAsia="en-US"/>
        </w:rPr>
      </w:pPr>
    </w:p>
    <w:p w:rsidR="001876E4" w:rsidRPr="001876E4" w:rsidRDefault="001876E4" w:rsidP="00185BC9">
      <w:pPr>
        <w:numPr>
          <w:ilvl w:val="0"/>
          <w:numId w:val="23"/>
        </w:numPr>
        <w:spacing w:after="0" w:line="240" w:lineRule="auto"/>
        <w:contextualSpacing/>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Elaborar e implementar proyectos de mejora para incorporarlos en el diseño, adecuación y operación de los programas a su cargo, atendiendo los resultados de las evaluaciones e informar los avances con oportunidad; y</w:t>
      </w:r>
    </w:p>
    <w:p w:rsidR="001876E4" w:rsidRPr="001876E4" w:rsidRDefault="001876E4" w:rsidP="001876E4">
      <w:pPr>
        <w:spacing w:after="0" w:line="240" w:lineRule="auto"/>
        <w:ind w:left="720"/>
        <w:contextualSpacing/>
        <w:jc w:val="both"/>
        <w:rPr>
          <w:rFonts w:ascii="Arial" w:eastAsia="Calibri" w:hAnsi="Arial" w:cs="Arial"/>
          <w:sz w:val="24"/>
          <w:szCs w:val="24"/>
          <w:lang w:val="es-ES" w:eastAsia="en-US"/>
        </w:rPr>
      </w:pPr>
    </w:p>
    <w:p w:rsidR="001876E4" w:rsidRPr="001876E4" w:rsidRDefault="001876E4" w:rsidP="00185BC9">
      <w:pPr>
        <w:numPr>
          <w:ilvl w:val="0"/>
          <w:numId w:val="23"/>
        </w:numPr>
        <w:spacing w:after="0" w:line="240" w:lineRule="auto"/>
        <w:contextualSpacing/>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Acordar con la Secretaría las adecuaciones a los programas presupuestarios en cumplimiento de las recomendaciones resultantes de los procesos de seguimiento y evaluación.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81</w:t>
      </w:r>
      <w:r w:rsidRPr="001876E4">
        <w:rPr>
          <w:rFonts w:ascii="Arial" w:eastAsia="Calibri" w:hAnsi="Arial" w:cs="Arial"/>
          <w:sz w:val="24"/>
          <w:szCs w:val="24"/>
          <w:lang w:val="es-ES" w:eastAsia="en-US"/>
        </w:rPr>
        <w:t>. La evaluación de los recursos se efectuará en base a indicadores que contengan los programas de los presupuestos respectivos de cada Ente Público, permitirán medir el grado de eficacia, eficiencia y economía con la que se realizó la gestión de los recursos y si estos se destinaron a cubrir los objetivos para lo que fueron destinados.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Órgano Superior de Auditoría y Fiscalización Gubernamental del Estado, la Contraloría General del Estado y los demás Órganos Internos de Control de los Entes Públicos, como instancias técnicas evaluadoras, de conformidad con el marco jurídico que los rige efectuarán las evaluaciones del desempeño; los resultados que arrojen dichas evaluaciones deberán publicarse en sus páginas de Internet, según lo dispuesto en el artículo 79 de la Ley General de Contabilidad Gubernamental.</w:t>
      </w:r>
    </w:p>
    <w:p w:rsidR="001876E4" w:rsidRPr="001876E4" w:rsidRDefault="001876E4" w:rsidP="001876E4">
      <w:pPr>
        <w:spacing w:after="0" w:line="240" w:lineRule="auto"/>
        <w:jc w:val="both"/>
        <w:rPr>
          <w:rFonts w:ascii="Arial" w:eastAsia="Calibri" w:hAnsi="Arial" w:cs="Arial"/>
          <w:strike/>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82</w:t>
      </w:r>
      <w:r w:rsidRPr="001876E4">
        <w:rPr>
          <w:rFonts w:ascii="Arial" w:eastAsia="Calibri" w:hAnsi="Arial" w:cs="Arial"/>
          <w:sz w:val="24"/>
          <w:szCs w:val="24"/>
          <w:lang w:val="es-ES" w:eastAsia="en-US"/>
        </w:rPr>
        <w:t>. En el proceso de integración de la información financiera para la elaboración del Anteproyecto de Presupuesto correspondiente al Ejercicio Fiscal 2018, la Secretaría deberá incorporar los resultados que deriven de los procesos de implantación y operación del Presupuesto basado en Resultados y del Sistema de Evaluación del Desempeño, establecidos en términos del artículo 134 de la Constitución Política de los Estados Unidos Mexicanos y de lo previsto en el artículo 107 de la Constitución Política del Estado Libre y Soberano de Colima.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bookmarkStart w:id="36" w:name="_Toc465292964"/>
      <w:bookmarkStart w:id="37" w:name="_Toc465292892"/>
      <w:r w:rsidRPr="001876E4">
        <w:rPr>
          <w:rFonts w:ascii="Arial" w:eastAsia="Times New Roman" w:hAnsi="Arial" w:cs="Arial"/>
          <w:b/>
          <w:sz w:val="24"/>
          <w:szCs w:val="24"/>
          <w:lang w:val="es-ES" w:eastAsia="en-US"/>
        </w:rPr>
        <w:t>CAPÍTULO III</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 xml:space="preserve"> ANEXO TRANSVERSAL DEL PRESUPUESTO</w:t>
      </w:r>
      <w:bookmarkEnd w:id="36"/>
      <w:bookmarkEnd w:id="37"/>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83</w:t>
      </w:r>
      <w:r w:rsidRPr="001876E4">
        <w:rPr>
          <w:rFonts w:ascii="Arial" w:eastAsia="Calibri" w:hAnsi="Arial" w:cs="Arial"/>
          <w:sz w:val="24"/>
          <w:szCs w:val="24"/>
          <w:lang w:val="es-ES" w:eastAsia="en-US"/>
        </w:rPr>
        <w:t>. En cumplimiento a lo dispuesto por el artículo 1º de la Constitución Política del Estado Libre y Soberano de Colima el artículo 41, fracción II, de la Ley Federal de Presupuesto y Responsabilidad Hacendaria; y el presente Presupuesto de Egresos para el Ejercicio Fiscal 2018, establece las previsiones de gasto para: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Igualdad Sustantiva;</w:t>
      </w:r>
    </w:p>
    <w:p w:rsidR="001876E4" w:rsidRPr="001876E4" w:rsidRDefault="001876E4" w:rsidP="001876E4">
      <w:pPr>
        <w:spacing w:after="0" w:line="240" w:lineRule="auto"/>
        <w:ind w:left="1004"/>
        <w:contextualSpacing/>
        <w:jc w:val="both"/>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Desarrollo de los Jóvenes;</w:t>
      </w:r>
    </w:p>
    <w:p w:rsidR="001876E4" w:rsidRPr="001876E4" w:rsidRDefault="001876E4" w:rsidP="001876E4">
      <w:pPr>
        <w:spacing w:after="0" w:line="240" w:lineRule="auto"/>
        <w:ind w:left="720"/>
        <w:contextualSpacing/>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Atención a Grupos en Situación de Vulnerabilidad;</w:t>
      </w:r>
    </w:p>
    <w:p w:rsidR="001876E4" w:rsidRPr="001876E4" w:rsidRDefault="001876E4" w:rsidP="001876E4">
      <w:pPr>
        <w:spacing w:after="0" w:line="240" w:lineRule="auto"/>
        <w:ind w:left="720"/>
        <w:contextualSpacing/>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Mitigación de los Efectos del Cambio Climático;</w:t>
      </w:r>
    </w:p>
    <w:p w:rsidR="001876E4" w:rsidRPr="001876E4" w:rsidRDefault="001876E4" w:rsidP="001876E4">
      <w:pPr>
        <w:spacing w:after="0" w:line="240" w:lineRule="auto"/>
        <w:ind w:left="1004"/>
        <w:contextualSpacing/>
        <w:jc w:val="both"/>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Atención a Niños, Niñas y Adolescentes;</w:t>
      </w:r>
    </w:p>
    <w:p w:rsidR="001876E4" w:rsidRPr="001876E4" w:rsidRDefault="001876E4" w:rsidP="001876E4">
      <w:pPr>
        <w:spacing w:after="0" w:line="240" w:lineRule="auto"/>
        <w:ind w:left="1004"/>
        <w:contextualSpacing/>
        <w:jc w:val="both"/>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Transparencia y Rendición de Cuentas;</w:t>
      </w:r>
    </w:p>
    <w:p w:rsidR="001876E4" w:rsidRPr="001876E4" w:rsidRDefault="001876E4" w:rsidP="001876E4">
      <w:pPr>
        <w:spacing w:after="0" w:line="240" w:lineRule="auto"/>
        <w:ind w:left="1004"/>
        <w:contextualSpacing/>
        <w:jc w:val="both"/>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Agenda 20-30. Desarrollo Sostenible; y</w:t>
      </w:r>
    </w:p>
    <w:p w:rsidR="001876E4" w:rsidRPr="001876E4" w:rsidRDefault="001876E4" w:rsidP="001876E4">
      <w:pPr>
        <w:spacing w:after="0" w:line="240" w:lineRule="auto"/>
        <w:ind w:left="1004"/>
        <w:contextualSpacing/>
        <w:jc w:val="both"/>
        <w:rPr>
          <w:rFonts w:ascii="Arial" w:eastAsia="Times New Roman" w:hAnsi="Arial" w:cs="Arial"/>
          <w:sz w:val="24"/>
          <w:szCs w:val="24"/>
        </w:rPr>
      </w:pPr>
    </w:p>
    <w:p w:rsidR="001876E4" w:rsidRPr="001876E4" w:rsidRDefault="001876E4" w:rsidP="00185BC9">
      <w:pPr>
        <w:numPr>
          <w:ilvl w:val="0"/>
          <w:numId w:val="27"/>
        </w:numPr>
        <w:spacing w:after="0" w:line="240" w:lineRule="auto"/>
        <w:ind w:hanging="720"/>
        <w:contextualSpacing/>
        <w:jc w:val="both"/>
        <w:rPr>
          <w:rFonts w:ascii="Arial" w:eastAsia="Times New Roman" w:hAnsi="Arial" w:cs="Arial"/>
          <w:sz w:val="24"/>
          <w:szCs w:val="24"/>
        </w:rPr>
      </w:pPr>
      <w:r w:rsidRPr="001876E4">
        <w:rPr>
          <w:rFonts w:ascii="Arial" w:eastAsia="Times New Roman" w:hAnsi="Arial" w:cs="Arial"/>
          <w:sz w:val="24"/>
          <w:szCs w:val="24"/>
        </w:rPr>
        <w:t>Sistema Estatal Anticorrupción.</w:t>
      </w:r>
    </w:p>
    <w:p w:rsidR="001876E4" w:rsidRPr="001876E4" w:rsidRDefault="001876E4" w:rsidP="001876E4">
      <w:pPr>
        <w:spacing w:after="0" w:line="240" w:lineRule="auto"/>
        <w:ind w:hanging="1004"/>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lastRenderedPageBreak/>
        <w:t>A continuación, se establece el resumen de la asignación presupuestaria clasificada por cada uno de los elementos de la transversalidad:</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6"/>
          <w:lang w:val="es-ES" w:eastAsia="en-US"/>
        </w:rPr>
      </w:pPr>
      <w:r w:rsidRPr="001876E4">
        <w:rPr>
          <w:rFonts w:ascii="Arial" w:eastAsia="Times New Roman" w:hAnsi="Arial" w:cs="Times New Roman"/>
          <w:b/>
          <w:szCs w:val="26"/>
          <w:lang w:val="es-ES" w:eastAsia="en-US"/>
        </w:rPr>
        <w:t>Tabla 75. Enfoque Transversal del Presupuesto</w:t>
      </w:r>
    </w:p>
    <w:tbl>
      <w:tblPr>
        <w:tblStyle w:val="Tablaconcuadrcula2"/>
        <w:tblW w:w="0" w:type="auto"/>
        <w:jc w:val="center"/>
        <w:tblLook w:val="04A0" w:firstRow="1" w:lastRow="0" w:firstColumn="1" w:lastColumn="0" w:noHBand="0" w:noVBand="1"/>
      </w:tblPr>
      <w:tblGrid>
        <w:gridCol w:w="750"/>
        <w:gridCol w:w="6073"/>
        <w:gridCol w:w="1607"/>
      </w:tblGrid>
      <w:tr w:rsidR="001876E4" w:rsidRPr="001876E4" w:rsidTr="00947D11">
        <w:trPr>
          <w:trHeight w:val="525"/>
          <w:jc w:val="center"/>
        </w:trPr>
        <w:tc>
          <w:tcPr>
            <w:tcW w:w="750" w:type="dxa"/>
            <w:noWrap/>
            <w:vAlign w:val="center"/>
            <w:hideMark/>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Clave</w:t>
            </w:r>
          </w:p>
        </w:tc>
        <w:tc>
          <w:tcPr>
            <w:tcW w:w="6073" w:type="dxa"/>
            <w:noWrap/>
            <w:vAlign w:val="center"/>
            <w:hideMark/>
          </w:tcPr>
          <w:p w:rsidR="001876E4" w:rsidRPr="001876E4" w:rsidRDefault="001876E4" w:rsidP="001876E4">
            <w:pPr>
              <w:jc w:val="center"/>
              <w:rPr>
                <w:rFonts w:ascii="Arial" w:hAnsi="Arial" w:cs="Arial"/>
                <w:b/>
                <w:bCs/>
                <w:sz w:val="18"/>
                <w:szCs w:val="18"/>
              </w:rPr>
            </w:pPr>
            <w:r w:rsidRPr="001876E4">
              <w:rPr>
                <w:rFonts w:ascii="Arial" w:hAnsi="Arial" w:cs="Arial"/>
                <w:b/>
                <w:sz w:val="18"/>
                <w:szCs w:val="18"/>
              </w:rPr>
              <w:t>Transversalidad</w:t>
            </w:r>
          </w:p>
        </w:tc>
        <w:tc>
          <w:tcPr>
            <w:tcW w:w="1607" w:type="dxa"/>
            <w:vAlign w:val="center"/>
            <w:hideMark/>
          </w:tcPr>
          <w:p w:rsidR="001876E4" w:rsidRPr="001876E4" w:rsidRDefault="001876E4" w:rsidP="001876E4">
            <w:pPr>
              <w:jc w:val="center"/>
              <w:rPr>
                <w:rFonts w:ascii="Arial" w:hAnsi="Arial" w:cs="Arial"/>
                <w:b/>
                <w:bCs/>
                <w:sz w:val="18"/>
                <w:szCs w:val="18"/>
              </w:rPr>
            </w:pPr>
            <w:r w:rsidRPr="001876E4">
              <w:rPr>
                <w:rFonts w:ascii="Arial" w:hAnsi="Arial" w:cs="Arial"/>
                <w:b/>
                <w:bCs/>
                <w:sz w:val="18"/>
                <w:szCs w:val="18"/>
              </w:rPr>
              <w:t>Asignación Presupuestal</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A</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Igualdad Sustantiva - Igualdad de Oportunidades</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390,090,599</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B</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Igualdad Sustantiva - Acciones afirmativas</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21,756,235</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C</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Igualdad Sustantiva - Violencia de Género</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60,203,960</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D</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Desarrollo de los Jóvenes - Empleo</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6,502,416</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E</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Desarrollo de los Jóvenes - Salud</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4,304,615</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F</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Desarrollo de los Jóvenes - Educación</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1,884,235,481</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G</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Grupos en situación de Vulnerabilidad - Personas con Discapacidad</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10,969,884</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H</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Grupos en situación de Vulnerabilidad - Adultos mayores</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307,247,709</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K</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Grupos en situación de Vulnerabilidad - LGBTTTI</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117,272</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L</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Mitigación de los efectos del cambio climático - Manejo sustentable de los recursos</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40,038,760</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M</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Mitigación de los efectos del cambio climático - Sistemas de movilidad sustentable</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68,090,351</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N</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Mitigación de los efectos del cambio climático - Educación ambiental</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710,307,226</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O</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Niños, Niñas y Adolescentes - Derecho al Desarrollo</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3,690,325,698</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P</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Niños, Niñas y Adolescentes - Derecho a la Protección</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8,287,476</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Q</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Niños, Niñas y Adolescentes - Derecho a la Participación</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539,500</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R</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Atención a Niños, Niñas y Adolescentes - Derecho a la Supervivencia</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53,840,464</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S</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Transparencia y Rendición de Cuentas</w:t>
            </w:r>
          </w:p>
        </w:tc>
        <w:tc>
          <w:tcPr>
            <w:tcW w:w="1607" w:type="dxa"/>
            <w:noWrap/>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1,039,817,329</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T</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Agenda 20-30. Desarrollo Sostenible</w:t>
            </w:r>
          </w:p>
        </w:tc>
        <w:tc>
          <w:tcPr>
            <w:tcW w:w="1607" w:type="dxa"/>
            <w:noWrap/>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5,933,554,838</w:t>
            </w:r>
          </w:p>
        </w:tc>
      </w:tr>
      <w:tr w:rsidR="001876E4" w:rsidRPr="001876E4" w:rsidTr="00947D11">
        <w:trPr>
          <w:trHeight w:val="255"/>
          <w:jc w:val="center"/>
        </w:trPr>
        <w:tc>
          <w:tcPr>
            <w:tcW w:w="750" w:type="dxa"/>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U</w:t>
            </w:r>
          </w:p>
        </w:tc>
        <w:tc>
          <w:tcPr>
            <w:tcW w:w="6073" w:type="dxa"/>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Sistema Estatal Anticorrupción</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17,706,067</w:t>
            </w:r>
          </w:p>
        </w:tc>
      </w:tr>
      <w:tr w:rsidR="001876E4" w:rsidRPr="001876E4" w:rsidTr="00947D11">
        <w:trPr>
          <w:trHeight w:val="255"/>
          <w:jc w:val="center"/>
        </w:trPr>
        <w:tc>
          <w:tcPr>
            <w:tcW w:w="750" w:type="dxa"/>
            <w:tcBorders>
              <w:bottom w:val="single" w:sz="4" w:space="0" w:color="auto"/>
            </w:tcBorders>
            <w:noWrap/>
            <w:vAlign w:val="center"/>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V</w:t>
            </w:r>
          </w:p>
        </w:tc>
        <w:tc>
          <w:tcPr>
            <w:tcW w:w="6073" w:type="dxa"/>
            <w:tcBorders>
              <w:bottom w:val="single" w:sz="4" w:space="0" w:color="auto"/>
            </w:tcBorders>
            <w:noWrap/>
            <w:vAlign w:val="center"/>
          </w:tcPr>
          <w:p w:rsidR="001876E4" w:rsidRPr="001876E4" w:rsidRDefault="001876E4" w:rsidP="001876E4">
            <w:pPr>
              <w:rPr>
                <w:rFonts w:ascii="Arial" w:hAnsi="Arial" w:cs="Arial"/>
                <w:sz w:val="18"/>
                <w:szCs w:val="18"/>
              </w:rPr>
            </w:pPr>
            <w:r w:rsidRPr="001876E4">
              <w:rPr>
                <w:rFonts w:ascii="Arial" w:hAnsi="Arial" w:cs="Arial"/>
                <w:sz w:val="18"/>
                <w:szCs w:val="18"/>
              </w:rPr>
              <w:t>Sin Transversalidad Específica</w:t>
            </w:r>
          </w:p>
        </w:tc>
        <w:tc>
          <w:tcPr>
            <w:tcW w:w="1607" w:type="dxa"/>
            <w:noWrap/>
            <w:vAlign w:val="center"/>
          </w:tcPr>
          <w:p w:rsidR="001876E4" w:rsidRPr="001876E4" w:rsidRDefault="001876E4" w:rsidP="001876E4">
            <w:pPr>
              <w:jc w:val="right"/>
              <w:rPr>
                <w:rFonts w:ascii="Arial" w:hAnsi="Arial" w:cs="Arial"/>
                <w:color w:val="000000"/>
                <w:sz w:val="18"/>
                <w:szCs w:val="18"/>
              </w:rPr>
            </w:pPr>
            <w:r w:rsidRPr="001876E4">
              <w:rPr>
                <w:rFonts w:ascii="Arial" w:hAnsi="Arial" w:cs="Arial"/>
                <w:color w:val="000000"/>
                <w:sz w:val="18"/>
                <w:szCs w:val="18"/>
              </w:rPr>
              <w:t>2,482,435,120</w:t>
            </w:r>
          </w:p>
        </w:tc>
      </w:tr>
      <w:tr w:rsidR="001876E4" w:rsidRPr="001876E4" w:rsidTr="00947D11">
        <w:trPr>
          <w:trHeight w:val="255"/>
          <w:jc w:val="center"/>
        </w:trPr>
        <w:tc>
          <w:tcPr>
            <w:tcW w:w="750" w:type="dxa"/>
            <w:tcBorders>
              <w:top w:val="single" w:sz="4" w:space="0" w:color="auto"/>
              <w:left w:val="single" w:sz="4" w:space="0" w:color="auto"/>
              <w:bottom w:val="single" w:sz="4" w:space="0" w:color="auto"/>
              <w:right w:val="nil"/>
            </w:tcBorders>
            <w:noWrap/>
          </w:tcPr>
          <w:p w:rsidR="001876E4" w:rsidRPr="001876E4" w:rsidRDefault="001876E4" w:rsidP="001876E4">
            <w:pPr>
              <w:jc w:val="center"/>
              <w:rPr>
                <w:rFonts w:ascii="Arial" w:hAnsi="Arial" w:cs="Arial"/>
                <w:sz w:val="18"/>
                <w:szCs w:val="18"/>
              </w:rPr>
            </w:pPr>
          </w:p>
        </w:tc>
        <w:tc>
          <w:tcPr>
            <w:tcW w:w="6073" w:type="dxa"/>
            <w:tcBorders>
              <w:top w:val="single" w:sz="4" w:space="0" w:color="auto"/>
              <w:left w:val="nil"/>
              <w:bottom w:val="single" w:sz="4" w:space="0" w:color="auto"/>
              <w:right w:val="single" w:sz="4" w:space="0" w:color="auto"/>
            </w:tcBorders>
            <w:noWrap/>
          </w:tcPr>
          <w:p w:rsidR="001876E4" w:rsidRPr="001876E4" w:rsidRDefault="001876E4" w:rsidP="001876E4">
            <w:pPr>
              <w:jc w:val="center"/>
              <w:rPr>
                <w:rFonts w:ascii="Arial" w:hAnsi="Arial" w:cs="Arial"/>
                <w:b/>
                <w:sz w:val="18"/>
                <w:szCs w:val="18"/>
              </w:rPr>
            </w:pPr>
            <w:r w:rsidRPr="001876E4">
              <w:rPr>
                <w:rFonts w:ascii="Arial" w:hAnsi="Arial" w:cs="Arial"/>
                <w:b/>
                <w:sz w:val="18"/>
                <w:szCs w:val="18"/>
              </w:rPr>
              <w:t>Total</w:t>
            </w:r>
          </w:p>
        </w:tc>
        <w:tc>
          <w:tcPr>
            <w:tcW w:w="1607" w:type="dxa"/>
            <w:tcBorders>
              <w:left w:val="single" w:sz="4" w:space="0" w:color="auto"/>
            </w:tcBorders>
            <w:noWrap/>
            <w:vAlign w:val="center"/>
          </w:tcPr>
          <w:p w:rsidR="001876E4" w:rsidRPr="001876E4" w:rsidRDefault="001876E4" w:rsidP="001876E4">
            <w:pPr>
              <w:jc w:val="right"/>
              <w:rPr>
                <w:rFonts w:ascii="Arial" w:hAnsi="Arial" w:cs="Arial"/>
                <w:b/>
                <w:bCs/>
                <w:color w:val="000000"/>
                <w:sz w:val="18"/>
                <w:szCs w:val="18"/>
              </w:rPr>
            </w:pPr>
            <w:r w:rsidRPr="001876E4">
              <w:rPr>
                <w:rFonts w:ascii="Arial" w:hAnsi="Arial" w:cs="Arial"/>
                <w:b/>
                <w:bCs/>
                <w:color w:val="000000"/>
                <w:sz w:val="18"/>
                <w:szCs w:val="18"/>
              </w:rPr>
              <w:t>16,730,371,000</w:t>
            </w:r>
          </w:p>
        </w:tc>
      </w:tr>
    </w:tbl>
    <w:p w:rsidR="001876E4" w:rsidRPr="001876E4" w:rsidRDefault="001876E4" w:rsidP="001876E4">
      <w:pPr>
        <w:spacing w:after="0" w:line="240" w:lineRule="auto"/>
        <w:jc w:val="center"/>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En el </w:t>
      </w:r>
      <w:r w:rsidRPr="001876E4">
        <w:rPr>
          <w:rFonts w:ascii="Arial" w:eastAsia="Calibri" w:hAnsi="Arial" w:cs="Arial"/>
          <w:b/>
          <w:sz w:val="24"/>
          <w:szCs w:val="24"/>
          <w:lang w:val="es-ES" w:eastAsia="en-US"/>
        </w:rPr>
        <w:t>Anexo 12 Proyectos Presupuestarios (Enfoque Transversal)</w:t>
      </w:r>
      <w:r w:rsidRPr="001876E4">
        <w:rPr>
          <w:rFonts w:ascii="Arial" w:eastAsia="Calibri" w:hAnsi="Arial" w:cs="Arial"/>
          <w:sz w:val="24"/>
          <w:szCs w:val="24"/>
          <w:lang w:val="es-ES" w:eastAsia="en-US"/>
        </w:rPr>
        <w:t xml:space="preserve"> se enlistan los Proyectos Presupuestarios de acuerdo al enfoque transversal correspondiente.</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Adicionalmente, y para cumplir los compromisos derivados de la </w:t>
      </w:r>
      <w:r w:rsidRPr="001876E4">
        <w:rPr>
          <w:rFonts w:ascii="Arial" w:eastAsia="Calibri" w:hAnsi="Arial" w:cs="Arial"/>
          <w:b/>
          <w:sz w:val="24"/>
          <w:szCs w:val="24"/>
          <w:lang w:val="es-ES" w:eastAsia="en-US"/>
        </w:rPr>
        <w:t xml:space="preserve">Agenda 2030 y los Objetivos de Desarrollo Sostenible, </w:t>
      </w:r>
      <w:r w:rsidRPr="001876E4">
        <w:rPr>
          <w:rFonts w:ascii="Arial" w:eastAsia="Calibri" w:hAnsi="Arial" w:cs="Arial"/>
          <w:sz w:val="24"/>
          <w:szCs w:val="24"/>
          <w:lang w:val="es-ES" w:eastAsia="en-US"/>
        </w:rPr>
        <w:t xml:space="preserve">emitida por la Organización de las Naciones Unidas (ONU); las Dependencias de la Administración Pública Centralizada y Entidades de la Administración Pública Paraestatal, en el ámbito de sus respectivas competencias y con cargo a sus presupuestos, adoptarán medidas para destinar recursos orientados a atender esta obligación. Para el Ejercicio Fiscal 2018 se destinan </w:t>
      </w:r>
      <w:r w:rsidRPr="001876E4">
        <w:rPr>
          <w:rFonts w:ascii="Arial" w:eastAsia="Calibri" w:hAnsi="Arial" w:cs="Arial"/>
          <w:b/>
          <w:sz w:val="24"/>
          <w:szCs w:val="24"/>
          <w:lang w:val="es-ES" w:eastAsia="en-US"/>
        </w:rPr>
        <w:t>$5,933,554,838</w:t>
      </w:r>
      <w:r w:rsidRPr="001876E4">
        <w:rPr>
          <w:rFonts w:ascii="Arial" w:eastAsia="Calibri" w:hAnsi="Arial" w:cs="Arial"/>
          <w:sz w:val="24"/>
          <w:szCs w:val="24"/>
          <w:lang w:val="es-ES" w:eastAsia="en-US"/>
        </w:rPr>
        <w:t>, desagregados de la siguiente manera: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1"/>
        <w:rPr>
          <w:rFonts w:ascii="Arial" w:eastAsia="Times New Roman" w:hAnsi="Arial" w:cs="Times New Roman"/>
          <w:b/>
          <w:szCs w:val="20"/>
          <w:lang w:val="es-ES" w:eastAsia="en-US"/>
        </w:rPr>
      </w:pPr>
      <w:r w:rsidRPr="001876E4">
        <w:rPr>
          <w:rFonts w:ascii="Arial" w:eastAsia="Times New Roman" w:hAnsi="Arial" w:cs="Times New Roman"/>
          <w:b/>
          <w:szCs w:val="20"/>
          <w:lang w:val="es-ES" w:eastAsia="en-US"/>
        </w:rPr>
        <w:lastRenderedPageBreak/>
        <w:t xml:space="preserve">Tabla 76. </w:t>
      </w:r>
      <w:r w:rsidRPr="001876E4">
        <w:rPr>
          <w:rFonts w:ascii="Arial" w:eastAsia="Calibri" w:hAnsi="Arial" w:cs="Arial"/>
          <w:b/>
          <w:szCs w:val="20"/>
          <w:lang w:val="es-ES" w:eastAsia="en-US"/>
        </w:rPr>
        <w:t>Agenda 2030 y los Objetivos de Desarrollo Sostenible</w:t>
      </w:r>
    </w:p>
    <w:tbl>
      <w:tblPr>
        <w:tblW w:w="8647" w:type="dxa"/>
        <w:jc w:val="center"/>
        <w:tblCellMar>
          <w:left w:w="70" w:type="dxa"/>
          <w:right w:w="70" w:type="dxa"/>
        </w:tblCellMar>
        <w:tblLook w:val="04A0" w:firstRow="1" w:lastRow="0" w:firstColumn="1" w:lastColumn="0" w:noHBand="0" w:noVBand="1"/>
      </w:tblPr>
      <w:tblGrid>
        <w:gridCol w:w="821"/>
        <w:gridCol w:w="6316"/>
        <w:gridCol w:w="1510"/>
      </w:tblGrid>
      <w:tr w:rsidR="001876E4" w:rsidRPr="001876E4" w:rsidTr="00947D11">
        <w:trPr>
          <w:trHeight w:val="255"/>
          <w:jc w:val="center"/>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sz w:val="18"/>
                <w:szCs w:val="18"/>
              </w:rPr>
            </w:pPr>
            <w:r w:rsidRPr="001876E4">
              <w:rPr>
                <w:rFonts w:ascii="Arial" w:eastAsia="Times New Roman" w:hAnsi="Arial" w:cs="Arial"/>
                <w:b/>
                <w:sz w:val="18"/>
                <w:szCs w:val="18"/>
              </w:rPr>
              <w:t>Número</w:t>
            </w:r>
          </w:p>
        </w:tc>
        <w:tc>
          <w:tcPr>
            <w:tcW w:w="6523" w:type="dxa"/>
            <w:tcBorders>
              <w:top w:val="single" w:sz="4" w:space="0" w:color="auto"/>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center"/>
              <w:rPr>
                <w:rFonts w:ascii="Arial" w:eastAsia="Times New Roman" w:hAnsi="Arial" w:cs="Arial"/>
                <w:b/>
                <w:sz w:val="18"/>
                <w:szCs w:val="18"/>
              </w:rPr>
            </w:pPr>
            <w:r w:rsidRPr="001876E4">
              <w:rPr>
                <w:rFonts w:ascii="Arial" w:eastAsia="Times New Roman" w:hAnsi="Arial" w:cs="Arial"/>
                <w:b/>
                <w:sz w:val="18"/>
                <w:szCs w:val="18"/>
              </w:rPr>
              <w:t>Objetivo</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b/>
                <w:sz w:val="18"/>
                <w:szCs w:val="18"/>
              </w:rPr>
            </w:pPr>
            <w:r w:rsidRPr="001876E4">
              <w:rPr>
                <w:rFonts w:ascii="Arial" w:eastAsia="Times New Roman" w:hAnsi="Arial" w:cs="Arial"/>
                <w:b/>
                <w:sz w:val="18"/>
                <w:szCs w:val="18"/>
              </w:rPr>
              <w:t>Asignación Presupuestal</w:t>
            </w:r>
          </w:p>
        </w:tc>
      </w:tr>
      <w:tr w:rsidR="001876E4" w:rsidRPr="001876E4" w:rsidTr="00947D11">
        <w:trPr>
          <w:trHeight w:val="255"/>
          <w:jc w:val="center"/>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w:t>
            </w:r>
          </w:p>
        </w:tc>
        <w:tc>
          <w:tcPr>
            <w:tcW w:w="6523" w:type="dxa"/>
            <w:tcBorders>
              <w:top w:val="single" w:sz="4" w:space="0" w:color="auto"/>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Poner fin a la pobreza en todas sus formas en todo el mundo</w:t>
            </w:r>
          </w:p>
        </w:tc>
        <w:tc>
          <w:tcPr>
            <w:tcW w:w="1510" w:type="dxa"/>
            <w:tcBorders>
              <w:top w:val="single" w:sz="4" w:space="0" w:color="auto"/>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3,322,896</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2</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Poner fin al hambre, lograr la seguridad alimentaria y la mejora de la nutrición y promover la agricultura sostenible</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248,212,770</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3</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Garantizar una vida sana y promover el bienestar para todos en todas las edades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1,805,892,795</w:t>
            </w:r>
          </w:p>
        </w:tc>
      </w:tr>
      <w:tr w:rsidR="001876E4" w:rsidRPr="001876E4" w:rsidTr="00947D11">
        <w:trPr>
          <w:trHeight w:val="567"/>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4</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 xml:space="preserve">Garantizar una educación inclusiva, equitativa y de calidad y promover oportunidades de aprendizaje durante toda la vida para todos </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6,295,641</w:t>
            </w:r>
          </w:p>
        </w:tc>
      </w:tr>
      <w:tr w:rsidR="001876E4" w:rsidRPr="001876E4" w:rsidTr="00947D11">
        <w:trPr>
          <w:trHeight w:val="341"/>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5</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Lograr la igualdad entre los géneros y empoderar a todas las mujeres y las niñas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108,471,400</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6</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Garantizar la disponibilidad de agua y su gestión sostenible y el saneamiento para todos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204,124,775</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7</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Garantizar el acceso a una energía asequible, segura, sostenible y moderna para todos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23,229,700</w:t>
            </w:r>
          </w:p>
        </w:tc>
      </w:tr>
      <w:tr w:rsidR="001876E4" w:rsidRPr="001876E4" w:rsidTr="00947D11">
        <w:trPr>
          <w:trHeight w:val="478"/>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8</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Promover el crecimiento económico sostenido, inclusivo y sostenible, el empleo pleno y productivo y el trabajo decente para todos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160,385,791</w:t>
            </w:r>
          </w:p>
        </w:tc>
      </w:tr>
      <w:tr w:rsidR="001876E4" w:rsidRPr="001876E4" w:rsidTr="00947D11">
        <w:trPr>
          <w:trHeight w:val="485"/>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9</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Construir infraestructuras resilientes, promover la industrialización inclusiva y sostenible y fomentar la innovación</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36,378,594</w:t>
            </w:r>
          </w:p>
        </w:tc>
      </w:tr>
      <w:tr w:rsidR="001876E4" w:rsidRPr="001876E4" w:rsidTr="00947D11">
        <w:trPr>
          <w:trHeight w:val="255"/>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10</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Reducir la desigualdad en y entre los países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84,346,046</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11</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Lograr que las ciudades y los asentamientos humanos sean inclusivos, seguros, resilientes y sostenibles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29,194,730</w:t>
            </w:r>
          </w:p>
        </w:tc>
      </w:tr>
      <w:tr w:rsidR="001876E4" w:rsidRPr="001876E4" w:rsidTr="00947D11">
        <w:trPr>
          <w:trHeight w:val="25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12</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Garantizar modalidades de consumo y producción sostenibles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216,062,619</w:t>
            </w:r>
          </w:p>
        </w:tc>
      </w:tr>
      <w:tr w:rsidR="001876E4" w:rsidRPr="001876E4" w:rsidTr="00947D11">
        <w:trPr>
          <w:trHeight w:val="284"/>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13</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Adoptar medidas urgentes para combatir el cambio climático y sus efectos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165,000</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14</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Conservar y utilizar en forma sostenible los océanos, los mares y los recursos marinos para el desarrollo sostenible</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36,580,000</w:t>
            </w:r>
          </w:p>
        </w:tc>
      </w:tr>
      <w:tr w:rsidR="001876E4" w:rsidRPr="001876E4" w:rsidTr="00947D11">
        <w:trPr>
          <w:trHeight w:val="691"/>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15</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Promover el uso sostenible de los ecosistemas terrestres, luchar contra la desertificación, detener e invertir la degradación de las tierras y frenar la pérdida de la diversidad biológica</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2,436,250</w:t>
            </w:r>
          </w:p>
        </w:tc>
      </w:tr>
      <w:tr w:rsidR="001876E4" w:rsidRPr="001876E4" w:rsidTr="00947D11">
        <w:trPr>
          <w:trHeight w:val="676"/>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16</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Promover sociedades pacíficas e inclusivas para el desarrollo sostenible, facilitar el acceso a la justicia para todos y crear instituciones eficaces, responsables e inclusivas a todos los niveles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1,058,297,535</w:t>
            </w:r>
          </w:p>
        </w:tc>
      </w:tr>
      <w:tr w:rsidR="001876E4" w:rsidRPr="001876E4" w:rsidTr="00947D11">
        <w:trPr>
          <w:trHeight w:val="510"/>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17</w:t>
            </w: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Fortalecer los medios de ejecución y revitalizar la Alianza Mundial para el Desarrollo Sostenible</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000000"/>
                <w:sz w:val="18"/>
                <w:szCs w:val="18"/>
              </w:rPr>
            </w:pPr>
            <w:r w:rsidRPr="001876E4">
              <w:rPr>
                <w:rFonts w:ascii="Arial" w:hAnsi="Arial" w:cs="Arial"/>
                <w:color w:val="000000"/>
                <w:sz w:val="18"/>
                <w:szCs w:val="18"/>
              </w:rPr>
              <w:t>87,704,963</w:t>
            </w:r>
          </w:p>
        </w:tc>
      </w:tr>
      <w:tr w:rsidR="001876E4" w:rsidRPr="001876E4" w:rsidTr="00947D11">
        <w:trPr>
          <w:trHeight w:val="358"/>
          <w:jc w:val="center"/>
        </w:trPr>
        <w:tc>
          <w:tcPr>
            <w:tcW w:w="614" w:type="dxa"/>
            <w:tcBorders>
              <w:top w:val="nil"/>
              <w:left w:val="single" w:sz="4" w:space="0" w:color="auto"/>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center"/>
              <w:rPr>
                <w:rFonts w:ascii="Arial" w:eastAsia="Times New Roman" w:hAnsi="Arial" w:cs="Arial"/>
                <w:sz w:val="18"/>
                <w:szCs w:val="18"/>
              </w:rPr>
            </w:pPr>
            <w:r w:rsidRPr="001876E4">
              <w:rPr>
                <w:rFonts w:ascii="Arial" w:eastAsia="Times New Roman" w:hAnsi="Arial" w:cs="Arial"/>
                <w:sz w:val="18"/>
                <w:szCs w:val="18"/>
              </w:rPr>
              <w:t>18</w:t>
            </w:r>
          </w:p>
        </w:tc>
        <w:tc>
          <w:tcPr>
            <w:tcW w:w="6523" w:type="dxa"/>
            <w:tcBorders>
              <w:top w:val="nil"/>
              <w:left w:val="nil"/>
              <w:bottom w:val="single" w:sz="4" w:space="0" w:color="auto"/>
              <w:right w:val="single" w:sz="4" w:space="0" w:color="auto"/>
            </w:tcBorders>
            <w:shd w:val="clear" w:color="auto" w:fill="auto"/>
            <w:vAlign w:val="center"/>
          </w:tcPr>
          <w:p w:rsidR="001876E4" w:rsidRPr="001876E4" w:rsidRDefault="001876E4" w:rsidP="001876E4">
            <w:pPr>
              <w:spacing w:after="0" w:line="240" w:lineRule="auto"/>
              <w:jc w:val="both"/>
              <w:rPr>
                <w:rFonts w:ascii="Arial" w:eastAsia="Times New Roman" w:hAnsi="Arial" w:cs="Arial"/>
                <w:sz w:val="18"/>
                <w:szCs w:val="18"/>
              </w:rPr>
            </w:pPr>
            <w:r w:rsidRPr="001876E4">
              <w:rPr>
                <w:rFonts w:ascii="Arial" w:eastAsia="Times New Roman" w:hAnsi="Arial" w:cs="Arial"/>
                <w:sz w:val="18"/>
                <w:szCs w:val="18"/>
              </w:rPr>
              <w:t>Varios Objetivos</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color w:val="FF0000"/>
                <w:sz w:val="18"/>
                <w:szCs w:val="18"/>
              </w:rPr>
            </w:pPr>
            <w:r w:rsidRPr="001876E4">
              <w:rPr>
                <w:rFonts w:ascii="Arial" w:hAnsi="Arial" w:cs="Arial"/>
                <w:sz w:val="18"/>
                <w:szCs w:val="18"/>
              </w:rPr>
              <w:t>1,822,453,333</w:t>
            </w:r>
          </w:p>
        </w:tc>
      </w:tr>
      <w:tr w:rsidR="001876E4" w:rsidRPr="001876E4" w:rsidTr="00947D11">
        <w:trPr>
          <w:trHeight w:val="414"/>
          <w:jc w:val="center"/>
        </w:trPr>
        <w:tc>
          <w:tcPr>
            <w:tcW w:w="614" w:type="dxa"/>
            <w:tcBorders>
              <w:top w:val="nil"/>
              <w:left w:val="single" w:sz="4" w:space="0" w:color="auto"/>
              <w:bottom w:val="single" w:sz="4" w:space="0" w:color="auto"/>
              <w:right w:val="single" w:sz="4" w:space="0" w:color="auto"/>
            </w:tcBorders>
            <w:shd w:val="clear" w:color="auto" w:fill="auto"/>
            <w:noWrap/>
            <w:vAlign w:val="center"/>
            <w:hideMark/>
          </w:tcPr>
          <w:p w:rsidR="001876E4" w:rsidRPr="001876E4" w:rsidRDefault="001876E4" w:rsidP="001876E4">
            <w:pPr>
              <w:spacing w:after="0" w:line="240" w:lineRule="auto"/>
              <w:jc w:val="center"/>
              <w:rPr>
                <w:rFonts w:ascii="Arial" w:eastAsia="Times New Roman" w:hAnsi="Arial" w:cs="Arial"/>
                <w:b/>
                <w:bCs/>
                <w:sz w:val="18"/>
                <w:szCs w:val="18"/>
              </w:rPr>
            </w:pPr>
          </w:p>
        </w:tc>
        <w:tc>
          <w:tcPr>
            <w:tcW w:w="6523" w:type="dxa"/>
            <w:tcBorders>
              <w:top w:val="nil"/>
              <w:left w:val="nil"/>
              <w:bottom w:val="single" w:sz="4" w:space="0" w:color="auto"/>
              <w:right w:val="single" w:sz="4" w:space="0" w:color="auto"/>
            </w:tcBorders>
            <w:shd w:val="clear" w:color="auto" w:fill="auto"/>
            <w:vAlign w:val="center"/>
            <w:hideMark/>
          </w:tcPr>
          <w:p w:rsidR="001876E4" w:rsidRPr="001876E4" w:rsidRDefault="001876E4" w:rsidP="001876E4">
            <w:pPr>
              <w:spacing w:after="0" w:line="240" w:lineRule="auto"/>
              <w:jc w:val="center"/>
              <w:rPr>
                <w:rFonts w:ascii="Arial" w:eastAsia="Times New Roman" w:hAnsi="Arial" w:cs="Arial"/>
                <w:b/>
                <w:bCs/>
                <w:sz w:val="18"/>
                <w:szCs w:val="18"/>
              </w:rPr>
            </w:pPr>
            <w:r w:rsidRPr="001876E4">
              <w:rPr>
                <w:rFonts w:ascii="Arial" w:eastAsia="Times New Roman" w:hAnsi="Arial" w:cs="Arial"/>
                <w:b/>
                <w:bCs/>
                <w:sz w:val="20"/>
                <w:szCs w:val="18"/>
              </w:rPr>
              <w:t>Total</w:t>
            </w:r>
          </w:p>
        </w:tc>
        <w:tc>
          <w:tcPr>
            <w:tcW w:w="1510" w:type="dxa"/>
            <w:tcBorders>
              <w:top w:val="nil"/>
              <w:left w:val="nil"/>
              <w:bottom w:val="single" w:sz="4" w:space="0" w:color="auto"/>
              <w:right w:val="single" w:sz="4" w:space="0" w:color="auto"/>
            </w:tcBorders>
            <w:shd w:val="clear" w:color="auto" w:fill="auto"/>
            <w:noWrap/>
            <w:vAlign w:val="center"/>
          </w:tcPr>
          <w:p w:rsidR="001876E4" w:rsidRPr="001876E4" w:rsidRDefault="001876E4" w:rsidP="001876E4">
            <w:pPr>
              <w:spacing w:after="0" w:line="240" w:lineRule="auto"/>
              <w:jc w:val="right"/>
              <w:rPr>
                <w:rFonts w:ascii="Arial" w:hAnsi="Arial" w:cs="Arial"/>
                <w:b/>
                <w:color w:val="FF0000"/>
                <w:sz w:val="18"/>
                <w:szCs w:val="18"/>
              </w:rPr>
            </w:pPr>
            <w:r w:rsidRPr="001876E4">
              <w:rPr>
                <w:rFonts w:ascii="Arial" w:hAnsi="Arial" w:cs="Arial"/>
                <w:b/>
                <w:sz w:val="18"/>
                <w:szCs w:val="18"/>
              </w:rPr>
              <w:t>5,933,554,838</w:t>
            </w:r>
          </w:p>
        </w:tc>
      </w:tr>
    </w:tbl>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84</w:t>
      </w:r>
      <w:r w:rsidRPr="001876E4">
        <w:rPr>
          <w:rFonts w:ascii="Arial" w:eastAsia="Calibri" w:hAnsi="Arial" w:cs="Arial"/>
          <w:sz w:val="24"/>
          <w:szCs w:val="24"/>
          <w:lang w:val="es-ES" w:eastAsia="en-US"/>
        </w:rPr>
        <w:t xml:space="preserve">. El Ejecutivo Estatal, a través de las </w:t>
      </w:r>
      <w:r w:rsidRPr="001876E4">
        <w:rPr>
          <w:rFonts w:ascii="Arial" w:eastAsia="Times New Roman" w:hAnsi="Arial" w:cs="Arial"/>
          <w:sz w:val="24"/>
          <w:szCs w:val="24"/>
        </w:rPr>
        <w:t>Dependencias de la Administración Pública Centralizada y Entidades de la Administración Pública Paraestatal</w:t>
      </w:r>
      <w:r w:rsidRPr="001876E4">
        <w:rPr>
          <w:rFonts w:ascii="Arial" w:eastAsia="Calibri" w:hAnsi="Arial" w:cs="Arial"/>
          <w:sz w:val="24"/>
          <w:szCs w:val="24"/>
          <w:lang w:val="es-ES" w:eastAsia="en-US"/>
        </w:rPr>
        <w:t xml:space="preserve">, impulsará la igualdad de oportunidades entre mujeres y hombres, así como la erradicación de la violencia de género, para lograr la transversalidad de la Perspectiva de Género en la planeación, diseño, programación, aplicación, </w:t>
      </w:r>
      <w:r w:rsidRPr="001876E4">
        <w:rPr>
          <w:rFonts w:ascii="Arial" w:eastAsia="Calibri" w:hAnsi="Arial" w:cs="Arial"/>
          <w:sz w:val="24"/>
          <w:szCs w:val="24"/>
          <w:lang w:val="es-ES" w:eastAsia="en-US"/>
        </w:rPr>
        <w:lastRenderedPageBreak/>
        <w:t xml:space="preserve">seguimiento y evaluación de los Programas Presupuestarios y proyectos de la Administración Pública Estatal. Para tal efecto, las </w:t>
      </w:r>
      <w:r w:rsidRPr="001876E4">
        <w:rPr>
          <w:rFonts w:ascii="Arial" w:eastAsia="Times New Roman" w:hAnsi="Arial" w:cs="Arial"/>
          <w:sz w:val="24"/>
          <w:szCs w:val="24"/>
        </w:rPr>
        <w:t>Dependencias de la Administración Pública Centralizada y Entidades de la Administración Pública Paraestatal</w:t>
      </w:r>
      <w:r w:rsidRPr="001876E4">
        <w:rPr>
          <w:rFonts w:ascii="Arial" w:eastAsia="Calibri" w:hAnsi="Arial" w:cs="Arial"/>
          <w:sz w:val="24"/>
          <w:szCs w:val="24"/>
          <w:lang w:val="es-ES" w:eastAsia="en-US"/>
        </w:rPr>
        <w:t xml:space="preserve"> en el ejercicio de su presupuesto deberán considerar lo siguiente: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8"/>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Basarse en la Perspectiva de Género para la programación, presupuestación y ejercicio del Gasto Público y reflejarla en la Metodología de Marco Lógico de los Programas Presupuestarios a su cargo;</w:t>
      </w:r>
    </w:p>
    <w:p w:rsidR="001876E4" w:rsidRPr="001876E4" w:rsidRDefault="001876E4" w:rsidP="001876E4">
      <w:pPr>
        <w:spacing w:after="0" w:line="240" w:lineRule="auto"/>
        <w:ind w:left="720" w:hanging="436"/>
        <w:contextualSpacing/>
        <w:jc w:val="both"/>
        <w:rPr>
          <w:rFonts w:ascii="Arial" w:eastAsia="Times New Roman" w:hAnsi="Arial" w:cs="Arial"/>
          <w:sz w:val="24"/>
          <w:szCs w:val="24"/>
        </w:rPr>
      </w:pPr>
    </w:p>
    <w:p w:rsidR="001876E4" w:rsidRPr="001876E4" w:rsidRDefault="001876E4" w:rsidP="00185BC9">
      <w:pPr>
        <w:numPr>
          <w:ilvl w:val="0"/>
          <w:numId w:val="28"/>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Promover la Perspectiva de Género en aquellos Programas Presupuestarios que aun cuando no estén dirigidos a mitigar o solventar desigualdades de género, se puedan observar variaciones en los beneficios específicos para mujeres y hombres;</w:t>
      </w:r>
    </w:p>
    <w:p w:rsidR="001876E4" w:rsidRPr="001876E4" w:rsidRDefault="001876E4" w:rsidP="001876E4">
      <w:pPr>
        <w:spacing w:after="0" w:line="240" w:lineRule="auto"/>
        <w:ind w:left="720" w:hanging="436"/>
        <w:contextualSpacing/>
        <w:jc w:val="both"/>
        <w:rPr>
          <w:rFonts w:ascii="Arial" w:eastAsia="Times New Roman" w:hAnsi="Arial" w:cs="Arial"/>
          <w:sz w:val="24"/>
          <w:szCs w:val="24"/>
        </w:rPr>
      </w:pPr>
    </w:p>
    <w:p w:rsidR="001876E4" w:rsidRPr="001876E4" w:rsidRDefault="001876E4" w:rsidP="00185BC9">
      <w:pPr>
        <w:numPr>
          <w:ilvl w:val="0"/>
          <w:numId w:val="28"/>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 xml:space="preserve">Emprender acciones que permitan avanzar en la consolidación de la equidad de género; y </w:t>
      </w:r>
    </w:p>
    <w:p w:rsidR="001876E4" w:rsidRPr="001876E4" w:rsidRDefault="001876E4" w:rsidP="001876E4">
      <w:pPr>
        <w:spacing w:after="0" w:line="240" w:lineRule="auto"/>
        <w:ind w:left="720" w:hanging="436"/>
        <w:contextualSpacing/>
        <w:jc w:val="both"/>
        <w:rPr>
          <w:rFonts w:ascii="Arial" w:eastAsia="Times New Roman" w:hAnsi="Arial" w:cs="Arial"/>
          <w:sz w:val="24"/>
          <w:szCs w:val="24"/>
        </w:rPr>
      </w:pPr>
    </w:p>
    <w:p w:rsidR="001876E4" w:rsidRPr="001876E4" w:rsidRDefault="001876E4" w:rsidP="00185BC9">
      <w:pPr>
        <w:numPr>
          <w:ilvl w:val="0"/>
          <w:numId w:val="28"/>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Atender los requerimientos de información para el seguimiento y monitoreo de las acciones con Perspectiva de Género, a través de Indicadores de Género y Estadística Desagregada por Sexo.</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Adicionalmente, y para cumplir con lo establecido por la Declaratoria de Alerta de Violencia de Genero contra las Mujeres del Estado de Colima (AVG) y en el Dictamen sobre la Implementación de las Propuestas Contenidas en las Conclusiones del Informe Emitido por el Grupo de Trabajo Conformado para atender la solicitud de Alerta de Violencia de Género contra las Mujeres en el Estado de Colima, los Entes Públicos deben incorporar en su apertura programática y, asignar recursos para el financiamiento de las acciones detalladas en el marco de la AVG:</w:t>
      </w:r>
      <w:r w:rsidRPr="001876E4">
        <w:rPr>
          <w:rFonts w:ascii="Arial" w:eastAsia="Calibri" w:hAnsi="Arial" w:cs="Arial"/>
          <w:sz w:val="24"/>
          <w:szCs w:val="24"/>
          <w:lang w:val="es-ES" w:eastAsia="en-US"/>
        </w:rPr>
        <w:cr/>
      </w:r>
    </w:p>
    <w:p w:rsidR="001876E4" w:rsidRPr="001876E4" w:rsidRDefault="001876E4" w:rsidP="001876E4">
      <w:pPr>
        <w:spacing w:after="0" w:line="240" w:lineRule="auto"/>
        <w:ind w:left="709" w:hanging="283"/>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a. </w:t>
      </w:r>
      <w:r w:rsidRPr="001876E4">
        <w:rPr>
          <w:rFonts w:ascii="Arial" w:eastAsia="Calibri" w:hAnsi="Arial" w:cs="Arial"/>
          <w:sz w:val="24"/>
          <w:szCs w:val="24"/>
          <w:lang w:val="es-ES" w:eastAsia="en-US"/>
        </w:rPr>
        <w:tab/>
        <w:t>Medidas de Seguridad;</w:t>
      </w:r>
    </w:p>
    <w:p w:rsidR="001876E4" w:rsidRPr="001876E4" w:rsidRDefault="001876E4" w:rsidP="001876E4">
      <w:pPr>
        <w:spacing w:after="0" w:line="240" w:lineRule="auto"/>
        <w:ind w:left="709" w:hanging="283"/>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b. </w:t>
      </w:r>
      <w:r w:rsidRPr="001876E4">
        <w:rPr>
          <w:rFonts w:ascii="Arial" w:eastAsia="Calibri" w:hAnsi="Arial" w:cs="Arial"/>
          <w:sz w:val="24"/>
          <w:szCs w:val="24"/>
          <w:lang w:val="es-ES" w:eastAsia="en-US"/>
        </w:rPr>
        <w:tab/>
        <w:t>Medidas de Prevención; y</w:t>
      </w:r>
    </w:p>
    <w:p w:rsidR="001876E4" w:rsidRPr="001876E4" w:rsidRDefault="001876E4" w:rsidP="001876E4">
      <w:pPr>
        <w:spacing w:after="0" w:line="240" w:lineRule="auto"/>
        <w:ind w:left="709" w:hanging="283"/>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c. </w:t>
      </w:r>
      <w:r w:rsidRPr="001876E4">
        <w:rPr>
          <w:rFonts w:ascii="Arial" w:eastAsia="Calibri" w:hAnsi="Arial" w:cs="Arial"/>
          <w:sz w:val="24"/>
          <w:szCs w:val="24"/>
          <w:lang w:val="es-ES" w:eastAsia="en-US"/>
        </w:rPr>
        <w:tab/>
        <w:t>Medidas de justicia y reparación.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 xml:space="preserve">Artículo 85. </w:t>
      </w:r>
      <w:r w:rsidRPr="001876E4">
        <w:rPr>
          <w:rFonts w:ascii="Arial" w:eastAsia="Calibri" w:hAnsi="Arial" w:cs="Arial"/>
          <w:sz w:val="24"/>
          <w:szCs w:val="24"/>
          <w:lang w:val="es-ES" w:eastAsia="en-US"/>
        </w:rPr>
        <w:t xml:space="preserve">En cumplimiento a lo dispuesto por el artículo 4º de la Constitución Política de los Estados Unidos Mexicanos, que señala que en todas las decisiones y actuaciones del Estado se debe priorizar el principio del interés superior de la niñez, garantizando de manera plena sus derechos; así como por lo señalado en la Ley General de los Derechos de Niñas, Niños y Adolescentes, que establece que los programas y políticas públicas tendrán un enfoque integral, transversal y con </w:t>
      </w:r>
      <w:r w:rsidRPr="001876E4">
        <w:rPr>
          <w:rFonts w:ascii="Arial" w:eastAsia="Calibri" w:hAnsi="Arial" w:cs="Arial"/>
          <w:sz w:val="24"/>
          <w:szCs w:val="24"/>
          <w:lang w:val="es-ES" w:eastAsia="en-US"/>
        </w:rPr>
        <w:lastRenderedPageBreak/>
        <w:t xml:space="preserve">perspectiva de derechos humanos en su diseño e instrumentación; se identifican las asignaciones presupuestarias para la niñez, atendiendo los siguientes supuestos: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29"/>
        </w:numPr>
        <w:spacing w:before="120" w:after="0" w:line="240" w:lineRule="auto"/>
        <w:ind w:hanging="294"/>
        <w:contextualSpacing/>
        <w:jc w:val="both"/>
        <w:rPr>
          <w:rFonts w:ascii="Arial" w:eastAsia="Times New Roman" w:hAnsi="Arial" w:cs="Arial"/>
          <w:sz w:val="24"/>
          <w:szCs w:val="24"/>
        </w:rPr>
      </w:pPr>
      <w:r w:rsidRPr="001876E4">
        <w:rPr>
          <w:rFonts w:ascii="Arial" w:eastAsia="Times New Roman" w:hAnsi="Arial" w:cs="Arial"/>
          <w:sz w:val="24"/>
          <w:szCs w:val="24"/>
        </w:rPr>
        <w:t>Reconocer a niñas, niños y adolescentes como titulares de derechos; y</w:t>
      </w:r>
    </w:p>
    <w:p w:rsidR="001876E4" w:rsidRPr="001876E4" w:rsidRDefault="001876E4" w:rsidP="00185BC9">
      <w:pPr>
        <w:numPr>
          <w:ilvl w:val="0"/>
          <w:numId w:val="29"/>
        </w:numPr>
        <w:spacing w:before="120" w:after="0" w:line="240" w:lineRule="auto"/>
        <w:ind w:hanging="294"/>
        <w:contextualSpacing/>
        <w:jc w:val="both"/>
        <w:rPr>
          <w:rFonts w:ascii="Arial" w:eastAsia="Times New Roman" w:hAnsi="Arial" w:cs="Arial"/>
          <w:sz w:val="24"/>
          <w:szCs w:val="24"/>
        </w:rPr>
      </w:pPr>
      <w:r w:rsidRPr="001876E4">
        <w:rPr>
          <w:rFonts w:ascii="Arial" w:eastAsia="Times New Roman" w:hAnsi="Arial" w:cs="Arial"/>
          <w:sz w:val="24"/>
          <w:szCs w:val="24"/>
        </w:rPr>
        <w:t>Garantizar el pleno  ejercicio,  respeto,  protección  y  promoción  de  los derechos humanos de niñas, niños y adolescentes.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Se identifican y clasifican los Proyectos Presupuestarios de acuerdo a la metodología establecida por el Fondo de las Naciones Unidas para la Infancia (UNICEF), en términos de los derechos fundamentales, los cuales son: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30"/>
        </w:numPr>
        <w:spacing w:before="120" w:after="0" w:line="240" w:lineRule="auto"/>
        <w:contextualSpacing/>
        <w:jc w:val="both"/>
        <w:rPr>
          <w:rFonts w:ascii="Arial" w:eastAsia="Times New Roman" w:hAnsi="Arial" w:cs="Arial"/>
          <w:sz w:val="24"/>
          <w:szCs w:val="24"/>
        </w:rPr>
      </w:pPr>
      <w:r w:rsidRPr="001876E4">
        <w:rPr>
          <w:rFonts w:ascii="Arial" w:eastAsia="Times New Roman" w:hAnsi="Arial" w:cs="Arial"/>
          <w:sz w:val="24"/>
          <w:szCs w:val="24"/>
        </w:rPr>
        <w:t>Derecho al Desarrollo;</w:t>
      </w:r>
    </w:p>
    <w:p w:rsidR="001876E4" w:rsidRPr="001876E4" w:rsidRDefault="001876E4" w:rsidP="00185BC9">
      <w:pPr>
        <w:numPr>
          <w:ilvl w:val="0"/>
          <w:numId w:val="30"/>
        </w:numPr>
        <w:spacing w:before="120" w:after="0" w:line="240" w:lineRule="auto"/>
        <w:contextualSpacing/>
        <w:jc w:val="both"/>
        <w:rPr>
          <w:rFonts w:ascii="Arial" w:eastAsia="Times New Roman" w:hAnsi="Arial" w:cs="Arial"/>
          <w:sz w:val="24"/>
          <w:szCs w:val="24"/>
        </w:rPr>
      </w:pPr>
      <w:r w:rsidRPr="001876E4">
        <w:rPr>
          <w:rFonts w:ascii="Arial" w:eastAsia="Times New Roman" w:hAnsi="Arial" w:cs="Arial"/>
          <w:sz w:val="24"/>
          <w:szCs w:val="24"/>
        </w:rPr>
        <w:t xml:space="preserve">Derecho a la Protección; </w:t>
      </w:r>
    </w:p>
    <w:p w:rsidR="001876E4" w:rsidRPr="001876E4" w:rsidRDefault="001876E4" w:rsidP="00185BC9">
      <w:pPr>
        <w:numPr>
          <w:ilvl w:val="0"/>
          <w:numId w:val="30"/>
        </w:numPr>
        <w:spacing w:before="120" w:after="0" w:line="240" w:lineRule="auto"/>
        <w:contextualSpacing/>
        <w:jc w:val="both"/>
        <w:rPr>
          <w:rFonts w:ascii="Arial" w:eastAsia="Times New Roman" w:hAnsi="Arial" w:cs="Arial"/>
          <w:sz w:val="24"/>
          <w:szCs w:val="24"/>
        </w:rPr>
      </w:pPr>
      <w:r w:rsidRPr="001876E4">
        <w:rPr>
          <w:rFonts w:ascii="Arial" w:eastAsia="Times New Roman" w:hAnsi="Arial" w:cs="Arial"/>
          <w:sz w:val="24"/>
          <w:szCs w:val="24"/>
        </w:rPr>
        <w:t xml:space="preserve"> Derecho a la Participación; y</w:t>
      </w:r>
    </w:p>
    <w:p w:rsidR="001876E4" w:rsidRPr="001876E4" w:rsidRDefault="001876E4" w:rsidP="00185BC9">
      <w:pPr>
        <w:numPr>
          <w:ilvl w:val="0"/>
          <w:numId w:val="30"/>
        </w:numPr>
        <w:spacing w:before="120" w:after="0" w:line="240" w:lineRule="auto"/>
        <w:contextualSpacing/>
        <w:jc w:val="both"/>
        <w:rPr>
          <w:rFonts w:ascii="Arial" w:eastAsia="Times New Roman" w:hAnsi="Arial" w:cs="Arial"/>
          <w:sz w:val="24"/>
          <w:szCs w:val="24"/>
        </w:rPr>
      </w:pPr>
      <w:r w:rsidRPr="001876E4">
        <w:rPr>
          <w:rFonts w:ascii="Arial" w:eastAsia="Times New Roman" w:hAnsi="Arial" w:cs="Arial"/>
          <w:sz w:val="24"/>
          <w:szCs w:val="24"/>
        </w:rPr>
        <w:t xml:space="preserve"> Derecho a la Supervivencia.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86</w:t>
      </w:r>
      <w:r w:rsidRPr="001876E4">
        <w:rPr>
          <w:rFonts w:ascii="Arial" w:eastAsia="Calibri" w:hAnsi="Arial" w:cs="Arial"/>
          <w:sz w:val="24"/>
          <w:szCs w:val="24"/>
          <w:lang w:val="es-ES" w:eastAsia="en-US"/>
        </w:rPr>
        <w:t xml:space="preserve">. En materia de enfoque transversal del presupuesto para los derechos de los jóvenes, se deberá atender lo previsto en la Ley de la Juventud del Estado de Colima, la cual tiene por objeto regir las políticas públicas y sociales de la juventud, a efecto de contribuir al desarrollo integral de la misma, mediante su inclusión social plena al proceso de desarrollo económico, educativo y cultural.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87</w:t>
      </w:r>
      <w:r w:rsidRPr="001876E4">
        <w:rPr>
          <w:rFonts w:ascii="Arial" w:eastAsia="Calibri" w:hAnsi="Arial" w:cs="Arial"/>
          <w:sz w:val="24"/>
          <w:szCs w:val="24"/>
          <w:lang w:val="es-ES" w:eastAsia="en-US"/>
        </w:rPr>
        <w:t>. En la priorización de acciones para la atención a grupos vulnerables, se privilegiará la atención a: indígenas, adultos en plenitud, jefas de familia, niñas, niños y adolescentes en situación de riesgo, mujeres víctimas de violencia y personas con discapacidad. Lo anterior, en el marco de lo previsto en la Ley de Desarrollo Social para el Estado de Colima, la cual tiene por objeto promover, proteger y garantizar el pleno ejercicio de los derechos sociales de los habitantes de la Entidad, consagrados en la Constitución Política de los Estados Unidos Mexicanos y la propia del Estado Libre y Soberano de Colima, mediante una Política Estatal de Desarrollo Social orientada 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 xml:space="preserve">Cumplir con la responsabilidad social del Estado y Municipios, asumiendo plenamente las obligaciones constitucionales en materia de desarrollo social, a efecto de garantizar el pleno goce de sus derechos sociales universales; </w:t>
      </w:r>
    </w:p>
    <w:p w:rsidR="001876E4" w:rsidRPr="001876E4" w:rsidRDefault="001876E4" w:rsidP="001876E4">
      <w:pPr>
        <w:spacing w:before="120" w:after="0" w:line="240" w:lineRule="auto"/>
        <w:ind w:left="720"/>
        <w:contextualSpacing/>
        <w:jc w:val="both"/>
        <w:rPr>
          <w:rFonts w:ascii="Arial" w:eastAsia="Times New Roman" w:hAnsi="Arial" w:cs="Arial"/>
          <w:sz w:val="24"/>
          <w:szCs w:val="24"/>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Generar las condiciones que aseguren el desarrollo social y el pleno disfrute de los derechos sociales;</w:t>
      </w:r>
    </w:p>
    <w:p w:rsidR="001876E4" w:rsidRPr="001876E4" w:rsidRDefault="001876E4" w:rsidP="001876E4">
      <w:pPr>
        <w:spacing w:before="120" w:after="0" w:line="240" w:lineRule="auto"/>
        <w:ind w:left="720"/>
        <w:contextualSpacing/>
        <w:jc w:val="both"/>
        <w:rPr>
          <w:rFonts w:ascii="Arial" w:eastAsia="Times New Roman" w:hAnsi="Arial" w:cs="Arial"/>
          <w:sz w:val="24"/>
          <w:szCs w:val="24"/>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lastRenderedPageBreak/>
        <w:t>Garantizar el derecho igualitario e incondicional de toda persona al desarrollo social y el acceso a sus programas;</w:t>
      </w:r>
    </w:p>
    <w:p w:rsidR="001876E4" w:rsidRPr="001876E4" w:rsidRDefault="001876E4" w:rsidP="001876E4">
      <w:pPr>
        <w:spacing w:before="120" w:after="0" w:line="240" w:lineRule="auto"/>
        <w:ind w:left="720"/>
        <w:contextualSpacing/>
        <w:jc w:val="both"/>
        <w:rPr>
          <w:rFonts w:ascii="Arial" w:eastAsia="Times New Roman" w:hAnsi="Arial" w:cs="Arial"/>
          <w:sz w:val="24"/>
          <w:szCs w:val="24"/>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Combatir con eficiencia la pobreza, la marginación y la exclusión social;</w:t>
      </w:r>
    </w:p>
    <w:p w:rsidR="001876E4" w:rsidRPr="001876E4" w:rsidRDefault="001876E4" w:rsidP="001876E4">
      <w:pPr>
        <w:spacing w:before="120" w:after="0" w:line="240" w:lineRule="auto"/>
        <w:ind w:left="720"/>
        <w:contextualSpacing/>
        <w:jc w:val="both"/>
        <w:rPr>
          <w:rFonts w:ascii="Arial" w:eastAsia="Times New Roman" w:hAnsi="Arial" w:cs="Arial"/>
          <w:sz w:val="24"/>
          <w:szCs w:val="24"/>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Implementar acciones que busquen la plena equidad social para todos los grupos excluidos, en condiciones de subordinación o discriminación por razones de su condición socioeconómica, edad, sexo, pertenencia étnica o racial, características físicas, preferencia sexual, origen nacional, práctica religiosa o cualquier otra;</w:t>
      </w:r>
    </w:p>
    <w:p w:rsidR="001876E4" w:rsidRPr="001876E4" w:rsidRDefault="001876E4" w:rsidP="001876E4">
      <w:pPr>
        <w:spacing w:before="120" w:after="0" w:line="240" w:lineRule="auto"/>
        <w:ind w:left="720"/>
        <w:contextualSpacing/>
        <w:jc w:val="both"/>
        <w:rPr>
          <w:rFonts w:ascii="Arial" w:eastAsia="Times New Roman" w:hAnsi="Arial" w:cs="Arial"/>
          <w:sz w:val="24"/>
          <w:szCs w:val="24"/>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Establecer las bases para un desarrollo social integral, garantizando la evaluación del impacto de los programas de desarrollo social; y</w:t>
      </w:r>
    </w:p>
    <w:p w:rsidR="001876E4" w:rsidRPr="001876E4" w:rsidRDefault="001876E4" w:rsidP="001876E4">
      <w:pPr>
        <w:spacing w:before="120" w:after="0" w:line="240" w:lineRule="auto"/>
        <w:ind w:left="720"/>
        <w:contextualSpacing/>
        <w:jc w:val="both"/>
        <w:rPr>
          <w:rFonts w:ascii="Arial" w:eastAsia="Times New Roman" w:hAnsi="Arial" w:cs="Arial"/>
          <w:sz w:val="24"/>
          <w:szCs w:val="24"/>
        </w:rPr>
      </w:pPr>
    </w:p>
    <w:p w:rsidR="001876E4" w:rsidRPr="001876E4" w:rsidRDefault="001876E4" w:rsidP="00185BC9">
      <w:pPr>
        <w:numPr>
          <w:ilvl w:val="0"/>
          <w:numId w:val="31"/>
        </w:numPr>
        <w:spacing w:before="120" w:after="0" w:line="240" w:lineRule="auto"/>
        <w:ind w:hanging="436"/>
        <w:contextualSpacing/>
        <w:jc w:val="both"/>
        <w:rPr>
          <w:rFonts w:ascii="Arial" w:eastAsia="Times New Roman" w:hAnsi="Arial" w:cs="Arial"/>
          <w:sz w:val="24"/>
          <w:szCs w:val="24"/>
        </w:rPr>
      </w:pPr>
      <w:r w:rsidRPr="001876E4">
        <w:rPr>
          <w:rFonts w:ascii="Arial" w:eastAsia="Times New Roman" w:hAnsi="Arial" w:cs="Arial"/>
          <w:sz w:val="24"/>
          <w:szCs w:val="24"/>
        </w:rPr>
        <w:t>Garantizar la inclusión social y determinar las bases para la promoción y participación social organizada y para su vinculación con los programas, estrategias y recursos gubernamentales para el desarrollo social.</w:t>
      </w:r>
    </w:p>
    <w:p w:rsidR="001876E4" w:rsidRPr="001876E4" w:rsidRDefault="001876E4" w:rsidP="001876E4">
      <w:pPr>
        <w:spacing w:after="0" w:line="240" w:lineRule="auto"/>
        <w:ind w:left="720"/>
        <w:contextualSpacing/>
        <w:jc w:val="both"/>
        <w:rPr>
          <w:rFonts w:ascii="Arial" w:eastAsia="Times New Roman" w:hAnsi="Arial" w:cs="Arial"/>
          <w:sz w:val="24"/>
          <w:szCs w:val="24"/>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88</w:t>
      </w:r>
      <w:r w:rsidRPr="001876E4">
        <w:rPr>
          <w:rFonts w:ascii="Arial" w:eastAsia="Calibri" w:hAnsi="Arial" w:cs="Arial"/>
          <w:sz w:val="24"/>
          <w:szCs w:val="24"/>
          <w:lang w:val="es-ES" w:eastAsia="en-US"/>
        </w:rPr>
        <w:t xml:space="preserve">. Las </w:t>
      </w:r>
      <w:r w:rsidRPr="001876E4">
        <w:rPr>
          <w:rFonts w:ascii="Arial" w:eastAsia="Times New Roman" w:hAnsi="Arial" w:cs="Arial"/>
          <w:sz w:val="24"/>
          <w:szCs w:val="24"/>
        </w:rPr>
        <w:t>Dependencias de la Administración Pública Centralizada y Entidades de la Administración Pública Paraestatal</w:t>
      </w:r>
      <w:r w:rsidRPr="001876E4">
        <w:rPr>
          <w:rFonts w:ascii="Arial" w:eastAsia="Calibri" w:hAnsi="Arial" w:cs="Arial"/>
          <w:sz w:val="24"/>
          <w:szCs w:val="24"/>
          <w:lang w:val="es-ES" w:eastAsia="en-US"/>
        </w:rPr>
        <w:t>, en el ámbito de sus respectivas competencias y con cargo a sus presupuestos, adoptarán medidas para destinar recursos orientados a atender la mitigación de los efectos del cambio climático en función de lo previsto en la Ley para la Mitigación y Adaptación ante los Efectos del Cambio Climático para el Estado de Colima.</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Para el Ejercicio Fiscal 2018 se prevé la asignación presupuestal de </w:t>
      </w:r>
      <w:r w:rsidRPr="001876E4">
        <w:rPr>
          <w:rFonts w:ascii="Arial" w:eastAsia="Calibri" w:hAnsi="Arial" w:cs="Arial"/>
          <w:b/>
          <w:sz w:val="24"/>
          <w:szCs w:val="24"/>
          <w:lang w:val="es-ES" w:eastAsia="en-US"/>
        </w:rPr>
        <w:t>$200,000</w:t>
      </w:r>
      <w:r w:rsidRPr="001876E4">
        <w:rPr>
          <w:rFonts w:ascii="Arial" w:eastAsia="Calibri" w:hAnsi="Arial" w:cs="Arial"/>
          <w:sz w:val="24"/>
          <w:szCs w:val="24"/>
          <w:lang w:val="es-ES" w:eastAsia="en-US"/>
        </w:rPr>
        <w:t xml:space="preserve"> a la partida 41145 Fondo Ambiental para la Mitigación del Cambio Climático.</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89</w:t>
      </w:r>
      <w:r w:rsidRPr="001876E4">
        <w:rPr>
          <w:rFonts w:ascii="Arial" w:eastAsia="Calibri" w:hAnsi="Arial" w:cs="Arial"/>
          <w:sz w:val="24"/>
          <w:szCs w:val="24"/>
          <w:lang w:val="es-ES" w:eastAsia="en-US"/>
        </w:rPr>
        <w:t>. En cumplimiento a lo dispuesto por el artículo 6º de la Constitución Política de los Estados Unidos Mexicanos y artículo 1º, fracción IV, de la Constitución Política del Estado Libre y Soberano de Colima, en materia de transparencia y acceso a la información pública, se identifican las asignaciones presupuestarias que las Dependencias de la Administración Pública Centralizada y Entidades de la Administración Pública Paraestatal, para que en el ámbito de sus respectivas competencias y con cargo a sus presupuestos, adopten medidas a fin de destinar recursos para atender esta obligación.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bookmarkStart w:id="38" w:name="_Toc465292965"/>
      <w:bookmarkStart w:id="39" w:name="_Toc465292893"/>
      <w:r w:rsidRPr="001876E4">
        <w:rPr>
          <w:rFonts w:ascii="Arial" w:eastAsia="Times New Roman" w:hAnsi="Arial" w:cs="Arial"/>
          <w:b/>
          <w:sz w:val="24"/>
          <w:szCs w:val="24"/>
          <w:lang w:val="es-ES" w:eastAsia="en-US"/>
        </w:rPr>
        <w:lastRenderedPageBreak/>
        <w:t xml:space="preserve">TITULO QUINTO </w:t>
      </w: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r w:rsidRPr="001876E4">
        <w:rPr>
          <w:rFonts w:ascii="Arial" w:eastAsia="Times New Roman" w:hAnsi="Arial" w:cs="Arial"/>
          <w:b/>
          <w:sz w:val="24"/>
          <w:szCs w:val="24"/>
          <w:lang w:val="es-ES" w:eastAsia="en-US"/>
        </w:rPr>
        <w:t>RESPONSABILIDADES Y SANCIONES</w:t>
      </w:r>
      <w:bookmarkEnd w:id="38"/>
      <w:bookmarkEnd w:id="39"/>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 xml:space="preserve">CAPÍTULO ÚNICO </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RESPONSABILIDADES Y SANCIONES</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Artículo 90</w:t>
      </w:r>
      <w:r w:rsidRPr="001876E4">
        <w:rPr>
          <w:rFonts w:ascii="Arial" w:eastAsia="Calibri" w:hAnsi="Arial" w:cs="Arial"/>
          <w:sz w:val="24"/>
          <w:szCs w:val="24"/>
          <w:lang w:val="es-ES" w:eastAsia="en-US"/>
        </w:rPr>
        <w:t xml:space="preserve">. Será responsabilidad de los Entes Públicos, de sus órganos internos de control, del Órgano Superior de Auditoría y Fiscalización Gubernamental del Estado y, en general, de toda persona física o moral, pública o privada, sujeta a la aplicación u observancia del presente Decreto, en el ámbito de sus respectivas competencias, cumplir y hacer cumplir sus disposiciones. </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Times New Roman" w:hAnsi="Arial" w:cs="Arial"/>
          <w:sz w:val="24"/>
          <w:szCs w:val="24"/>
          <w:lang w:eastAsia="en-US"/>
        </w:rPr>
      </w:pPr>
      <w:r w:rsidRPr="001876E4">
        <w:rPr>
          <w:rFonts w:ascii="Arial" w:eastAsia="Calibri" w:hAnsi="Arial" w:cs="Arial"/>
          <w:b/>
          <w:sz w:val="24"/>
          <w:szCs w:val="24"/>
          <w:lang w:val="es-ES" w:eastAsia="en-US"/>
        </w:rPr>
        <w:t xml:space="preserve">Artículo 91. </w:t>
      </w:r>
      <w:r w:rsidRPr="001876E4">
        <w:rPr>
          <w:rFonts w:ascii="Arial" w:eastAsia="Times New Roman" w:hAnsi="Arial" w:cs="Arial"/>
          <w:sz w:val="24"/>
          <w:szCs w:val="24"/>
          <w:lang w:eastAsia="en-US"/>
        </w:rPr>
        <w:t xml:space="preserve">Los actos u omisiones que impliquen el incumplimiento a las disposiciones contenidas en el presente Decreto y demás ordenamientos aplicables en materia de presupuesto, gasto público, disciplina financiera, deuda o responsabilidad hacendaria, serán conocidos y sancionados de conformidad con lo previsto en la Ley General de Responsabilidades Administrativas, la Ley de Fiscalización Superior del Estado, la Ley Estatal de Responsabilidades de los Servidores Públicos y demás legislación aplicable. </w:t>
      </w:r>
    </w:p>
    <w:p w:rsidR="001876E4" w:rsidRPr="001876E4" w:rsidRDefault="001876E4" w:rsidP="001876E4">
      <w:pPr>
        <w:spacing w:after="0" w:line="240" w:lineRule="auto"/>
        <w:jc w:val="both"/>
        <w:rPr>
          <w:rFonts w:ascii="Arial" w:eastAsia="Times New Roman" w:hAnsi="Arial" w:cs="Arial"/>
          <w:sz w:val="24"/>
          <w:szCs w:val="24"/>
          <w:lang w:eastAsia="en-US"/>
        </w:rPr>
      </w:pPr>
    </w:p>
    <w:p w:rsidR="001876E4" w:rsidRPr="001876E4" w:rsidRDefault="001876E4" w:rsidP="001876E4">
      <w:pPr>
        <w:spacing w:after="0" w:line="240" w:lineRule="auto"/>
        <w:jc w:val="both"/>
        <w:rPr>
          <w:rFonts w:ascii="Arial" w:eastAsia="Times New Roman" w:hAnsi="Arial" w:cs="Arial"/>
          <w:sz w:val="24"/>
          <w:szCs w:val="24"/>
          <w:lang w:eastAsia="en-US"/>
        </w:rPr>
      </w:pPr>
    </w:p>
    <w:p w:rsidR="001876E4" w:rsidRPr="001876E4" w:rsidRDefault="001876E4" w:rsidP="001876E4">
      <w:pPr>
        <w:keepNext/>
        <w:keepLines/>
        <w:spacing w:after="0" w:line="240" w:lineRule="auto"/>
        <w:jc w:val="center"/>
        <w:outlineLvl w:val="0"/>
        <w:rPr>
          <w:rFonts w:ascii="Arial" w:eastAsia="Times New Roman" w:hAnsi="Arial" w:cs="Arial"/>
          <w:b/>
          <w:sz w:val="24"/>
          <w:szCs w:val="24"/>
          <w:lang w:val="es-ES" w:eastAsia="en-US"/>
        </w:rPr>
      </w:pPr>
      <w:bookmarkStart w:id="40" w:name="_Toc465292966"/>
      <w:bookmarkStart w:id="41" w:name="_Toc465292894"/>
      <w:r w:rsidRPr="001876E4">
        <w:rPr>
          <w:rFonts w:ascii="Arial" w:eastAsia="Times New Roman" w:hAnsi="Arial" w:cs="Arial"/>
          <w:b/>
          <w:sz w:val="24"/>
          <w:szCs w:val="24"/>
          <w:lang w:val="es-ES" w:eastAsia="en-US"/>
        </w:rPr>
        <w:t>TRANSITORIOS</w:t>
      </w:r>
      <w:bookmarkEnd w:id="40"/>
      <w:bookmarkEnd w:id="41"/>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PRIMERO</w:t>
      </w:r>
      <w:r w:rsidRPr="001876E4">
        <w:rPr>
          <w:rFonts w:ascii="Arial" w:eastAsia="Calibri" w:hAnsi="Arial" w:cs="Arial"/>
          <w:sz w:val="24"/>
          <w:szCs w:val="24"/>
          <w:lang w:val="es-ES" w:eastAsia="en-US"/>
        </w:rPr>
        <w:t>. El presente Decreto, junto con los anexos que lo componen, entrará en vigor el día 1º de enero de 2018, previa su publicación en el Periódico Oficial “El Estado de Colima”.</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hAnsi="Arial" w:cs="Arial"/>
          <w:sz w:val="24"/>
        </w:rPr>
      </w:pPr>
      <w:r w:rsidRPr="001876E4">
        <w:rPr>
          <w:rFonts w:ascii="Arial" w:hAnsi="Arial" w:cs="Arial"/>
          <w:b/>
          <w:sz w:val="24"/>
        </w:rPr>
        <w:t>SEGUNDO</w:t>
      </w:r>
      <w:r w:rsidRPr="001876E4">
        <w:rPr>
          <w:rFonts w:ascii="Arial" w:hAnsi="Arial" w:cs="Arial"/>
          <w:sz w:val="24"/>
        </w:rPr>
        <w:t>. Las Organizaciones de la Sociedad Civil legalmente constituidas que recibieron recursos o fondos públicos con cargo al Presupuesto de Egresos del Estado del Ejercicio Fiscal 2017, deberán cumplir con lo señalado en los artículos Segundo y Cuarto Transitorio</w:t>
      </w:r>
      <w:r w:rsidRPr="001876E4">
        <w:rPr>
          <w:rFonts w:ascii="Arial" w:eastAsia="Calibri" w:hAnsi="Arial" w:cs="Arial"/>
          <w:sz w:val="24"/>
          <w:szCs w:val="24"/>
          <w:lang w:val="es-ES"/>
        </w:rPr>
        <w:t xml:space="preserve"> de la Ley de Fomento a las Organizaciones de la Sociedad Civil del Estado de Colima</w:t>
      </w:r>
      <w:r w:rsidRPr="001876E4">
        <w:rPr>
          <w:rFonts w:ascii="Arial" w:hAnsi="Arial" w:cs="Arial"/>
          <w:sz w:val="24"/>
        </w:rPr>
        <w:t>.</w:t>
      </w:r>
    </w:p>
    <w:p w:rsidR="001876E4" w:rsidRPr="001876E4" w:rsidRDefault="001876E4" w:rsidP="001876E4">
      <w:pPr>
        <w:spacing w:after="0" w:line="240" w:lineRule="auto"/>
        <w:jc w:val="both"/>
        <w:rPr>
          <w:rFonts w:ascii="Arial" w:hAnsi="Arial" w:cs="Arial"/>
          <w:sz w:val="24"/>
        </w:rPr>
      </w:pPr>
    </w:p>
    <w:p w:rsidR="001876E4" w:rsidRPr="001876E4" w:rsidRDefault="001876E4" w:rsidP="001876E4">
      <w:pPr>
        <w:spacing w:after="0" w:line="240" w:lineRule="auto"/>
        <w:jc w:val="both"/>
        <w:rPr>
          <w:rFonts w:ascii="Arial" w:hAnsi="Arial" w:cs="Arial"/>
          <w:sz w:val="24"/>
        </w:rPr>
      </w:pPr>
      <w:r w:rsidRPr="001876E4">
        <w:rPr>
          <w:rFonts w:ascii="Arial" w:hAnsi="Arial" w:cs="Arial"/>
          <w:sz w:val="24"/>
        </w:rPr>
        <w:t>Las Organizaciones de la Sociedad Civil legalmente constituidas podrán recibir recursos o fondos públicos con cargo al Presupuesto de Egresos del Estado del Ejercicio Fiscal 2018, siempre y cuando cumplan con lo dispuesto en la Ley de Fomento a las Organizaciones de la Sociedad Civil del Estado de Colima, y los ordenamientos que de esta deriven.</w:t>
      </w:r>
    </w:p>
    <w:p w:rsidR="001876E4" w:rsidRPr="001876E4" w:rsidRDefault="001876E4" w:rsidP="001876E4">
      <w:pPr>
        <w:spacing w:after="0" w:line="240" w:lineRule="auto"/>
        <w:jc w:val="both"/>
        <w:rPr>
          <w:rFonts w:ascii="Arial" w:eastAsia="Calibri" w:hAnsi="Arial" w:cs="Arial"/>
          <w:b/>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lastRenderedPageBreak/>
        <w:t>TERCERO</w:t>
      </w:r>
      <w:r w:rsidRPr="001876E4">
        <w:rPr>
          <w:rFonts w:ascii="Arial" w:eastAsia="Calibri" w:hAnsi="Arial" w:cs="Arial"/>
          <w:sz w:val="24"/>
          <w:szCs w:val="24"/>
          <w:lang w:val="es-ES" w:eastAsia="en-US"/>
        </w:rPr>
        <w:t>. En cumplimiento a lo dispuesto por la Ley General de Contabilidad Gubernamental, el Gobierno del Estado instrumentará los documentos técnico-normativos que emita el Consejo Nacional de Armonización Contable (CONAC), conforme a los criterios y términos establecidos para ese fin.</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b/>
          <w:sz w:val="24"/>
          <w:szCs w:val="24"/>
          <w:lang w:val="es-ES" w:eastAsia="en-US"/>
        </w:rPr>
        <w:t>CUARTO</w:t>
      </w:r>
      <w:r w:rsidRPr="001876E4">
        <w:rPr>
          <w:rFonts w:ascii="Arial" w:eastAsia="Calibri" w:hAnsi="Arial" w:cs="Arial"/>
          <w:sz w:val="24"/>
          <w:szCs w:val="24"/>
          <w:lang w:val="es-ES" w:eastAsia="en-US"/>
        </w:rPr>
        <w:t>. La información financiera y presupuestal adicional a la contenida en el presente Decreto, así como la demás que se genere durante el ejercicio fiscal, podrá ser consultada en los reportes específicos que para tal efecto difunda la Secretaría en los medios oficiales, incluyendo los medios electrónicos.</w:t>
      </w:r>
    </w:p>
    <w:p w:rsidR="001876E4" w:rsidRPr="001876E4" w:rsidRDefault="001876E4" w:rsidP="001876E4">
      <w:pPr>
        <w:spacing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both"/>
        <w:rPr>
          <w:rFonts w:ascii="Arial" w:hAnsi="Arial" w:cs="Arial"/>
          <w:sz w:val="24"/>
          <w:szCs w:val="24"/>
          <w:lang w:val="es-ES"/>
        </w:rPr>
      </w:pPr>
      <w:r w:rsidRPr="001876E4">
        <w:rPr>
          <w:rFonts w:ascii="Arial" w:hAnsi="Arial" w:cs="Arial"/>
          <w:b/>
          <w:sz w:val="24"/>
          <w:szCs w:val="24"/>
        </w:rPr>
        <w:t xml:space="preserve">QUINTO. </w:t>
      </w:r>
      <w:r w:rsidRPr="001876E4">
        <w:rPr>
          <w:rFonts w:ascii="Arial" w:hAnsi="Arial" w:cs="Arial"/>
          <w:sz w:val="24"/>
          <w:szCs w:val="24"/>
        </w:rPr>
        <w:t xml:space="preserve">Si durante el Ejercicio Fiscal 2018 se constituye la Fiscalía General del Estado en términos de lo dispuesto en el artículo Segundo Transitorio del Decreto número 8 publicado el 7 de noviembre de 2015 en el Periódico Oficial “El Estado de Colima”, mediante el cual se reformaron y adicionaron diversas disposiciones de la Constitución Política del Estado Libre y Soberano de Colima, el presupuesto que este Decreto asigna con relación a la Procuraduría General de Justicia del Estado se entenderá asignado a la Fiscalía General, </w:t>
      </w:r>
      <w:bookmarkStart w:id="42" w:name="_Hlk496734334"/>
      <w:r w:rsidRPr="001876E4">
        <w:rPr>
          <w:rFonts w:ascii="Arial" w:hAnsi="Arial" w:cs="Arial"/>
          <w:sz w:val="24"/>
          <w:szCs w:val="24"/>
        </w:rPr>
        <w:t>pasando a ésta todos los recursos humanos, materiales y financieros de aquella</w:t>
      </w:r>
      <w:r w:rsidRPr="001876E4">
        <w:rPr>
          <w:rFonts w:ascii="Arial" w:hAnsi="Arial" w:cs="Arial"/>
          <w:sz w:val="24"/>
          <w:szCs w:val="24"/>
          <w:lang w:val="es-ES"/>
        </w:rPr>
        <w:t>, incluyendo todos los bienes y los derechos derivados de los fondos o fideicomisos vigentes con los que cuente</w:t>
      </w:r>
      <w:bookmarkEnd w:id="42"/>
      <w:r w:rsidRPr="001876E4">
        <w:rPr>
          <w:rFonts w:ascii="Arial" w:hAnsi="Arial" w:cs="Arial"/>
          <w:sz w:val="24"/>
          <w:szCs w:val="24"/>
          <w:lang w:val="es-ES"/>
        </w:rPr>
        <w:t>.</w:t>
      </w:r>
    </w:p>
    <w:p w:rsidR="001876E4" w:rsidRPr="001876E4" w:rsidRDefault="001876E4" w:rsidP="001876E4">
      <w:pPr>
        <w:spacing w:after="0" w:line="240" w:lineRule="auto"/>
        <w:jc w:val="both"/>
        <w:rPr>
          <w:rFonts w:ascii="Arial" w:hAnsi="Arial" w:cs="Arial"/>
          <w:b/>
          <w:sz w:val="24"/>
          <w:szCs w:val="24"/>
        </w:rPr>
      </w:pPr>
    </w:p>
    <w:p w:rsidR="001876E4" w:rsidRPr="001876E4" w:rsidRDefault="001876E4" w:rsidP="001876E4">
      <w:pPr>
        <w:spacing w:after="0" w:line="240" w:lineRule="auto"/>
        <w:jc w:val="both"/>
        <w:rPr>
          <w:rFonts w:ascii="Arial" w:eastAsia="Times New Roman" w:hAnsi="Arial" w:cs="Arial"/>
          <w:sz w:val="24"/>
          <w:szCs w:val="24"/>
          <w:lang w:val="es-ES" w:eastAsia="es-ES"/>
        </w:rPr>
      </w:pPr>
      <w:r w:rsidRPr="001876E4">
        <w:rPr>
          <w:rFonts w:ascii="Arial" w:hAnsi="Arial" w:cs="Arial"/>
          <w:b/>
          <w:sz w:val="24"/>
          <w:szCs w:val="24"/>
        </w:rPr>
        <w:t xml:space="preserve">SEXTO. </w:t>
      </w:r>
      <w:r w:rsidRPr="001876E4">
        <w:rPr>
          <w:rFonts w:ascii="Arial" w:hAnsi="Arial" w:cs="Arial"/>
          <w:sz w:val="24"/>
          <w:szCs w:val="24"/>
        </w:rPr>
        <w:t>Si durante el Ejercicio Fiscal 2018 se constituye el Tribunal de Justicia Administrativa del Estado en términos de lo dispuesto en el artículo Segundo Transitorio del Decreto número 287 publicado el 13 de mayo de 2017 en el Periódico Oficial “El Estado de Colima”, mediante el cual se reformaron y adicionaron diversas disposiciones de la Constitución Política del Estado Libre y Soberano de Colima en materia anticorrupción, el presupuesto que este Decreto asigna con relación al Tribunal de lo Contencioso Administrativo del Estado se entenderá asignado al Tribunal de Justicia Administrativa, pasando a éste todos los recursos humanos, materiales y financieros de aquel</w:t>
      </w:r>
      <w:r w:rsidRPr="001876E4">
        <w:rPr>
          <w:rFonts w:ascii="Arial" w:eastAsia="Times New Roman" w:hAnsi="Arial" w:cs="Arial"/>
          <w:sz w:val="24"/>
          <w:szCs w:val="24"/>
          <w:lang w:val="es-ES" w:eastAsia="es-ES"/>
        </w:rPr>
        <w:t>, incluyendo todos los bienes y los derechos derivados de los fondos o fideicomisos vigentes con los que cuente.</w:t>
      </w:r>
    </w:p>
    <w:p w:rsidR="001876E4" w:rsidRPr="001876E4" w:rsidRDefault="001876E4" w:rsidP="001876E4">
      <w:pPr>
        <w:spacing w:after="0" w:line="240" w:lineRule="auto"/>
        <w:jc w:val="both"/>
        <w:rPr>
          <w:rFonts w:ascii="Arial" w:hAnsi="Arial" w:cs="Arial"/>
          <w:sz w:val="24"/>
          <w:szCs w:val="24"/>
        </w:rPr>
      </w:pPr>
    </w:p>
    <w:p w:rsidR="001876E4" w:rsidRPr="001876E4" w:rsidRDefault="001876E4" w:rsidP="001876E4">
      <w:pPr>
        <w:spacing w:after="0" w:line="240" w:lineRule="auto"/>
        <w:jc w:val="both"/>
        <w:rPr>
          <w:rFonts w:ascii="Arial" w:hAnsi="Arial" w:cs="Arial"/>
          <w:sz w:val="24"/>
          <w:szCs w:val="24"/>
        </w:rPr>
      </w:pPr>
      <w:r w:rsidRPr="001876E4">
        <w:rPr>
          <w:rFonts w:ascii="Arial" w:hAnsi="Arial" w:cs="Arial"/>
          <w:b/>
          <w:sz w:val="24"/>
          <w:szCs w:val="24"/>
        </w:rPr>
        <w:t>SÉPTIMO</w:t>
      </w:r>
      <w:r w:rsidRPr="001876E4">
        <w:rPr>
          <w:rFonts w:ascii="Arial" w:hAnsi="Arial" w:cs="Arial"/>
          <w:sz w:val="24"/>
          <w:szCs w:val="24"/>
        </w:rPr>
        <w:t xml:space="preserve">. Si durante el Ejercicio Fiscal 2018 se constituyen los Tribunales Laborales del Poder Judicial del Estado en términos de lo dispuesto en el Decreto publicado el 24 de febrero de 2017, en el Diario Oficial de la Federación, por el que se declaran reformadas y adicionadas diversas disposiciones de los artículos 107 y 123 de la Constitución Política de los Estados Unidos Mexicanos, en materia de Justicia Laboral, el presupuesto que este Decreto asigna a la Secretaría del Trabajo y Previsión Social podrá ser sujeto a reestructuraciones y adecuaciones con el fin de transferir progresivamente los recursos que destina para la impartición de Justicia Laboral al Poder Judicial del Estado, hasta en tanto subsistan las Juntas </w:t>
      </w:r>
      <w:r w:rsidRPr="001876E4">
        <w:rPr>
          <w:rFonts w:ascii="Arial" w:hAnsi="Arial" w:cs="Arial"/>
          <w:sz w:val="24"/>
          <w:szCs w:val="24"/>
        </w:rPr>
        <w:lastRenderedPageBreak/>
        <w:t>Locales de Conciliación y Arbitraje, además de establecer las acciones de transición necesarias para impulsar la creación del Centro de Conciliación del Estado en términos del referido Decreto y la legislación local aplicable.</w:t>
      </w:r>
    </w:p>
    <w:p w:rsidR="001876E4" w:rsidRPr="001876E4" w:rsidRDefault="001876E4" w:rsidP="001876E4">
      <w:pPr>
        <w:spacing w:after="0" w:line="240" w:lineRule="auto"/>
        <w:jc w:val="both"/>
        <w:rPr>
          <w:rFonts w:ascii="Arial" w:hAnsi="Arial" w:cs="Arial"/>
          <w:sz w:val="24"/>
          <w:szCs w:val="24"/>
        </w:rPr>
      </w:pPr>
    </w:p>
    <w:p w:rsidR="001876E4" w:rsidRPr="001876E4" w:rsidRDefault="001876E4" w:rsidP="001876E4">
      <w:pPr>
        <w:spacing w:after="0" w:line="240" w:lineRule="auto"/>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El Gobernador del Estado dispondrá se publique, circule y observe.</w:t>
      </w:r>
    </w:p>
    <w:p w:rsidR="001876E4" w:rsidRPr="001876E4" w:rsidRDefault="001876E4" w:rsidP="001876E4">
      <w:pPr>
        <w:spacing w:before="120" w:after="0" w:line="240" w:lineRule="auto"/>
        <w:ind w:left="1" w:hanging="1"/>
        <w:jc w:val="both"/>
        <w:rPr>
          <w:rFonts w:ascii="Arial" w:eastAsia="Calibri" w:hAnsi="Arial" w:cs="Arial"/>
          <w:sz w:val="24"/>
          <w:szCs w:val="24"/>
          <w:lang w:val="es-ES" w:eastAsia="en-US"/>
        </w:rPr>
      </w:pPr>
      <w:r w:rsidRPr="001876E4">
        <w:rPr>
          <w:rFonts w:ascii="Arial" w:eastAsia="Calibri" w:hAnsi="Arial" w:cs="Arial"/>
          <w:sz w:val="24"/>
          <w:szCs w:val="24"/>
          <w:lang w:val="es-ES" w:eastAsia="en-US"/>
        </w:rPr>
        <w:t xml:space="preserve">Dado en la Residencia del Poder Ejecutivo, en Palacio de Gobierno el día 31 de octubre del año 2017. </w:t>
      </w:r>
    </w:p>
    <w:p w:rsidR="001876E4" w:rsidRPr="001876E4" w:rsidRDefault="001876E4" w:rsidP="001876E4">
      <w:pPr>
        <w:spacing w:before="120" w:after="0" w:line="240" w:lineRule="auto"/>
        <w:jc w:val="both"/>
        <w:rPr>
          <w:rFonts w:ascii="Arial" w:eastAsia="Calibri" w:hAnsi="Arial" w:cs="Arial"/>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ATENTAMENTE</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SUFRAGIO EFECTIVO. NO REELECCIÓN.</w:t>
      </w: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JOSÉ IGNACIO PERALTA SÁNCHEZ</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GOBERNADOR CONSTITUCIONAL DEL ESTADO</w:t>
      </w: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ARNOLDO OCHOA GONZÁLEZ</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SECRETARIO GENERAL DE GOBIERNO</w:t>
      </w: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Unicode MS" w:hAnsi="Arial" w:cs="Arial"/>
          <w:b/>
          <w:sz w:val="24"/>
          <w:szCs w:val="24"/>
          <w:u w:color="000000"/>
          <w:lang w:val="es-ES"/>
        </w:rPr>
      </w:pPr>
    </w:p>
    <w:p w:rsidR="001876E4" w:rsidRPr="001876E4" w:rsidRDefault="001876E4" w:rsidP="001876E4">
      <w:pPr>
        <w:spacing w:after="0" w:line="240" w:lineRule="auto"/>
        <w:jc w:val="center"/>
        <w:rPr>
          <w:rFonts w:ascii="Arial" w:eastAsia="Arial Bold" w:hAnsi="Arial" w:cs="Arial"/>
          <w:b/>
          <w:sz w:val="24"/>
          <w:szCs w:val="24"/>
          <w:u w:color="000000"/>
          <w:lang w:val="es-ES"/>
        </w:rPr>
      </w:pPr>
      <w:r w:rsidRPr="001876E4">
        <w:rPr>
          <w:rFonts w:ascii="Arial" w:eastAsia="Arial Unicode MS" w:hAnsi="Arial" w:cs="Arial"/>
          <w:b/>
          <w:sz w:val="24"/>
          <w:szCs w:val="24"/>
          <w:u w:color="000000"/>
          <w:lang w:val="es-ES"/>
        </w:rPr>
        <w:t>CARLOS ARTURO NORIEGA GARCÍA</w:t>
      </w:r>
    </w:p>
    <w:p w:rsidR="001876E4" w:rsidRPr="001876E4" w:rsidRDefault="001876E4" w:rsidP="001876E4">
      <w:pPr>
        <w:spacing w:after="0" w:line="240" w:lineRule="auto"/>
        <w:jc w:val="center"/>
        <w:rPr>
          <w:rFonts w:ascii="Arial" w:eastAsia="Arial Bold" w:hAnsi="Arial" w:cs="Arial"/>
          <w:b/>
          <w:sz w:val="24"/>
          <w:szCs w:val="24"/>
          <w:u w:color="000000"/>
          <w:lang w:val="es-ES"/>
        </w:rPr>
      </w:pPr>
      <w:r w:rsidRPr="001876E4">
        <w:rPr>
          <w:rFonts w:ascii="Arial" w:eastAsia="Arial Unicode MS" w:hAnsi="Arial" w:cs="Arial"/>
          <w:b/>
          <w:sz w:val="24"/>
          <w:szCs w:val="24"/>
          <w:u w:color="000000"/>
          <w:lang w:val="es-ES"/>
        </w:rPr>
        <w:t>SECRETARIO DE PLANEACIÓN Y FINANZAS</w:t>
      </w:r>
    </w:p>
    <w:p w:rsidR="001876E4" w:rsidRPr="001876E4" w:rsidRDefault="001876E4" w:rsidP="001876E4">
      <w:pPr>
        <w:spacing w:after="0" w:line="240" w:lineRule="auto"/>
        <w:jc w:val="center"/>
        <w:rPr>
          <w:rFonts w:ascii="Arial" w:eastAsia="Calibri" w:hAnsi="Arial" w:cs="Arial"/>
          <w:b/>
          <w:sz w:val="24"/>
          <w:szCs w:val="24"/>
          <w:lang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ANDRÉS GERARDO GARCÍA NORIEGA</w:t>
      </w:r>
    </w:p>
    <w:p w:rsidR="001876E4" w:rsidRPr="001876E4" w:rsidRDefault="001876E4" w:rsidP="001876E4">
      <w:pPr>
        <w:spacing w:after="0" w:line="240" w:lineRule="auto"/>
        <w:jc w:val="center"/>
        <w:rPr>
          <w:rFonts w:ascii="Arial" w:eastAsia="Calibri" w:hAnsi="Arial" w:cs="Arial"/>
          <w:b/>
          <w:sz w:val="24"/>
          <w:szCs w:val="24"/>
          <w:lang w:val="es-ES" w:eastAsia="en-US"/>
        </w:rPr>
      </w:pPr>
      <w:r w:rsidRPr="001876E4">
        <w:rPr>
          <w:rFonts w:ascii="Arial" w:eastAsia="Calibri" w:hAnsi="Arial" w:cs="Arial"/>
          <w:b/>
          <w:sz w:val="24"/>
          <w:szCs w:val="24"/>
          <w:lang w:val="es-ES" w:eastAsia="en-US"/>
        </w:rPr>
        <w:t>CONSEJERO JURÍDICO DEL PODER EJECUTIVO DEL ESTADO</w:t>
      </w:r>
    </w:p>
    <w:bookmarkEnd w:id="0"/>
    <w:bookmarkEnd w:id="1"/>
    <w:p w:rsidR="001876E4" w:rsidRPr="001876E4" w:rsidRDefault="001876E4" w:rsidP="001876E4">
      <w:pPr>
        <w:spacing w:after="0" w:line="240" w:lineRule="auto"/>
        <w:jc w:val="center"/>
        <w:rPr>
          <w:rFonts w:ascii="Arial" w:hAnsi="Arial" w:cs="Arial"/>
          <w:b/>
          <w:sz w:val="24"/>
          <w:szCs w:val="24"/>
        </w:rPr>
      </w:pPr>
    </w:p>
    <w:p w:rsidR="001876E4" w:rsidRDefault="001876E4" w:rsidP="00276E88">
      <w:pPr>
        <w:spacing w:after="0" w:line="240" w:lineRule="auto"/>
        <w:jc w:val="both"/>
        <w:rPr>
          <w:rFonts w:ascii="Arial" w:hAnsi="Arial" w:cs="Arial"/>
          <w:sz w:val="24"/>
        </w:rPr>
      </w:pPr>
      <w:bookmarkStart w:id="43" w:name="_GoBack"/>
      <w:bookmarkEnd w:id="43"/>
    </w:p>
    <w:sectPr w:rsidR="001876E4" w:rsidSect="006E1FBC">
      <w:headerReference w:type="default" r:id="rId63"/>
      <w:footerReference w:type="default" r:id="rId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BC9" w:rsidRDefault="00185BC9" w:rsidP="00567446">
      <w:pPr>
        <w:spacing w:after="0" w:line="240" w:lineRule="auto"/>
      </w:pPr>
      <w:r>
        <w:separator/>
      </w:r>
    </w:p>
  </w:endnote>
  <w:endnote w:type="continuationSeparator" w:id="0">
    <w:p w:rsidR="00185BC9" w:rsidRDefault="00185BC9" w:rsidP="00567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Rotis Sans Serif Std Ligh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oberanaSans-Light">
    <w:panose1 w:val="00000000000000000000"/>
    <w:charset w:val="00"/>
    <w:family w:val="auto"/>
    <w:notTrueType/>
    <w:pitch w:val="default"/>
    <w:sig w:usb0="00000003" w:usb1="00000000" w:usb2="00000000" w:usb3="00000000" w:csb0="00000001" w:csb1="00000000"/>
  </w:font>
  <w:font w:name="SoberanaSans-Bold">
    <w:panose1 w:val="00000000000000000000"/>
    <w:charset w:val="00"/>
    <w:family w:val="auto"/>
    <w:notTrueType/>
    <w:pitch w:val="default"/>
    <w:sig w:usb0="00000003" w:usb1="00000000" w:usb2="00000000" w:usb3="00000000" w:csb0="00000001" w:csb1="00000000"/>
  </w:font>
  <w:font w:name="Colaborate-Regular">
    <w:panose1 w:val="00000000000000000000"/>
    <w:charset w:val="00"/>
    <w:family w:val="modern"/>
    <w:notTrueType/>
    <w:pitch w:val="variable"/>
    <w:sig w:usb0="00000003" w:usb1="00000000" w:usb2="00000000" w:usb3="00000000" w:csb0="00000001" w:csb1="00000000"/>
  </w:font>
  <w:font w:name="Arial Bold">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655113"/>
      <w:docPartObj>
        <w:docPartGallery w:val="Page Numbers (Bottom of Page)"/>
        <w:docPartUnique/>
      </w:docPartObj>
    </w:sdtPr>
    <w:sdtEndPr/>
    <w:sdtContent>
      <w:p w:rsidR="00C40B75" w:rsidRDefault="00C40B75">
        <w:pPr>
          <w:pStyle w:val="Piedepgina"/>
          <w:jc w:val="right"/>
        </w:pPr>
        <w:r>
          <w:fldChar w:fldCharType="begin"/>
        </w:r>
        <w:r>
          <w:instrText>PAGE   \* MERGEFORMAT</w:instrText>
        </w:r>
        <w:r>
          <w:fldChar w:fldCharType="separate"/>
        </w:r>
        <w:r w:rsidR="00722D19" w:rsidRPr="00722D19">
          <w:rPr>
            <w:noProof/>
            <w:lang w:val="es-ES"/>
          </w:rPr>
          <w:t>1</w:t>
        </w:r>
        <w:r>
          <w:rPr>
            <w:noProof/>
            <w:lang w:val="es-ES"/>
          </w:rPr>
          <w:fldChar w:fldCharType="end"/>
        </w:r>
      </w:p>
    </w:sdtContent>
  </w:sdt>
  <w:p w:rsidR="00C40B75" w:rsidRPr="00DE2B90" w:rsidRDefault="00C40B75" w:rsidP="00A33C8D">
    <w:pPr>
      <w:pStyle w:val="Piedepgina"/>
      <w:jc w:val="center"/>
      <w:rPr>
        <w:sz w:val="20"/>
      </w:rPr>
    </w:pPr>
    <w:r w:rsidRPr="00DE2B90">
      <w:rPr>
        <w:sz w:val="20"/>
      </w:rPr>
      <w:t>“Año 2017</w:t>
    </w:r>
    <w:r>
      <w:rPr>
        <w:sz w:val="20"/>
      </w:rPr>
      <w:t>,</w:t>
    </w:r>
    <w:r w:rsidRPr="00DE2B90">
      <w:rPr>
        <w:sz w:val="20"/>
      </w:rPr>
      <w:t xml:space="preserve"> Centenario de la Constitución Política de </w:t>
    </w:r>
    <w:r>
      <w:rPr>
        <w:sz w:val="20"/>
      </w:rPr>
      <w:t>los Estados Unidos Mexicanos y d</w:t>
    </w:r>
    <w:r w:rsidRPr="00DE2B90">
      <w:rPr>
        <w:sz w:val="20"/>
      </w:rPr>
      <w:t>e la Constitución Política del Estado Libre y Soberano de Colima”</w:t>
    </w:r>
  </w:p>
  <w:p w:rsidR="00C40B75" w:rsidRPr="00220701" w:rsidRDefault="00C40B75" w:rsidP="0054218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BC9" w:rsidRDefault="00185BC9" w:rsidP="00567446">
      <w:pPr>
        <w:spacing w:after="0" w:line="240" w:lineRule="auto"/>
      </w:pPr>
      <w:r>
        <w:separator/>
      </w:r>
    </w:p>
  </w:footnote>
  <w:footnote w:type="continuationSeparator" w:id="0">
    <w:p w:rsidR="00185BC9" w:rsidRDefault="00185BC9" w:rsidP="00567446">
      <w:pPr>
        <w:spacing w:after="0" w:line="240" w:lineRule="auto"/>
      </w:pPr>
      <w:r>
        <w:continuationSeparator/>
      </w:r>
    </w:p>
  </w:footnote>
  <w:footnote w:id="1">
    <w:p w:rsidR="00C40B75" w:rsidRDefault="00C40B75" w:rsidP="007C2295">
      <w:pPr>
        <w:pStyle w:val="Textonotapie"/>
      </w:pPr>
      <w:r w:rsidRPr="00245EB5">
        <w:rPr>
          <w:rStyle w:val="Refdenotaalpie"/>
        </w:rPr>
        <w:footnoteRef/>
      </w:r>
      <w:r w:rsidRPr="00245EB5">
        <w:t xml:space="preserve"> Última cifra según datos del Instituto Nacional de Estadística y Geografía.</w:t>
      </w:r>
      <w:r>
        <w:t xml:space="preserve">  </w:t>
      </w:r>
    </w:p>
  </w:footnote>
  <w:footnote w:id="2">
    <w:p w:rsidR="00C40B75" w:rsidRPr="00641696" w:rsidRDefault="00C40B75">
      <w:pPr>
        <w:pStyle w:val="Textonotapie"/>
        <w:rPr>
          <w:rFonts w:ascii="Arial" w:hAnsi="Arial" w:cs="Arial"/>
        </w:rPr>
      </w:pPr>
      <w:r w:rsidRPr="00641696">
        <w:rPr>
          <w:rStyle w:val="Refdenotaalpie"/>
          <w:rFonts w:ascii="Arial" w:hAnsi="Arial" w:cs="Arial"/>
          <w:sz w:val="18"/>
        </w:rPr>
        <w:footnoteRef/>
      </w:r>
      <w:r w:rsidRPr="00641696">
        <w:rPr>
          <w:rFonts w:ascii="Arial" w:hAnsi="Arial" w:cs="Arial"/>
          <w:sz w:val="18"/>
        </w:rPr>
        <w:t xml:space="preserve"> Según Plan Estatal de Desarrollo 2016 – 2021.</w:t>
      </w:r>
    </w:p>
  </w:footnote>
  <w:footnote w:id="3">
    <w:p w:rsidR="001876E4" w:rsidRPr="00AC22B8" w:rsidRDefault="001876E4" w:rsidP="001876E4">
      <w:pPr>
        <w:pStyle w:val="Textonotapie"/>
        <w:rPr>
          <w:rFonts w:ascii="Arial" w:hAnsi="Arial" w:cs="Arial"/>
        </w:rPr>
      </w:pPr>
      <w:r w:rsidRPr="00AC22B8">
        <w:rPr>
          <w:rStyle w:val="Refdenotaalpie"/>
          <w:rFonts w:ascii="Arial" w:hAnsi="Arial" w:cs="Arial"/>
        </w:rPr>
        <w:footnoteRef/>
      </w:r>
      <w:r w:rsidRPr="00AC22B8">
        <w:rPr>
          <w:rFonts w:ascii="Arial" w:hAnsi="Arial" w:cs="Arial"/>
        </w:rPr>
        <w:t xml:space="preserve"> </w:t>
      </w:r>
      <w:r w:rsidRPr="00545EA8">
        <w:rPr>
          <w:rFonts w:ascii="Arial" w:hAnsi="Arial" w:cs="Arial"/>
          <w:sz w:val="18"/>
        </w:rPr>
        <w:t>Véase http://www.bancomundial.org/es/topic/disasterriskmanagement/overview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B75" w:rsidRDefault="00C40B75" w:rsidP="00A0651B">
    <w:pPr>
      <w:pStyle w:val="Encabezado"/>
    </w:pPr>
    <w:r>
      <w:rPr>
        <w:noProof/>
        <w:lang w:val="es-ES" w:eastAsia="es-ES"/>
      </w:rPr>
      <w:drawing>
        <wp:anchor distT="0" distB="0" distL="114300" distR="114300" simplePos="0" relativeHeight="251658752" behindDoc="0" locked="0" layoutInCell="1" allowOverlap="1">
          <wp:simplePos x="0" y="0"/>
          <wp:positionH relativeFrom="column">
            <wp:posOffset>-473075</wp:posOffset>
          </wp:positionH>
          <wp:positionV relativeFrom="paragraph">
            <wp:posOffset>-609546</wp:posOffset>
          </wp:positionV>
          <wp:extent cx="2076450" cy="2076450"/>
          <wp:effectExtent l="0" t="0" r="0" b="0"/>
          <wp:wrapNone/>
          <wp:docPr id="36" name="Imagen 1" descr="\\RECEPCION\Users\Public\Scan.jpg"/>
          <wp:cNvGraphicFramePr/>
          <a:graphic xmlns:a="http://schemas.openxmlformats.org/drawingml/2006/main">
            <a:graphicData uri="http://schemas.openxmlformats.org/drawingml/2006/picture">
              <pic:pic xmlns:pic="http://schemas.openxmlformats.org/drawingml/2006/picture">
                <pic:nvPicPr>
                  <pic:cNvPr id="2" name="Imagen 1" descr="\\RECEPCION\Users\Public\Scan.jpg"/>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w="9525">
                    <a:noFill/>
                    <a:miter lim="800000"/>
                    <a:headEnd/>
                    <a:tailEnd/>
                  </a:ln>
                </pic:spPr>
              </pic:pic>
            </a:graphicData>
          </a:graphic>
        </wp:anchor>
      </w:drawing>
    </w:r>
  </w:p>
  <w:p w:rsidR="00C40B75" w:rsidRDefault="00C40B75" w:rsidP="00A0651B">
    <w:pPr>
      <w:pStyle w:val="Encabezado"/>
    </w:pPr>
  </w:p>
  <w:p w:rsidR="00C40B75" w:rsidRDefault="00C40B75" w:rsidP="00A0651B">
    <w:pPr>
      <w:pStyle w:val="Encabezado"/>
    </w:pPr>
  </w:p>
  <w:p w:rsidR="00C40B75" w:rsidRDefault="00C40B75" w:rsidP="00A0651B">
    <w:pPr>
      <w:pStyle w:val="Encabezado"/>
    </w:pPr>
  </w:p>
  <w:p w:rsidR="00C40B75" w:rsidRDefault="00C40B75" w:rsidP="00A0651B">
    <w:pPr>
      <w:pStyle w:val="Encabezado"/>
    </w:pPr>
  </w:p>
  <w:p w:rsidR="00C40B75" w:rsidRDefault="00C40B75" w:rsidP="00A0651B">
    <w:pPr>
      <w:pStyle w:val="Encabezado"/>
    </w:pPr>
  </w:p>
  <w:p w:rsidR="00C40B75" w:rsidRDefault="00C40B75" w:rsidP="00A0651B">
    <w:pPr>
      <w:pStyle w:val="Encabezado"/>
    </w:pPr>
  </w:p>
  <w:p w:rsidR="00C40B75" w:rsidRPr="007C1547" w:rsidRDefault="00C40B75" w:rsidP="007C1547">
    <w:pPr>
      <w:spacing w:after="0" w:line="240" w:lineRule="auto"/>
      <w:rPr>
        <w:rFonts w:ascii="Arial Narrow" w:hAnsi="Arial Narrow"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608"/>
    <w:multiLevelType w:val="hybridMultilevel"/>
    <w:tmpl w:val="28F251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1647E98"/>
    <w:multiLevelType w:val="hybridMultilevel"/>
    <w:tmpl w:val="C34EF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74A3C"/>
    <w:multiLevelType w:val="multilevel"/>
    <w:tmpl w:val="0F741906"/>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BC2256"/>
    <w:multiLevelType w:val="hybridMultilevel"/>
    <w:tmpl w:val="F08E2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DA633B"/>
    <w:multiLevelType w:val="multilevel"/>
    <w:tmpl w:val="0F741906"/>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EF21815"/>
    <w:multiLevelType w:val="hybridMultilevel"/>
    <w:tmpl w:val="736C8D66"/>
    <w:lvl w:ilvl="0" w:tplc="197C293E">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0F4D35EE"/>
    <w:multiLevelType w:val="hybridMultilevel"/>
    <w:tmpl w:val="9880CDF0"/>
    <w:lvl w:ilvl="0" w:tplc="366C31DE">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3EA2628"/>
    <w:multiLevelType w:val="hybridMultilevel"/>
    <w:tmpl w:val="EF2021A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15:restartNumberingAfterBreak="0">
    <w:nsid w:val="1F6E7C15"/>
    <w:multiLevelType w:val="multilevel"/>
    <w:tmpl w:val="0F741906"/>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0FD468C"/>
    <w:multiLevelType w:val="multilevel"/>
    <w:tmpl w:val="9208C2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4952298"/>
    <w:multiLevelType w:val="multilevel"/>
    <w:tmpl w:val="0F741906"/>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3810D6"/>
    <w:multiLevelType w:val="hybridMultilevel"/>
    <w:tmpl w:val="5D4491C0"/>
    <w:lvl w:ilvl="0" w:tplc="F446EC18">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9555851"/>
    <w:multiLevelType w:val="multilevel"/>
    <w:tmpl w:val="D25A53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B6B6391"/>
    <w:multiLevelType w:val="hybridMultilevel"/>
    <w:tmpl w:val="19202BB6"/>
    <w:lvl w:ilvl="0" w:tplc="9D0C5090">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75A2B90"/>
    <w:multiLevelType w:val="hybridMultilevel"/>
    <w:tmpl w:val="EA740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8343D3"/>
    <w:multiLevelType w:val="hybridMultilevel"/>
    <w:tmpl w:val="878452A6"/>
    <w:lvl w:ilvl="0" w:tplc="6FDA6F8A">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8A125C5"/>
    <w:multiLevelType w:val="hybridMultilevel"/>
    <w:tmpl w:val="7C5419AC"/>
    <w:lvl w:ilvl="0" w:tplc="971CAA2A">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3B237907"/>
    <w:multiLevelType w:val="hybridMultilevel"/>
    <w:tmpl w:val="BB762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3A6C10"/>
    <w:multiLevelType w:val="multilevel"/>
    <w:tmpl w:val="0F741906"/>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48A36AC"/>
    <w:multiLevelType w:val="hybridMultilevel"/>
    <w:tmpl w:val="C184979E"/>
    <w:lvl w:ilvl="0" w:tplc="28C44A0A">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BDB4E50"/>
    <w:multiLevelType w:val="hybridMultilevel"/>
    <w:tmpl w:val="A6F82408"/>
    <w:lvl w:ilvl="0" w:tplc="3602499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54FC17AD"/>
    <w:multiLevelType w:val="hybridMultilevel"/>
    <w:tmpl w:val="C6CE6C6A"/>
    <w:lvl w:ilvl="0" w:tplc="B5F27D42">
      <w:start w:val="1"/>
      <w:numFmt w:val="upperRoman"/>
      <w:lvlText w:val="%1."/>
      <w:lvlJc w:val="left"/>
      <w:pPr>
        <w:ind w:left="1004" w:hanging="360"/>
      </w:p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2" w15:restartNumberingAfterBreak="0">
    <w:nsid w:val="5779120F"/>
    <w:multiLevelType w:val="hybridMultilevel"/>
    <w:tmpl w:val="E040AFA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3" w15:restartNumberingAfterBreak="0">
    <w:nsid w:val="64D04B66"/>
    <w:multiLevelType w:val="hybridMultilevel"/>
    <w:tmpl w:val="B8984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9966C60"/>
    <w:multiLevelType w:val="hybridMultilevel"/>
    <w:tmpl w:val="BA169218"/>
    <w:lvl w:ilvl="0" w:tplc="77D80CBA">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6CB6632C"/>
    <w:multiLevelType w:val="hybridMultilevel"/>
    <w:tmpl w:val="C62AB144"/>
    <w:lvl w:ilvl="0" w:tplc="0C0A0001">
      <w:start w:val="1"/>
      <w:numFmt w:val="bullet"/>
      <w:lvlText w:val=""/>
      <w:lvlJc w:val="left"/>
      <w:pPr>
        <w:ind w:left="720" w:hanging="360"/>
      </w:pPr>
      <w:rPr>
        <w:rFonts w:ascii="Symbol" w:hAnsi="Symbol"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B611C9"/>
    <w:multiLevelType w:val="hybridMultilevel"/>
    <w:tmpl w:val="F3547C72"/>
    <w:lvl w:ilvl="0" w:tplc="6BBEC436">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7012235B"/>
    <w:multiLevelType w:val="hybridMultilevel"/>
    <w:tmpl w:val="3C54C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282E0E"/>
    <w:multiLevelType w:val="multilevel"/>
    <w:tmpl w:val="0F741906"/>
    <w:lvl w:ilvl="0">
      <w:start w:val="1"/>
      <w:numFmt w:val="bullet"/>
      <w:lvlText w:val=""/>
      <w:lvlJc w:val="left"/>
      <w:pPr>
        <w:ind w:left="720" w:hanging="360"/>
      </w:pPr>
      <w:rPr>
        <w:rFonts w:ascii="Symbol" w:hAnsi="Symbo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89B2B5B"/>
    <w:multiLevelType w:val="hybridMultilevel"/>
    <w:tmpl w:val="FCB69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F6812D4"/>
    <w:multiLevelType w:val="hybridMultilevel"/>
    <w:tmpl w:val="767AA29C"/>
    <w:lvl w:ilvl="0" w:tplc="62E216C2">
      <w:start w:val="1"/>
      <w:numFmt w:val="upperRoman"/>
      <w:lvlText w:val="%1."/>
      <w:lvlJc w:val="left"/>
      <w:pPr>
        <w:ind w:left="720" w:hanging="360"/>
      </w:pPr>
      <w:rPr>
        <w:strike w:val="0"/>
        <w:dstrike w:val="0"/>
        <w:color w:val="auto"/>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7FDD1ADC"/>
    <w:multiLevelType w:val="hybridMultilevel"/>
    <w:tmpl w:val="5E2AE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9"/>
  </w:num>
  <w:num w:numId="5">
    <w:abstractNumId w:val="27"/>
  </w:num>
  <w:num w:numId="6">
    <w:abstractNumId w:val="31"/>
  </w:num>
  <w:num w:numId="7">
    <w:abstractNumId w:val="0"/>
  </w:num>
  <w:num w:numId="8">
    <w:abstractNumId w:val="17"/>
  </w:num>
  <w:num w:numId="9">
    <w:abstractNumId w:val="1"/>
  </w:num>
  <w:num w:numId="10">
    <w:abstractNumId w:val="22"/>
  </w:num>
  <w:num w:numId="11">
    <w:abstractNumId w:val="7"/>
  </w:num>
  <w:num w:numId="12">
    <w:abstractNumId w:val="23"/>
  </w:num>
  <w:num w:numId="13">
    <w:abstractNumId w:val="29"/>
  </w:num>
  <w:num w:numId="14">
    <w:abstractNumId w:val="3"/>
  </w:num>
  <w:num w:numId="15">
    <w:abstractNumId w:val="25"/>
  </w:num>
  <w:num w:numId="16">
    <w:abstractNumId w:val="18"/>
  </w:num>
  <w:num w:numId="17">
    <w:abstractNumId w:val="2"/>
  </w:num>
  <w:num w:numId="18">
    <w:abstractNumId w:val="28"/>
  </w:num>
  <w:num w:numId="19">
    <w:abstractNumId w:val="14"/>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00"/>
    <w:rsid w:val="00000B14"/>
    <w:rsid w:val="00000B36"/>
    <w:rsid w:val="00000CED"/>
    <w:rsid w:val="00001D7C"/>
    <w:rsid w:val="00002F56"/>
    <w:rsid w:val="0000320F"/>
    <w:rsid w:val="000045D5"/>
    <w:rsid w:val="000048C8"/>
    <w:rsid w:val="00004B02"/>
    <w:rsid w:val="00005008"/>
    <w:rsid w:val="00005EA1"/>
    <w:rsid w:val="00006037"/>
    <w:rsid w:val="00007197"/>
    <w:rsid w:val="00011D6B"/>
    <w:rsid w:val="00012995"/>
    <w:rsid w:val="00012ABD"/>
    <w:rsid w:val="00013F86"/>
    <w:rsid w:val="00014FFD"/>
    <w:rsid w:val="00017278"/>
    <w:rsid w:val="00021AC2"/>
    <w:rsid w:val="00022590"/>
    <w:rsid w:val="00025C13"/>
    <w:rsid w:val="00027B18"/>
    <w:rsid w:val="0003081B"/>
    <w:rsid w:val="00030F76"/>
    <w:rsid w:val="00033D97"/>
    <w:rsid w:val="00035ECD"/>
    <w:rsid w:val="00035FC3"/>
    <w:rsid w:val="00036B9D"/>
    <w:rsid w:val="00036BB5"/>
    <w:rsid w:val="0003724B"/>
    <w:rsid w:val="00037B86"/>
    <w:rsid w:val="00037FA6"/>
    <w:rsid w:val="0004107B"/>
    <w:rsid w:val="00041B7B"/>
    <w:rsid w:val="000428FF"/>
    <w:rsid w:val="000443D0"/>
    <w:rsid w:val="00046DC1"/>
    <w:rsid w:val="000501F2"/>
    <w:rsid w:val="0005022D"/>
    <w:rsid w:val="0005177A"/>
    <w:rsid w:val="0005304B"/>
    <w:rsid w:val="00053A08"/>
    <w:rsid w:val="00053C6E"/>
    <w:rsid w:val="00054B7A"/>
    <w:rsid w:val="00054C12"/>
    <w:rsid w:val="00055DD6"/>
    <w:rsid w:val="0005698A"/>
    <w:rsid w:val="000571D5"/>
    <w:rsid w:val="0006041B"/>
    <w:rsid w:val="00060CFB"/>
    <w:rsid w:val="00060E04"/>
    <w:rsid w:val="00062CBF"/>
    <w:rsid w:val="00062ED6"/>
    <w:rsid w:val="00064541"/>
    <w:rsid w:val="00064982"/>
    <w:rsid w:val="000703F6"/>
    <w:rsid w:val="0007127F"/>
    <w:rsid w:val="000721BC"/>
    <w:rsid w:val="00073328"/>
    <w:rsid w:val="000738A7"/>
    <w:rsid w:val="0007405B"/>
    <w:rsid w:val="00074892"/>
    <w:rsid w:val="00076A9D"/>
    <w:rsid w:val="0007745F"/>
    <w:rsid w:val="000774A1"/>
    <w:rsid w:val="00077D05"/>
    <w:rsid w:val="00077F5E"/>
    <w:rsid w:val="00077F9E"/>
    <w:rsid w:val="00081F25"/>
    <w:rsid w:val="000821DB"/>
    <w:rsid w:val="000829F4"/>
    <w:rsid w:val="000830B6"/>
    <w:rsid w:val="00083573"/>
    <w:rsid w:val="000846F5"/>
    <w:rsid w:val="00085579"/>
    <w:rsid w:val="00087531"/>
    <w:rsid w:val="0009039E"/>
    <w:rsid w:val="0009129D"/>
    <w:rsid w:val="00093049"/>
    <w:rsid w:val="000931A6"/>
    <w:rsid w:val="00094178"/>
    <w:rsid w:val="00094DF8"/>
    <w:rsid w:val="000952CC"/>
    <w:rsid w:val="00095ECC"/>
    <w:rsid w:val="000975B6"/>
    <w:rsid w:val="000A0484"/>
    <w:rsid w:val="000A285C"/>
    <w:rsid w:val="000A3814"/>
    <w:rsid w:val="000A3BFD"/>
    <w:rsid w:val="000A41A5"/>
    <w:rsid w:val="000A63D4"/>
    <w:rsid w:val="000A68B6"/>
    <w:rsid w:val="000A6D55"/>
    <w:rsid w:val="000A7088"/>
    <w:rsid w:val="000A7393"/>
    <w:rsid w:val="000A7655"/>
    <w:rsid w:val="000A767B"/>
    <w:rsid w:val="000B1190"/>
    <w:rsid w:val="000B13D3"/>
    <w:rsid w:val="000B16FF"/>
    <w:rsid w:val="000B20E3"/>
    <w:rsid w:val="000B29C3"/>
    <w:rsid w:val="000B3337"/>
    <w:rsid w:val="000B39D8"/>
    <w:rsid w:val="000B40EB"/>
    <w:rsid w:val="000B4DE0"/>
    <w:rsid w:val="000B7482"/>
    <w:rsid w:val="000C0391"/>
    <w:rsid w:val="000C183E"/>
    <w:rsid w:val="000C4963"/>
    <w:rsid w:val="000C59BA"/>
    <w:rsid w:val="000C69BA"/>
    <w:rsid w:val="000C7424"/>
    <w:rsid w:val="000D00DA"/>
    <w:rsid w:val="000D00F6"/>
    <w:rsid w:val="000D01F1"/>
    <w:rsid w:val="000D053F"/>
    <w:rsid w:val="000D12B2"/>
    <w:rsid w:val="000D1659"/>
    <w:rsid w:val="000D28F3"/>
    <w:rsid w:val="000D2B80"/>
    <w:rsid w:val="000D41DB"/>
    <w:rsid w:val="000D48CC"/>
    <w:rsid w:val="000D664A"/>
    <w:rsid w:val="000D66DC"/>
    <w:rsid w:val="000E1F23"/>
    <w:rsid w:val="000E2C0D"/>
    <w:rsid w:val="000E36EF"/>
    <w:rsid w:val="000E5987"/>
    <w:rsid w:val="000E6714"/>
    <w:rsid w:val="000F0FB5"/>
    <w:rsid w:val="000F12CE"/>
    <w:rsid w:val="000F256E"/>
    <w:rsid w:val="000F2AF9"/>
    <w:rsid w:val="000F35C1"/>
    <w:rsid w:val="000F3C6A"/>
    <w:rsid w:val="000F4D00"/>
    <w:rsid w:val="000F5564"/>
    <w:rsid w:val="000F575D"/>
    <w:rsid w:val="000F589D"/>
    <w:rsid w:val="000F5AF2"/>
    <w:rsid w:val="000F5CCF"/>
    <w:rsid w:val="000F6A2C"/>
    <w:rsid w:val="000F73CF"/>
    <w:rsid w:val="000F7602"/>
    <w:rsid w:val="001021BF"/>
    <w:rsid w:val="00104C12"/>
    <w:rsid w:val="00106C2B"/>
    <w:rsid w:val="00106DC6"/>
    <w:rsid w:val="0011219B"/>
    <w:rsid w:val="0011307E"/>
    <w:rsid w:val="00114053"/>
    <w:rsid w:val="001143B6"/>
    <w:rsid w:val="00115045"/>
    <w:rsid w:val="001159C7"/>
    <w:rsid w:val="00115AA1"/>
    <w:rsid w:val="00117153"/>
    <w:rsid w:val="00117E8A"/>
    <w:rsid w:val="0012090F"/>
    <w:rsid w:val="00121125"/>
    <w:rsid w:val="0012173B"/>
    <w:rsid w:val="00121787"/>
    <w:rsid w:val="00121D73"/>
    <w:rsid w:val="00122118"/>
    <w:rsid w:val="00123E5E"/>
    <w:rsid w:val="00124C08"/>
    <w:rsid w:val="00124EA1"/>
    <w:rsid w:val="00125C32"/>
    <w:rsid w:val="00126244"/>
    <w:rsid w:val="001264FF"/>
    <w:rsid w:val="001273CB"/>
    <w:rsid w:val="00130259"/>
    <w:rsid w:val="00130EB5"/>
    <w:rsid w:val="001317A0"/>
    <w:rsid w:val="00131DCC"/>
    <w:rsid w:val="00131FA7"/>
    <w:rsid w:val="001333F5"/>
    <w:rsid w:val="00133D0C"/>
    <w:rsid w:val="0013457C"/>
    <w:rsid w:val="001352AC"/>
    <w:rsid w:val="00135B7C"/>
    <w:rsid w:val="00136200"/>
    <w:rsid w:val="00136272"/>
    <w:rsid w:val="00136422"/>
    <w:rsid w:val="00137536"/>
    <w:rsid w:val="00141647"/>
    <w:rsid w:val="001418E9"/>
    <w:rsid w:val="00141C8D"/>
    <w:rsid w:val="00141FB3"/>
    <w:rsid w:val="00142702"/>
    <w:rsid w:val="001436F2"/>
    <w:rsid w:val="00145D12"/>
    <w:rsid w:val="00145D7D"/>
    <w:rsid w:val="001502FB"/>
    <w:rsid w:val="00151318"/>
    <w:rsid w:val="001525C0"/>
    <w:rsid w:val="00152BF2"/>
    <w:rsid w:val="00152C39"/>
    <w:rsid w:val="00153054"/>
    <w:rsid w:val="00153DD2"/>
    <w:rsid w:val="00156573"/>
    <w:rsid w:val="0015776B"/>
    <w:rsid w:val="00157AA6"/>
    <w:rsid w:val="00157F0F"/>
    <w:rsid w:val="00160D70"/>
    <w:rsid w:val="0016306A"/>
    <w:rsid w:val="0016313E"/>
    <w:rsid w:val="00163C13"/>
    <w:rsid w:val="00163E08"/>
    <w:rsid w:val="0016401D"/>
    <w:rsid w:val="00164FB9"/>
    <w:rsid w:val="001663C9"/>
    <w:rsid w:val="0016704B"/>
    <w:rsid w:val="00167887"/>
    <w:rsid w:val="001711AF"/>
    <w:rsid w:val="00171469"/>
    <w:rsid w:val="00171D10"/>
    <w:rsid w:val="001726D7"/>
    <w:rsid w:val="00174111"/>
    <w:rsid w:val="00174D90"/>
    <w:rsid w:val="00175BA0"/>
    <w:rsid w:val="00176B1A"/>
    <w:rsid w:val="001772EF"/>
    <w:rsid w:val="00177CC0"/>
    <w:rsid w:val="00181DB2"/>
    <w:rsid w:val="00182453"/>
    <w:rsid w:val="001833BC"/>
    <w:rsid w:val="00183800"/>
    <w:rsid w:val="00185BC9"/>
    <w:rsid w:val="00185C72"/>
    <w:rsid w:val="00186ED4"/>
    <w:rsid w:val="00186FB0"/>
    <w:rsid w:val="001876E4"/>
    <w:rsid w:val="001900B2"/>
    <w:rsid w:val="00190EFD"/>
    <w:rsid w:val="00192D51"/>
    <w:rsid w:val="00194E8F"/>
    <w:rsid w:val="00195472"/>
    <w:rsid w:val="00197ADC"/>
    <w:rsid w:val="00197DDC"/>
    <w:rsid w:val="001A0DA9"/>
    <w:rsid w:val="001A1C41"/>
    <w:rsid w:val="001A23CA"/>
    <w:rsid w:val="001A47F9"/>
    <w:rsid w:val="001A6857"/>
    <w:rsid w:val="001A71DA"/>
    <w:rsid w:val="001A75DE"/>
    <w:rsid w:val="001A7B3A"/>
    <w:rsid w:val="001A7F74"/>
    <w:rsid w:val="001B092A"/>
    <w:rsid w:val="001B1579"/>
    <w:rsid w:val="001B40E1"/>
    <w:rsid w:val="001B4861"/>
    <w:rsid w:val="001B4E3C"/>
    <w:rsid w:val="001B503D"/>
    <w:rsid w:val="001B5E87"/>
    <w:rsid w:val="001B64BB"/>
    <w:rsid w:val="001C337A"/>
    <w:rsid w:val="001C6503"/>
    <w:rsid w:val="001C6933"/>
    <w:rsid w:val="001C7976"/>
    <w:rsid w:val="001C7A0F"/>
    <w:rsid w:val="001D0A4B"/>
    <w:rsid w:val="001D0E07"/>
    <w:rsid w:val="001D10E7"/>
    <w:rsid w:val="001D1D01"/>
    <w:rsid w:val="001D3871"/>
    <w:rsid w:val="001D393D"/>
    <w:rsid w:val="001D52D6"/>
    <w:rsid w:val="001E1AF3"/>
    <w:rsid w:val="001E4BCC"/>
    <w:rsid w:val="001E662D"/>
    <w:rsid w:val="001E79E8"/>
    <w:rsid w:val="001F0393"/>
    <w:rsid w:val="001F0C0E"/>
    <w:rsid w:val="001F39F7"/>
    <w:rsid w:val="001F3C88"/>
    <w:rsid w:val="001F5C98"/>
    <w:rsid w:val="001F7D88"/>
    <w:rsid w:val="001F7F55"/>
    <w:rsid w:val="00200B15"/>
    <w:rsid w:val="002025AF"/>
    <w:rsid w:val="00203640"/>
    <w:rsid w:val="00203AC2"/>
    <w:rsid w:val="002041D1"/>
    <w:rsid w:val="00204EB4"/>
    <w:rsid w:val="00207C52"/>
    <w:rsid w:val="0021005D"/>
    <w:rsid w:val="002113E0"/>
    <w:rsid w:val="00212A29"/>
    <w:rsid w:val="002133F6"/>
    <w:rsid w:val="0021384A"/>
    <w:rsid w:val="00214B23"/>
    <w:rsid w:val="002152A9"/>
    <w:rsid w:val="00215EFE"/>
    <w:rsid w:val="00215F39"/>
    <w:rsid w:val="00216C6D"/>
    <w:rsid w:val="0021723E"/>
    <w:rsid w:val="00220701"/>
    <w:rsid w:val="002211AA"/>
    <w:rsid w:val="00226821"/>
    <w:rsid w:val="00227249"/>
    <w:rsid w:val="00227A08"/>
    <w:rsid w:val="00227C11"/>
    <w:rsid w:val="00230BD2"/>
    <w:rsid w:val="00232D83"/>
    <w:rsid w:val="00233308"/>
    <w:rsid w:val="002345CB"/>
    <w:rsid w:val="00236271"/>
    <w:rsid w:val="00236CF2"/>
    <w:rsid w:val="002372FB"/>
    <w:rsid w:val="0023745B"/>
    <w:rsid w:val="002400E1"/>
    <w:rsid w:val="00241A5E"/>
    <w:rsid w:val="00242238"/>
    <w:rsid w:val="00243098"/>
    <w:rsid w:val="0024499B"/>
    <w:rsid w:val="002449AE"/>
    <w:rsid w:val="00244BE3"/>
    <w:rsid w:val="00245EB5"/>
    <w:rsid w:val="00247508"/>
    <w:rsid w:val="0025154E"/>
    <w:rsid w:val="002525F0"/>
    <w:rsid w:val="00253164"/>
    <w:rsid w:val="00254DAC"/>
    <w:rsid w:val="002575FF"/>
    <w:rsid w:val="00257C78"/>
    <w:rsid w:val="00260303"/>
    <w:rsid w:val="00260F39"/>
    <w:rsid w:val="0026221A"/>
    <w:rsid w:val="002628BD"/>
    <w:rsid w:val="00262EC4"/>
    <w:rsid w:val="00263A42"/>
    <w:rsid w:val="002641D8"/>
    <w:rsid w:val="00265114"/>
    <w:rsid w:val="002668B3"/>
    <w:rsid w:val="00270314"/>
    <w:rsid w:val="00271356"/>
    <w:rsid w:val="0027148E"/>
    <w:rsid w:val="00271882"/>
    <w:rsid w:val="00272C89"/>
    <w:rsid w:val="00274691"/>
    <w:rsid w:val="00274B2A"/>
    <w:rsid w:val="00276BF2"/>
    <w:rsid w:val="00276E88"/>
    <w:rsid w:val="00280CD6"/>
    <w:rsid w:val="00281F46"/>
    <w:rsid w:val="00283B5E"/>
    <w:rsid w:val="0028484E"/>
    <w:rsid w:val="00285781"/>
    <w:rsid w:val="00290563"/>
    <w:rsid w:val="00290637"/>
    <w:rsid w:val="00291BC8"/>
    <w:rsid w:val="00291FFD"/>
    <w:rsid w:val="0029398C"/>
    <w:rsid w:val="0029414A"/>
    <w:rsid w:val="0029464B"/>
    <w:rsid w:val="00294A47"/>
    <w:rsid w:val="00294C88"/>
    <w:rsid w:val="00294FDF"/>
    <w:rsid w:val="00296374"/>
    <w:rsid w:val="0029638D"/>
    <w:rsid w:val="0029706D"/>
    <w:rsid w:val="00297F16"/>
    <w:rsid w:val="002A0795"/>
    <w:rsid w:val="002A0EA4"/>
    <w:rsid w:val="002A1064"/>
    <w:rsid w:val="002A1583"/>
    <w:rsid w:val="002A5D0F"/>
    <w:rsid w:val="002A5F70"/>
    <w:rsid w:val="002A7ABF"/>
    <w:rsid w:val="002A7D55"/>
    <w:rsid w:val="002B1792"/>
    <w:rsid w:val="002B1D0D"/>
    <w:rsid w:val="002B268B"/>
    <w:rsid w:val="002B287E"/>
    <w:rsid w:val="002B2D7E"/>
    <w:rsid w:val="002B581B"/>
    <w:rsid w:val="002B7591"/>
    <w:rsid w:val="002C0C2F"/>
    <w:rsid w:val="002C4659"/>
    <w:rsid w:val="002C4E51"/>
    <w:rsid w:val="002C4FE4"/>
    <w:rsid w:val="002C774C"/>
    <w:rsid w:val="002C7E2F"/>
    <w:rsid w:val="002D0E33"/>
    <w:rsid w:val="002D3F58"/>
    <w:rsid w:val="002D401C"/>
    <w:rsid w:val="002D4240"/>
    <w:rsid w:val="002D4D72"/>
    <w:rsid w:val="002D6B07"/>
    <w:rsid w:val="002D70D5"/>
    <w:rsid w:val="002D7A07"/>
    <w:rsid w:val="002E3121"/>
    <w:rsid w:val="002E3A5C"/>
    <w:rsid w:val="002E49C7"/>
    <w:rsid w:val="002E4E89"/>
    <w:rsid w:val="002E5B7D"/>
    <w:rsid w:val="002E6A54"/>
    <w:rsid w:val="002E77EE"/>
    <w:rsid w:val="002E7B33"/>
    <w:rsid w:val="002F2B88"/>
    <w:rsid w:val="002F2BE7"/>
    <w:rsid w:val="002F3444"/>
    <w:rsid w:val="002F439A"/>
    <w:rsid w:val="002F68E6"/>
    <w:rsid w:val="002F6FE9"/>
    <w:rsid w:val="002F7D58"/>
    <w:rsid w:val="002F7E94"/>
    <w:rsid w:val="003002DB"/>
    <w:rsid w:val="00300D23"/>
    <w:rsid w:val="003024FC"/>
    <w:rsid w:val="00303E21"/>
    <w:rsid w:val="00304FC5"/>
    <w:rsid w:val="00305598"/>
    <w:rsid w:val="00305C8D"/>
    <w:rsid w:val="00306811"/>
    <w:rsid w:val="00306ECB"/>
    <w:rsid w:val="00307A0C"/>
    <w:rsid w:val="003101F0"/>
    <w:rsid w:val="0031058E"/>
    <w:rsid w:val="0031482A"/>
    <w:rsid w:val="00314C7D"/>
    <w:rsid w:val="00315703"/>
    <w:rsid w:val="00316EED"/>
    <w:rsid w:val="00320DE1"/>
    <w:rsid w:val="00321430"/>
    <w:rsid w:val="00321E69"/>
    <w:rsid w:val="0032272C"/>
    <w:rsid w:val="003228E3"/>
    <w:rsid w:val="003233D8"/>
    <w:rsid w:val="00324762"/>
    <w:rsid w:val="00325344"/>
    <w:rsid w:val="00325CE2"/>
    <w:rsid w:val="00326965"/>
    <w:rsid w:val="0032740B"/>
    <w:rsid w:val="003303C2"/>
    <w:rsid w:val="003313E5"/>
    <w:rsid w:val="00331638"/>
    <w:rsid w:val="00333A34"/>
    <w:rsid w:val="00335346"/>
    <w:rsid w:val="003371EE"/>
    <w:rsid w:val="00340475"/>
    <w:rsid w:val="00341BD2"/>
    <w:rsid w:val="00342136"/>
    <w:rsid w:val="00343232"/>
    <w:rsid w:val="00343251"/>
    <w:rsid w:val="00343390"/>
    <w:rsid w:val="0034348F"/>
    <w:rsid w:val="00343A3E"/>
    <w:rsid w:val="00344AD0"/>
    <w:rsid w:val="0034745E"/>
    <w:rsid w:val="0034752A"/>
    <w:rsid w:val="003504E0"/>
    <w:rsid w:val="003513F4"/>
    <w:rsid w:val="0035179E"/>
    <w:rsid w:val="003519CD"/>
    <w:rsid w:val="003551A5"/>
    <w:rsid w:val="00355D2D"/>
    <w:rsid w:val="00355F1C"/>
    <w:rsid w:val="0035610A"/>
    <w:rsid w:val="003576D9"/>
    <w:rsid w:val="00360488"/>
    <w:rsid w:val="00360DEC"/>
    <w:rsid w:val="00361377"/>
    <w:rsid w:val="00361413"/>
    <w:rsid w:val="00361E5E"/>
    <w:rsid w:val="003650E8"/>
    <w:rsid w:val="00366CF1"/>
    <w:rsid w:val="00366E43"/>
    <w:rsid w:val="00367573"/>
    <w:rsid w:val="0037096E"/>
    <w:rsid w:val="003712F0"/>
    <w:rsid w:val="00375D5A"/>
    <w:rsid w:val="00375D6B"/>
    <w:rsid w:val="00381283"/>
    <w:rsid w:val="003828F4"/>
    <w:rsid w:val="00382A5D"/>
    <w:rsid w:val="0038404C"/>
    <w:rsid w:val="00384264"/>
    <w:rsid w:val="003847F3"/>
    <w:rsid w:val="00384AAF"/>
    <w:rsid w:val="00384E87"/>
    <w:rsid w:val="0038579E"/>
    <w:rsid w:val="00385DF6"/>
    <w:rsid w:val="00387791"/>
    <w:rsid w:val="00390D11"/>
    <w:rsid w:val="00391254"/>
    <w:rsid w:val="003922C8"/>
    <w:rsid w:val="00395493"/>
    <w:rsid w:val="00397F37"/>
    <w:rsid w:val="003A0168"/>
    <w:rsid w:val="003A156A"/>
    <w:rsid w:val="003A250D"/>
    <w:rsid w:val="003A26C8"/>
    <w:rsid w:val="003A2D1E"/>
    <w:rsid w:val="003A3654"/>
    <w:rsid w:val="003A36E6"/>
    <w:rsid w:val="003A55A7"/>
    <w:rsid w:val="003A5B11"/>
    <w:rsid w:val="003A5EFA"/>
    <w:rsid w:val="003A6D17"/>
    <w:rsid w:val="003B0489"/>
    <w:rsid w:val="003B0D7C"/>
    <w:rsid w:val="003B10DD"/>
    <w:rsid w:val="003B10F0"/>
    <w:rsid w:val="003B21E7"/>
    <w:rsid w:val="003B243B"/>
    <w:rsid w:val="003B4E8D"/>
    <w:rsid w:val="003B55C2"/>
    <w:rsid w:val="003B62BB"/>
    <w:rsid w:val="003B64BF"/>
    <w:rsid w:val="003B7346"/>
    <w:rsid w:val="003C005D"/>
    <w:rsid w:val="003C0CFA"/>
    <w:rsid w:val="003C12A0"/>
    <w:rsid w:val="003C239E"/>
    <w:rsid w:val="003C3BD8"/>
    <w:rsid w:val="003C403B"/>
    <w:rsid w:val="003C4441"/>
    <w:rsid w:val="003C5835"/>
    <w:rsid w:val="003C5984"/>
    <w:rsid w:val="003C5D72"/>
    <w:rsid w:val="003C6CF3"/>
    <w:rsid w:val="003C71A5"/>
    <w:rsid w:val="003C7AFC"/>
    <w:rsid w:val="003D0C91"/>
    <w:rsid w:val="003D0F87"/>
    <w:rsid w:val="003D20BE"/>
    <w:rsid w:val="003D2C32"/>
    <w:rsid w:val="003D5141"/>
    <w:rsid w:val="003D5FD8"/>
    <w:rsid w:val="003D723D"/>
    <w:rsid w:val="003D7E5E"/>
    <w:rsid w:val="003E0374"/>
    <w:rsid w:val="003E1052"/>
    <w:rsid w:val="003E23D6"/>
    <w:rsid w:val="003E2506"/>
    <w:rsid w:val="003E3C22"/>
    <w:rsid w:val="003E4432"/>
    <w:rsid w:val="003E656A"/>
    <w:rsid w:val="003E72DF"/>
    <w:rsid w:val="003E7AB9"/>
    <w:rsid w:val="003F089B"/>
    <w:rsid w:val="003F19B8"/>
    <w:rsid w:val="003F25E3"/>
    <w:rsid w:val="003F35C9"/>
    <w:rsid w:val="003F3B37"/>
    <w:rsid w:val="003F48A1"/>
    <w:rsid w:val="003F6308"/>
    <w:rsid w:val="00400E01"/>
    <w:rsid w:val="004020F0"/>
    <w:rsid w:val="00402C8D"/>
    <w:rsid w:val="00402CAF"/>
    <w:rsid w:val="00403071"/>
    <w:rsid w:val="004031EB"/>
    <w:rsid w:val="004035B3"/>
    <w:rsid w:val="00403649"/>
    <w:rsid w:val="00404018"/>
    <w:rsid w:val="004052D9"/>
    <w:rsid w:val="004059D0"/>
    <w:rsid w:val="00405B50"/>
    <w:rsid w:val="0040746B"/>
    <w:rsid w:val="00407FF8"/>
    <w:rsid w:val="00410E71"/>
    <w:rsid w:val="00410FB8"/>
    <w:rsid w:val="004111F9"/>
    <w:rsid w:val="00413055"/>
    <w:rsid w:val="00414438"/>
    <w:rsid w:val="004211D3"/>
    <w:rsid w:val="00422372"/>
    <w:rsid w:val="0042252C"/>
    <w:rsid w:val="00422A5F"/>
    <w:rsid w:val="00422E9F"/>
    <w:rsid w:val="0042349D"/>
    <w:rsid w:val="0042596D"/>
    <w:rsid w:val="00430A5F"/>
    <w:rsid w:val="00430CE7"/>
    <w:rsid w:val="00431984"/>
    <w:rsid w:val="00431E3E"/>
    <w:rsid w:val="0043270B"/>
    <w:rsid w:val="004345F9"/>
    <w:rsid w:val="00435CF3"/>
    <w:rsid w:val="00436991"/>
    <w:rsid w:val="00440F2C"/>
    <w:rsid w:val="00441165"/>
    <w:rsid w:val="00441E81"/>
    <w:rsid w:val="00443BB7"/>
    <w:rsid w:val="0044467A"/>
    <w:rsid w:val="004450F1"/>
    <w:rsid w:val="00446B14"/>
    <w:rsid w:val="00446EF6"/>
    <w:rsid w:val="00446F7C"/>
    <w:rsid w:val="00447095"/>
    <w:rsid w:val="00447EA6"/>
    <w:rsid w:val="004534FD"/>
    <w:rsid w:val="004539E1"/>
    <w:rsid w:val="004545D7"/>
    <w:rsid w:val="0045466C"/>
    <w:rsid w:val="00455F12"/>
    <w:rsid w:val="0045731A"/>
    <w:rsid w:val="004573F5"/>
    <w:rsid w:val="00457DFC"/>
    <w:rsid w:val="00460002"/>
    <w:rsid w:val="004608E7"/>
    <w:rsid w:val="00460C8A"/>
    <w:rsid w:val="00462E97"/>
    <w:rsid w:val="0046448A"/>
    <w:rsid w:val="00464E09"/>
    <w:rsid w:val="00466353"/>
    <w:rsid w:val="00466C52"/>
    <w:rsid w:val="00467114"/>
    <w:rsid w:val="00467EDF"/>
    <w:rsid w:val="0047009C"/>
    <w:rsid w:val="004725B2"/>
    <w:rsid w:val="004731FC"/>
    <w:rsid w:val="00473221"/>
    <w:rsid w:val="0047364B"/>
    <w:rsid w:val="00475025"/>
    <w:rsid w:val="004770D0"/>
    <w:rsid w:val="00477E83"/>
    <w:rsid w:val="004802CA"/>
    <w:rsid w:val="00480724"/>
    <w:rsid w:val="00481FFC"/>
    <w:rsid w:val="00485E4D"/>
    <w:rsid w:val="004863E6"/>
    <w:rsid w:val="00490389"/>
    <w:rsid w:val="00490987"/>
    <w:rsid w:val="0049117D"/>
    <w:rsid w:val="00491727"/>
    <w:rsid w:val="00491837"/>
    <w:rsid w:val="00491AD5"/>
    <w:rsid w:val="00491CB8"/>
    <w:rsid w:val="00493AB5"/>
    <w:rsid w:val="00493BE6"/>
    <w:rsid w:val="00495614"/>
    <w:rsid w:val="0049576F"/>
    <w:rsid w:val="004975D9"/>
    <w:rsid w:val="00497E4A"/>
    <w:rsid w:val="004A02AF"/>
    <w:rsid w:val="004A077B"/>
    <w:rsid w:val="004A0E9F"/>
    <w:rsid w:val="004A23F7"/>
    <w:rsid w:val="004A26A9"/>
    <w:rsid w:val="004A48BF"/>
    <w:rsid w:val="004A4A65"/>
    <w:rsid w:val="004A5B40"/>
    <w:rsid w:val="004A60BA"/>
    <w:rsid w:val="004A6405"/>
    <w:rsid w:val="004A6A28"/>
    <w:rsid w:val="004A6BB1"/>
    <w:rsid w:val="004A7B76"/>
    <w:rsid w:val="004B1016"/>
    <w:rsid w:val="004B15B5"/>
    <w:rsid w:val="004B269F"/>
    <w:rsid w:val="004B33D6"/>
    <w:rsid w:val="004B44E4"/>
    <w:rsid w:val="004B623D"/>
    <w:rsid w:val="004C0062"/>
    <w:rsid w:val="004C11E4"/>
    <w:rsid w:val="004C1808"/>
    <w:rsid w:val="004C1B6B"/>
    <w:rsid w:val="004C29C6"/>
    <w:rsid w:val="004C2F4B"/>
    <w:rsid w:val="004C3EEA"/>
    <w:rsid w:val="004C4025"/>
    <w:rsid w:val="004C50F4"/>
    <w:rsid w:val="004C64A2"/>
    <w:rsid w:val="004C6DE7"/>
    <w:rsid w:val="004D1AAC"/>
    <w:rsid w:val="004D1D9D"/>
    <w:rsid w:val="004D3057"/>
    <w:rsid w:val="004D37BB"/>
    <w:rsid w:val="004D442E"/>
    <w:rsid w:val="004D5CD7"/>
    <w:rsid w:val="004D70E5"/>
    <w:rsid w:val="004D7700"/>
    <w:rsid w:val="004E1BEF"/>
    <w:rsid w:val="004E292F"/>
    <w:rsid w:val="004E3335"/>
    <w:rsid w:val="004E3DAE"/>
    <w:rsid w:val="004E5E1A"/>
    <w:rsid w:val="004E6666"/>
    <w:rsid w:val="004E6773"/>
    <w:rsid w:val="004E6B28"/>
    <w:rsid w:val="004F0398"/>
    <w:rsid w:val="004F072A"/>
    <w:rsid w:val="004F2566"/>
    <w:rsid w:val="004F2983"/>
    <w:rsid w:val="004F2D05"/>
    <w:rsid w:val="004F36A5"/>
    <w:rsid w:val="004F3BF9"/>
    <w:rsid w:val="004F4AE6"/>
    <w:rsid w:val="004F4D59"/>
    <w:rsid w:val="004F51E4"/>
    <w:rsid w:val="004F57B8"/>
    <w:rsid w:val="004F5B89"/>
    <w:rsid w:val="004F5DBD"/>
    <w:rsid w:val="004F6712"/>
    <w:rsid w:val="004F6F54"/>
    <w:rsid w:val="00503795"/>
    <w:rsid w:val="00505C05"/>
    <w:rsid w:val="00505EE1"/>
    <w:rsid w:val="005108F9"/>
    <w:rsid w:val="005130F9"/>
    <w:rsid w:val="005134EB"/>
    <w:rsid w:val="00513FD4"/>
    <w:rsid w:val="005155CA"/>
    <w:rsid w:val="00516C31"/>
    <w:rsid w:val="00517D7B"/>
    <w:rsid w:val="005208D0"/>
    <w:rsid w:val="00520BD4"/>
    <w:rsid w:val="00520E68"/>
    <w:rsid w:val="005220E8"/>
    <w:rsid w:val="00522886"/>
    <w:rsid w:val="00523485"/>
    <w:rsid w:val="00524D23"/>
    <w:rsid w:val="00524D7A"/>
    <w:rsid w:val="0052522B"/>
    <w:rsid w:val="00525C68"/>
    <w:rsid w:val="00525CD5"/>
    <w:rsid w:val="00527360"/>
    <w:rsid w:val="00527E89"/>
    <w:rsid w:val="00527F11"/>
    <w:rsid w:val="005317A5"/>
    <w:rsid w:val="005321AD"/>
    <w:rsid w:val="005332BE"/>
    <w:rsid w:val="00533479"/>
    <w:rsid w:val="005337FB"/>
    <w:rsid w:val="00533C1F"/>
    <w:rsid w:val="00533F52"/>
    <w:rsid w:val="0053446B"/>
    <w:rsid w:val="00534B93"/>
    <w:rsid w:val="00540EA4"/>
    <w:rsid w:val="00542187"/>
    <w:rsid w:val="00542D1A"/>
    <w:rsid w:val="005431C1"/>
    <w:rsid w:val="005435AB"/>
    <w:rsid w:val="005437E4"/>
    <w:rsid w:val="00543F54"/>
    <w:rsid w:val="00544A3F"/>
    <w:rsid w:val="00545EA8"/>
    <w:rsid w:val="00545FED"/>
    <w:rsid w:val="00546A30"/>
    <w:rsid w:val="00546E92"/>
    <w:rsid w:val="00550A16"/>
    <w:rsid w:val="00553C7B"/>
    <w:rsid w:val="00553E3E"/>
    <w:rsid w:val="0055462F"/>
    <w:rsid w:val="005554FD"/>
    <w:rsid w:val="0055569D"/>
    <w:rsid w:val="005562D8"/>
    <w:rsid w:val="00556674"/>
    <w:rsid w:val="00557434"/>
    <w:rsid w:val="00557CAF"/>
    <w:rsid w:val="00557FD8"/>
    <w:rsid w:val="00560057"/>
    <w:rsid w:val="00562B9E"/>
    <w:rsid w:val="00563262"/>
    <w:rsid w:val="00563561"/>
    <w:rsid w:val="00564594"/>
    <w:rsid w:val="00565402"/>
    <w:rsid w:val="00567446"/>
    <w:rsid w:val="00567A31"/>
    <w:rsid w:val="00567AB9"/>
    <w:rsid w:val="005718B5"/>
    <w:rsid w:val="00571F6A"/>
    <w:rsid w:val="00572400"/>
    <w:rsid w:val="00573991"/>
    <w:rsid w:val="0057457D"/>
    <w:rsid w:val="00574CCF"/>
    <w:rsid w:val="00575576"/>
    <w:rsid w:val="005768ED"/>
    <w:rsid w:val="0057736E"/>
    <w:rsid w:val="00577E6B"/>
    <w:rsid w:val="00581598"/>
    <w:rsid w:val="00581AD9"/>
    <w:rsid w:val="00582477"/>
    <w:rsid w:val="00582D30"/>
    <w:rsid w:val="005848E3"/>
    <w:rsid w:val="005860B2"/>
    <w:rsid w:val="005861F9"/>
    <w:rsid w:val="00586826"/>
    <w:rsid w:val="00587977"/>
    <w:rsid w:val="005947FA"/>
    <w:rsid w:val="00594F2E"/>
    <w:rsid w:val="00595E50"/>
    <w:rsid w:val="0059782F"/>
    <w:rsid w:val="005A0CF8"/>
    <w:rsid w:val="005A1132"/>
    <w:rsid w:val="005A3198"/>
    <w:rsid w:val="005A3452"/>
    <w:rsid w:val="005A4DD3"/>
    <w:rsid w:val="005A50A0"/>
    <w:rsid w:val="005A5B17"/>
    <w:rsid w:val="005A6221"/>
    <w:rsid w:val="005A65FF"/>
    <w:rsid w:val="005A6A6A"/>
    <w:rsid w:val="005A6EB1"/>
    <w:rsid w:val="005B0292"/>
    <w:rsid w:val="005B1038"/>
    <w:rsid w:val="005B13C3"/>
    <w:rsid w:val="005B4A11"/>
    <w:rsid w:val="005B68C8"/>
    <w:rsid w:val="005C0ACF"/>
    <w:rsid w:val="005C1252"/>
    <w:rsid w:val="005C1546"/>
    <w:rsid w:val="005C25B5"/>
    <w:rsid w:val="005C2685"/>
    <w:rsid w:val="005C271C"/>
    <w:rsid w:val="005C6135"/>
    <w:rsid w:val="005C78CC"/>
    <w:rsid w:val="005C7BB8"/>
    <w:rsid w:val="005D025A"/>
    <w:rsid w:val="005D0725"/>
    <w:rsid w:val="005D0A0B"/>
    <w:rsid w:val="005D16ED"/>
    <w:rsid w:val="005D1AD1"/>
    <w:rsid w:val="005D2710"/>
    <w:rsid w:val="005D4C29"/>
    <w:rsid w:val="005D5B01"/>
    <w:rsid w:val="005D6FDD"/>
    <w:rsid w:val="005D7989"/>
    <w:rsid w:val="005D7C25"/>
    <w:rsid w:val="005E0868"/>
    <w:rsid w:val="005E3A08"/>
    <w:rsid w:val="005E4373"/>
    <w:rsid w:val="005E49FA"/>
    <w:rsid w:val="005E557C"/>
    <w:rsid w:val="005E6805"/>
    <w:rsid w:val="005E768A"/>
    <w:rsid w:val="005E769B"/>
    <w:rsid w:val="005E7E16"/>
    <w:rsid w:val="005F022B"/>
    <w:rsid w:val="005F0DCD"/>
    <w:rsid w:val="005F11AB"/>
    <w:rsid w:val="005F1B08"/>
    <w:rsid w:val="005F227E"/>
    <w:rsid w:val="005F25BD"/>
    <w:rsid w:val="005F353E"/>
    <w:rsid w:val="005F37FE"/>
    <w:rsid w:val="005F3864"/>
    <w:rsid w:val="005F4DAE"/>
    <w:rsid w:val="005F5516"/>
    <w:rsid w:val="005F671F"/>
    <w:rsid w:val="005F67E5"/>
    <w:rsid w:val="005F77F4"/>
    <w:rsid w:val="005F79FA"/>
    <w:rsid w:val="00600372"/>
    <w:rsid w:val="00600378"/>
    <w:rsid w:val="006016BC"/>
    <w:rsid w:val="00603CAE"/>
    <w:rsid w:val="00603E95"/>
    <w:rsid w:val="00607093"/>
    <w:rsid w:val="006074FE"/>
    <w:rsid w:val="00610035"/>
    <w:rsid w:val="00610A16"/>
    <w:rsid w:val="006119FE"/>
    <w:rsid w:val="006126F4"/>
    <w:rsid w:val="00612CD5"/>
    <w:rsid w:val="00613096"/>
    <w:rsid w:val="006141A2"/>
    <w:rsid w:val="0061472C"/>
    <w:rsid w:val="006200F7"/>
    <w:rsid w:val="00620F52"/>
    <w:rsid w:val="00621C23"/>
    <w:rsid w:val="00623018"/>
    <w:rsid w:val="00623ABA"/>
    <w:rsid w:val="00624403"/>
    <w:rsid w:val="00624E6E"/>
    <w:rsid w:val="00627600"/>
    <w:rsid w:val="006277BC"/>
    <w:rsid w:val="00627E9F"/>
    <w:rsid w:val="0063067B"/>
    <w:rsid w:val="0063638D"/>
    <w:rsid w:val="0063718D"/>
    <w:rsid w:val="00637C9E"/>
    <w:rsid w:val="00637DB0"/>
    <w:rsid w:val="006404A0"/>
    <w:rsid w:val="00640CBD"/>
    <w:rsid w:val="00641696"/>
    <w:rsid w:val="00642525"/>
    <w:rsid w:val="006429D5"/>
    <w:rsid w:val="00643904"/>
    <w:rsid w:val="00645150"/>
    <w:rsid w:val="006458A8"/>
    <w:rsid w:val="00646FAA"/>
    <w:rsid w:val="00647B02"/>
    <w:rsid w:val="00647B66"/>
    <w:rsid w:val="006507E0"/>
    <w:rsid w:val="00650D64"/>
    <w:rsid w:val="0065251C"/>
    <w:rsid w:val="00652FDF"/>
    <w:rsid w:val="00653310"/>
    <w:rsid w:val="00653C60"/>
    <w:rsid w:val="00653F2B"/>
    <w:rsid w:val="0065413E"/>
    <w:rsid w:val="006543CB"/>
    <w:rsid w:val="00655459"/>
    <w:rsid w:val="00656BD2"/>
    <w:rsid w:val="0065741C"/>
    <w:rsid w:val="00660058"/>
    <w:rsid w:val="00661359"/>
    <w:rsid w:val="006618E1"/>
    <w:rsid w:val="00662006"/>
    <w:rsid w:val="00663A4D"/>
    <w:rsid w:val="006640D1"/>
    <w:rsid w:val="00664E06"/>
    <w:rsid w:val="00665649"/>
    <w:rsid w:val="00665760"/>
    <w:rsid w:val="00665E78"/>
    <w:rsid w:val="00666296"/>
    <w:rsid w:val="00667041"/>
    <w:rsid w:val="00667057"/>
    <w:rsid w:val="00667FA1"/>
    <w:rsid w:val="00670768"/>
    <w:rsid w:val="00671094"/>
    <w:rsid w:val="0067261B"/>
    <w:rsid w:val="006770EE"/>
    <w:rsid w:val="00677621"/>
    <w:rsid w:val="00677A7E"/>
    <w:rsid w:val="00680B07"/>
    <w:rsid w:val="00685AAF"/>
    <w:rsid w:val="006870A6"/>
    <w:rsid w:val="00687CA5"/>
    <w:rsid w:val="00687F4F"/>
    <w:rsid w:val="006902AC"/>
    <w:rsid w:val="00694F81"/>
    <w:rsid w:val="00696D2F"/>
    <w:rsid w:val="006A1ED0"/>
    <w:rsid w:val="006A2DAE"/>
    <w:rsid w:val="006A30FB"/>
    <w:rsid w:val="006A3288"/>
    <w:rsid w:val="006A36C1"/>
    <w:rsid w:val="006A3DBF"/>
    <w:rsid w:val="006A4B12"/>
    <w:rsid w:val="006A5667"/>
    <w:rsid w:val="006A66B6"/>
    <w:rsid w:val="006A6E24"/>
    <w:rsid w:val="006A6F20"/>
    <w:rsid w:val="006A7170"/>
    <w:rsid w:val="006A7DFA"/>
    <w:rsid w:val="006A7FC7"/>
    <w:rsid w:val="006B1E67"/>
    <w:rsid w:val="006B2003"/>
    <w:rsid w:val="006B31FE"/>
    <w:rsid w:val="006B6031"/>
    <w:rsid w:val="006B6E91"/>
    <w:rsid w:val="006B7864"/>
    <w:rsid w:val="006C032C"/>
    <w:rsid w:val="006C0B65"/>
    <w:rsid w:val="006C1DD4"/>
    <w:rsid w:val="006C1E76"/>
    <w:rsid w:val="006C21C5"/>
    <w:rsid w:val="006C22C4"/>
    <w:rsid w:val="006C2AFF"/>
    <w:rsid w:val="006C2F62"/>
    <w:rsid w:val="006C3B66"/>
    <w:rsid w:val="006C5CCB"/>
    <w:rsid w:val="006D036E"/>
    <w:rsid w:val="006D0AF8"/>
    <w:rsid w:val="006D2362"/>
    <w:rsid w:val="006D29E1"/>
    <w:rsid w:val="006D2C00"/>
    <w:rsid w:val="006D3BB9"/>
    <w:rsid w:val="006D4A86"/>
    <w:rsid w:val="006D5B76"/>
    <w:rsid w:val="006D7C04"/>
    <w:rsid w:val="006E0356"/>
    <w:rsid w:val="006E1FBC"/>
    <w:rsid w:val="006E220E"/>
    <w:rsid w:val="006E23D5"/>
    <w:rsid w:val="006E278E"/>
    <w:rsid w:val="006E5127"/>
    <w:rsid w:val="006E59FB"/>
    <w:rsid w:val="006E6247"/>
    <w:rsid w:val="006E6404"/>
    <w:rsid w:val="006E651B"/>
    <w:rsid w:val="006F030E"/>
    <w:rsid w:val="006F10D8"/>
    <w:rsid w:val="006F157D"/>
    <w:rsid w:val="006F4C1D"/>
    <w:rsid w:val="006F6658"/>
    <w:rsid w:val="006F7580"/>
    <w:rsid w:val="00701F88"/>
    <w:rsid w:val="007029CF"/>
    <w:rsid w:val="007035C8"/>
    <w:rsid w:val="00704B04"/>
    <w:rsid w:val="0070552D"/>
    <w:rsid w:val="007056D2"/>
    <w:rsid w:val="007066BF"/>
    <w:rsid w:val="007068D0"/>
    <w:rsid w:val="007073AF"/>
    <w:rsid w:val="0071065E"/>
    <w:rsid w:val="00711897"/>
    <w:rsid w:val="007120C2"/>
    <w:rsid w:val="007123B6"/>
    <w:rsid w:val="00713F03"/>
    <w:rsid w:val="0071539C"/>
    <w:rsid w:val="007159D7"/>
    <w:rsid w:val="007165F3"/>
    <w:rsid w:val="00717300"/>
    <w:rsid w:val="00717840"/>
    <w:rsid w:val="007203D9"/>
    <w:rsid w:val="007207F8"/>
    <w:rsid w:val="0072237E"/>
    <w:rsid w:val="00722D19"/>
    <w:rsid w:val="0072327F"/>
    <w:rsid w:val="00723C49"/>
    <w:rsid w:val="007242E2"/>
    <w:rsid w:val="007257E9"/>
    <w:rsid w:val="00725FA5"/>
    <w:rsid w:val="00727AA8"/>
    <w:rsid w:val="007308FA"/>
    <w:rsid w:val="00733405"/>
    <w:rsid w:val="007339F3"/>
    <w:rsid w:val="00733B1C"/>
    <w:rsid w:val="00733C6C"/>
    <w:rsid w:val="00734E73"/>
    <w:rsid w:val="007377D7"/>
    <w:rsid w:val="0074000C"/>
    <w:rsid w:val="007400DC"/>
    <w:rsid w:val="00740222"/>
    <w:rsid w:val="00740DE8"/>
    <w:rsid w:val="00741A00"/>
    <w:rsid w:val="00742AB8"/>
    <w:rsid w:val="00742F16"/>
    <w:rsid w:val="0074327A"/>
    <w:rsid w:val="00743919"/>
    <w:rsid w:val="00744F26"/>
    <w:rsid w:val="00745496"/>
    <w:rsid w:val="007456CF"/>
    <w:rsid w:val="00745839"/>
    <w:rsid w:val="007462A7"/>
    <w:rsid w:val="0074635B"/>
    <w:rsid w:val="00746A19"/>
    <w:rsid w:val="007504CF"/>
    <w:rsid w:val="00752435"/>
    <w:rsid w:val="007530BE"/>
    <w:rsid w:val="00753770"/>
    <w:rsid w:val="00753788"/>
    <w:rsid w:val="00754C16"/>
    <w:rsid w:val="00754CF0"/>
    <w:rsid w:val="00754FE0"/>
    <w:rsid w:val="00755450"/>
    <w:rsid w:val="00755C7D"/>
    <w:rsid w:val="0075712E"/>
    <w:rsid w:val="0075747E"/>
    <w:rsid w:val="00757D54"/>
    <w:rsid w:val="0076048C"/>
    <w:rsid w:val="00763725"/>
    <w:rsid w:val="0076708D"/>
    <w:rsid w:val="0077011F"/>
    <w:rsid w:val="007723CD"/>
    <w:rsid w:val="007726E9"/>
    <w:rsid w:val="00773A9E"/>
    <w:rsid w:val="0077425A"/>
    <w:rsid w:val="007762BD"/>
    <w:rsid w:val="00777972"/>
    <w:rsid w:val="00780C09"/>
    <w:rsid w:val="00780FDA"/>
    <w:rsid w:val="00781A4F"/>
    <w:rsid w:val="00781E24"/>
    <w:rsid w:val="00781F71"/>
    <w:rsid w:val="00782F19"/>
    <w:rsid w:val="0078306D"/>
    <w:rsid w:val="007836F0"/>
    <w:rsid w:val="00783C9D"/>
    <w:rsid w:val="00783E59"/>
    <w:rsid w:val="00784C21"/>
    <w:rsid w:val="00790BB7"/>
    <w:rsid w:val="00791611"/>
    <w:rsid w:val="00791C52"/>
    <w:rsid w:val="00792537"/>
    <w:rsid w:val="00792E77"/>
    <w:rsid w:val="007932F0"/>
    <w:rsid w:val="00794DEC"/>
    <w:rsid w:val="007953A3"/>
    <w:rsid w:val="007957EF"/>
    <w:rsid w:val="00795DE0"/>
    <w:rsid w:val="00797A0D"/>
    <w:rsid w:val="007A15F0"/>
    <w:rsid w:val="007A2E2C"/>
    <w:rsid w:val="007A6B46"/>
    <w:rsid w:val="007A7E6F"/>
    <w:rsid w:val="007B0D44"/>
    <w:rsid w:val="007B0D54"/>
    <w:rsid w:val="007B22E2"/>
    <w:rsid w:val="007B46E6"/>
    <w:rsid w:val="007B5A0B"/>
    <w:rsid w:val="007B5A4F"/>
    <w:rsid w:val="007B6BEE"/>
    <w:rsid w:val="007B6FD8"/>
    <w:rsid w:val="007B7768"/>
    <w:rsid w:val="007B7943"/>
    <w:rsid w:val="007B7C65"/>
    <w:rsid w:val="007B7CF9"/>
    <w:rsid w:val="007C03A9"/>
    <w:rsid w:val="007C11D3"/>
    <w:rsid w:val="007C1222"/>
    <w:rsid w:val="007C1547"/>
    <w:rsid w:val="007C1AA0"/>
    <w:rsid w:val="007C2295"/>
    <w:rsid w:val="007C289E"/>
    <w:rsid w:val="007C3ECB"/>
    <w:rsid w:val="007C4147"/>
    <w:rsid w:val="007C56D2"/>
    <w:rsid w:val="007C6F69"/>
    <w:rsid w:val="007D0D98"/>
    <w:rsid w:val="007D11A2"/>
    <w:rsid w:val="007D1C1D"/>
    <w:rsid w:val="007D215C"/>
    <w:rsid w:val="007D290E"/>
    <w:rsid w:val="007D3A13"/>
    <w:rsid w:val="007D4B80"/>
    <w:rsid w:val="007D576B"/>
    <w:rsid w:val="007D62DC"/>
    <w:rsid w:val="007D6926"/>
    <w:rsid w:val="007E064E"/>
    <w:rsid w:val="007E08D0"/>
    <w:rsid w:val="007E0DD0"/>
    <w:rsid w:val="007E1DB9"/>
    <w:rsid w:val="007E1F2C"/>
    <w:rsid w:val="007E2042"/>
    <w:rsid w:val="007E341B"/>
    <w:rsid w:val="007E3726"/>
    <w:rsid w:val="007E37FD"/>
    <w:rsid w:val="007E479B"/>
    <w:rsid w:val="007E4916"/>
    <w:rsid w:val="007E6643"/>
    <w:rsid w:val="007E6A7F"/>
    <w:rsid w:val="007E7B4B"/>
    <w:rsid w:val="007F1017"/>
    <w:rsid w:val="007F1228"/>
    <w:rsid w:val="007F1C02"/>
    <w:rsid w:val="007F2582"/>
    <w:rsid w:val="007F2BCB"/>
    <w:rsid w:val="007F2F6A"/>
    <w:rsid w:val="007F335E"/>
    <w:rsid w:val="007F39CC"/>
    <w:rsid w:val="007F401F"/>
    <w:rsid w:val="007F4D7A"/>
    <w:rsid w:val="007F5179"/>
    <w:rsid w:val="007F5FEF"/>
    <w:rsid w:val="00800927"/>
    <w:rsid w:val="00802E8A"/>
    <w:rsid w:val="00803216"/>
    <w:rsid w:val="008038ED"/>
    <w:rsid w:val="0080483D"/>
    <w:rsid w:val="00805A79"/>
    <w:rsid w:val="00805D67"/>
    <w:rsid w:val="0080653B"/>
    <w:rsid w:val="00806B14"/>
    <w:rsid w:val="00807264"/>
    <w:rsid w:val="00807DFD"/>
    <w:rsid w:val="00807E0D"/>
    <w:rsid w:val="00810A2A"/>
    <w:rsid w:val="008114F5"/>
    <w:rsid w:val="00811E37"/>
    <w:rsid w:val="00811FDA"/>
    <w:rsid w:val="00812317"/>
    <w:rsid w:val="00812627"/>
    <w:rsid w:val="00815FEE"/>
    <w:rsid w:val="00816BE4"/>
    <w:rsid w:val="00817E9C"/>
    <w:rsid w:val="00820000"/>
    <w:rsid w:val="00820926"/>
    <w:rsid w:val="00821F04"/>
    <w:rsid w:val="0082203A"/>
    <w:rsid w:val="008226CB"/>
    <w:rsid w:val="00823393"/>
    <w:rsid w:val="00823D2D"/>
    <w:rsid w:val="00823F87"/>
    <w:rsid w:val="00824439"/>
    <w:rsid w:val="00825E1F"/>
    <w:rsid w:val="00825EC1"/>
    <w:rsid w:val="0082662F"/>
    <w:rsid w:val="0083181A"/>
    <w:rsid w:val="00832193"/>
    <w:rsid w:val="00832839"/>
    <w:rsid w:val="0083470B"/>
    <w:rsid w:val="008363C9"/>
    <w:rsid w:val="00836EED"/>
    <w:rsid w:val="008400B9"/>
    <w:rsid w:val="00840FF4"/>
    <w:rsid w:val="008426D4"/>
    <w:rsid w:val="00842E60"/>
    <w:rsid w:val="008430EF"/>
    <w:rsid w:val="0084312B"/>
    <w:rsid w:val="008445B2"/>
    <w:rsid w:val="00845CA7"/>
    <w:rsid w:val="00847002"/>
    <w:rsid w:val="008507FD"/>
    <w:rsid w:val="00852AAE"/>
    <w:rsid w:val="00853F4E"/>
    <w:rsid w:val="00854140"/>
    <w:rsid w:val="00855D70"/>
    <w:rsid w:val="008577E8"/>
    <w:rsid w:val="00857C36"/>
    <w:rsid w:val="00857FB9"/>
    <w:rsid w:val="00860696"/>
    <w:rsid w:val="00860C3E"/>
    <w:rsid w:val="008621DD"/>
    <w:rsid w:val="00862901"/>
    <w:rsid w:val="008637F8"/>
    <w:rsid w:val="008650FE"/>
    <w:rsid w:val="00870BA9"/>
    <w:rsid w:val="008712D6"/>
    <w:rsid w:val="0087598E"/>
    <w:rsid w:val="0087733B"/>
    <w:rsid w:val="0087742D"/>
    <w:rsid w:val="008774E2"/>
    <w:rsid w:val="008828CF"/>
    <w:rsid w:val="008833D8"/>
    <w:rsid w:val="008836A6"/>
    <w:rsid w:val="00884E18"/>
    <w:rsid w:val="00884EE9"/>
    <w:rsid w:val="008855C9"/>
    <w:rsid w:val="00885780"/>
    <w:rsid w:val="00885EDD"/>
    <w:rsid w:val="008876CF"/>
    <w:rsid w:val="008922A7"/>
    <w:rsid w:val="0089240B"/>
    <w:rsid w:val="00892B33"/>
    <w:rsid w:val="00893896"/>
    <w:rsid w:val="00897F52"/>
    <w:rsid w:val="008A0715"/>
    <w:rsid w:val="008A1057"/>
    <w:rsid w:val="008A118C"/>
    <w:rsid w:val="008A405D"/>
    <w:rsid w:val="008A4B6E"/>
    <w:rsid w:val="008A5CD9"/>
    <w:rsid w:val="008A72A0"/>
    <w:rsid w:val="008A787E"/>
    <w:rsid w:val="008B1CAC"/>
    <w:rsid w:val="008B2367"/>
    <w:rsid w:val="008B5F6D"/>
    <w:rsid w:val="008B600D"/>
    <w:rsid w:val="008B676E"/>
    <w:rsid w:val="008C11F7"/>
    <w:rsid w:val="008C427D"/>
    <w:rsid w:val="008C430E"/>
    <w:rsid w:val="008C5C68"/>
    <w:rsid w:val="008D145A"/>
    <w:rsid w:val="008D2E42"/>
    <w:rsid w:val="008D3031"/>
    <w:rsid w:val="008D3F8E"/>
    <w:rsid w:val="008D66EA"/>
    <w:rsid w:val="008D68C4"/>
    <w:rsid w:val="008D7140"/>
    <w:rsid w:val="008D74B9"/>
    <w:rsid w:val="008E1108"/>
    <w:rsid w:val="008E1D94"/>
    <w:rsid w:val="008E2A7D"/>
    <w:rsid w:val="008E327B"/>
    <w:rsid w:val="008E34BA"/>
    <w:rsid w:val="008E70DD"/>
    <w:rsid w:val="008F0361"/>
    <w:rsid w:val="008F0E32"/>
    <w:rsid w:val="008F2C18"/>
    <w:rsid w:val="008F38DE"/>
    <w:rsid w:val="008F4003"/>
    <w:rsid w:val="008F74A9"/>
    <w:rsid w:val="008F78F7"/>
    <w:rsid w:val="00901FB8"/>
    <w:rsid w:val="00902A4A"/>
    <w:rsid w:val="00902D09"/>
    <w:rsid w:val="009042A5"/>
    <w:rsid w:val="00904B82"/>
    <w:rsid w:val="00906279"/>
    <w:rsid w:val="009063E2"/>
    <w:rsid w:val="00906A22"/>
    <w:rsid w:val="00906AFB"/>
    <w:rsid w:val="00907A2C"/>
    <w:rsid w:val="0091049D"/>
    <w:rsid w:val="00913D66"/>
    <w:rsid w:val="00913FC0"/>
    <w:rsid w:val="00914C4E"/>
    <w:rsid w:val="009156BF"/>
    <w:rsid w:val="00916AB3"/>
    <w:rsid w:val="00916DD0"/>
    <w:rsid w:val="0091723D"/>
    <w:rsid w:val="009220B7"/>
    <w:rsid w:val="0092660B"/>
    <w:rsid w:val="0092750A"/>
    <w:rsid w:val="00927CD8"/>
    <w:rsid w:val="00930A93"/>
    <w:rsid w:val="00931874"/>
    <w:rsid w:val="009345E0"/>
    <w:rsid w:val="00934F1A"/>
    <w:rsid w:val="00935128"/>
    <w:rsid w:val="0093565F"/>
    <w:rsid w:val="00935CE2"/>
    <w:rsid w:val="0093676D"/>
    <w:rsid w:val="00941260"/>
    <w:rsid w:val="00941F04"/>
    <w:rsid w:val="009421B2"/>
    <w:rsid w:val="0094254E"/>
    <w:rsid w:val="00942CD9"/>
    <w:rsid w:val="009443E6"/>
    <w:rsid w:val="009446BA"/>
    <w:rsid w:val="009449A0"/>
    <w:rsid w:val="00946413"/>
    <w:rsid w:val="009466C8"/>
    <w:rsid w:val="00950472"/>
    <w:rsid w:val="00950C49"/>
    <w:rsid w:val="009511B5"/>
    <w:rsid w:val="00951352"/>
    <w:rsid w:val="00951B1F"/>
    <w:rsid w:val="00951BEB"/>
    <w:rsid w:val="00953E79"/>
    <w:rsid w:val="00953E80"/>
    <w:rsid w:val="00954DB1"/>
    <w:rsid w:val="0095576A"/>
    <w:rsid w:val="0095582C"/>
    <w:rsid w:val="00956395"/>
    <w:rsid w:val="009570A6"/>
    <w:rsid w:val="00957173"/>
    <w:rsid w:val="009606EF"/>
    <w:rsid w:val="009613DD"/>
    <w:rsid w:val="00961BB5"/>
    <w:rsid w:val="009630CE"/>
    <w:rsid w:val="009632C6"/>
    <w:rsid w:val="00963A96"/>
    <w:rsid w:val="00963DE8"/>
    <w:rsid w:val="009664C9"/>
    <w:rsid w:val="00970B09"/>
    <w:rsid w:val="0097184A"/>
    <w:rsid w:val="00972145"/>
    <w:rsid w:val="00973C04"/>
    <w:rsid w:val="009741C1"/>
    <w:rsid w:val="00974F5E"/>
    <w:rsid w:val="00976543"/>
    <w:rsid w:val="009770A6"/>
    <w:rsid w:val="00980B2D"/>
    <w:rsid w:val="00982035"/>
    <w:rsid w:val="00982205"/>
    <w:rsid w:val="0098241F"/>
    <w:rsid w:val="00982465"/>
    <w:rsid w:val="00984F7D"/>
    <w:rsid w:val="00985909"/>
    <w:rsid w:val="00986621"/>
    <w:rsid w:val="009872E0"/>
    <w:rsid w:val="00987319"/>
    <w:rsid w:val="009876B5"/>
    <w:rsid w:val="00987B53"/>
    <w:rsid w:val="00991507"/>
    <w:rsid w:val="009918E2"/>
    <w:rsid w:val="00992433"/>
    <w:rsid w:val="0099289B"/>
    <w:rsid w:val="009946CF"/>
    <w:rsid w:val="0099664C"/>
    <w:rsid w:val="009969EB"/>
    <w:rsid w:val="00997BD0"/>
    <w:rsid w:val="00997E73"/>
    <w:rsid w:val="009A1F29"/>
    <w:rsid w:val="009A2DC1"/>
    <w:rsid w:val="009A5B02"/>
    <w:rsid w:val="009A5CC8"/>
    <w:rsid w:val="009A7CCE"/>
    <w:rsid w:val="009A7D0F"/>
    <w:rsid w:val="009B118B"/>
    <w:rsid w:val="009B17C7"/>
    <w:rsid w:val="009B2281"/>
    <w:rsid w:val="009B3570"/>
    <w:rsid w:val="009B3C10"/>
    <w:rsid w:val="009B6C01"/>
    <w:rsid w:val="009B7381"/>
    <w:rsid w:val="009C2A96"/>
    <w:rsid w:val="009C2E01"/>
    <w:rsid w:val="009C2EBF"/>
    <w:rsid w:val="009C3162"/>
    <w:rsid w:val="009C46F2"/>
    <w:rsid w:val="009C73B9"/>
    <w:rsid w:val="009D04D2"/>
    <w:rsid w:val="009D145E"/>
    <w:rsid w:val="009D1ABC"/>
    <w:rsid w:val="009D45F2"/>
    <w:rsid w:val="009D4839"/>
    <w:rsid w:val="009D5F4D"/>
    <w:rsid w:val="009D5F61"/>
    <w:rsid w:val="009D6883"/>
    <w:rsid w:val="009D68C0"/>
    <w:rsid w:val="009D726F"/>
    <w:rsid w:val="009D7C2F"/>
    <w:rsid w:val="009E03AC"/>
    <w:rsid w:val="009E086D"/>
    <w:rsid w:val="009E17D9"/>
    <w:rsid w:val="009E2AA9"/>
    <w:rsid w:val="009E3483"/>
    <w:rsid w:val="009E517D"/>
    <w:rsid w:val="009E6DC8"/>
    <w:rsid w:val="009F03F6"/>
    <w:rsid w:val="009F0600"/>
    <w:rsid w:val="009F350A"/>
    <w:rsid w:val="009F4216"/>
    <w:rsid w:val="009F712D"/>
    <w:rsid w:val="009F7D80"/>
    <w:rsid w:val="00A0083E"/>
    <w:rsid w:val="00A00DB6"/>
    <w:rsid w:val="00A00F45"/>
    <w:rsid w:val="00A01AA2"/>
    <w:rsid w:val="00A01C8B"/>
    <w:rsid w:val="00A02BF2"/>
    <w:rsid w:val="00A0430D"/>
    <w:rsid w:val="00A056C1"/>
    <w:rsid w:val="00A0651B"/>
    <w:rsid w:val="00A066BC"/>
    <w:rsid w:val="00A06FE0"/>
    <w:rsid w:val="00A07365"/>
    <w:rsid w:val="00A1204A"/>
    <w:rsid w:val="00A127C9"/>
    <w:rsid w:val="00A12C66"/>
    <w:rsid w:val="00A14037"/>
    <w:rsid w:val="00A1516B"/>
    <w:rsid w:val="00A16335"/>
    <w:rsid w:val="00A1682B"/>
    <w:rsid w:val="00A20205"/>
    <w:rsid w:val="00A21744"/>
    <w:rsid w:val="00A219A3"/>
    <w:rsid w:val="00A21DAF"/>
    <w:rsid w:val="00A232DE"/>
    <w:rsid w:val="00A24790"/>
    <w:rsid w:val="00A24CE5"/>
    <w:rsid w:val="00A250B2"/>
    <w:rsid w:val="00A25721"/>
    <w:rsid w:val="00A26A75"/>
    <w:rsid w:val="00A27F66"/>
    <w:rsid w:val="00A302D9"/>
    <w:rsid w:val="00A31AA1"/>
    <w:rsid w:val="00A32A18"/>
    <w:rsid w:val="00A33C8D"/>
    <w:rsid w:val="00A3421B"/>
    <w:rsid w:val="00A34BEB"/>
    <w:rsid w:val="00A34D88"/>
    <w:rsid w:val="00A34FB2"/>
    <w:rsid w:val="00A3761B"/>
    <w:rsid w:val="00A37B76"/>
    <w:rsid w:val="00A37EBC"/>
    <w:rsid w:val="00A4056A"/>
    <w:rsid w:val="00A40D9F"/>
    <w:rsid w:val="00A411AA"/>
    <w:rsid w:val="00A41750"/>
    <w:rsid w:val="00A41B3D"/>
    <w:rsid w:val="00A44162"/>
    <w:rsid w:val="00A4718B"/>
    <w:rsid w:val="00A47BF0"/>
    <w:rsid w:val="00A506CB"/>
    <w:rsid w:val="00A514C3"/>
    <w:rsid w:val="00A51B17"/>
    <w:rsid w:val="00A53CF3"/>
    <w:rsid w:val="00A54AAE"/>
    <w:rsid w:val="00A5552B"/>
    <w:rsid w:val="00A56725"/>
    <w:rsid w:val="00A56EAF"/>
    <w:rsid w:val="00A571CA"/>
    <w:rsid w:val="00A603D2"/>
    <w:rsid w:val="00A60A6C"/>
    <w:rsid w:val="00A60CAF"/>
    <w:rsid w:val="00A613DA"/>
    <w:rsid w:val="00A62CD4"/>
    <w:rsid w:val="00A645CD"/>
    <w:rsid w:val="00A660C6"/>
    <w:rsid w:val="00A66B95"/>
    <w:rsid w:val="00A67D70"/>
    <w:rsid w:val="00A707F3"/>
    <w:rsid w:val="00A70C8A"/>
    <w:rsid w:val="00A71720"/>
    <w:rsid w:val="00A733E1"/>
    <w:rsid w:val="00A74F64"/>
    <w:rsid w:val="00A75084"/>
    <w:rsid w:val="00A75C55"/>
    <w:rsid w:val="00A75F5F"/>
    <w:rsid w:val="00A76790"/>
    <w:rsid w:val="00A76DE0"/>
    <w:rsid w:val="00A772F0"/>
    <w:rsid w:val="00A81226"/>
    <w:rsid w:val="00A81D29"/>
    <w:rsid w:val="00A82B13"/>
    <w:rsid w:val="00A83961"/>
    <w:rsid w:val="00A83F8D"/>
    <w:rsid w:val="00A847FF"/>
    <w:rsid w:val="00A853D8"/>
    <w:rsid w:val="00A854CD"/>
    <w:rsid w:val="00A8584E"/>
    <w:rsid w:val="00A85D5D"/>
    <w:rsid w:val="00A91BB2"/>
    <w:rsid w:val="00A924FA"/>
    <w:rsid w:val="00A970D1"/>
    <w:rsid w:val="00A97340"/>
    <w:rsid w:val="00A97915"/>
    <w:rsid w:val="00A97BF5"/>
    <w:rsid w:val="00AA01B8"/>
    <w:rsid w:val="00AA2E51"/>
    <w:rsid w:val="00AA3035"/>
    <w:rsid w:val="00AA34D8"/>
    <w:rsid w:val="00AA474E"/>
    <w:rsid w:val="00AA475F"/>
    <w:rsid w:val="00AA4BD2"/>
    <w:rsid w:val="00AA4CB7"/>
    <w:rsid w:val="00AA4E54"/>
    <w:rsid w:val="00AA6C59"/>
    <w:rsid w:val="00AA7102"/>
    <w:rsid w:val="00AB05D2"/>
    <w:rsid w:val="00AB3AF5"/>
    <w:rsid w:val="00AB4839"/>
    <w:rsid w:val="00AB48CA"/>
    <w:rsid w:val="00AB636E"/>
    <w:rsid w:val="00AB79E1"/>
    <w:rsid w:val="00AB7CFE"/>
    <w:rsid w:val="00AB7D19"/>
    <w:rsid w:val="00AC22B8"/>
    <w:rsid w:val="00AC7A42"/>
    <w:rsid w:val="00AC7E06"/>
    <w:rsid w:val="00AD0A44"/>
    <w:rsid w:val="00AD0EC9"/>
    <w:rsid w:val="00AD1473"/>
    <w:rsid w:val="00AD17DB"/>
    <w:rsid w:val="00AD1F11"/>
    <w:rsid w:val="00AD219E"/>
    <w:rsid w:val="00AD2556"/>
    <w:rsid w:val="00AD2FD3"/>
    <w:rsid w:val="00AD41BA"/>
    <w:rsid w:val="00AD4C82"/>
    <w:rsid w:val="00AD54A6"/>
    <w:rsid w:val="00AD6E63"/>
    <w:rsid w:val="00AD7281"/>
    <w:rsid w:val="00AD72AA"/>
    <w:rsid w:val="00AE0063"/>
    <w:rsid w:val="00AE0AE2"/>
    <w:rsid w:val="00AE1139"/>
    <w:rsid w:val="00AE2841"/>
    <w:rsid w:val="00AE2E16"/>
    <w:rsid w:val="00AE4A3B"/>
    <w:rsid w:val="00AE6E6E"/>
    <w:rsid w:val="00AF0434"/>
    <w:rsid w:val="00AF08D9"/>
    <w:rsid w:val="00AF1B67"/>
    <w:rsid w:val="00AF1E97"/>
    <w:rsid w:val="00AF3B24"/>
    <w:rsid w:val="00AF434C"/>
    <w:rsid w:val="00AF5566"/>
    <w:rsid w:val="00AF6D2D"/>
    <w:rsid w:val="00AF74B6"/>
    <w:rsid w:val="00B00621"/>
    <w:rsid w:val="00B00B20"/>
    <w:rsid w:val="00B015C9"/>
    <w:rsid w:val="00B02883"/>
    <w:rsid w:val="00B02FBE"/>
    <w:rsid w:val="00B03960"/>
    <w:rsid w:val="00B051D4"/>
    <w:rsid w:val="00B077D9"/>
    <w:rsid w:val="00B07F8F"/>
    <w:rsid w:val="00B10D6B"/>
    <w:rsid w:val="00B1128E"/>
    <w:rsid w:val="00B137D7"/>
    <w:rsid w:val="00B138C5"/>
    <w:rsid w:val="00B13F72"/>
    <w:rsid w:val="00B1406E"/>
    <w:rsid w:val="00B14697"/>
    <w:rsid w:val="00B17351"/>
    <w:rsid w:val="00B177D4"/>
    <w:rsid w:val="00B2260B"/>
    <w:rsid w:val="00B2299F"/>
    <w:rsid w:val="00B22FEF"/>
    <w:rsid w:val="00B2383E"/>
    <w:rsid w:val="00B2427D"/>
    <w:rsid w:val="00B24438"/>
    <w:rsid w:val="00B24739"/>
    <w:rsid w:val="00B24AB1"/>
    <w:rsid w:val="00B24FAB"/>
    <w:rsid w:val="00B25497"/>
    <w:rsid w:val="00B26E58"/>
    <w:rsid w:val="00B27597"/>
    <w:rsid w:val="00B277FE"/>
    <w:rsid w:val="00B3049B"/>
    <w:rsid w:val="00B304A9"/>
    <w:rsid w:val="00B32E4A"/>
    <w:rsid w:val="00B363A7"/>
    <w:rsid w:val="00B3759C"/>
    <w:rsid w:val="00B40B00"/>
    <w:rsid w:val="00B417BA"/>
    <w:rsid w:val="00B41F31"/>
    <w:rsid w:val="00B4344A"/>
    <w:rsid w:val="00B43AC2"/>
    <w:rsid w:val="00B43AC6"/>
    <w:rsid w:val="00B43CCA"/>
    <w:rsid w:val="00B46948"/>
    <w:rsid w:val="00B46A32"/>
    <w:rsid w:val="00B51427"/>
    <w:rsid w:val="00B524E9"/>
    <w:rsid w:val="00B52861"/>
    <w:rsid w:val="00B539B7"/>
    <w:rsid w:val="00B56C49"/>
    <w:rsid w:val="00B608F4"/>
    <w:rsid w:val="00B613BE"/>
    <w:rsid w:val="00B62502"/>
    <w:rsid w:val="00B63BEF"/>
    <w:rsid w:val="00B65335"/>
    <w:rsid w:val="00B65D30"/>
    <w:rsid w:val="00B67042"/>
    <w:rsid w:val="00B675B5"/>
    <w:rsid w:val="00B67A3C"/>
    <w:rsid w:val="00B70E25"/>
    <w:rsid w:val="00B70FC3"/>
    <w:rsid w:val="00B720E7"/>
    <w:rsid w:val="00B7258F"/>
    <w:rsid w:val="00B72996"/>
    <w:rsid w:val="00B731DE"/>
    <w:rsid w:val="00B743CF"/>
    <w:rsid w:val="00B75398"/>
    <w:rsid w:val="00B755CD"/>
    <w:rsid w:val="00B75709"/>
    <w:rsid w:val="00B75F5E"/>
    <w:rsid w:val="00B803F5"/>
    <w:rsid w:val="00B808E6"/>
    <w:rsid w:val="00B81DA6"/>
    <w:rsid w:val="00B8302E"/>
    <w:rsid w:val="00B84930"/>
    <w:rsid w:val="00B85975"/>
    <w:rsid w:val="00B873FD"/>
    <w:rsid w:val="00B87654"/>
    <w:rsid w:val="00B876CB"/>
    <w:rsid w:val="00B876E2"/>
    <w:rsid w:val="00B90C9D"/>
    <w:rsid w:val="00B90F94"/>
    <w:rsid w:val="00B91D6F"/>
    <w:rsid w:val="00B92006"/>
    <w:rsid w:val="00B92949"/>
    <w:rsid w:val="00B92F7F"/>
    <w:rsid w:val="00B92FC3"/>
    <w:rsid w:val="00B93C23"/>
    <w:rsid w:val="00B93EB0"/>
    <w:rsid w:val="00B9781F"/>
    <w:rsid w:val="00B979CA"/>
    <w:rsid w:val="00B97E95"/>
    <w:rsid w:val="00BA022A"/>
    <w:rsid w:val="00BA296D"/>
    <w:rsid w:val="00BA4468"/>
    <w:rsid w:val="00BA4D87"/>
    <w:rsid w:val="00BA4E7A"/>
    <w:rsid w:val="00BB0A86"/>
    <w:rsid w:val="00BB2519"/>
    <w:rsid w:val="00BB3274"/>
    <w:rsid w:val="00BB4157"/>
    <w:rsid w:val="00BB55CE"/>
    <w:rsid w:val="00BB5909"/>
    <w:rsid w:val="00BB7FF9"/>
    <w:rsid w:val="00BC0010"/>
    <w:rsid w:val="00BC3EB7"/>
    <w:rsid w:val="00BC478D"/>
    <w:rsid w:val="00BC47B1"/>
    <w:rsid w:val="00BC4A36"/>
    <w:rsid w:val="00BC4BDC"/>
    <w:rsid w:val="00BC5B04"/>
    <w:rsid w:val="00BC5F4D"/>
    <w:rsid w:val="00BC711D"/>
    <w:rsid w:val="00BC7561"/>
    <w:rsid w:val="00BD0834"/>
    <w:rsid w:val="00BD157A"/>
    <w:rsid w:val="00BD1E76"/>
    <w:rsid w:val="00BD2E6D"/>
    <w:rsid w:val="00BD3B4A"/>
    <w:rsid w:val="00BD416C"/>
    <w:rsid w:val="00BD5889"/>
    <w:rsid w:val="00BD5F2C"/>
    <w:rsid w:val="00BE1B60"/>
    <w:rsid w:val="00BE1C8E"/>
    <w:rsid w:val="00BE2D1C"/>
    <w:rsid w:val="00BE3273"/>
    <w:rsid w:val="00BE35E3"/>
    <w:rsid w:val="00BE4FC0"/>
    <w:rsid w:val="00BE561D"/>
    <w:rsid w:val="00BE59C8"/>
    <w:rsid w:val="00BE719D"/>
    <w:rsid w:val="00BF120B"/>
    <w:rsid w:val="00BF14C3"/>
    <w:rsid w:val="00BF1E08"/>
    <w:rsid w:val="00BF2069"/>
    <w:rsid w:val="00BF2771"/>
    <w:rsid w:val="00BF2BF1"/>
    <w:rsid w:val="00BF5451"/>
    <w:rsid w:val="00BF5A6B"/>
    <w:rsid w:val="00BF5CB1"/>
    <w:rsid w:val="00BF7903"/>
    <w:rsid w:val="00BF7F24"/>
    <w:rsid w:val="00C00C3F"/>
    <w:rsid w:val="00C00F87"/>
    <w:rsid w:val="00C016AB"/>
    <w:rsid w:val="00C01816"/>
    <w:rsid w:val="00C01CE9"/>
    <w:rsid w:val="00C02D7F"/>
    <w:rsid w:val="00C02E10"/>
    <w:rsid w:val="00C03BB7"/>
    <w:rsid w:val="00C04895"/>
    <w:rsid w:val="00C04C50"/>
    <w:rsid w:val="00C061A9"/>
    <w:rsid w:val="00C06586"/>
    <w:rsid w:val="00C0753B"/>
    <w:rsid w:val="00C07572"/>
    <w:rsid w:val="00C07C8E"/>
    <w:rsid w:val="00C11B44"/>
    <w:rsid w:val="00C163E2"/>
    <w:rsid w:val="00C168A6"/>
    <w:rsid w:val="00C16A91"/>
    <w:rsid w:val="00C16D0D"/>
    <w:rsid w:val="00C1721F"/>
    <w:rsid w:val="00C20D7B"/>
    <w:rsid w:val="00C20FAD"/>
    <w:rsid w:val="00C22900"/>
    <w:rsid w:val="00C22A61"/>
    <w:rsid w:val="00C22C2D"/>
    <w:rsid w:val="00C2345E"/>
    <w:rsid w:val="00C24844"/>
    <w:rsid w:val="00C25218"/>
    <w:rsid w:val="00C25FF9"/>
    <w:rsid w:val="00C27546"/>
    <w:rsid w:val="00C275F0"/>
    <w:rsid w:val="00C27B04"/>
    <w:rsid w:val="00C310A3"/>
    <w:rsid w:val="00C31A31"/>
    <w:rsid w:val="00C34489"/>
    <w:rsid w:val="00C35352"/>
    <w:rsid w:val="00C35DCE"/>
    <w:rsid w:val="00C36792"/>
    <w:rsid w:val="00C36EDD"/>
    <w:rsid w:val="00C40B75"/>
    <w:rsid w:val="00C41AD3"/>
    <w:rsid w:val="00C42A1A"/>
    <w:rsid w:val="00C43214"/>
    <w:rsid w:val="00C44036"/>
    <w:rsid w:val="00C450ED"/>
    <w:rsid w:val="00C451A9"/>
    <w:rsid w:val="00C461D6"/>
    <w:rsid w:val="00C47B79"/>
    <w:rsid w:val="00C47E67"/>
    <w:rsid w:val="00C50098"/>
    <w:rsid w:val="00C526EA"/>
    <w:rsid w:val="00C52DEA"/>
    <w:rsid w:val="00C536A4"/>
    <w:rsid w:val="00C54376"/>
    <w:rsid w:val="00C54564"/>
    <w:rsid w:val="00C552C8"/>
    <w:rsid w:val="00C55425"/>
    <w:rsid w:val="00C55C28"/>
    <w:rsid w:val="00C57538"/>
    <w:rsid w:val="00C615F6"/>
    <w:rsid w:val="00C63D20"/>
    <w:rsid w:val="00C63EFA"/>
    <w:rsid w:val="00C65C88"/>
    <w:rsid w:val="00C6680E"/>
    <w:rsid w:val="00C66D14"/>
    <w:rsid w:val="00C7046D"/>
    <w:rsid w:val="00C70AC1"/>
    <w:rsid w:val="00C710EC"/>
    <w:rsid w:val="00C72562"/>
    <w:rsid w:val="00C737E5"/>
    <w:rsid w:val="00C7403A"/>
    <w:rsid w:val="00C74486"/>
    <w:rsid w:val="00C753D7"/>
    <w:rsid w:val="00C75A57"/>
    <w:rsid w:val="00C75F86"/>
    <w:rsid w:val="00C761CF"/>
    <w:rsid w:val="00C76F1F"/>
    <w:rsid w:val="00C81F5A"/>
    <w:rsid w:val="00C825D0"/>
    <w:rsid w:val="00C832F3"/>
    <w:rsid w:val="00C84D68"/>
    <w:rsid w:val="00C86178"/>
    <w:rsid w:val="00C86298"/>
    <w:rsid w:val="00C86A41"/>
    <w:rsid w:val="00C879CA"/>
    <w:rsid w:val="00C91FA5"/>
    <w:rsid w:val="00C92AF9"/>
    <w:rsid w:val="00C92C3F"/>
    <w:rsid w:val="00C94F45"/>
    <w:rsid w:val="00C95AD0"/>
    <w:rsid w:val="00C95BEE"/>
    <w:rsid w:val="00CA01B6"/>
    <w:rsid w:val="00CA0372"/>
    <w:rsid w:val="00CA07F3"/>
    <w:rsid w:val="00CA1DBD"/>
    <w:rsid w:val="00CA2A50"/>
    <w:rsid w:val="00CA5357"/>
    <w:rsid w:val="00CA5421"/>
    <w:rsid w:val="00CA560F"/>
    <w:rsid w:val="00CA6184"/>
    <w:rsid w:val="00CA6AAE"/>
    <w:rsid w:val="00CA6E34"/>
    <w:rsid w:val="00CA712E"/>
    <w:rsid w:val="00CA7C16"/>
    <w:rsid w:val="00CB0073"/>
    <w:rsid w:val="00CB19D4"/>
    <w:rsid w:val="00CB1B2C"/>
    <w:rsid w:val="00CB3EFF"/>
    <w:rsid w:val="00CB4083"/>
    <w:rsid w:val="00CB44AA"/>
    <w:rsid w:val="00CB7170"/>
    <w:rsid w:val="00CB7541"/>
    <w:rsid w:val="00CC02F1"/>
    <w:rsid w:val="00CC5042"/>
    <w:rsid w:val="00CC7D92"/>
    <w:rsid w:val="00CD30A3"/>
    <w:rsid w:val="00CD3465"/>
    <w:rsid w:val="00CD3C6A"/>
    <w:rsid w:val="00CD3CB1"/>
    <w:rsid w:val="00CD44C3"/>
    <w:rsid w:val="00CD4C73"/>
    <w:rsid w:val="00CD4FAA"/>
    <w:rsid w:val="00CD74A1"/>
    <w:rsid w:val="00CE0577"/>
    <w:rsid w:val="00CE0F73"/>
    <w:rsid w:val="00CE13B5"/>
    <w:rsid w:val="00CE1FBD"/>
    <w:rsid w:val="00CE35D6"/>
    <w:rsid w:val="00CE3DF5"/>
    <w:rsid w:val="00CE5C2F"/>
    <w:rsid w:val="00CE5EAE"/>
    <w:rsid w:val="00CF0CAF"/>
    <w:rsid w:val="00CF20DB"/>
    <w:rsid w:val="00CF4172"/>
    <w:rsid w:val="00CF4C6C"/>
    <w:rsid w:val="00CF711F"/>
    <w:rsid w:val="00CF754E"/>
    <w:rsid w:val="00CF773D"/>
    <w:rsid w:val="00D018E4"/>
    <w:rsid w:val="00D01DBE"/>
    <w:rsid w:val="00D02705"/>
    <w:rsid w:val="00D03F5D"/>
    <w:rsid w:val="00D046B2"/>
    <w:rsid w:val="00D05BBB"/>
    <w:rsid w:val="00D110D3"/>
    <w:rsid w:val="00D12171"/>
    <w:rsid w:val="00D14D41"/>
    <w:rsid w:val="00D15A58"/>
    <w:rsid w:val="00D160C2"/>
    <w:rsid w:val="00D1741F"/>
    <w:rsid w:val="00D17734"/>
    <w:rsid w:val="00D17BF2"/>
    <w:rsid w:val="00D212E7"/>
    <w:rsid w:val="00D212FE"/>
    <w:rsid w:val="00D234C1"/>
    <w:rsid w:val="00D23E59"/>
    <w:rsid w:val="00D2412A"/>
    <w:rsid w:val="00D24F46"/>
    <w:rsid w:val="00D2560B"/>
    <w:rsid w:val="00D258BE"/>
    <w:rsid w:val="00D26346"/>
    <w:rsid w:val="00D273E4"/>
    <w:rsid w:val="00D27DEE"/>
    <w:rsid w:val="00D3023D"/>
    <w:rsid w:val="00D322C2"/>
    <w:rsid w:val="00D33BFA"/>
    <w:rsid w:val="00D34468"/>
    <w:rsid w:val="00D3607E"/>
    <w:rsid w:val="00D36E4E"/>
    <w:rsid w:val="00D401E0"/>
    <w:rsid w:val="00D4069D"/>
    <w:rsid w:val="00D408E8"/>
    <w:rsid w:val="00D41227"/>
    <w:rsid w:val="00D41C6E"/>
    <w:rsid w:val="00D42F07"/>
    <w:rsid w:val="00D4440B"/>
    <w:rsid w:val="00D45144"/>
    <w:rsid w:val="00D451F1"/>
    <w:rsid w:val="00D46161"/>
    <w:rsid w:val="00D47EF6"/>
    <w:rsid w:val="00D50310"/>
    <w:rsid w:val="00D51290"/>
    <w:rsid w:val="00D518EB"/>
    <w:rsid w:val="00D538B7"/>
    <w:rsid w:val="00D5625A"/>
    <w:rsid w:val="00D60C52"/>
    <w:rsid w:val="00D60CC0"/>
    <w:rsid w:val="00D60E12"/>
    <w:rsid w:val="00D65074"/>
    <w:rsid w:val="00D6518C"/>
    <w:rsid w:val="00D6535E"/>
    <w:rsid w:val="00D674E9"/>
    <w:rsid w:val="00D67E1F"/>
    <w:rsid w:val="00D70EA1"/>
    <w:rsid w:val="00D7189F"/>
    <w:rsid w:val="00D73948"/>
    <w:rsid w:val="00D743F3"/>
    <w:rsid w:val="00D744BA"/>
    <w:rsid w:val="00D8057A"/>
    <w:rsid w:val="00D81EF8"/>
    <w:rsid w:val="00D83B76"/>
    <w:rsid w:val="00D85008"/>
    <w:rsid w:val="00D85112"/>
    <w:rsid w:val="00D856AB"/>
    <w:rsid w:val="00D861E6"/>
    <w:rsid w:val="00D866B3"/>
    <w:rsid w:val="00D86B51"/>
    <w:rsid w:val="00D909F5"/>
    <w:rsid w:val="00D90F07"/>
    <w:rsid w:val="00D9104D"/>
    <w:rsid w:val="00D9135D"/>
    <w:rsid w:val="00D91C8F"/>
    <w:rsid w:val="00D9202B"/>
    <w:rsid w:val="00D936F2"/>
    <w:rsid w:val="00D9426A"/>
    <w:rsid w:val="00D94E50"/>
    <w:rsid w:val="00D9568E"/>
    <w:rsid w:val="00D965C4"/>
    <w:rsid w:val="00D9667B"/>
    <w:rsid w:val="00D9693A"/>
    <w:rsid w:val="00D96D45"/>
    <w:rsid w:val="00D970D9"/>
    <w:rsid w:val="00DA0A49"/>
    <w:rsid w:val="00DA29E5"/>
    <w:rsid w:val="00DA4CF9"/>
    <w:rsid w:val="00DA71B3"/>
    <w:rsid w:val="00DA7A52"/>
    <w:rsid w:val="00DB0770"/>
    <w:rsid w:val="00DB2208"/>
    <w:rsid w:val="00DB2BE2"/>
    <w:rsid w:val="00DB3747"/>
    <w:rsid w:val="00DB3A4B"/>
    <w:rsid w:val="00DB4017"/>
    <w:rsid w:val="00DB44ED"/>
    <w:rsid w:val="00DB621D"/>
    <w:rsid w:val="00DC5785"/>
    <w:rsid w:val="00DC72E7"/>
    <w:rsid w:val="00DC7DA6"/>
    <w:rsid w:val="00DC7E20"/>
    <w:rsid w:val="00DD0112"/>
    <w:rsid w:val="00DD1426"/>
    <w:rsid w:val="00DD15C1"/>
    <w:rsid w:val="00DD197C"/>
    <w:rsid w:val="00DD24B2"/>
    <w:rsid w:val="00DD31D6"/>
    <w:rsid w:val="00DD35D1"/>
    <w:rsid w:val="00DD36B0"/>
    <w:rsid w:val="00DD47B8"/>
    <w:rsid w:val="00DE31F9"/>
    <w:rsid w:val="00DE3DF5"/>
    <w:rsid w:val="00DE478C"/>
    <w:rsid w:val="00DE5FF1"/>
    <w:rsid w:val="00DE7FB5"/>
    <w:rsid w:val="00DF31F1"/>
    <w:rsid w:val="00DF38FD"/>
    <w:rsid w:val="00DF3CAC"/>
    <w:rsid w:val="00DF509E"/>
    <w:rsid w:val="00DF5B85"/>
    <w:rsid w:val="00E008F4"/>
    <w:rsid w:val="00E019BE"/>
    <w:rsid w:val="00E02A59"/>
    <w:rsid w:val="00E02C39"/>
    <w:rsid w:val="00E030EF"/>
    <w:rsid w:val="00E04EAF"/>
    <w:rsid w:val="00E063E1"/>
    <w:rsid w:val="00E066F7"/>
    <w:rsid w:val="00E06820"/>
    <w:rsid w:val="00E06CCB"/>
    <w:rsid w:val="00E072BA"/>
    <w:rsid w:val="00E1205F"/>
    <w:rsid w:val="00E131B5"/>
    <w:rsid w:val="00E13909"/>
    <w:rsid w:val="00E1500E"/>
    <w:rsid w:val="00E15A45"/>
    <w:rsid w:val="00E16393"/>
    <w:rsid w:val="00E1742B"/>
    <w:rsid w:val="00E179EA"/>
    <w:rsid w:val="00E17A2E"/>
    <w:rsid w:val="00E22997"/>
    <w:rsid w:val="00E22E97"/>
    <w:rsid w:val="00E2320D"/>
    <w:rsid w:val="00E241D5"/>
    <w:rsid w:val="00E24971"/>
    <w:rsid w:val="00E24DE2"/>
    <w:rsid w:val="00E2729D"/>
    <w:rsid w:val="00E27AA1"/>
    <w:rsid w:val="00E312B1"/>
    <w:rsid w:val="00E316BC"/>
    <w:rsid w:val="00E33293"/>
    <w:rsid w:val="00E3512D"/>
    <w:rsid w:val="00E35160"/>
    <w:rsid w:val="00E3651A"/>
    <w:rsid w:val="00E365E0"/>
    <w:rsid w:val="00E37153"/>
    <w:rsid w:val="00E4037B"/>
    <w:rsid w:val="00E40A72"/>
    <w:rsid w:val="00E4367B"/>
    <w:rsid w:val="00E451BF"/>
    <w:rsid w:val="00E452E0"/>
    <w:rsid w:val="00E4590C"/>
    <w:rsid w:val="00E47E24"/>
    <w:rsid w:val="00E47ED6"/>
    <w:rsid w:val="00E50473"/>
    <w:rsid w:val="00E52A47"/>
    <w:rsid w:val="00E532D2"/>
    <w:rsid w:val="00E532E7"/>
    <w:rsid w:val="00E53706"/>
    <w:rsid w:val="00E55EB9"/>
    <w:rsid w:val="00E56CA2"/>
    <w:rsid w:val="00E57A79"/>
    <w:rsid w:val="00E609DD"/>
    <w:rsid w:val="00E60EFE"/>
    <w:rsid w:val="00E64D23"/>
    <w:rsid w:val="00E64E8E"/>
    <w:rsid w:val="00E66518"/>
    <w:rsid w:val="00E671C9"/>
    <w:rsid w:val="00E67419"/>
    <w:rsid w:val="00E67D20"/>
    <w:rsid w:val="00E70260"/>
    <w:rsid w:val="00E70278"/>
    <w:rsid w:val="00E71280"/>
    <w:rsid w:val="00E715D2"/>
    <w:rsid w:val="00E74EA5"/>
    <w:rsid w:val="00E76D7F"/>
    <w:rsid w:val="00E77A0F"/>
    <w:rsid w:val="00E80611"/>
    <w:rsid w:val="00E80A0D"/>
    <w:rsid w:val="00E81654"/>
    <w:rsid w:val="00E8342B"/>
    <w:rsid w:val="00E83840"/>
    <w:rsid w:val="00E83EFD"/>
    <w:rsid w:val="00E84903"/>
    <w:rsid w:val="00E8509A"/>
    <w:rsid w:val="00E870AB"/>
    <w:rsid w:val="00E91BDA"/>
    <w:rsid w:val="00E91F76"/>
    <w:rsid w:val="00E920CC"/>
    <w:rsid w:val="00E92FA5"/>
    <w:rsid w:val="00E93B3D"/>
    <w:rsid w:val="00E94966"/>
    <w:rsid w:val="00EA1151"/>
    <w:rsid w:val="00EA1E46"/>
    <w:rsid w:val="00EA3E9E"/>
    <w:rsid w:val="00EA4DDC"/>
    <w:rsid w:val="00EA4DE9"/>
    <w:rsid w:val="00EA5D52"/>
    <w:rsid w:val="00EA6637"/>
    <w:rsid w:val="00EA7ABF"/>
    <w:rsid w:val="00EB06F6"/>
    <w:rsid w:val="00EB0AA0"/>
    <w:rsid w:val="00EB172A"/>
    <w:rsid w:val="00EB17FE"/>
    <w:rsid w:val="00EB26BB"/>
    <w:rsid w:val="00EB2775"/>
    <w:rsid w:val="00EB2FED"/>
    <w:rsid w:val="00EB351B"/>
    <w:rsid w:val="00EB3C4B"/>
    <w:rsid w:val="00EB5CA4"/>
    <w:rsid w:val="00EB6B2D"/>
    <w:rsid w:val="00EC0FAD"/>
    <w:rsid w:val="00EC374B"/>
    <w:rsid w:val="00EC3E84"/>
    <w:rsid w:val="00EC4BD4"/>
    <w:rsid w:val="00EC5833"/>
    <w:rsid w:val="00EC6142"/>
    <w:rsid w:val="00EC6468"/>
    <w:rsid w:val="00EC6B10"/>
    <w:rsid w:val="00EC7385"/>
    <w:rsid w:val="00EC73E1"/>
    <w:rsid w:val="00ED0265"/>
    <w:rsid w:val="00ED03EC"/>
    <w:rsid w:val="00ED0ADD"/>
    <w:rsid w:val="00ED13B9"/>
    <w:rsid w:val="00ED1843"/>
    <w:rsid w:val="00ED2774"/>
    <w:rsid w:val="00ED2CF8"/>
    <w:rsid w:val="00ED3110"/>
    <w:rsid w:val="00ED32B7"/>
    <w:rsid w:val="00ED3553"/>
    <w:rsid w:val="00ED3AD6"/>
    <w:rsid w:val="00ED407F"/>
    <w:rsid w:val="00ED44A0"/>
    <w:rsid w:val="00ED72D6"/>
    <w:rsid w:val="00ED7A7E"/>
    <w:rsid w:val="00ED7E08"/>
    <w:rsid w:val="00EE01AD"/>
    <w:rsid w:val="00EE02C1"/>
    <w:rsid w:val="00EE0FEA"/>
    <w:rsid w:val="00EE1605"/>
    <w:rsid w:val="00EE2689"/>
    <w:rsid w:val="00EE2DD2"/>
    <w:rsid w:val="00EE572C"/>
    <w:rsid w:val="00EE732A"/>
    <w:rsid w:val="00EF0C56"/>
    <w:rsid w:val="00EF115C"/>
    <w:rsid w:val="00EF2C55"/>
    <w:rsid w:val="00EF3849"/>
    <w:rsid w:val="00EF3B25"/>
    <w:rsid w:val="00EF3BFB"/>
    <w:rsid w:val="00EF41B5"/>
    <w:rsid w:val="00EF4625"/>
    <w:rsid w:val="00EF4AA2"/>
    <w:rsid w:val="00EF5B14"/>
    <w:rsid w:val="00EF716D"/>
    <w:rsid w:val="00EF78DB"/>
    <w:rsid w:val="00F002C3"/>
    <w:rsid w:val="00F00961"/>
    <w:rsid w:val="00F0131B"/>
    <w:rsid w:val="00F01811"/>
    <w:rsid w:val="00F01848"/>
    <w:rsid w:val="00F02905"/>
    <w:rsid w:val="00F02C5D"/>
    <w:rsid w:val="00F02EFD"/>
    <w:rsid w:val="00F05A50"/>
    <w:rsid w:val="00F05F99"/>
    <w:rsid w:val="00F07672"/>
    <w:rsid w:val="00F10045"/>
    <w:rsid w:val="00F100B3"/>
    <w:rsid w:val="00F10AD6"/>
    <w:rsid w:val="00F10EDE"/>
    <w:rsid w:val="00F11D01"/>
    <w:rsid w:val="00F12D29"/>
    <w:rsid w:val="00F161A4"/>
    <w:rsid w:val="00F20398"/>
    <w:rsid w:val="00F203D6"/>
    <w:rsid w:val="00F206A9"/>
    <w:rsid w:val="00F2097A"/>
    <w:rsid w:val="00F214E6"/>
    <w:rsid w:val="00F216E5"/>
    <w:rsid w:val="00F22622"/>
    <w:rsid w:val="00F236A4"/>
    <w:rsid w:val="00F23A64"/>
    <w:rsid w:val="00F27058"/>
    <w:rsid w:val="00F346E6"/>
    <w:rsid w:val="00F34F08"/>
    <w:rsid w:val="00F35882"/>
    <w:rsid w:val="00F36181"/>
    <w:rsid w:val="00F37A1F"/>
    <w:rsid w:val="00F40776"/>
    <w:rsid w:val="00F410A0"/>
    <w:rsid w:val="00F4135D"/>
    <w:rsid w:val="00F41703"/>
    <w:rsid w:val="00F41F0D"/>
    <w:rsid w:val="00F42205"/>
    <w:rsid w:val="00F43D57"/>
    <w:rsid w:val="00F43D79"/>
    <w:rsid w:val="00F443D0"/>
    <w:rsid w:val="00F4494E"/>
    <w:rsid w:val="00F45145"/>
    <w:rsid w:val="00F46257"/>
    <w:rsid w:val="00F50F63"/>
    <w:rsid w:val="00F51E1C"/>
    <w:rsid w:val="00F54B80"/>
    <w:rsid w:val="00F55478"/>
    <w:rsid w:val="00F5635B"/>
    <w:rsid w:val="00F56C59"/>
    <w:rsid w:val="00F56DF3"/>
    <w:rsid w:val="00F5706E"/>
    <w:rsid w:val="00F60F83"/>
    <w:rsid w:val="00F613E9"/>
    <w:rsid w:val="00F65A53"/>
    <w:rsid w:val="00F65FE4"/>
    <w:rsid w:val="00F6673C"/>
    <w:rsid w:val="00F66BD6"/>
    <w:rsid w:val="00F70153"/>
    <w:rsid w:val="00F708C0"/>
    <w:rsid w:val="00F70D5B"/>
    <w:rsid w:val="00F72529"/>
    <w:rsid w:val="00F73DB1"/>
    <w:rsid w:val="00F758AB"/>
    <w:rsid w:val="00F75BF5"/>
    <w:rsid w:val="00F80D5B"/>
    <w:rsid w:val="00F82D63"/>
    <w:rsid w:val="00F8326E"/>
    <w:rsid w:val="00F83B24"/>
    <w:rsid w:val="00F859A4"/>
    <w:rsid w:val="00F8671B"/>
    <w:rsid w:val="00F91DE6"/>
    <w:rsid w:val="00F9471A"/>
    <w:rsid w:val="00F952C6"/>
    <w:rsid w:val="00F97455"/>
    <w:rsid w:val="00F974A0"/>
    <w:rsid w:val="00F976C4"/>
    <w:rsid w:val="00FA02ED"/>
    <w:rsid w:val="00FA1169"/>
    <w:rsid w:val="00FA373E"/>
    <w:rsid w:val="00FA3F13"/>
    <w:rsid w:val="00FA55D2"/>
    <w:rsid w:val="00FA6F7B"/>
    <w:rsid w:val="00FA71A4"/>
    <w:rsid w:val="00FA7479"/>
    <w:rsid w:val="00FA7568"/>
    <w:rsid w:val="00FA77D2"/>
    <w:rsid w:val="00FA7C49"/>
    <w:rsid w:val="00FB1782"/>
    <w:rsid w:val="00FB2402"/>
    <w:rsid w:val="00FB343D"/>
    <w:rsid w:val="00FB3FC1"/>
    <w:rsid w:val="00FB4D5C"/>
    <w:rsid w:val="00FB4E01"/>
    <w:rsid w:val="00FB658D"/>
    <w:rsid w:val="00FC0258"/>
    <w:rsid w:val="00FC068D"/>
    <w:rsid w:val="00FC09D8"/>
    <w:rsid w:val="00FC1209"/>
    <w:rsid w:val="00FC1F85"/>
    <w:rsid w:val="00FC4743"/>
    <w:rsid w:val="00FC55CB"/>
    <w:rsid w:val="00FC63F2"/>
    <w:rsid w:val="00FD1800"/>
    <w:rsid w:val="00FD2073"/>
    <w:rsid w:val="00FD2FFD"/>
    <w:rsid w:val="00FD37D1"/>
    <w:rsid w:val="00FD430F"/>
    <w:rsid w:val="00FD43F7"/>
    <w:rsid w:val="00FD4D9C"/>
    <w:rsid w:val="00FD59E4"/>
    <w:rsid w:val="00FE11AB"/>
    <w:rsid w:val="00FE12DA"/>
    <w:rsid w:val="00FE24C7"/>
    <w:rsid w:val="00FE2E46"/>
    <w:rsid w:val="00FE2F7C"/>
    <w:rsid w:val="00FE358E"/>
    <w:rsid w:val="00FE3E53"/>
    <w:rsid w:val="00FE4A88"/>
    <w:rsid w:val="00FE5225"/>
    <w:rsid w:val="00FE6F3D"/>
    <w:rsid w:val="00FF0881"/>
    <w:rsid w:val="00FF0C27"/>
    <w:rsid w:val="00FF185D"/>
    <w:rsid w:val="00FF2994"/>
    <w:rsid w:val="00FF3BAB"/>
    <w:rsid w:val="00FF55B4"/>
    <w:rsid w:val="00FF5869"/>
    <w:rsid w:val="00FF6DA4"/>
    <w:rsid w:val="00FF75A2"/>
    <w:rsid w:val="00FF7642"/>
    <w:rsid w:val="00FF7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A0B658-EE9F-42A2-AF49-C612280C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FAD"/>
  </w:style>
  <w:style w:type="paragraph" w:styleId="Ttulo1">
    <w:name w:val="heading 1"/>
    <w:basedOn w:val="Normal"/>
    <w:link w:val="Ttulo1Car"/>
    <w:uiPriority w:val="9"/>
    <w:qFormat/>
    <w:rsid w:val="00AD72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5220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906AFB"/>
    <w:pPr>
      <w:keepNext/>
      <w:keepLines/>
      <w:spacing w:before="40" w:after="0"/>
      <w:outlineLvl w:val="2"/>
    </w:pPr>
    <w:rPr>
      <w:rFonts w:ascii="Calibri Light" w:eastAsia="Times New Roman" w:hAnsi="Calibri Light" w:cs="Times New Roman"/>
      <w:color w:val="1F4D78"/>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91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91AD5"/>
    <w:pPr>
      <w:ind w:left="720"/>
      <w:contextualSpacing/>
    </w:pPr>
  </w:style>
  <w:style w:type="paragraph" w:customStyle="1" w:styleId="Default">
    <w:name w:val="Default"/>
    <w:rsid w:val="005D0A0B"/>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AD7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AD7281"/>
    <w:rPr>
      <w:rFonts w:ascii="Times New Roman" w:eastAsia="Times New Roman" w:hAnsi="Times New Roman" w:cs="Times New Roman"/>
      <w:b/>
      <w:bCs/>
      <w:kern w:val="36"/>
      <w:sz w:val="48"/>
      <w:szCs w:val="48"/>
      <w:lang w:eastAsia="es-MX"/>
    </w:rPr>
  </w:style>
  <w:style w:type="paragraph" w:customStyle="1" w:styleId="CuerpoA">
    <w:name w:val="Cuerpo A"/>
    <w:rsid w:val="00157F0F"/>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CuerpoB">
    <w:name w:val="Cuerpo B"/>
    <w:rsid w:val="00157F0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rPr>
  </w:style>
  <w:style w:type="paragraph" w:customStyle="1" w:styleId="Cuerpo">
    <w:name w:val="Cuerpo"/>
    <w:rsid w:val="00157F0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rPr>
  </w:style>
  <w:style w:type="paragraph" w:customStyle="1" w:styleId="Texto">
    <w:name w:val="Texto"/>
    <w:basedOn w:val="Normal"/>
    <w:link w:val="TextoCar"/>
    <w:qFormat/>
    <w:rsid w:val="00AD1F1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AD1F11"/>
    <w:rPr>
      <w:rFonts w:ascii="Arial" w:eastAsia="Times New Roman" w:hAnsi="Arial" w:cs="Arial"/>
      <w:sz w:val="18"/>
      <w:szCs w:val="20"/>
      <w:lang w:val="es-ES" w:eastAsia="es-ES"/>
    </w:rPr>
  </w:style>
  <w:style w:type="table" w:styleId="Sombreadoclaro-nfasis3">
    <w:name w:val="Light Shading Accent 3"/>
    <w:basedOn w:val="Tablanormal"/>
    <w:uiPriority w:val="60"/>
    <w:rsid w:val="0080483D"/>
    <w:pPr>
      <w:spacing w:after="0" w:line="240" w:lineRule="auto"/>
    </w:pPr>
    <w:rPr>
      <w:rFonts w:ascii="Calibri" w:eastAsia="Calibri" w:hAnsi="Calibri" w:cs="Times New Roman"/>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PrrafodelistaCar">
    <w:name w:val="Párrafo de lista Car"/>
    <w:link w:val="Prrafodelista"/>
    <w:uiPriority w:val="34"/>
    <w:locked/>
    <w:rsid w:val="0007405B"/>
  </w:style>
  <w:style w:type="character" w:customStyle="1" w:styleId="A4">
    <w:name w:val="A4"/>
    <w:uiPriority w:val="99"/>
    <w:rsid w:val="00610035"/>
    <w:rPr>
      <w:rFonts w:cs="Rotis Sans Serif Std Light"/>
      <w:color w:val="000000"/>
      <w:sz w:val="26"/>
      <w:szCs w:val="26"/>
    </w:rPr>
  </w:style>
  <w:style w:type="paragraph" w:styleId="Encabezado">
    <w:name w:val="header"/>
    <w:basedOn w:val="Normal"/>
    <w:link w:val="EncabezadoCar"/>
    <w:uiPriority w:val="99"/>
    <w:unhideWhenUsed/>
    <w:rsid w:val="005674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7446"/>
  </w:style>
  <w:style w:type="paragraph" w:styleId="Piedepgina">
    <w:name w:val="footer"/>
    <w:basedOn w:val="Normal"/>
    <w:link w:val="PiedepginaCar"/>
    <w:uiPriority w:val="99"/>
    <w:unhideWhenUsed/>
    <w:rsid w:val="005674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446"/>
  </w:style>
  <w:style w:type="character" w:styleId="Refdecomentario">
    <w:name w:val="annotation reference"/>
    <w:basedOn w:val="Fuentedeprrafopredeter"/>
    <w:uiPriority w:val="99"/>
    <w:semiHidden/>
    <w:unhideWhenUsed/>
    <w:rsid w:val="00B873FD"/>
    <w:rPr>
      <w:sz w:val="16"/>
      <w:szCs w:val="16"/>
    </w:rPr>
  </w:style>
  <w:style w:type="paragraph" w:styleId="Textocomentario">
    <w:name w:val="annotation text"/>
    <w:basedOn w:val="Normal"/>
    <w:link w:val="TextocomentarioCar"/>
    <w:uiPriority w:val="99"/>
    <w:semiHidden/>
    <w:unhideWhenUsed/>
    <w:rsid w:val="00B873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73FD"/>
    <w:rPr>
      <w:sz w:val="20"/>
      <w:szCs w:val="20"/>
    </w:rPr>
  </w:style>
  <w:style w:type="paragraph" w:styleId="Asuntodelcomentario">
    <w:name w:val="annotation subject"/>
    <w:basedOn w:val="Textocomentario"/>
    <w:next w:val="Textocomentario"/>
    <w:link w:val="AsuntodelcomentarioCar"/>
    <w:uiPriority w:val="99"/>
    <w:semiHidden/>
    <w:unhideWhenUsed/>
    <w:rsid w:val="00B873FD"/>
    <w:rPr>
      <w:b/>
      <w:bCs/>
    </w:rPr>
  </w:style>
  <w:style w:type="character" w:customStyle="1" w:styleId="AsuntodelcomentarioCar">
    <w:name w:val="Asunto del comentario Car"/>
    <w:basedOn w:val="TextocomentarioCar"/>
    <w:link w:val="Asuntodelcomentario"/>
    <w:uiPriority w:val="99"/>
    <w:semiHidden/>
    <w:rsid w:val="00B873FD"/>
    <w:rPr>
      <w:b/>
      <w:bCs/>
      <w:sz w:val="20"/>
      <w:szCs w:val="20"/>
    </w:rPr>
  </w:style>
  <w:style w:type="paragraph" w:styleId="Revisin">
    <w:name w:val="Revision"/>
    <w:hidden/>
    <w:uiPriority w:val="99"/>
    <w:semiHidden/>
    <w:rsid w:val="00B873FD"/>
    <w:pPr>
      <w:spacing w:after="0" w:line="240" w:lineRule="auto"/>
    </w:pPr>
  </w:style>
  <w:style w:type="paragraph" w:styleId="Textodeglobo">
    <w:name w:val="Balloon Text"/>
    <w:basedOn w:val="Normal"/>
    <w:link w:val="TextodegloboCar"/>
    <w:uiPriority w:val="99"/>
    <w:semiHidden/>
    <w:unhideWhenUsed/>
    <w:rsid w:val="00B873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3FD"/>
    <w:rPr>
      <w:rFonts w:ascii="Tahoma" w:hAnsi="Tahoma" w:cs="Tahoma"/>
      <w:sz w:val="16"/>
      <w:szCs w:val="16"/>
    </w:rPr>
  </w:style>
  <w:style w:type="paragraph" w:customStyle="1" w:styleId="titulo-nota">
    <w:name w:val="titulo-nota"/>
    <w:basedOn w:val="Normal"/>
    <w:rsid w:val="00410E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men-nota">
    <w:name w:val="resumen-nota"/>
    <w:basedOn w:val="Normal"/>
    <w:rsid w:val="00410E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10E71"/>
  </w:style>
  <w:style w:type="character" w:styleId="Textoennegrita">
    <w:name w:val="Strong"/>
    <w:basedOn w:val="Fuentedeprrafopredeter"/>
    <w:uiPriority w:val="22"/>
    <w:qFormat/>
    <w:rsid w:val="00215EFE"/>
    <w:rPr>
      <w:b/>
      <w:bCs/>
    </w:rPr>
  </w:style>
  <w:style w:type="character" w:styleId="nfasis">
    <w:name w:val="Emphasis"/>
    <w:basedOn w:val="Fuentedeprrafopredeter"/>
    <w:uiPriority w:val="20"/>
    <w:qFormat/>
    <w:rsid w:val="00215EFE"/>
    <w:rPr>
      <w:i/>
      <w:iCs/>
    </w:rPr>
  </w:style>
  <w:style w:type="character" w:styleId="Hipervnculo">
    <w:name w:val="Hyperlink"/>
    <w:basedOn w:val="Fuentedeprrafopredeter"/>
    <w:uiPriority w:val="99"/>
    <w:unhideWhenUsed/>
    <w:rsid w:val="00215F39"/>
    <w:rPr>
      <w:color w:val="0000FF"/>
      <w:u w:val="single"/>
    </w:rPr>
  </w:style>
  <w:style w:type="paragraph" w:customStyle="1" w:styleId="Pa7">
    <w:name w:val="Pa7"/>
    <w:basedOn w:val="Default"/>
    <w:next w:val="Default"/>
    <w:uiPriority w:val="99"/>
    <w:rsid w:val="001F5C98"/>
    <w:pPr>
      <w:spacing w:line="261" w:lineRule="atLeast"/>
    </w:pPr>
    <w:rPr>
      <w:rFonts w:ascii="Rotis Sans Serif Std Light" w:hAnsi="Rotis Sans Serif Std Light" w:cstheme="minorBidi"/>
      <w:color w:val="auto"/>
    </w:rPr>
  </w:style>
  <w:style w:type="paragraph" w:customStyle="1" w:styleId="Pa25">
    <w:name w:val="Pa25"/>
    <w:basedOn w:val="Default"/>
    <w:next w:val="Default"/>
    <w:uiPriority w:val="99"/>
    <w:rsid w:val="001F5C98"/>
    <w:pPr>
      <w:spacing w:line="321" w:lineRule="atLeast"/>
    </w:pPr>
    <w:rPr>
      <w:rFonts w:ascii="Rotis Sans Serif Std Light" w:hAnsi="Rotis Sans Serif Std Light" w:cstheme="minorBidi"/>
      <w:color w:val="auto"/>
    </w:rPr>
  </w:style>
  <w:style w:type="character" w:customStyle="1" w:styleId="cb-author">
    <w:name w:val="cb-author"/>
    <w:basedOn w:val="Fuentedeprrafopredeter"/>
    <w:rsid w:val="009D7C2F"/>
  </w:style>
  <w:style w:type="character" w:customStyle="1" w:styleId="cb-date">
    <w:name w:val="cb-date"/>
    <w:basedOn w:val="Fuentedeprrafopredeter"/>
    <w:rsid w:val="009D7C2F"/>
  </w:style>
  <w:style w:type="table" w:customStyle="1" w:styleId="Tablaconcuadrcula1">
    <w:name w:val="Tabla con cuadrícula1"/>
    <w:basedOn w:val="Tablanormal"/>
    <w:next w:val="Tablaconcuadrcula"/>
    <w:uiPriority w:val="59"/>
    <w:rsid w:val="0077797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777972"/>
    <w:pPr>
      <w:spacing w:after="0" w:line="240" w:lineRule="auto"/>
    </w:pPr>
    <w:rPr>
      <w:rFonts w:ascii="Calibri" w:eastAsia="Calibri" w:hAnsi="Calibri" w:cs="Times New Roman"/>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tn-pdf">
    <w:name w:val="btn-pdf"/>
    <w:basedOn w:val="Fuentedeprrafopredeter"/>
    <w:rsid w:val="0025154E"/>
  </w:style>
  <w:style w:type="table" w:customStyle="1" w:styleId="Tabladecuadrcula1clara-nfasis31">
    <w:name w:val="Tabla de cuadrícula 1 clara - Énfasis 31"/>
    <w:basedOn w:val="Tablanormal"/>
    <w:uiPriority w:val="46"/>
    <w:rsid w:val="00041B7B"/>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3504E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OTACION">
    <w:name w:val="ANOTACION"/>
    <w:basedOn w:val="Normal"/>
    <w:link w:val="ANOTACIONCar"/>
    <w:rsid w:val="00A056C1"/>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A056C1"/>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uiPriority w:val="99"/>
    <w:semiHidden/>
    <w:unhideWhenUsed/>
    <w:rsid w:val="004F07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072A"/>
    <w:rPr>
      <w:sz w:val="20"/>
      <w:szCs w:val="20"/>
    </w:rPr>
  </w:style>
  <w:style w:type="character" w:styleId="Refdenotaalpie">
    <w:name w:val="footnote reference"/>
    <w:basedOn w:val="Fuentedeprrafopredeter"/>
    <w:uiPriority w:val="99"/>
    <w:semiHidden/>
    <w:unhideWhenUsed/>
    <w:rsid w:val="004F072A"/>
    <w:rPr>
      <w:vertAlign w:val="superscript"/>
    </w:rPr>
  </w:style>
  <w:style w:type="paragraph" w:styleId="Sinespaciado">
    <w:name w:val="No Spacing"/>
    <w:uiPriority w:val="1"/>
    <w:qFormat/>
    <w:rsid w:val="00033D97"/>
    <w:pPr>
      <w:spacing w:after="0" w:line="240" w:lineRule="auto"/>
    </w:pPr>
  </w:style>
  <w:style w:type="paragraph" w:styleId="Textoindependiente2">
    <w:name w:val="Body Text 2"/>
    <w:basedOn w:val="Normal"/>
    <w:link w:val="Textoindependiente2Car"/>
    <w:rsid w:val="00EA115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EA1151"/>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5220E8"/>
    <w:rPr>
      <w:rFonts w:asciiTheme="majorHAnsi" w:eastAsiaTheme="majorEastAsia" w:hAnsiTheme="majorHAnsi" w:cstheme="majorBidi"/>
      <w:color w:val="365F91" w:themeColor="accent1" w:themeShade="BF"/>
      <w:sz w:val="26"/>
      <w:szCs w:val="26"/>
    </w:rPr>
  </w:style>
  <w:style w:type="paragraph" w:customStyle="1" w:styleId="Ttulo31">
    <w:name w:val="Título 31"/>
    <w:basedOn w:val="Normal"/>
    <w:next w:val="Normal"/>
    <w:uiPriority w:val="9"/>
    <w:semiHidden/>
    <w:unhideWhenUsed/>
    <w:qFormat/>
    <w:rsid w:val="00906AFB"/>
    <w:pPr>
      <w:keepNext/>
      <w:keepLines/>
      <w:spacing w:before="40" w:after="0" w:line="360" w:lineRule="auto"/>
      <w:jc w:val="both"/>
      <w:outlineLvl w:val="2"/>
    </w:pPr>
    <w:rPr>
      <w:rFonts w:ascii="Calibri Light" w:eastAsia="Times New Roman" w:hAnsi="Calibri Light" w:cs="Times New Roman"/>
      <w:color w:val="1F4D78"/>
      <w:sz w:val="24"/>
      <w:szCs w:val="24"/>
      <w:lang w:val="es-ES" w:eastAsia="en-US"/>
    </w:rPr>
  </w:style>
  <w:style w:type="numbering" w:customStyle="1" w:styleId="Sinlista1">
    <w:name w:val="Sin lista1"/>
    <w:next w:val="Sinlista"/>
    <w:uiPriority w:val="99"/>
    <w:semiHidden/>
    <w:unhideWhenUsed/>
    <w:rsid w:val="00906AFB"/>
  </w:style>
  <w:style w:type="character" w:customStyle="1" w:styleId="Ttulo3Car">
    <w:name w:val="Título 3 Car"/>
    <w:basedOn w:val="Fuentedeprrafopredeter"/>
    <w:link w:val="Ttulo3"/>
    <w:uiPriority w:val="9"/>
    <w:semiHidden/>
    <w:rsid w:val="00906AFB"/>
    <w:rPr>
      <w:rFonts w:ascii="Calibri Light" w:eastAsia="Times New Roman" w:hAnsi="Calibri Light" w:cs="Times New Roman"/>
      <w:color w:val="1F4D78"/>
      <w:sz w:val="24"/>
      <w:szCs w:val="24"/>
      <w:lang w:val="es-ES" w:eastAsia="en-US"/>
    </w:rPr>
  </w:style>
  <w:style w:type="character" w:customStyle="1" w:styleId="Hipervnculovisitado1">
    <w:name w:val="Hipervínculo visitado1"/>
    <w:basedOn w:val="Fuentedeprrafopredeter"/>
    <w:uiPriority w:val="99"/>
    <w:semiHidden/>
    <w:unhideWhenUsed/>
    <w:rsid w:val="00906AFB"/>
    <w:rPr>
      <w:color w:val="954F72"/>
      <w:u w:val="single"/>
    </w:rPr>
  </w:style>
  <w:style w:type="paragraph" w:customStyle="1" w:styleId="msonormal0">
    <w:name w:val="msonormal"/>
    <w:basedOn w:val="Normal"/>
    <w:uiPriority w:val="99"/>
    <w:semiHidden/>
    <w:rsid w:val="00906AFB"/>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semiHidden/>
    <w:unhideWhenUsed/>
    <w:rsid w:val="00906AFB"/>
    <w:pPr>
      <w:spacing w:before="120" w:after="100" w:line="360" w:lineRule="auto"/>
      <w:jc w:val="both"/>
    </w:pPr>
    <w:rPr>
      <w:rFonts w:ascii="Arial" w:eastAsia="Calibri" w:hAnsi="Arial" w:cs="Times New Roman"/>
      <w:lang w:val="es-ES" w:eastAsia="en-US"/>
    </w:rPr>
  </w:style>
  <w:style w:type="paragraph" w:styleId="TDC2">
    <w:name w:val="toc 2"/>
    <w:basedOn w:val="Normal"/>
    <w:next w:val="Normal"/>
    <w:autoRedefine/>
    <w:uiPriority w:val="39"/>
    <w:semiHidden/>
    <w:unhideWhenUsed/>
    <w:rsid w:val="00906AFB"/>
    <w:pPr>
      <w:spacing w:after="100" w:line="256" w:lineRule="auto"/>
      <w:ind w:left="220"/>
    </w:pPr>
    <w:rPr>
      <w:rFonts w:ascii="Calibri" w:eastAsia="Times New Roman" w:hAnsi="Calibri" w:cs="Times New Roman"/>
    </w:rPr>
  </w:style>
  <w:style w:type="paragraph" w:styleId="TDC3">
    <w:name w:val="toc 3"/>
    <w:basedOn w:val="Normal"/>
    <w:next w:val="Normal"/>
    <w:autoRedefine/>
    <w:uiPriority w:val="39"/>
    <w:semiHidden/>
    <w:unhideWhenUsed/>
    <w:rsid w:val="00906AFB"/>
    <w:pPr>
      <w:spacing w:after="100" w:line="256" w:lineRule="auto"/>
      <w:ind w:left="440"/>
    </w:pPr>
    <w:rPr>
      <w:rFonts w:ascii="Calibri" w:eastAsia="Times New Roman" w:hAnsi="Calibri" w:cs="Times New Roman"/>
    </w:rPr>
  </w:style>
  <w:style w:type="paragraph" w:styleId="Subttulo">
    <w:name w:val="Subtitle"/>
    <w:basedOn w:val="Normal"/>
    <w:next w:val="Normal"/>
    <w:link w:val="SubttuloCar"/>
    <w:uiPriority w:val="11"/>
    <w:qFormat/>
    <w:rsid w:val="00906AFB"/>
    <w:pPr>
      <w:spacing w:after="0" w:line="240" w:lineRule="auto"/>
      <w:jc w:val="center"/>
    </w:pPr>
    <w:rPr>
      <w:rFonts w:ascii="Arial" w:eastAsia="Times New Roman" w:hAnsi="Arial" w:cs="Times New Roman"/>
      <w:b/>
      <w:sz w:val="20"/>
      <w:lang w:val="es-ES" w:eastAsia="en-US"/>
    </w:rPr>
  </w:style>
  <w:style w:type="character" w:customStyle="1" w:styleId="SubttuloCar">
    <w:name w:val="Subtítulo Car"/>
    <w:basedOn w:val="Fuentedeprrafopredeter"/>
    <w:link w:val="Subttulo"/>
    <w:uiPriority w:val="11"/>
    <w:rsid w:val="00906AFB"/>
    <w:rPr>
      <w:rFonts w:ascii="Arial" w:eastAsia="Times New Roman" w:hAnsi="Arial" w:cs="Times New Roman"/>
      <w:b/>
      <w:sz w:val="20"/>
      <w:lang w:val="es-ES" w:eastAsia="en-US"/>
    </w:rPr>
  </w:style>
  <w:style w:type="paragraph" w:customStyle="1" w:styleId="TtuloTDC1">
    <w:name w:val="Título TDC1"/>
    <w:basedOn w:val="Ttulo1"/>
    <w:next w:val="Normal"/>
    <w:uiPriority w:val="39"/>
    <w:semiHidden/>
    <w:unhideWhenUsed/>
    <w:qFormat/>
    <w:rsid w:val="00906AFB"/>
    <w:pPr>
      <w:keepNext/>
      <w:keepLines/>
      <w:spacing w:before="240" w:beforeAutospacing="0" w:after="0" w:afterAutospacing="0" w:line="256" w:lineRule="auto"/>
      <w:outlineLvl w:val="9"/>
    </w:pPr>
    <w:rPr>
      <w:rFonts w:ascii="Calibri Light" w:hAnsi="Calibri Light"/>
      <w:b w:val="0"/>
      <w:bCs w:val="0"/>
      <w:color w:val="2E74B5"/>
      <w:kern w:val="0"/>
      <w:sz w:val="32"/>
      <w:szCs w:val="32"/>
    </w:rPr>
  </w:style>
  <w:style w:type="table" w:customStyle="1" w:styleId="Tablaconcuadrcula2">
    <w:name w:val="Tabla con cuadrícula2"/>
    <w:basedOn w:val="Tablanormal"/>
    <w:next w:val="Tablaconcuadrcula"/>
    <w:uiPriority w:val="39"/>
    <w:rsid w:val="00906AFB"/>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basedOn w:val="Fuentedeprrafopredeter"/>
    <w:uiPriority w:val="9"/>
    <w:semiHidden/>
    <w:rsid w:val="00906AFB"/>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906AFB"/>
    <w:rPr>
      <w:color w:val="800080" w:themeColor="followedHyperlink"/>
      <w:u w:val="single"/>
    </w:rPr>
  </w:style>
  <w:style w:type="paragraph" w:styleId="Textonotaalfinal">
    <w:name w:val="endnote text"/>
    <w:basedOn w:val="Normal"/>
    <w:link w:val="TextonotaalfinalCar"/>
    <w:uiPriority w:val="99"/>
    <w:semiHidden/>
    <w:unhideWhenUsed/>
    <w:rsid w:val="00030F7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0F76"/>
    <w:rPr>
      <w:sz w:val="20"/>
      <w:szCs w:val="20"/>
    </w:rPr>
  </w:style>
  <w:style w:type="character" w:styleId="Refdenotaalfinal">
    <w:name w:val="endnote reference"/>
    <w:basedOn w:val="Fuentedeprrafopredeter"/>
    <w:uiPriority w:val="99"/>
    <w:semiHidden/>
    <w:unhideWhenUsed/>
    <w:rsid w:val="00030F76"/>
    <w:rPr>
      <w:vertAlign w:val="superscript"/>
    </w:rPr>
  </w:style>
  <w:style w:type="paragraph" w:customStyle="1" w:styleId="xmsonormal">
    <w:name w:val="x_msonormal"/>
    <w:basedOn w:val="Normal"/>
    <w:rsid w:val="002B759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1876E4"/>
  </w:style>
  <w:style w:type="numbering" w:customStyle="1" w:styleId="Sinlista11">
    <w:name w:val="Sin lista11"/>
    <w:next w:val="Sinlista"/>
    <w:uiPriority w:val="99"/>
    <w:semiHidden/>
    <w:unhideWhenUsed/>
    <w:rsid w:val="00187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165">
      <w:bodyDiv w:val="1"/>
      <w:marLeft w:val="0"/>
      <w:marRight w:val="0"/>
      <w:marTop w:val="0"/>
      <w:marBottom w:val="0"/>
      <w:divBdr>
        <w:top w:val="none" w:sz="0" w:space="0" w:color="auto"/>
        <w:left w:val="none" w:sz="0" w:space="0" w:color="auto"/>
        <w:bottom w:val="none" w:sz="0" w:space="0" w:color="auto"/>
        <w:right w:val="none" w:sz="0" w:space="0" w:color="auto"/>
      </w:divBdr>
    </w:div>
    <w:div w:id="5711836">
      <w:bodyDiv w:val="1"/>
      <w:marLeft w:val="0"/>
      <w:marRight w:val="0"/>
      <w:marTop w:val="0"/>
      <w:marBottom w:val="0"/>
      <w:divBdr>
        <w:top w:val="none" w:sz="0" w:space="0" w:color="auto"/>
        <w:left w:val="none" w:sz="0" w:space="0" w:color="auto"/>
        <w:bottom w:val="none" w:sz="0" w:space="0" w:color="auto"/>
        <w:right w:val="none" w:sz="0" w:space="0" w:color="auto"/>
      </w:divBdr>
    </w:div>
    <w:div w:id="21908654">
      <w:bodyDiv w:val="1"/>
      <w:marLeft w:val="0"/>
      <w:marRight w:val="0"/>
      <w:marTop w:val="0"/>
      <w:marBottom w:val="0"/>
      <w:divBdr>
        <w:top w:val="none" w:sz="0" w:space="0" w:color="auto"/>
        <w:left w:val="none" w:sz="0" w:space="0" w:color="auto"/>
        <w:bottom w:val="none" w:sz="0" w:space="0" w:color="auto"/>
        <w:right w:val="none" w:sz="0" w:space="0" w:color="auto"/>
      </w:divBdr>
    </w:div>
    <w:div w:id="29768570">
      <w:bodyDiv w:val="1"/>
      <w:marLeft w:val="0"/>
      <w:marRight w:val="0"/>
      <w:marTop w:val="0"/>
      <w:marBottom w:val="0"/>
      <w:divBdr>
        <w:top w:val="none" w:sz="0" w:space="0" w:color="auto"/>
        <w:left w:val="none" w:sz="0" w:space="0" w:color="auto"/>
        <w:bottom w:val="none" w:sz="0" w:space="0" w:color="auto"/>
        <w:right w:val="none" w:sz="0" w:space="0" w:color="auto"/>
      </w:divBdr>
    </w:div>
    <w:div w:id="36200918">
      <w:bodyDiv w:val="1"/>
      <w:marLeft w:val="0"/>
      <w:marRight w:val="0"/>
      <w:marTop w:val="0"/>
      <w:marBottom w:val="0"/>
      <w:divBdr>
        <w:top w:val="none" w:sz="0" w:space="0" w:color="auto"/>
        <w:left w:val="none" w:sz="0" w:space="0" w:color="auto"/>
        <w:bottom w:val="none" w:sz="0" w:space="0" w:color="auto"/>
        <w:right w:val="none" w:sz="0" w:space="0" w:color="auto"/>
      </w:divBdr>
    </w:div>
    <w:div w:id="37436479">
      <w:bodyDiv w:val="1"/>
      <w:marLeft w:val="0"/>
      <w:marRight w:val="0"/>
      <w:marTop w:val="0"/>
      <w:marBottom w:val="0"/>
      <w:divBdr>
        <w:top w:val="none" w:sz="0" w:space="0" w:color="auto"/>
        <w:left w:val="none" w:sz="0" w:space="0" w:color="auto"/>
        <w:bottom w:val="none" w:sz="0" w:space="0" w:color="auto"/>
        <w:right w:val="none" w:sz="0" w:space="0" w:color="auto"/>
      </w:divBdr>
    </w:div>
    <w:div w:id="37899170">
      <w:bodyDiv w:val="1"/>
      <w:marLeft w:val="0"/>
      <w:marRight w:val="0"/>
      <w:marTop w:val="0"/>
      <w:marBottom w:val="0"/>
      <w:divBdr>
        <w:top w:val="none" w:sz="0" w:space="0" w:color="auto"/>
        <w:left w:val="none" w:sz="0" w:space="0" w:color="auto"/>
        <w:bottom w:val="none" w:sz="0" w:space="0" w:color="auto"/>
        <w:right w:val="none" w:sz="0" w:space="0" w:color="auto"/>
      </w:divBdr>
    </w:div>
    <w:div w:id="39132106">
      <w:bodyDiv w:val="1"/>
      <w:marLeft w:val="0"/>
      <w:marRight w:val="0"/>
      <w:marTop w:val="0"/>
      <w:marBottom w:val="0"/>
      <w:divBdr>
        <w:top w:val="none" w:sz="0" w:space="0" w:color="auto"/>
        <w:left w:val="none" w:sz="0" w:space="0" w:color="auto"/>
        <w:bottom w:val="none" w:sz="0" w:space="0" w:color="auto"/>
        <w:right w:val="none" w:sz="0" w:space="0" w:color="auto"/>
      </w:divBdr>
    </w:div>
    <w:div w:id="44255797">
      <w:bodyDiv w:val="1"/>
      <w:marLeft w:val="0"/>
      <w:marRight w:val="0"/>
      <w:marTop w:val="0"/>
      <w:marBottom w:val="0"/>
      <w:divBdr>
        <w:top w:val="none" w:sz="0" w:space="0" w:color="auto"/>
        <w:left w:val="none" w:sz="0" w:space="0" w:color="auto"/>
        <w:bottom w:val="none" w:sz="0" w:space="0" w:color="auto"/>
        <w:right w:val="none" w:sz="0" w:space="0" w:color="auto"/>
      </w:divBdr>
    </w:div>
    <w:div w:id="53504017">
      <w:bodyDiv w:val="1"/>
      <w:marLeft w:val="0"/>
      <w:marRight w:val="0"/>
      <w:marTop w:val="0"/>
      <w:marBottom w:val="0"/>
      <w:divBdr>
        <w:top w:val="none" w:sz="0" w:space="0" w:color="auto"/>
        <w:left w:val="none" w:sz="0" w:space="0" w:color="auto"/>
        <w:bottom w:val="none" w:sz="0" w:space="0" w:color="auto"/>
        <w:right w:val="none" w:sz="0" w:space="0" w:color="auto"/>
      </w:divBdr>
    </w:div>
    <w:div w:id="55906575">
      <w:bodyDiv w:val="1"/>
      <w:marLeft w:val="0"/>
      <w:marRight w:val="0"/>
      <w:marTop w:val="0"/>
      <w:marBottom w:val="0"/>
      <w:divBdr>
        <w:top w:val="none" w:sz="0" w:space="0" w:color="auto"/>
        <w:left w:val="none" w:sz="0" w:space="0" w:color="auto"/>
        <w:bottom w:val="none" w:sz="0" w:space="0" w:color="auto"/>
        <w:right w:val="none" w:sz="0" w:space="0" w:color="auto"/>
      </w:divBdr>
    </w:div>
    <w:div w:id="60758475">
      <w:bodyDiv w:val="1"/>
      <w:marLeft w:val="0"/>
      <w:marRight w:val="0"/>
      <w:marTop w:val="0"/>
      <w:marBottom w:val="0"/>
      <w:divBdr>
        <w:top w:val="none" w:sz="0" w:space="0" w:color="auto"/>
        <w:left w:val="none" w:sz="0" w:space="0" w:color="auto"/>
        <w:bottom w:val="none" w:sz="0" w:space="0" w:color="auto"/>
        <w:right w:val="none" w:sz="0" w:space="0" w:color="auto"/>
      </w:divBdr>
    </w:div>
    <w:div w:id="69620563">
      <w:bodyDiv w:val="1"/>
      <w:marLeft w:val="0"/>
      <w:marRight w:val="0"/>
      <w:marTop w:val="0"/>
      <w:marBottom w:val="0"/>
      <w:divBdr>
        <w:top w:val="none" w:sz="0" w:space="0" w:color="auto"/>
        <w:left w:val="none" w:sz="0" w:space="0" w:color="auto"/>
        <w:bottom w:val="none" w:sz="0" w:space="0" w:color="auto"/>
        <w:right w:val="none" w:sz="0" w:space="0" w:color="auto"/>
      </w:divBdr>
    </w:div>
    <w:div w:id="72974213">
      <w:bodyDiv w:val="1"/>
      <w:marLeft w:val="0"/>
      <w:marRight w:val="0"/>
      <w:marTop w:val="0"/>
      <w:marBottom w:val="0"/>
      <w:divBdr>
        <w:top w:val="none" w:sz="0" w:space="0" w:color="auto"/>
        <w:left w:val="none" w:sz="0" w:space="0" w:color="auto"/>
        <w:bottom w:val="none" w:sz="0" w:space="0" w:color="auto"/>
        <w:right w:val="none" w:sz="0" w:space="0" w:color="auto"/>
      </w:divBdr>
    </w:div>
    <w:div w:id="77750255">
      <w:bodyDiv w:val="1"/>
      <w:marLeft w:val="0"/>
      <w:marRight w:val="0"/>
      <w:marTop w:val="0"/>
      <w:marBottom w:val="0"/>
      <w:divBdr>
        <w:top w:val="none" w:sz="0" w:space="0" w:color="auto"/>
        <w:left w:val="none" w:sz="0" w:space="0" w:color="auto"/>
        <w:bottom w:val="none" w:sz="0" w:space="0" w:color="auto"/>
        <w:right w:val="none" w:sz="0" w:space="0" w:color="auto"/>
      </w:divBdr>
    </w:div>
    <w:div w:id="82650149">
      <w:bodyDiv w:val="1"/>
      <w:marLeft w:val="0"/>
      <w:marRight w:val="0"/>
      <w:marTop w:val="0"/>
      <w:marBottom w:val="0"/>
      <w:divBdr>
        <w:top w:val="none" w:sz="0" w:space="0" w:color="auto"/>
        <w:left w:val="none" w:sz="0" w:space="0" w:color="auto"/>
        <w:bottom w:val="none" w:sz="0" w:space="0" w:color="auto"/>
        <w:right w:val="none" w:sz="0" w:space="0" w:color="auto"/>
      </w:divBdr>
    </w:div>
    <w:div w:id="90247309">
      <w:bodyDiv w:val="1"/>
      <w:marLeft w:val="0"/>
      <w:marRight w:val="0"/>
      <w:marTop w:val="0"/>
      <w:marBottom w:val="0"/>
      <w:divBdr>
        <w:top w:val="none" w:sz="0" w:space="0" w:color="auto"/>
        <w:left w:val="none" w:sz="0" w:space="0" w:color="auto"/>
        <w:bottom w:val="none" w:sz="0" w:space="0" w:color="auto"/>
        <w:right w:val="none" w:sz="0" w:space="0" w:color="auto"/>
      </w:divBdr>
    </w:div>
    <w:div w:id="92170147">
      <w:bodyDiv w:val="1"/>
      <w:marLeft w:val="0"/>
      <w:marRight w:val="0"/>
      <w:marTop w:val="0"/>
      <w:marBottom w:val="0"/>
      <w:divBdr>
        <w:top w:val="none" w:sz="0" w:space="0" w:color="auto"/>
        <w:left w:val="none" w:sz="0" w:space="0" w:color="auto"/>
        <w:bottom w:val="none" w:sz="0" w:space="0" w:color="auto"/>
        <w:right w:val="none" w:sz="0" w:space="0" w:color="auto"/>
      </w:divBdr>
    </w:div>
    <w:div w:id="100614680">
      <w:bodyDiv w:val="1"/>
      <w:marLeft w:val="0"/>
      <w:marRight w:val="0"/>
      <w:marTop w:val="0"/>
      <w:marBottom w:val="0"/>
      <w:divBdr>
        <w:top w:val="none" w:sz="0" w:space="0" w:color="auto"/>
        <w:left w:val="none" w:sz="0" w:space="0" w:color="auto"/>
        <w:bottom w:val="none" w:sz="0" w:space="0" w:color="auto"/>
        <w:right w:val="none" w:sz="0" w:space="0" w:color="auto"/>
      </w:divBdr>
    </w:div>
    <w:div w:id="102504638">
      <w:bodyDiv w:val="1"/>
      <w:marLeft w:val="0"/>
      <w:marRight w:val="0"/>
      <w:marTop w:val="0"/>
      <w:marBottom w:val="0"/>
      <w:divBdr>
        <w:top w:val="none" w:sz="0" w:space="0" w:color="auto"/>
        <w:left w:val="none" w:sz="0" w:space="0" w:color="auto"/>
        <w:bottom w:val="none" w:sz="0" w:space="0" w:color="auto"/>
        <w:right w:val="none" w:sz="0" w:space="0" w:color="auto"/>
      </w:divBdr>
    </w:div>
    <w:div w:id="114759282">
      <w:bodyDiv w:val="1"/>
      <w:marLeft w:val="0"/>
      <w:marRight w:val="0"/>
      <w:marTop w:val="0"/>
      <w:marBottom w:val="0"/>
      <w:divBdr>
        <w:top w:val="none" w:sz="0" w:space="0" w:color="auto"/>
        <w:left w:val="none" w:sz="0" w:space="0" w:color="auto"/>
        <w:bottom w:val="none" w:sz="0" w:space="0" w:color="auto"/>
        <w:right w:val="none" w:sz="0" w:space="0" w:color="auto"/>
      </w:divBdr>
    </w:div>
    <w:div w:id="116069947">
      <w:bodyDiv w:val="1"/>
      <w:marLeft w:val="0"/>
      <w:marRight w:val="0"/>
      <w:marTop w:val="0"/>
      <w:marBottom w:val="0"/>
      <w:divBdr>
        <w:top w:val="none" w:sz="0" w:space="0" w:color="auto"/>
        <w:left w:val="none" w:sz="0" w:space="0" w:color="auto"/>
        <w:bottom w:val="none" w:sz="0" w:space="0" w:color="auto"/>
        <w:right w:val="none" w:sz="0" w:space="0" w:color="auto"/>
      </w:divBdr>
    </w:div>
    <w:div w:id="118031851">
      <w:bodyDiv w:val="1"/>
      <w:marLeft w:val="0"/>
      <w:marRight w:val="0"/>
      <w:marTop w:val="0"/>
      <w:marBottom w:val="0"/>
      <w:divBdr>
        <w:top w:val="none" w:sz="0" w:space="0" w:color="auto"/>
        <w:left w:val="none" w:sz="0" w:space="0" w:color="auto"/>
        <w:bottom w:val="none" w:sz="0" w:space="0" w:color="auto"/>
        <w:right w:val="none" w:sz="0" w:space="0" w:color="auto"/>
      </w:divBdr>
    </w:div>
    <w:div w:id="118644857">
      <w:bodyDiv w:val="1"/>
      <w:marLeft w:val="0"/>
      <w:marRight w:val="0"/>
      <w:marTop w:val="0"/>
      <w:marBottom w:val="0"/>
      <w:divBdr>
        <w:top w:val="none" w:sz="0" w:space="0" w:color="auto"/>
        <w:left w:val="none" w:sz="0" w:space="0" w:color="auto"/>
        <w:bottom w:val="none" w:sz="0" w:space="0" w:color="auto"/>
        <w:right w:val="none" w:sz="0" w:space="0" w:color="auto"/>
      </w:divBdr>
    </w:div>
    <w:div w:id="129447621">
      <w:bodyDiv w:val="1"/>
      <w:marLeft w:val="0"/>
      <w:marRight w:val="0"/>
      <w:marTop w:val="0"/>
      <w:marBottom w:val="0"/>
      <w:divBdr>
        <w:top w:val="none" w:sz="0" w:space="0" w:color="auto"/>
        <w:left w:val="none" w:sz="0" w:space="0" w:color="auto"/>
        <w:bottom w:val="none" w:sz="0" w:space="0" w:color="auto"/>
        <w:right w:val="none" w:sz="0" w:space="0" w:color="auto"/>
      </w:divBdr>
    </w:div>
    <w:div w:id="140467963">
      <w:bodyDiv w:val="1"/>
      <w:marLeft w:val="0"/>
      <w:marRight w:val="0"/>
      <w:marTop w:val="0"/>
      <w:marBottom w:val="0"/>
      <w:divBdr>
        <w:top w:val="none" w:sz="0" w:space="0" w:color="auto"/>
        <w:left w:val="none" w:sz="0" w:space="0" w:color="auto"/>
        <w:bottom w:val="none" w:sz="0" w:space="0" w:color="auto"/>
        <w:right w:val="none" w:sz="0" w:space="0" w:color="auto"/>
      </w:divBdr>
    </w:div>
    <w:div w:id="141849737">
      <w:bodyDiv w:val="1"/>
      <w:marLeft w:val="0"/>
      <w:marRight w:val="0"/>
      <w:marTop w:val="0"/>
      <w:marBottom w:val="0"/>
      <w:divBdr>
        <w:top w:val="none" w:sz="0" w:space="0" w:color="auto"/>
        <w:left w:val="none" w:sz="0" w:space="0" w:color="auto"/>
        <w:bottom w:val="none" w:sz="0" w:space="0" w:color="auto"/>
        <w:right w:val="none" w:sz="0" w:space="0" w:color="auto"/>
      </w:divBdr>
    </w:div>
    <w:div w:id="142158021">
      <w:bodyDiv w:val="1"/>
      <w:marLeft w:val="0"/>
      <w:marRight w:val="0"/>
      <w:marTop w:val="0"/>
      <w:marBottom w:val="0"/>
      <w:divBdr>
        <w:top w:val="none" w:sz="0" w:space="0" w:color="auto"/>
        <w:left w:val="none" w:sz="0" w:space="0" w:color="auto"/>
        <w:bottom w:val="none" w:sz="0" w:space="0" w:color="auto"/>
        <w:right w:val="none" w:sz="0" w:space="0" w:color="auto"/>
      </w:divBdr>
    </w:div>
    <w:div w:id="145898800">
      <w:bodyDiv w:val="1"/>
      <w:marLeft w:val="0"/>
      <w:marRight w:val="0"/>
      <w:marTop w:val="0"/>
      <w:marBottom w:val="0"/>
      <w:divBdr>
        <w:top w:val="none" w:sz="0" w:space="0" w:color="auto"/>
        <w:left w:val="none" w:sz="0" w:space="0" w:color="auto"/>
        <w:bottom w:val="none" w:sz="0" w:space="0" w:color="auto"/>
        <w:right w:val="none" w:sz="0" w:space="0" w:color="auto"/>
      </w:divBdr>
    </w:div>
    <w:div w:id="155726035">
      <w:bodyDiv w:val="1"/>
      <w:marLeft w:val="0"/>
      <w:marRight w:val="0"/>
      <w:marTop w:val="0"/>
      <w:marBottom w:val="0"/>
      <w:divBdr>
        <w:top w:val="none" w:sz="0" w:space="0" w:color="auto"/>
        <w:left w:val="none" w:sz="0" w:space="0" w:color="auto"/>
        <w:bottom w:val="none" w:sz="0" w:space="0" w:color="auto"/>
        <w:right w:val="none" w:sz="0" w:space="0" w:color="auto"/>
      </w:divBdr>
    </w:div>
    <w:div w:id="156729078">
      <w:bodyDiv w:val="1"/>
      <w:marLeft w:val="0"/>
      <w:marRight w:val="0"/>
      <w:marTop w:val="0"/>
      <w:marBottom w:val="0"/>
      <w:divBdr>
        <w:top w:val="none" w:sz="0" w:space="0" w:color="auto"/>
        <w:left w:val="none" w:sz="0" w:space="0" w:color="auto"/>
        <w:bottom w:val="none" w:sz="0" w:space="0" w:color="auto"/>
        <w:right w:val="none" w:sz="0" w:space="0" w:color="auto"/>
      </w:divBdr>
    </w:div>
    <w:div w:id="156775935">
      <w:bodyDiv w:val="1"/>
      <w:marLeft w:val="0"/>
      <w:marRight w:val="0"/>
      <w:marTop w:val="0"/>
      <w:marBottom w:val="0"/>
      <w:divBdr>
        <w:top w:val="none" w:sz="0" w:space="0" w:color="auto"/>
        <w:left w:val="none" w:sz="0" w:space="0" w:color="auto"/>
        <w:bottom w:val="none" w:sz="0" w:space="0" w:color="auto"/>
        <w:right w:val="none" w:sz="0" w:space="0" w:color="auto"/>
      </w:divBdr>
    </w:div>
    <w:div w:id="157573721">
      <w:bodyDiv w:val="1"/>
      <w:marLeft w:val="0"/>
      <w:marRight w:val="0"/>
      <w:marTop w:val="0"/>
      <w:marBottom w:val="0"/>
      <w:divBdr>
        <w:top w:val="none" w:sz="0" w:space="0" w:color="auto"/>
        <w:left w:val="none" w:sz="0" w:space="0" w:color="auto"/>
        <w:bottom w:val="none" w:sz="0" w:space="0" w:color="auto"/>
        <w:right w:val="none" w:sz="0" w:space="0" w:color="auto"/>
      </w:divBdr>
    </w:div>
    <w:div w:id="164785337">
      <w:bodyDiv w:val="1"/>
      <w:marLeft w:val="0"/>
      <w:marRight w:val="0"/>
      <w:marTop w:val="0"/>
      <w:marBottom w:val="0"/>
      <w:divBdr>
        <w:top w:val="none" w:sz="0" w:space="0" w:color="auto"/>
        <w:left w:val="none" w:sz="0" w:space="0" w:color="auto"/>
        <w:bottom w:val="none" w:sz="0" w:space="0" w:color="auto"/>
        <w:right w:val="none" w:sz="0" w:space="0" w:color="auto"/>
      </w:divBdr>
    </w:div>
    <w:div w:id="166598049">
      <w:bodyDiv w:val="1"/>
      <w:marLeft w:val="0"/>
      <w:marRight w:val="0"/>
      <w:marTop w:val="0"/>
      <w:marBottom w:val="0"/>
      <w:divBdr>
        <w:top w:val="none" w:sz="0" w:space="0" w:color="auto"/>
        <w:left w:val="none" w:sz="0" w:space="0" w:color="auto"/>
        <w:bottom w:val="none" w:sz="0" w:space="0" w:color="auto"/>
        <w:right w:val="none" w:sz="0" w:space="0" w:color="auto"/>
      </w:divBdr>
    </w:div>
    <w:div w:id="168378175">
      <w:bodyDiv w:val="1"/>
      <w:marLeft w:val="0"/>
      <w:marRight w:val="0"/>
      <w:marTop w:val="0"/>
      <w:marBottom w:val="0"/>
      <w:divBdr>
        <w:top w:val="none" w:sz="0" w:space="0" w:color="auto"/>
        <w:left w:val="none" w:sz="0" w:space="0" w:color="auto"/>
        <w:bottom w:val="none" w:sz="0" w:space="0" w:color="auto"/>
        <w:right w:val="none" w:sz="0" w:space="0" w:color="auto"/>
      </w:divBdr>
    </w:div>
    <w:div w:id="168831456">
      <w:bodyDiv w:val="1"/>
      <w:marLeft w:val="0"/>
      <w:marRight w:val="0"/>
      <w:marTop w:val="0"/>
      <w:marBottom w:val="0"/>
      <w:divBdr>
        <w:top w:val="none" w:sz="0" w:space="0" w:color="auto"/>
        <w:left w:val="none" w:sz="0" w:space="0" w:color="auto"/>
        <w:bottom w:val="none" w:sz="0" w:space="0" w:color="auto"/>
        <w:right w:val="none" w:sz="0" w:space="0" w:color="auto"/>
      </w:divBdr>
    </w:div>
    <w:div w:id="171189207">
      <w:bodyDiv w:val="1"/>
      <w:marLeft w:val="0"/>
      <w:marRight w:val="0"/>
      <w:marTop w:val="0"/>
      <w:marBottom w:val="0"/>
      <w:divBdr>
        <w:top w:val="none" w:sz="0" w:space="0" w:color="auto"/>
        <w:left w:val="none" w:sz="0" w:space="0" w:color="auto"/>
        <w:bottom w:val="none" w:sz="0" w:space="0" w:color="auto"/>
        <w:right w:val="none" w:sz="0" w:space="0" w:color="auto"/>
      </w:divBdr>
    </w:div>
    <w:div w:id="179970214">
      <w:bodyDiv w:val="1"/>
      <w:marLeft w:val="0"/>
      <w:marRight w:val="0"/>
      <w:marTop w:val="0"/>
      <w:marBottom w:val="0"/>
      <w:divBdr>
        <w:top w:val="none" w:sz="0" w:space="0" w:color="auto"/>
        <w:left w:val="none" w:sz="0" w:space="0" w:color="auto"/>
        <w:bottom w:val="none" w:sz="0" w:space="0" w:color="auto"/>
        <w:right w:val="none" w:sz="0" w:space="0" w:color="auto"/>
      </w:divBdr>
    </w:div>
    <w:div w:id="184363997">
      <w:bodyDiv w:val="1"/>
      <w:marLeft w:val="0"/>
      <w:marRight w:val="0"/>
      <w:marTop w:val="0"/>
      <w:marBottom w:val="0"/>
      <w:divBdr>
        <w:top w:val="none" w:sz="0" w:space="0" w:color="auto"/>
        <w:left w:val="none" w:sz="0" w:space="0" w:color="auto"/>
        <w:bottom w:val="none" w:sz="0" w:space="0" w:color="auto"/>
        <w:right w:val="none" w:sz="0" w:space="0" w:color="auto"/>
      </w:divBdr>
    </w:div>
    <w:div w:id="190536669">
      <w:bodyDiv w:val="1"/>
      <w:marLeft w:val="0"/>
      <w:marRight w:val="0"/>
      <w:marTop w:val="0"/>
      <w:marBottom w:val="0"/>
      <w:divBdr>
        <w:top w:val="none" w:sz="0" w:space="0" w:color="auto"/>
        <w:left w:val="none" w:sz="0" w:space="0" w:color="auto"/>
        <w:bottom w:val="none" w:sz="0" w:space="0" w:color="auto"/>
        <w:right w:val="none" w:sz="0" w:space="0" w:color="auto"/>
      </w:divBdr>
    </w:div>
    <w:div w:id="191504872">
      <w:bodyDiv w:val="1"/>
      <w:marLeft w:val="0"/>
      <w:marRight w:val="0"/>
      <w:marTop w:val="0"/>
      <w:marBottom w:val="0"/>
      <w:divBdr>
        <w:top w:val="none" w:sz="0" w:space="0" w:color="auto"/>
        <w:left w:val="none" w:sz="0" w:space="0" w:color="auto"/>
        <w:bottom w:val="none" w:sz="0" w:space="0" w:color="auto"/>
        <w:right w:val="none" w:sz="0" w:space="0" w:color="auto"/>
      </w:divBdr>
    </w:div>
    <w:div w:id="200752980">
      <w:bodyDiv w:val="1"/>
      <w:marLeft w:val="0"/>
      <w:marRight w:val="0"/>
      <w:marTop w:val="0"/>
      <w:marBottom w:val="0"/>
      <w:divBdr>
        <w:top w:val="none" w:sz="0" w:space="0" w:color="auto"/>
        <w:left w:val="none" w:sz="0" w:space="0" w:color="auto"/>
        <w:bottom w:val="none" w:sz="0" w:space="0" w:color="auto"/>
        <w:right w:val="none" w:sz="0" w:space="0" w:color="auto"/>
      </w:divBdr>
    </w:div>
    <w:div w:id="209340973">
      <w:bodyDiv w:val="1"/>
      <w:marLeft w:val="0"/>
      <w:marRight w:val="0"/>
      <w:marTop w:val="0"/>
      <w:marBottom w:val="0"/>
      <w:divBdr>
        <w:top w:val="none" w:sz="0" w:space="0" w:color="auto"/>
        <w:left w:val="none" w:sz="0" w:space="0" w:color="auto"/>
        <w:bottom w:val="none" w:sz="0" w:space="0" w:color="auto"/>
        <w:right w:val="none" w:sz="0" w:space="0" w:color="auto"/>
      </w:divBdr>
    </w:div>
    <w:div w:id="210191876">
      <w:bodyDiv w:val="1"/>
      <w:marLeft w:val="0"/>
      <w:marRight w:val="0"/>
      <w:marTop w:val="0"/>
      <w:marBottom w:val="0"/>
      <w:divBdr>
        <w:top w:val="none" w:sz="0" w:space="0" w:color="auto"/>
        <w:left w:val="none" w:sz="0" w:space="0" w:color="auto"/>
        <w:bottom w:val="none" w:sz="0" w:space="0" w:color="auto"/>
        <w:right w:val="none" w:sz="0" w:space="0" w:color="auto"/>
      </w:divBdr>
    </w:div>
    <w:div w:id="217475205">
      <w:bodyDiv w:val="1"/>
      <w:marLeft w:val="0"/>
      <w:marRight w:val="0"/>
      <w:marTop w:val="0"/>
      <w:marBottom w:val="0"/>
      <w:divBdr>
        <w:top w:val="none" w:sz="0" w:space="0" w:color="auto"/>
        <w:left w:val="none" w:sz="0" w:space="0" w:color="auto"/>
        <w:bottom w:val="none" w:sz="0" w:space="0" w:color="auto"/>
        <w:right w:val="none" w:sz="0" w:space="0" w:color="auto"/>
      </w:divBdr>
    </w:div>
    <w:div w:id="220286261">
      <w:bodyDiv w:val="1"/>
      <w:marLeft w:val="0"/>
      <w:marRight w:val="0"/>
      <w:marTop w:val="0"/>
      <w:marBottom w:val="0"/>
      <w:divBdr>
        <w:top w:val="none" w:sz="0" w:space="0" w:color="auto"/>
        <w:left w:val="none" w:sz="0" w:space="0" w:color="auto"/>
        <w:bottom w:val="none" w:sz="0" w:space="0" w:color="auto"/>
        <w:right w:val="none" w:sz="0" w:space="0" w:color="auto"/>
      </w:divBdr>
    </w:div>
    <w:div w:id="226958912">
      <w:bodyDiv w:val="1"/>
      <w:marLeft w:val="0"/>
      <w:marRight w:val="0"/>
      <w:marTop w:val="0"/>
      <w:marBottom w:val="0"/>
      <w:divBdr>
        <w:top w:val="none" w:sz="0" w:space="0" w:color="auto"/>
        <w:left w:val="none" w:sz="0" w:space="0" w:color="auto"/>
        <w:bottom w:val="none" w:sz="0" w:space="0" w:color="auto"/>
        <w:right w:val="none" w:sz="0" w:space="0" w:color="auto"/>
      </w:divBdr>
    </w:div>
    <w:div w:id="235553425">
      <w:bodyDiv w:val="1"/>
      <w:marLeft w:val="0"/>
      <w:marRight w:val="0"/>
      <w:marTop w:val="0"/>
      <w:marBottom w:val="0"/>
      <w:divBdr>
        <w:top w:val="none" w:sz="0" w:space="0" w:color="auto"/>
        <w:left w:val="none" w:sz="0" w:space="0" w:color="auto"/>
        <w:bottom w:val="none" w:sz="0" w:space="0" w:color="auto"/>
        <w:right w:val="none" w:sz="0" w:space="0" w:color="auto"/>
      </w:divBdr>
    </w:div>
    <w:div w:id="235630930">
      <w:bodyDiv w:val="1"/>
      <w:marLeft w:val="0"/>
      <w:marRight w:val="0"/>
      <w:marTop w:val="0"/>
      <w:marBottom w:val="0"/>
      <w:divBdr>
        <w:top w:val="none" w:sz="0" w:space="0" w:color="auto"/>
        <w:left w:val="none" w:sz="0" w:space="0" w:color="auto"/>
        <w:bottom w:val="none" w:sz="0" w:space="0" w:color="auto"/>
        <w:right w:val="none" w:sz="0" w:space="0" w:color="auto"/>
      </w:divBdr>
    </w:div>
    <w:div w:id="241917676">
      <w:bodyDiv w:val="1"/>
      <w:marLeft w:val="0"/>
      <w:marRight w:val="0"/>
      <w:marTop w:val="0"/>
      <w:marBottom w:val="0"/>
      <w:divBdr>
        <w:top w:val="none" w:sz="0" w:space="0" w:color="auto"/>
        <w:left w:val="none" w:sz="0" w:space="0" w:color="auto"/>
        <w:bottom w:val="none" w:sz="0" w:space="0" w:color="auto"/>
        <w:right w:val="none" w:sz="0" w:space="0" w:color="auto"/>
      </w:divBdr>
    </w:div>
    <w:div w:id="242761815">
      <w:bodyDiv w:val="1"/>
      <w:marLeft w:val="0"/>
      <w:marRight w:val="0"/>
      <w:marTop w:val="0"/>
      <w:marBottom w:val="0"/>
      <w:divBdr>
        <w:top w:val="none" w:sz="0" w:space="0" w:color="auto"/>
        <w:left w:val="none" w:sz="0" w:space="0" w:color="auto"/>
        <w:bottom w:val="none" w:sz="0" w:space="0" w:color="auto"/>
        <w:right w:val="none" w:sz="0" w:space="0" w:color="auto"/>
      </w:divBdr>
    </w:div>
    <w:div w:id="247352396">
      <w:bodyDiv w:val="1"/>
      <w:marLeft w:val="0"/>
      <w:marRight w:val="0"/>
      <w:marTop w:val="0"/>
      <w:marBottom w:val="0"/>
      <w:divBdr>
        <w:top w:val="none" w:sz="0" w:space="0" w:color="auto"/>
        <w:left w:val="none" w:sz="0" w:space="0" w:color="auto"/>
        <w:bottom w:val="none" w:sz="0" w:space="0" w:color="auto"/>
        <w:right w:val="none" w:sz="0" w:space="0" w:color="auto"/>
      </w:divBdr>
    </w:div>
    <w:div w:id="253127541">
      <w:bodyDiv w:val="1"/>
      <w:marLeft w:val="0"/>
      <w:marRight w:val="0"/>
      <w:marTop w:val="0"/>
      <w:marBottom w:val="0"/>
      <w:divBdr>
        <w:top w:val="none" w:sz="0" w:space="0" w:color="auto"/>
        <w:left w:val="none" w:sz="0" w:space="0" w:color="auto"/>
        <w:bottom w:val="none" w:sz="0" w:space="0" w:color="auto"/>
        <w:right w:val="none" w:sz="0" w:space="0" w:color="auto"/>
      </w:divBdr>
    </w:div>
    <w:div w:id="257375018">
      <w:bodyDiv w:val="1"/>
      <w:marLeft w:val="0"/>
      <w:marRight w:val="0"/>
      <w:marTop w:val="0"/>
      <w:marBottom w:val="0"/>
      <w:divBdr>
        <w:top w:val="none" w:sz="0" w:space="0" w:color="auto"/>
        <w:left w:val="none" w:sz="0" w:space="0" w:color="auto"/>
        <w:bottom w:val="none" w:sz="0" w:space="0" w:color="auto"/>
        <w:right w:val="none" w:sz="0" w:space="0" w:color="auto"/>
      </w:divBdr>
    </w:div>
    <w:div w:id="260263118">
      <w:bodyDiv w:val="1"/>
      <w:marLeft w:val="0"/>
      <w:marRight w:val="0"/>
      <w:marTop w:val="0"/>
      <w:marBottom w:val="0"/>
      <w:divBdr>
        <w:top w:val="none" w:sz="0" w:space="0" w:color="auto"/>
        <w:left w:val="none" w:sz="0" w:space="0" w:color="auto"/>
        <w:bottom w:val="none" w:sz="0" w:space="0" w:color="auto"/>
        <w:right w:val="none" w:sz="0" w:space="0" w:color="auto"/>
      </w:divBdr>
    </w:div>
    <w:div w:id="262499184">
      <w:bodyDiv w:val="1"/>
      <w:marLeft w:val="0"/>
      <w:marRight w:val="0"/>
      <w:marTop w:val="0"/>
      <w:marBottom w:val="0"/>
      <w:divBdr>
        <w:top w:val="none" w:sz="0" w:space="0" w:color="auto"/>
        <w:left w:val="none" w:sz="0" w:space="0" w:color="auto"/>
        <w:bottom w:val="none" w:sz="0" w:space="0" w:color="auto"/>
        <w:right w:val="none" w:sz="0" w:space="0" w:color="auto"/>
      </w:divBdr>
    </w:div>
    <w:div w:id="266086318">
      <w:bodyDiv w:val="1"/>
      <w:marLeft w:val="0"/>
      <w:marRight w:val="0"/>
      <w:marTop w:val="0"/>
      <w:marBottom w:val="0"/>
      <w:divBdr>
        <w:top w:val="none" w:sz="0" w:space="0" w:color="auto"/>
        <w:left w:val="none" w:sz="0" w:space="0" w:color="auto"/>
        <w:bottom w:val="none" w:sz="0" w:space="0" w:color="auto"/>
        <w:right w:val="none" w:sz="0" w:space="0" w:color="auto"/>
      </w:divBdr>
    </w:div>
    <w:div w:id="273445766">
      <w:bodyDiv w:val="1"/>
      <w:marLeft w:val="0"/>
      <w:marRight w:val="0"/>
      <w:marTop w:val="0"/>
      <w:marBottom w:val="0"/>
      <w:divBdr>
        <w:top w:val="none" w:sz="0" w:space="0" w:color="auto"/>
        <w:left w:val="none" w:sz="0" w:space="0" w:color="auto"/>
        <w:bottom w:val="none" w:sz="0" w:space="0" w:color="auto"/>
        <w:right w:val="none" w:sz="0" w:space="0" w:color="auto"/>
      </w:divBdr>
    </w:div>
    <w:div w:id="275523220">
      <w:bodyDiv w:val="1"/>
      <w:marLeft w:val="0"/>
      <w:marRight w:val="0"/>
      <w:marTop w:val="0"/>
      <w:marBottom w:val="0"/>
      <w:divBdr>
        <w:top w:val="none" w:sz="0" w:space="0" w:color="auto"/>
        <w:left w:val="none" w:sz="0" w:space="0" w:color="auto"/>
        <w:bottom w:val="none" w:sz="0" w:space="0" w:color="auto"/>
        <w:right w:val="none" w:sz="0" w:space="0" w:color="auto"/>
      </w:divBdr>
    </w:div>
    <w:div w:id="277876316">
      <w:bodyDiv w:val="1"/>
      <w:marLeft w:val="0"/>
      <w:marRight w:val="0"/>
      <w:marTop w:val="0"/>
      <w:marBottom w:val="0"/>
      <w:divBdr>
        <w:top w:val="none" w:sz="0" w:space="0" w:color="auto"/>
        <w:left w:val="none" w:sz="0" w:space="0" w:color="auto"/>
        <w:bottom w:val="none" w:sz="0" w:space="0" w:color="auto"/>
        <w:right w:val="none" w:sz="0" w:space="0" w:color="auto"/>
      </w:divBdr>
    </w:div>
    <w:div w:id="279999824">
      <w:bodyDiv w:val="1"/>
      <w:marLeft w:val="0"/>
      <w:marRight w:val="0"/>
      <w:marTop w:val="0"/>
      <w:marBottom w:val="0"/>
      <w:divBdr>
        <w:top w:val="none" w:sz="0" w:space="0" w:color="auto"/>
        <w:left w:val="none" w:sz="0" w:space="0" w:color="auto"/>
        <w:bottom w:val="none" w:sz="0" w:space="0" w:color="auto"/>
        <w:right w:val="none" w:sz="0" w:space="0" w:color="auto"/>
      </w:divBdr>
    </w:div>
    <w:div w:id="280887584">
      <w:bodyDiv w:val="1"/>
      <w:marLeft w:val="0"/>
      <w:marRight w:val="0"/>
      <w:marTop w:val="0"/>
      <w:marBottom w:val="0"/>
      <w:divBdr>
        <w:top w:val="none" w:sz="0" w:space="0" w:color="auto"/>
        <w:left w:val="none" w:sz="0" w:space="0" w:color="auto"/>
        <w:bottom w:val="none" w:sz="0" w:space="0" w:color="auto"/>
        <w:right w:val="none" w:sz="0" w:space="0" w:color="auto"/>
      </w:divBdr>
    </w:div>
    <w:div w:id="281544199">
      <w:bodyDiv w:val="1"/>
      <w:marLeft w:val="0"/>
      <w:marRight w:val="0"/>
      <w:marTop w:val="0"/>
      <w:marBottom w:val="0"/>
      <w:divBdr>
        <w:top w:val="none" w:sz="0" w:space="0" w:color="auto"/>
        <w:left w:val="none" w:sz="0" w:space="0" w:color="auto"/>
        <w:bottom w:val="none" w:sz="0" w:space="0" w:color="auto"/>
        <w:right w:val="none" w:sz="0" w:space="0" w:color="auto"/>
      </w:divBdr>
    </w:div>
    <w:div w:id="288438631">
      <w:bodyDiv w:val="1"/>
      <w:marLeft w:val="0"/>
      <w:marRight w:val="0"/>
      <w:marTop w:val="0"/>
      <w:marBottom w:val="0"/>
      <w:divBdr>
        <w:top w:val="none" w:sz="0" w:space="0" w:color="auto"/>
        <w:left w:val="none" w:sz="0" w:space="0" w:color="auto"/>
        <w:bottom w:val="none" w:sz="0" w:space="0" w:color="auto"/>
        <w:right w:val="none" w:sz="0" w:space="0" w:color="auto"/>
      </w:divBdr>
    </w:div>
    <w:div w:id="297758674">
      <w:bodyDiv w:val="1"/>
      <w:marLeft w:val="0"/>
      <w:marRight w:val="0"/>
      <w:marTop w:val="0"/>
      <w:marBottom w:val="0"/>
      <w:divBdr>
        <w:top w:val="none" w:sz="0" w:space="0" w:color="auto"/>
        <w:left w:val="none" w:sz="0" w:space="0" w:color="auto"/>
        <w:bottom w:val="none" w:sz="0" w:space="0" w:color="auto"/>
        <w:right w:val="none" w:sz="0" w:space="0" w:color="auto"/>
      </w:divBdr>
    </w:div>
    <w:div w:id="302121388">
      <w:bodyDiv w:val="1"/>
      <w:marLeft w:val="0"/>
      <w:marRight w:val="0"/>
      <w:marTop w:val="0"/>
      <w:marBottom w:val="0"/>
      <w:divBdr>
        <w:top w:val="none" w:sz="0" w:space="0" w:color="auto"/>
        <w:left w:val="none" w:sz="0" w:space="0" w:color="auto"/>
        <w:bottom w:val="none" w:sz="0" w:space="0" w:color="auto"/>
        <w:right w:val="none" w:sz="0" w:space="0" w:color="auto"/>
      </w:divBdr>
    </w:div>
    <w:div w:id="309674003">
      <w:bodyDiv w:val="1"/>
      <w:marLeft w:val="0"/>
      <w:marRight w:val="0"/>
      <w:marTop w:val="0"/>
      <w:marBottom w:val="0"/>
      <w:divBdr>
        <w:top w:val="none" w:sz="0" w:space="0" w:color="auto"/>
        <w:left w:val="none" w:sz="0" w:space="0" w:color="auto"/>
        <w:bottom w:val="none" w:sz="0" w:space="0" w:color="auto"/>
        <w:right w:val="none" w:sz="0" w:space="0" w:color="auto"/>
      </w:divBdr>
    </w:div>
    <w:div w:id="311636527">
      <w:bodyDiv w:val="1"/>
      <w:marLeft w:val="0"/>
      <w:marRight w:val="0"/>
      <w:marTop w:val="0"/>
      <w:marBottom w:val="0"/>
      <w:divBdr>
        <w:top w:val="none" w:sz="0" w:space="0" w:color="auto"/>
        <w:left w:val="none" w:sz="0" w:space="0" w:color="auto"/>
        <w:bottom w:val="none" w:sz="0" w:space="0" w:color="auto"/>
        <w:right w:val="none" w:sz="0" w:space="0" w:color="auto"/>
      </w:divBdr>
    </w:div>
    <w:div w:id="312031226">
      <w:bodyDiv w:val="1"/>
      <w:marLeft w:val="0"/>
      <w:marRight w:val="0"/>
      <w:marTop w:val="0"/>
      <w:marBottom w:val="0"/>
      <w:divBdr>
        <w:top w:val="none" w:sz="0" w:space="0" w:color="auto"/>
        <w:left w:val="none" w:sz="0" w:space="0" w:color="auto"/>
        <w:bottom w:val="none" w:sz="0" w:space="0" w:color="auto"/>
        <w:right w:val="none" w:sz="0" w:space="0" w:color="auto"/>
      </w:divBdr>
    </w:div>
    <w:div w:id="326831225">
      <w:bodyDiv w:val="1"/>
      <w:marLeft w:val="0"/>
      <w:marRight w:val="0"/>
      <w:marTop w:val="0"/>
      <w:marBottom w:val="0"/>
      <w:divBdr>
        <w:top w:val="none" w:sz="0" w:space="0" w:color="auto"/>
        <w:left w:val="none" w:sz="0" w:space="0" w:color="auto"/>
        <w:bottom w:val="none" w:sz="0" w:space="0" w:color="auto"/>
        <w:right w:val="none" w:sz="0" w:space="0" w:color="auto"/>
      </w:divBdr>
    </w:div>
    <w:div w:id="327484896">
      <w:bodyDiv w:val="1"/>
      <w:marLeft w:val="0"/>
      <w:marRight w:val="0"/>
      <w:marTop w:val="0"/>
      <w:marBottom w:val="0"/>
      <w:divBdr>
        <w:top w:val="none" w:sz="0" w:space="0" w:color="auto"/>
        <w:left w:val="none" w:sz="0" w:space="0" w:color="auto"/>
        <w:bottom w:val="none" w:sz="0" w:space="0" w:color="auto"/>
        <w:right w:val="none" w:sz="0" w:space="0" w:color="auto"/>
      </w:divBdr>
    </w:div>
    <w:div w:id="356810716">
      <w:bodyDiv w:val="1"/>
      <w:marLeft w:val="0"/>
      <w:marRight w:val="0"/>
      <w:marTop w:val="0"/>
      <w:marBottom w:val="0"/>
      <w:divBdr>
        <w:top w:val="none" w:sz="0" w:space="0" w:color="auto"/>
        <w:left w:val="none" w:sz="0" w:space="0" w:color="auto"/>
        <w:bottom w:val="none" w:sz="0" w:space="0" w:color="auto"/>
        <w:right w:val="none" w:sz="0" w:space="0" w:color="auto"/>
      </w:divBdr>
      <w:divsChild>
        <w:div w:id="444925452">
          <w:marLeft w:val="0"/>
          <w:marRight w:val="0"/>
          <w:marTop w:val="138"/>
          <w:marBottom w:val="0"/>
          <w:divBdr>
            <w:top w:val="none" w:sz="0" w:space="0" w:color="auto"/>
            <w:left w:val="none" w:sz="0" w:space="0" w:color="auto"/>
            <w:bottom w:val="none" w:sz="0" w:space="0" w:color="auto"/>
            <w:right w:val="none" w:sz="0" w:space="0" w:color="auto"/>
          </w:divBdr>
          <w:divsChild>
            <w:div w:id="423234084">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 w:id="359279821">
      <w:bodyDiv w:val="1"/>
      <w:marLeft w:val="0"/>
      <w:marRight w:val="0"/>
      <w:marTop w:val="0"/>
      <w:marBottom w:val="0"/>
      <w:divBdr>
        <w:top w:val="none" w:sz="0" w:space="0" w:color="auto"/>
        <w:left w:val="none" w:sz="0" w:space="0" w:color="auto"/>
        <w:bottom w:val="none" w:sz="0" w:space="0" w:color="auto"/>
        <w:right w:val="none" w:sz="0" w:space="0" w:color="auto"/>
      </w:divBdr>
    </w:div>
    <w:div w:id="363870248">
      <w:bodyDiv w:val="1"/>
      <w:marLeft w:val="0"/>
      <w:marRight w:val="0"/>
      <w:marTop w:val="0"/>
      <w:marBottom w:val="0"/>
      <w:divBdr>
        <w:top w:val="none" w:sz="0" w:space="0" w:color="auto"/>
        <w:left w:val="none" w:sz="0" w:space="0" w:color="auto"/>
        <w:bottom w:val="none" w:sz="0" w:space="0" w:color="auto"/>
        <w:right w:val="none" w:sz="0" w:space="0" w:color="auto"/>
      </w:divBdr>
    </w:div>
    <w:div w:id="365058758">
      <w:bodyDiv w:val="1"/>
      <w:marLeft w:val="0"/>
      <w:marRight w:val="0"/>
      <w:marTop w:val="0"/>
      <w:marBottom w:val="0"/>
      <w:divBdr>
        <w:top w:val="none" w:sz="0" w:space="0" w:color="auto"/>
        <w:left w:val="none" w:sz="0" w:space="0" w:color="auto"/>
        <w:bottom w:val="none" w:sz="0" w:space="0" w:color="auto"/>
        <w:right w:val="none" w:sz="0" w:space="0" w:color="auto"/>
      </w:divBdr>
    </w:div>
    <w:div w:id="366567615">
      <w:bodyDiv w:val="1"/>
      <w:marLeft w:val="0"/>
      <w:marRight w:val="0"/>
      <w:marTop w:val="0"/>
      <w:marBottom w:val="0"/>
      <w:divBdr>
        <w:top w:val="none" w:sz="0" w:space="0" w:color="auto"/>
        <w:left w:val="none" w:sz="0" w:space="0" w:color="auto"/>
        <w:bottom w:val="none" w:sz="0" w:space="0" w:color="auto"/>
        <w:right w:val="none" w:sz="0" w:space="0" w:color="auto"/>
      </w:divBdr>
    </w:div>
    <w:div w:id="367143036">
      <w:bodyDiv w:val="1"/>
      <w:marLeft w:val="0"/>
      <w:marRight w:val="0"/>
      <w:marTop w:val="0"/>
      <w:marBottom w:val="0"/>
      <w:divBdr>
        <w:top w:val="none" w:sz="0" w:space="0" w:color="auto"/>
        <w:left w:val="none" w:sz="0" w:space="0" w:color="auto"/>
        <w:bottom w:val="none" w:sz="0" w:space="0" w:color="auto"/>
        <w:right w:val="none" w:sz="0" w:space="0" w:color="auto"/>
      </w:divBdr>
    </w:div>
    <w:div w:id="384452823">
      <w:bodyDiv w:val="1"/>
      <w:marLeft w:val="0"/>
      <w:marRight w:val="0"/>
      <w:marTop w:val="0"/>
      <w:marBottom w:val="0"/>
      <w:divBdr>
        <w:top w:val="none" w:sz="0" w:space="0" w:color="auto"/>
        <w:left w:val="none" w:sz="0" w:space="0" w:color="auto"/>
        <w:bottom w:val="none" w:sz="0" w:space="0" w:color="auto"/>
        <w:right w:val="none" w:sz="0" w:space="0" w:color="auto"/>
      </w:divBdr>
    </w:div>
    <w:div w:id="385422655">
      <w:bodyDiv w:val="1"/>
      <w:marLeft w:val="0"/>
      <w:marRight w:val="0"/>
      <w:marTop w:val="0"/>
      <w:marBottom w:val="0"/>
      <w:divBdr>
        <w:top w:val="none" w:sz="0" w:space="0" w:color="auto"/>
        <w:left w:val="none" w:sz="0" w:space="0" w:color="auto"/>
        <w:bottom w:val="none" w:sz="0" w:space="0" w:color="auto"/>
        <w:right w:val="none" w:sz="0" w:space="0" w:color="auto"/>
      </w:divBdr>
    </w:div>
    <w:div w:id="395712215">
      <w:bodyDiv w:val="1"/>
      <w:marLeft w:val="0"/>
      <w:marRight w:val="0"/>
      <w:marTop w:val="0"/>
      <w:marBottom w:val="0"/>
      <w:divBdr>
        <w:top w:val="none" w:sz="0" w:space="0" w:color="auto"/>
        <w:left w:val="none" w:sz="0" w:space="0" w:color="auto"/>
        <w:bottom w:val="none" w:sz="0" w:space="0" w:color="auto"/>
        <w:right w:val="none" w:sz="0" w:space="0" w:color="auto"/>
      </w:divBdr>
    </w:div>
    <w:div w:id="401417451">
      <w:bodyDiv w:val="1"/>
      <w:marLeft w:val="0"/>
      <w:marRight w:val="0"/>
      <w:marTop w:val="0"/>
      <w:marBottom w:val="0"/>
      <w:divBdr>
        <w:top w:val="none" w:sz="0" w:space="0" w:color="auto"/>
        <w:left w:val="none" w:sz="0" w:space="0" w:color="auto"/>
        <w:bottom w:val="none" w:sz="0" w:space="0" w:color="auto"/>
        <w:right w:val="none" w:sz="0" w:space="0" w:color="auto"/>
      </w:divBdr>
    </w:div>
    <w:div w:id="401634800">
      <w:bodyDiv w:val="1"/>
      <w:marLeft w:val="0"/>
      <w:marRight w:val="0"/>
      <w:marTop w:val="0"/>
      <w:marBottom w:val="0"/>
      <w:divBdr>
        <w:top w:val="none" w:sz="0" w:space="0" w:color="auto"/>
        <w:left w:val="none" w:sz="0" w:space="0" w:color="auto"/>
        <w:bottom w:val="none" w:sz="0" w:space="0" w:color="auto"/>
        <w:right w:val="none" w:sz="0" w:space="0" w:color="auto"/>
      </w:divBdr>
    </w:div>
    <w:div w:id="402529871">
      <w:bodyDiv w:val="1"/>
      <w:marLeft w:val="0"/>
      <w:marRight w:val="0"/>
      <w:marTop w:val="0"/>
      <w:marBottom w:val="0"/>
      <w:divBdr>
        <w:top w:val="none" w:sz="0" w:space="0" w:color="auto"/>
        <w:left w:val="none" w:sz="0" w:space="0" w:color="auto"/>
        <w:bottom w:val="none" w:sz="0" w:space="0" w:color="auto"/>
        <w:right w:val="none" w:sz="0" w:space="0" w:color="auto"/>
      </w:divBdr>
    </w:div>
    <w:div w:id="407389165">
      <w:bodyDiv w:val="1"/>
      <w:marLeft w:val="0"/>
      <w:marRight w:val="0"/>
      <w:marTop w:val="0"/>
      <w:marBottom w:val="0"/>
      <w:divBdr>
        <w:top w:val="none" w:sz="0" w:space="0" w:color="auto"/>
        <w:left w:val="none" w:sz="0" w:space="0" w:color="auto"/>
        <w:bottom w:val="none" w:sz="0" w:space="0" w:color="auto"/>
        <w:right w:val="none" w:sz="0" w:space="0" w:color="auto"/>
      </w:divBdr>
    </w:div>
    <w:div w:id="413091180">
      <w:bodyDiv w:val="1"/>
      <w:marLeft w:val="0"/>
      <w:marRight w:val="0"/>
      <w:marTop w:val="0"/>
      <w:marBottom w:val="0"/>
      <w:divBdr>
        <w:top w:val="none" w:sz="0" w:space="0" w:color="auto"/>
        <w:left w:val="none" w:sz="0" w:space="0" w:color="auto"/>
        <w:bottom w:val="none" w:sz="0" w:space="0" w:color="auto"/>
        <w:right w:val="none" w:sz="0" w:space="0" w:color="auto"/>
      </w:divBdr>
    </w:div>
    <w:div w:id="422531507">
      <w:bodyDiv w:val="1"/>
      <w:marLeft w:val="0"/>
      <w:marRight w:val="0"/>
      <w:marTop w:val="0"/>
      <w:marBottom w:val="0"/>
      <w:divBdr>
        <w:top w:val="none" w:sz="0" w:space="0" w:color="auto"/>
        <w:left w:val="none" w:sz="0" w:space="0" w:color="auto"/>
        <w:bottom w:val="none" w:sz="0" w:space="0" w:color="auto"/>
        <w:right w:val="none" w:sz="0" w:space="0" w:color="auto"/>
      </w:divBdr>
    </w:div>
    <w:div w:id="423649414">
      <w:bodyDiv w:val="1"/>
      <w:marLeft w:val="0"/>
      <w:marRight w:val="0"/>
      <w:marTop w:val="0"/>
      <w:marBottom w:val="0"/>
      <w:divBdr>
        <w:top w:val="none" w:sz="0" w:space="0" w:color="auto"/>
        <w:left w:val="none" w:sz="0" w:space="0" w:color="auto"/>
        <w:bottom w:val="none" w:sz="0" w:space="0" w:color="auto"/>
        <w:right w:val="none" w:sz="0" w:space="0" w:color="auto"/>
      </w:divBdr>
    </w:div>
    <w:div w:id="424813148">
      <w:bodyDiv w:val="1"/>
      <w:marLeft w:val="0"/>
      <w:marRight w:val="0"/>
      <w:marTop w:val="0"/>
      <w:marBottom w:val="0"/>
      <w:divBdr>
        <w:top w:val="none" w:sz="0" w:space="0" w:color="auto"/>
        <w:left w:val="none" w:sz="0" w:space="0" w:color="auto"/>
        <w:bottom w:val="none" w:sz="0" w:space="0" w:color="auto"/>
        <w:right w:val="none" w:sz="0" w:space="0" w:color="auto"/>
      </w:divBdr>
    </w:div>
    <w:div w:id="426385376">
      <w:bodyDiv w:val="1"/>
      <w:marLeft w:val="0"/>
      <w:marRight w:val="0"/>
      <w:marTop w:val="0"/>
      <w:marBottom w:val="0"/>
      <w:divBdr>
        <w:top w:val="none" w:sz="0" w:space="0" w:color="auto"/>
        <w:left w:val="none" w:sz="0" w:space="0" w:color="auto"/>
        <w:bottom w:val="none" w:sz="0" w:space="0" w:color="auto"/>
        <w:right w:val="none" w:sz="0" w:space="0" w:color="auto"/>
      </w:divBdr>
    </w:div>
    <w:div w:id="426509833">
      <w:bodyDiv w:val="1"/>
      <w:marLeft w:val="0"/>
      <w:marRight w:val="0"/>
      <w:marTop w:val="0"/>
      <w:marBottom w:val="0"/>
      <w:divBdr>
        <w:top w:val="none" w:sz="0" w:space="0" w:color="auto"/>
        <w:left w:val="none" w:sz="0" w:space="0" w:color="auto"/>
        <w:bottom w:val="none" w:sz="0" w:space="0" w:color="auto"/>
        <w:right w:val="none" w:sz="0" w:space="0" w:color="auto"/>
      </w:divBdr>
    </w:div>
    <w:div w:id="428160405">
      <w:bodyDiv w:val="1"/>
      <w:marLeft w:val="0"/>
      <w:marRight w:val="0"/>
      <w:marTop w:val="0"/>
      <w:marBottom w:val="0"/>
      <w:divBdr>
        <w:top w:val="none" w:sz="0" w:space="0" w:color="auto"/>
        <w:left w:val="none" w:sz="0" w:space="0" w:color="auto"/>
        <w:bottom w:val="none" w:sz="0" w:space="0" w:color="auto"/>
        <w:right w:val="none" w:sz="0" w:space="0" w:color="auto"/>
      </w:divBdr>
    </w:div>
    <w:div w:id="428282341">
      <w:bodyDiv w:val="1"/>
      <w:marLeft w:val="0"/>
      <w:marRight w:val="0"/>
      <w:marTop w:val="0"/>
      <w:marBottom w:val="0"/>
      <w:divBdr>
        <w:top w:val="none" w:sz="0" w:space="0" w:color="auto"/>
        <w:left w:val="none" w:sz="0" w:space="0" w:color="auto"/>
        <w:bottom w:val="none" w:sz="0" w:space="0" w:color="auto"/>
        <w:right w:val="none" w:sz="0" w:space="0" w:color="auto"/>
      </w:divBdr>
    </w:div>
    <w:div w:id="443961386">
      <w:bodyDiv w:val="1"/>
      <w:marLeft w:val="0"/>
      <w:marRight w:val="0"/>
      <w:marTop w:val="0"/>
      <w:marBottom w:val="0"/>
      <w:divBdr>
        <w:top w:val="none" w:sz="0" w:space="0" w:color="auto"/>
        <w:left w:val="none" w:sz="0" w:space="0" w:color="auto"/>
        <w:bottom w:val="none" w:sz="0" w:space="0" w:color="auto"/>
        <w:right w:val="none" w:sz="0" w:space="0" w:color="auto"/>
      </w:divBdr>
    </w:div>
    <w:div w:id="446319364">
      <w:bodyDiv w:val="1"/>
      <w:marLeft w:val="0"/>
      <w:marRight w:val="0"/>
      <w:marTop w:val="0"/>
      <w:marBottom w:val="0"/>
      <w:divBdr>
        <w:top w:val="none" w:sz="0" w:space="0" w:color="auto"/>
        <w:left w:val="none" w:sz="0" w:space="0" w:color="auto"/>
        <w:bottom w:val="none" w:sz="0" w:space="0" w:color="auto"/>
        <w:right w:val="none" w:sz="0" w:space="0" w:color="auto"/>
      </w:divBdr>
    </w:div>
    <w:div w:id="454643372">
      <w:bodyDiv w:val="1"/>
      <w:marLeft w:val="0"/>
      <w:marRight w:val="0"/>
      <w:marTop w:val="0"/>
      <w:marBottom w:val="0"/>
      <w:divBdr>
        <w:top w:val="none" w:sz="0" w:space="0" w:color="auto"/>
        <w:left w:val="none" w:sz="0" w:space="0" w:color="auto"/>
        <w:bottom w:val="none" w:sz="0" w:space="0" w:color="auto"/>
        <w:right w:val="none" w:sz="0" w:space="0" w:color="auto"/>
      </w:divBdr>
    </w:div>
    <w:div w:id="470484787">
      <w:bodyDiv w:val="1"/>
      <w:marLeft w:val="0"/>
      <w:marRight w:val="0"/>
      <w:marTop w:val="0"/>
      <w:marBottom w:val="0"/>
      <w:divBdr>
        <w:top w:val="none" w:sz="0" w:space="0" w:color="auto"/>
        <w:left w:val="none" w:sz="0" w:space="0" w:color="auto"/>
        <w:bottom w:val="none" w:sz="0" w:space="0" w:color="auto"/>
        <w:right w:val="none" w:sz="0" w:space="0" w:color="auto"/>
      </w:divBdr>
    </w:div>
    <w:div w:id="484249685">
      <w:bodyDiv w:val="1"/>
      <w:marLeft w:val="0"/>
      <w:marRight w:val="0"/>
      <w:marTop w:val="0"/>
      <w:marBottom w:val="0"/>
      <w:divBdr>
        <w:top w:val="none" w:sz="0" w:space="0" w:color="auto"/>
        <w:left w:val="none" w:sz="0" w:space="0" w:color="auto"/>
        <w:bottom w:val="none" w:sz="0" w:space="0" w:color="auto"/>
        <w:right w:val="none" w:sz="0" w:space="0" w:color="auto"/>
      </w:divBdr>
    </w:div>
    <w:div w:id="492113292">
      <w:bodyDiv w:val="1"/>
      <w:marLeft w:val="0"/>
      <w:marRight w:val="0"/>
      <w:marTop w:val="0"/>
      <w:marBottom w:val="0"/>
      <w:divBdr>
        <w:top w:val="none" w:sz="0" w:space="0" w:color="auto"/>
        <w:left w:val="none" w:sz="0" w:space="0" w:color="auto"/>
        <w:bottom w:val="none" w:sz="0" w:space="0" w:color="auto"/>
        <w:right w:val="none" w:sz="0" w:space="0" w:color="auto"/>
      </w:divBdr>
    </w:div>
    <w:div w:id="500774034">
      <w:bodyDiv w:val="1"/>
      <w:marLeft w:val="0"/>
      <w:marRight w:val="0"/>
      <w:marTop w:val="0"/>
      <w:marBottom w:val="0"/>
      <w:divBdr>
        <w:top w:val="none" w:sz="0" w:space="0" w:color="auto"/>
        <w:left w:val="none" w:sz="0" w:space="0" w:color="auto"/>
        <w:bottom w:val="none" w:sz="0" w:space="0" w:color="auto"/>
        <w:right w:val="none" w:sz="0" w:space="0" w:color="auto"/>
      </w:divBdr>
    </w:div>
    <w:div w:id="508446437">
      <w:bodyDiv w:val="1"/>
      <w:marLeft w:val="0"/>
      <w:marRight w:val="0"/>
      <w:marTop w:val="0"/>
      <w:marBottom w:val="0"/>
      <w:divBdr>
        <w:top w:val="none" w:sz="0" w:space="0" w:color="auto"/>
        <w:left w:val="none" w:sz="0" w:space="0" w:color="auto"/>
        <w:bottom w:val="none" w:sz="0" w:space="0" w:color="auto"/>
        <w:right w:val="none" w:sz="0" w:space="0" w:color="auto"/>
      </w:divBdr>
    </w:div>
    <w:div w:id="516313475">
      <w:bodyDiv w:val="1"/>
      <w:marLeft w:val="0"/>
      <w:marRight w:val="0"/>
      <w:marTop w:val="0"/>
      <w:marBottom w:val="0"/>
      <w:divBdr>
        <w:top w:val="none" w:sz="0" w:space="0" w:color="auto"/>
        <w:left w:val="none" w:sz="0" w:space="0" w:color="auto"/>
        <w:bottom w:val="none" w:sz="0" w:space="0" w:color="auto"/>
        <w:right w:val="none" w:sz="0" w:space="0" w:color="auto"/>
      </w:divBdr>
    </w:div>
    <w:div w:id="516387978">
      <w:bodyDiv w:val="1"/>
      <w:marLeft w:val="0"/>
      <w:marRight w:val="0"/>
      <w:marTop w:val="0"/>
      <w:marBottom w:val="0"/>
      <w:divBdr>
        <w:top w:val="none" w:sz="0" w:space="0" w:color="auto"/>
        <w:left w:val="none" w:sz="0" w:space="0" w:color="auto"/>
        <w:bottom w:val="none" w:sz="0" w:space="0" w:color="auto"/>
        <w:right w:val="none" w:sz="0" w:space="0" w:color="auto"/>
      </w:divBdr>
    </w:div>
    <w:div w:id="517308027">
      <w:bodyDiv w:val="1"/>
      <w:marLeft w:val="0"/>
      <w:marRight w:val="0"/>
      <w:marTop w:val="0"/>
      <w:marBottom w:val="0"/>
      <w:divBdr>
        <w:top w:val="none" w:sz="0" w:space="0" w:color="auto"/>
        <w:left w:val="none" w:sz="0" w:space="0" w:color="auto"/>
        <w:bottom w:val="none" w:sz="0" w:space="0" w:color="auto"/>
        <w:right w:val="none" w:sz="0" w:space="0" w:color="auto"/>
      </w:divBdr>
    </w:div>
    <w:div w:id="519515387">
      <w:bodyDiv w:val="1"/>
      <w:marLeft w:val="0"/>
      <w:marRight w:val="0"/>
      <w:marTop w:val="0"/>
      <w:marBottom w:val="0"/>
      <w:divBdr>
        <w:top w:val="none" w:sz="0" w:space="0" w:color="auto"/>
        <w:left w:val="none" w:sz="0" w:space="0" w:color="auto"/>
        <w:bottom w:val="none" w:sz="0" w:space="0" w:color="auto"/>
        <w:right w:val="none" w:sz="0" w:space="0" w:color="auto"/>
      </w:divBdr>
    </w:div>
    <w:div w:id="522673821">
      <w:bodyDiv w:val="1"/>
      <w:marLeft w:val="0"/>
      <w:marRight w:val="0"/>
      <w:marTop w:val="0"/>
      <w:marBottom w:val="0"/>
      <w:divBdr>
        <w:top w:val="none" w:sz="0" w:space="0" w:color="auto"/>
        <w:left w:val="none" w:sz="0" w:space="0" w:color="auto"/>
        <w:bottom w:val="none" w:sz="0" w:space="0" w:color="auto"/>
        <w:right w:val="none" w:sz="0" w:space="0" w:color="auto"/>
      </w:divBdr>
    </w:div>
    <w:div w:id="530924764">
      <w:bodyDiv w:val="1"/>
      <w:marLeft w:val="0"/>
      <w:marRight w:val="0"/>
      <w:marTop w:val="0"/>
      <w:marBottom w:val="0"/>
      <w:divBdr>
        <w:top w:val="none" w:sz="0" w:space="0" w:color="auto"/>
        <w:left w:val="none" w:sz="0" w:space="0" w:color="auto"/>
        <w:bottom w:val="none" w:sz="0" w:space="0" w:color="auto"/>
        <w:right w:val="none" w:sz="0" w:space="0" w:color="auto"/>
      </w:divBdr>
      <w:divsChild>
        <w:div w:id="1751777597">
          <w:marLeft w:val="0"/>
          <w:marRight w:val="0"/>
          <w:marTop w:val="0"/>
          <w:marBottom w:val="0"/>
          <w:divBdr>
            <w:top w:val="none" w:sz="0" w:space="0" w:color="auto"/>
            <w:left w:val="none" w:sz="0" w:space="0" w:color="auto"/>
            <w:bottom w:val="none" w:sz="0" w:space="0" w:color="auto"/>
            <w:right w:val="none" w:sz="0" w:space="0" w:color="auto"/>
          </w:divBdr>
        </w:div>
      </w:divsChild>
    </w:div>
    <w:div w:id="539052186">
      <w:bodyDiv w:val="1"/>
      <w:marLeft w:val="0"/>
      <w:marRight w:val="0"/>
      <w:marTop w:val="0"/>
      <w:marBottom w:val="0"/>
      <w:divBdr>
        <w:top w:val="none" w:sz="0" w:space="0" w:color="auto"/>
        <w:left w:val="none" w:sz="0" w:space="0" w:color="auto"/>
        <w:bottom w:val="none" w:sz="0" w:space="0" w:color="auto"/>
        <w:right w:val="none" w:sz="0" w:space="0" w:color="auto"/>
      </w:divBdr>
    </w:div>
    <w:div w:id="542133345">
      <w:bodyDiv w:val="1"/>
      <w:marLeft w:val="0"/>
      <w:marRight w:val="0"/>
      <w:marTop w:val="0"/>
      <w:marBottom w:val="0"/>
      <w:divBdr>
        <w:top w:val="none" w:sz="0" w:space="0" w:color="auto"/>
        <w:left w:val="none" w:sz="0" w:space="0" w:color="auto"/>
        <w:bottom w:val="none" w:sz="0" w:space="0" w:color="auto"/>
        <w:right w:val="none" w:sz="0" w:space="0" w:color="auto"/>
      </w:divBdr>
    </w:div>
    <w:div w:id="549414687">
      <w:bodyDiv w:val="1"/>
      <w:marLeft w:val="0"/>
      <w:marRight w:val="0"/>
      <w:marTop w:val="0"/>
      <w:marBottom w:val="0"/>
      <w:divBdr>
        <w:top w:val="none" w:sz="0" w:space="0" w:color="auto"/>
        <w:left w:val="none" w:sz="0" w:space="0" w:color="auto"/>
        <w:bottom w:val="none" w:sz="0" w:space="0" w:color="auto"/>
        <w:right w:val="none" w:sz="0" w:space="0" w:color="auto"/>
      </w:divBdr>
    </w:div>
    <w:div w:id="559481107">
      <w:bodyDiv w:val="1"/>
      <w:marLeft w:val="0"/>
      <w:marRight w:val="0"/>
      <w:marTop w:val="0"/>
      <w:marBottom w:val="0"/>
      <w:divBdr>
        <w:top w:val="none" w:sz="0" w:space="0" w:color="auto"/>
        <w:left w:val="none" w:sz="0" w:space="0" w:color="auto"/>
        <w:bottom w:val="none" w:sz="0" w:space="0" w:color="auto"/>
        <w:right w:val="none" w:sz="0" w:space="0" w:color="auto"/>
      </w:divBdr>
    </w:div>
    <w:div w:id="560751983">
      <w:bodyDiv w:val="1"/>
      <w:marLeft w:val="0"/>
      <w:marRight w:val="0"/>
      <w:marTop w:val="0"/>
      <w:marBottom w:val="0"/>
      <w:divBdr>
        <w:top w:val="none" w:sz="0" w:space="0" w:color="auto"/>
        <w:left w:val="none" w:sz="0" w:space="0" w:color="auto"/>
        <w:bottom w:val="none" w:sz="0" w:space="0" w:color="auto"/>
        <w:right w:val="none" w:sz="0" w:space="0" w:color="auto"/>
      </w:divBdr>
    </w:div>
    <w:div w:id="563876499">
      <w:bodyDiv w:val="1"/>
      <w:marLeft w:val="0"/>
      <w:marRight w:val="0"/>
      <w:marTop w:val="0"/>
      <w:marBottom w:val="0"/>
      <w:divBdr>
        <w:top w:val="none" w:sz="0" w:space="0" w:color="auto"/>
        <w:left w:val="none" w:sz="0" w:space="0" w:color="auto"/>
        <w:bottom w:val="none" w:sz="0" w:space="0" w:color="auto"/>
        <w:right w:val="none" w:sz="0" w:space="0" w:color="auto"/>
      </w:divBdr>
    </w:div>
    <w:div w:id="573513753">
      <w:bodyDiv w:val="1"/>
      <w:marLeft w:val="0"/>
      <w:marRight w:val="0"/>
      <w:marTop w:val="0"/>
      <w:marBottom w:val="0"/>
      <w:divBdr>
        <w:top w:val="none" w:sz="0" w:space="0" w:color="auto"/>
        <w:left w:val="none" w:sz="0" w:space="0" w:color="auto"/>
        <w:bottom w:val="none" w:sz="0" w:space="0" w:color="auto"/>
        <w:right w:val="none" w:sz="0" w:space="0" w:color="auto"/>
      </w:divBdr>
    </w:div>
    <w:div w:id="574707872">
      <w:bodyDiv w:val="1"/>
      <w:marLeft w:val="0"/>
      <w:marRight w:val="0"/>
      <w:marTop w:val="0"/>
      <w:marBottom w:val="0"/>
      <w:divBdr>
        <w:top w:val="none" w:sz="0" w:space="0" w:color="auto"/>
        <w:left w:val="none" w:sz="0" w:space="0" w:color="auto"/>
        <w:bottom w:val="none" w:sz="0" w:space="0" w:color="auto"/>
        <w:right w:val="none" w:sz="0" w:space="0" w:color="auto"/>
      </w:divBdr>
    </w:div>
    <w:div w:id="576399586">
      <w:bodyDiv w:val="1"/>
      <w:marLeft w:val="0"/>
      <w:marRight w:val="0"/>
      <w:marTop w:val="0"/>
      <w:marBottom w:val="0"/>
      <w:divBdr>
        <w:top w:val="none" w:sz="0" w:space="0" w:color="auto"/>
        <w:left w:val="none" w:sz="0" w:space="0" w:color="auto"/>
        <w:bottom w:val="none" w:sz="0" w:space="0" w:color="auto"/>
        <w:right w:val="none" w:sz="0" w:space="0" w:color="auto"/>
      </w:divBdr>
    </w:div>
    <w:div w:id="576940121">
      <w:bodyDiv w:val="1"/>
      <w:marLeft w:val="0"/>
      <w:marRight w:val="0"/>
      <w:marTop w:val="0"/>
      <w:marBottom w:val="0"/>
      <w:divBdr>
        <w:top w:val="none" w:sz="0" w:space="0" w:color="auto"/>
        <w:left w:val="none" w:sz="0" w:space="0" w:color="auto"/>
        <w:bottom w:val="none" w:sz="0" w:space="0" w:color="auto"/>
        <w:right w:val="none" w:sz="0" w:space="0" w:color="auto"/>
      </w:divBdr>
    </w:div>
    <w:div w:id="579565099">
      <w:bodyDiv w:val="1"/>
      <w:marLeft w:val="0"/>
      <w:marRight w:val="0"/>
      <w:marTop w:val="0"/>
      <w:marBottom w:val="0"/>
      <w:divBdr>
        <w:top w:val="none" w:sz="0" w:space="0" w:color="auto"/>
        <w:left w:val="none" w:sz="0" w:space="0" w:color="auto"/>
        <w:bottom w:val="none" w:sz="0" w:space="0" w:color="auto"/>
        <w:right w:val="none" w:sz="0" w:space="0" w:color="auto"/>
      </w:divBdr>
    </w:div>
    <w:div w:id="579798474">
      <w:bodyDiv w:val="1"/>
      <w:marLeft w:val="0"/>
      <w:marRight w:val="0"/>
      <w:marTop w:val="0"/>
      <w:marBottom w:val="0"/>
      <w:divBdr>
        <w:top w:val="none" w:sz="0" w:space="0" w:color="auto"/>
        <w:left w:val="none" w:sz="0" w:space="0" w:color="auto"/>
        <w:bottom w:val="none" w:sz="0" w:space="0" w:color="auto"/>
        <w:right w:val="none" w:sz="0" w:space="0" w:color="auto"/>
      </w:divBdr>
    </w:div>
    <w:div w:id="582036447">
      <w:bodyDiv w:val="1"/>
      <w:marLeft w:val="0"/>
      <w:marRight w:val="0"/>
      <w:marTop w:val="0"/>
      <w:marBottom w:val="0"/>
      <w:divBdr>
        <w:top w:val="none" w:sz="0" w:space="0" w:color="auto"/>
        <w:left w:val="none" w:sz="0" w:space="0" w:color="auto"/>
        <w:bottom w:val="none" w:sz="0" w:space="0" w:color="auto"/>
        <w:right w:val="none" w:sz="0" w:space="0" w:color="auto"/>
      </w:divBdr>
    </w:div>
    <w:div w:id="582884037">
      <w:bodyDiv w:val="1"/>
      <w:marLeft w:val="0"/>
      <w:marRight w:val="0"/>
      <w:marTop w:val="0"/>
      <w:marBottom w:val="0"/>
      <w:divBdr>
        <w:top w:val="none" w:sz="0" w:space="0" w:color="auto"/>
        <w:left w:val="none" w:sz="0" w:space="0" w:color="auto"/>
        <w:bottom w:val="none" w:sz="0" w:space="0" w:color="auto"/>
        <w:right w:val="none" w:sz="0" w:space="0" w:color="auto"/>
      </w:divBdr>
    </w:div>
    <w:div w:id="590705385">
      <w:bodyDiv w:val="1"/>
      <w:marLeft w:val="0"/>
      <w:marRight w:val="0"/>
      <w:marTop w:val="0"/>
      <w:marBottom w:val="0"/>
      <w:divBdr>
        <w:top w:val="none" w:sz="0" w:space="0" w:color="auto"/>
        <w:left w:val="none" w:sz="0" w:space="0" w:color="auto"/>
        <w:bottom w:val="none" w:sz="0" w:space="0" w:color="auto"/>
        <w:right w:val="none" w:sz="0" w:space="0" w:color="auto"/>
      </w:divBdr>
    </w:div>
    <w:div w:id="591472482">
      <w:bodyDiv w:val="1"/>
      <w:marLeft w:val="0"/>
      <w:marRight w:val="0"/>
      <w:marTop w:val="0"/>
      <w:marBottom w:val="0"/>
      <w:divBdr>
        <w:top w:val="none" w:sz="0" w:space="0" w:color="auto"/>
        <w:left w:val="none" w:sz="0" w:space="0" w:color="auto"/>
        <w:bottom w:val="none" w:sz="0" w:space="0" w:color="auto"/>
        <w:right w:val="none" w:sz="0" w:space="0" w:color="auto"/>
      </w:divBdr>
    </w:div>
    <w:div w:id="593051295">
      <w:bodyDiv w:val="1"/>
      <w:marLeft w:val="0"/>
      <w:marRight w:val="0"/>
      <w:marTop w:val="0"/>
      <w:marBottom w:val="0"/>
      <w:divBdr>
        <w:top w:val="none" w:sz="0" w:space="0" w:color="auto"/>
        <w:left w:val="none" w:sz="0" w:space="0" w:color="auto"/>
        <w:bottom w:val="none" w:sz="0" w:space="0" w:color="auto"/>
        <w:right w:val="none" w:sz="0" w:space="0" w:color="auto"/>
      </w:divBdr>
      <w:divsChild>
        <w:div w:id="2053460812">
          <w:marLeft w:val="0"/>
          <w:marRight w:val="0"/>
          <w:marTop w:val="0"/>
          <w:marBottom w:val="0"/>
          <w:divBdr>
            <w:top w:val="none" w:sz="0" w:space="0" w:color="auto"/>
            <w:left w:val="none" w:sz="0" w:space="0" w:color="auto"/>
            <w:bottom w:val="none" w:sz="0" w:space="0" w:color="auto"/>
            <w:right w:val="none" w:sz="0" w:space="0" w:color="auto"/>
          </w:divBdr>
        </w:div>
      </w:divsChild>
    </w:div>
    <w:div w:id="593367196">
      <w:bodyDiv w:val="1"/>
      <w:marLeft w:val="0"/>
      <w:marRight w:val="0"/>
      <w:marTop w:val="0"/>
      <w:marBottom w:val="0"/>
      <w:divBdr>
        <w:top w:val="none" w:sz="0" w:space="0" w:color="auto"/>
        <w:left w:val="none" w:sz="0" w:space="0" w:color="auto"/>
        <w:bottom w:val="none" w:sz="0" w:space="0" w:color="auto"/>
        <w:right w:val="none" w:sz="0" w:space="0" w:color="auto"/>
      </w:divBdr>
    </w:div>
    <w:div w:id="595946336">
      <w:bodyDiv w:val="1"/>
      <w:marLeft w:val="0"/>
      <w:marRight w:val="0"/>
      <w:marTop w:val="0"/>
      <w:marBottom w:val="0"/>
      <w:divBdr>
        <w:top w:val="none" w:sz="0" w:space="0" w:color="auto"/>
        <w:left w:val="none" w:sz="0" w:space="0" w:color="auto"/>
        <w:bottom w:val="none" w:sz="0" w:space="0" w:color="auto"/>
        <w:right w:val="none" w:sz="0" w:space="0" w:color="auto"/>
      </w:divBdr>
    </w:div>
    <w:div w:id="599222734">
      <w:bodyDiv w:val="1"/>
      <w:marLeft w:val="0"/>
      <w:marRight w:val="0"/>
      <w:marTop w:val="0"/>
      <w:marBottom w:val="0"/>
      <w:divBdr>
        <w:top w:val="none" w:sz="0" w:space="0" w:color="auto"/>
        <w:left w:val="none" w:sz="0" w:space="0" w:color="auto"/>
        <w:bottom w:val="none" w:sz="0" w:space="0" w:color="auto"/>
        <w:right w:val="none" w:sz="0" w:space="0" w:color="auto"/>
      </w:divBdr>
    </w:div>
    <w:div w:id="608123085">
      <w:bodyDiv w:val="1"/>
      <w:marLeft w:val="0"/>
      <w:marRight w:val="0"/>
      <w:marTop w:val="0"/>
      <w:marBottom w:val="0"/>
      <w:divBdr>
        <w:top w:val="none" w:sz="0" w:space="0" w:color="auto"/>
        <w:left w:val="none" w:sz="0" w:space="0" w:color="auto"/>
        <w:bottom w:val="none" w:sz="0" w:space="0" w:color="auto"/>
        <w:right w:val="none" w:sz="0" w:space="0" w:color="auto"/>
      </w:divBdr>
    </w:div>
    <w:div w:id="610161251">
      <w:bodyDiv w:val="1"/>
      <w:marLeft w:val="0"/>
      <w:marRight w:val="0"/>
      <w:marTop w:val="0"/>
      <w:marBottom w:val="0"/>
      <w:divBdr>
        <w:top w:val="none" w:sz="0" w:space="0" w:color="auto"/>
        <w:left w:val="none" w:sz="0" w:space="0" w:color="auto"/>
        <w:bottom w:val="none" w:sz="0" w:space="0" w:color="auto"/>
        <w:right w:val="none" w:sz="0" w:space="0" w:color="auto"/>
      </w:divBdr>
    </w:div>
    <w:div w:id="616372485">
      <w:bodyDiv w:val="1"/>
      <w:marLeft w:val="0"/>
      <w:marRight w:val="0"/>
      <w:marTop w:val="0"/>
      <w:marBottom w:val="0"/>
      <w:divBdr>
        <w:top w:val="none" w:sz="0" w:space="0" w:color="auto"/>
        <w:left w:val="none" w:sz="0" w:space="0" w:color="auto"/>
        <w:bottom w:val="none" w:sz="0" w:space="0" w:color="auto"/>
        <w:right w:val="none" w:sz="0" w:space="0" w:color="auto"/>
      </w:divBdr>
    </w:div>
    <w:div w:id="618488732">
      <w:bodyDiv w:val="1"/>
      <w:marLeft w:val="0"/>
      <w:marRight w:val="0"/>
      <w:marTop w:val="0"/>
      <w:marBottom w:val="0"/>
      <w:divBdr>
        <w:top w:val="none" w:sz="0" w:space="0" w:color="auto"/>
        <w:left w:val="none" w:sz="0" w:space="0" w:color="auto"/>
        <w:bottom w:val="none" w:sz="0" w:space="0" w:color="auto"/>
        <w:right w:val="none" w:sz="0" w:space="0" w:color="auto"/>
      </w:divBdr>
    </w:div>
    <w:div w:id="625700832">
      <w:bodyDiv w:val="1"/>
      <w:marLeft w:val="0"/>
      <w:marRight w:val="0"/>
      <w:marTop w:val="0"/>
      <w:marBottom w:val="0"/>
      <w:divBdr>
        <w:top w:val="none" w:sz="0" w:space="0" w:color="auto"/>
        <w:left w:val="none" w:sz="0" w:space="0" w:color="auto"/>
        <w:bottom w:val="none" w:sz="0" w:space="0" w:color="auto"/>
        <w:right w:val="none" w:sz="0" w:space="0" w:color="auto"/>
      </w:divBdr>
    </w:div>
    <w:div w:id="625742825">
      <w:bodyDiv w:val="1"/>
      <w:marLeft w:val="0"/>
      <w:marRight w:val="0"/>
      <w:marTop w:val="0"/>
      <w:marBottom w:val="0"/>
      <w:divBdr>
        <w:top w:val="none" w:sz="0" w:space="0" w:color="auto"/>
        <w:left w:val="none" w:sz="0" w:space="0" w:color="auto"/>
        <w:bottom w:val="none" w:sz="0" w:space="0" w:color="auto"/>
        <w:right w:val="none" w:sz="0" w:space="0" w:color="auto"/>
      </w:divBdr>
    </w:div>
    <w:div w:id="631643534">
      <w:bodyDiv w:val="1"/>
      <w:marLeft w:val="0"/>
      <w:marRight w:val="0"/>
      <w:marTop w:val="0"/>
      <w:marBottom w:val="0"/>
      <w:divBdr>
        <w:top w:val="none" w:sz="0" w:space="0" w:color="auto"/>
        <w:left w:val="none" w:sz="0" w:space="0" w:color="auto"/>
        <w:bottom w:val="none" w:sz="0" w:space="0" w:color="auto"/>
        <w:right w:val="none" w:sz="0" w:space="0" w:color="auto"/>
      </w:divBdr>
    </w:div>
    <w:div w:id="634943180">
      <w:bodyDiv w:val="1"/>
      <w:marLeft w:val="0"/>
      <w:marRight w:val="0"/>
      <w:marTop w:val="0"/>
      <w:marBottom w:val="0"/>
      <w:divBdr>
        <w:top w:val="none" w:sz="0" w:space="0" w:color="auto"/>
        <w:left w:val="none" w:sz="0" w:space="0" w:color="auto"/>
        <w:bottom w:val="none" w:sz="0" w:space="0" w:color="auto"/>
        <w:right w:val="none" w:sz="0" w:space="0" w:color="auto"/>
      </w:divBdr>
    </w:div>
    <w:div w:id="638926052">
      <w:bodyDiv w:val="1"/>
      <w:marLeft w:val="0"/>
      <w:marRight w:val="0"/>
      <w:marTop w:val="0"/>
      <w:marBottom w:val="0"/>
      <w:divBdr>
        <w:top w:val="none" w:sz="0" w:space="0" w:color="auto"/>
        <w:left w:val="none" w:sz="0" w:space="0" w:color="auto"/>
        <w:bottom w:val="none" w:sz="0" w:space="0" w:color="auto"/>
        <w:right w:val="none" w:sz="0" w:space="0" w:color="auto"/>
      </w:divBdr>
    </w:div>
    <w:div w:id="644821942">
      <w:bodyDiv w:val="1"/>
      <w:marLeft w:val="0"/>
      <w:marRight w:val="0"/>
      <w:marTop w:val="0"/>
      <w:marBottom w:val="0"/>
      <w:divBdr>
        <w:top w:val="none" w:sz="0" w:space="0" w:color="auto"/>
        <w:left w:val="none" w:sz="0" w:space="0" w:color="auto"/>
        <w:bottom w:val="none" w:sz="0" w:space="0" w:color="auto"/>
        <w:right w:val="none" w:sz="0" w:space="0" w:color="auto"/>
      </w:divBdr>
    </w:div>
    <w:div w:id="644972417">
      <w:bodyDiv w:val="1"/>
      <w:marLeft w:val="0"/>
      <w:marRight w:val="0"/>
      <w:marTop w:val="0"/>
      <w:marBottom w:val="0"/>
      <w:divBdr>
        <w:top w:val="none" w:sz="0" w:space="0" w:color="auto"/>
        <w:left w:val="none" w:sz="0" w:space="0" w:color="auto"/>
        <w:bottom w:val="none" w:sz="0" w:space="0" w:color="auto"/>
        <w:right w:val="none" w:sz="0" w:space="0" w:color="auto"/>
      </w:divBdr>
    </w:div>
    <w:div w:id="647784191">
      <w:bodyDiv w:val="1"/>
      <w:marLeft w:val="0"/>
      <w:marRight w:val="0"/>
      <w:marTop w:val="0"/>
      <w:marBottom w:val="0"/>
      <w:divBdr>
        <w:top w:val="none" w:sz="0" w:space="0" w:color="auto"/>
        <w:left w:val="none" w:sz="0" w:space="0" w:color="auto"/>
        <w:bottom w:val="none" w:sz="0" w:space="0" w:color="auto"/>
        <w:right w:val="none" w:sz="0" w:space="0" w:color="auto"/>
      </w:divBdr>
    </w:div>
    <w:div w:id="649405989">
      <w:bodyDiv w:val="1"/>
      <w:marLeft w:val="0"/>
      <w:marRight w:val="0"/>
      <w:marTop w:val="0"/>
      <w:marBottom w:val="0"/>
      <w:divBdr>
        <w:top w:val="none" w:sz="0" w:space="0" w:color="auto"/>
        <w:left w:val="none" w:sz="0" w:space="0" w:color="auto"/>
        <w:bottom w:val="none" w:sz="0" w:space="0" w:color="auto"/>
        <w:right w:val="none" w:sz="0" w:space="0" w:color="auto"/>
      </w:divBdr>
    </w:div>
    <w:div w:id="652486442">
      <w:bodyDiv w:val="1"/>
      <w:marLeft w:val="0"/>
      <w:marRight w:val="0"/>
      <w:marTop w:val="0"/>
      <w:marBottom w:val="0"/>
      <w:divBdr>
        <w:top w:val="none" w:sz="0" w:space="0" w:color="auto"/>
        <w:left w:val="none" w:sz="0" w:space="0" w:color="auto"/>
        <w:bottom w:val="none" w:sz="0" w:space="0" w:color="auto"/>
        <w:right w:val="none" w:sz="0" w:space="0" w:color="auto"/>
      </w:divBdr>
    </w:div>
    <w:div w:id="653797836">
      <w:bodyDiv w:val="1"/>
      <w:marLeft w:val="0"/>
      <w:marRight w:val="0"/>
      <w:marTop w:val="0"/>
      <w:marBottom w:val="0"/>
      <w:divBdr>
        <w:top w:val="none" w:sz="0" w:space="0" w:color="auto"/>
        <w:left w:val="none" w:sz="0" w:space="0" w:color="auto"/>
        <w:bottom w:val="none" w:sz="0" w:space="0" w:color="auto"/>
        <w:right w:val="none" w:sz="0" w:space="0" w:color="auto"/>
      </w:divBdr>
    </w:div>
    <w:div w:id="656343995">
      <w:bodyDiv w:val="1"/>
      <w:marLeft w:val="0"/>
      <w:marRight w:val="0"/>
      <w:marTop w:val="0"/>
      <w:marBottom w:val="0"/>
      <w:divBdr>
        <w:top w:val="none" w:sz="0" w:space="0" w:color="auto"/>
        <w:left w:val="none" w:sz="0" w:space="0" w:color="auto"/>
        <w:bottom w:val="none" w:sz="0" w:space="0" w:color="auto"/>
        <w:right w:val="none" w:sz="0" w:space="0" w:color="auto"/>
      </w:divBdr>
    </w:div>
    <w:div w:id="660277176">
      <w:bodyDiv w:val="1"/>
      <w:marLeft w:val="0"/>
      <w:marRight w:val="0"/>
      <w:marTop w:val="0"/>
      <w:marBottom w:val="0"/>
      <w:divBdr>
        <w:top w:val="none" w:sz="0" w:space="0" w:color="auto"/>
        <w:left w:val="none" w:sz="0" w:space="0" w:color="auto"/>
        <w:bottom w:val="none" w:sz="0" w:space="0" w:color="auto"/>
        <w:right w:val="none" w:sz="0" w:space="0" w:color="auto"/>
      </w:divBdr>
    </w:div>
    <w:div w:id="671683286">
      <w:bodyDiv w:val="1"/>
      <w:marLeft w:val="0"/>
      <w:marRight w:val="0"/>
      <w:marTop w:val="0"/>
      <w:marBottom w:val="0"/>
      <w:divBdr>
        <w:top w:val="none" w:sz="0" w:space="0" w:color="auto"/>
        <w:left w:val="none" w:sz="0" w:space="0" w:color="auto"/>
        <w:bottom w:val="none" w:sz="0" w:space="0" w:color="auto"/>
        <w:right w:val="none" w:sz="0" w:space="0" w:color="auto"/>
      </w:divBdr>
    </w:div>
    <w:div w:id="674038210">
      <w:bodyDiv w:val="1"/>
      <w:marLeft w:val="0"/>
      <w:marRight w:val="0"/>
      <w:marTop w:val="0"/>
      <w:marBottom w:val="0"/>
      <w:divBdr>
        <w:top w:val="none" w:sz="0" w:space="0" w:color="auto"/>
        <w:left w:val="none" w:sz="0" w:space="0" w:color="auto"/>
        <w:bottom w:val="none" w:sz="0" w:space="0" w:color="auto"/>
        <w:right w:val="none" w:sz="0" w:space="0" w:color="auto"/>
      </w:divBdr>
    </w:div>
    <w:div w:id="687829305">
      <w:bodyDiv w:val="1"/>
      <w:marLeft w:val="0"/>
      <w:marRight w:val="0"/>
      <w:marTop w:val="0"/>
      <w:marBottom w:val="0"/>
      <w:divBdr>
        <w:top w:val="none" w:sz="0" w:space="0" w:color="auto"/>
        <w:left w:val="none" w:sz="0" w:space="0" w:color="auto"/>
        <w:bottom w:val="none" w:sz="0" w:space="0" w:color="auto"/>
        <w:right w:val="none" w:sz="0" w:space="0" w:color="auto"/>
      </w:divBdr>
    </w:div>
    <w:div w:id="688410968">
      <w:bodyDiv w:val="1"/>
      <w:marLeft w:val="0"/>
      <w:marRight w:val="0"/>
      <w:marTop w:val="0"/>
      <w:marBottom w:val="0"/>
      <w:divBdr>
        <w:top w:val="none" w:sz="0" w:space="0" w:color="auto"/>
        <w:left w:val="none" w:sz="0" w:space="0" w:color="auto"/>
        <w:bottom w:val="none" w:sz="0" w:space="0" w:color="auto"/>
        <w:right w:val="none" w:sz="0" w:space="0" w:color="auto"/>
      </w:divBdr>
    </w:div>
    <w:div w:id="691759159">
      <w:bodyDiv w:val="1"/>
      <w:marLeft w:val="0"/>
      <w:marRight w:val="0"/>
      <w:marTop w:val="0"/>
      <w:marBottom w:val="0"/>
      <w:divBdr>
        <w:top w:val="none" w:sz="0" w:space="0" w:color="auto"/>
        <w:left w:val="none" w:sz="0" w:space="0" w:color="auto"/>
        <w:bottom w:val="none" w:sz="0" w:space="0" w:color="auto"/>
        <w:right w:val="none" w:sz="0" w:space="0" w:color="auto"/>
      </w:divBdr>
    </w:div>
    <w:div w:id="693575522">
      <w:bodyDiv w:val="1"/>
      <w:marLeft w:val="0"/>
      <w:marRight w:val="0"/>
      <w:marTop w:val="0"/>
      <w:marBottom w:val="0"/>
      <w:divBdr>
        <w:top w:val="none" w:sz="0" w:space="0" w:color="auto"/>
        <w:left w:val="none" w:sz="0" w:space="0" w:color="auto"/>
        <w:bottom w:val="none" w:sz="0" w:space="0" w:color="auto"/>
        <w:right w:val="none" w:sz="0" w:space="0" w:color="auto"/>
      </w:divBdr>
    </w:div>
    <w:div w:id="700786632">
      <w:bodyDiv w:val="1"/>
      <w:marLeft w:val="0"/>
      <w:marRight w:val="0"/>
      <w:marTop w:val="0"/>
      <w:marBottom w:val="0"/>
      <w:divBdr>
        <w:top w:val="none" w:sz="0" w:space="0" w:color="auto"/>
        <w:left w:val="none" w:sz="0" w:space="0" w:color="auto"/>
        <w:bottom w:val="none" w:sz="0" w:space="0" w:color="auto"/>
        <w:right w:val="none" w:sz="0" w:space="0" w:color="auto"/>
      </w:divBdr>
    </w:div>
    <w:div w:id="702480687">
      <w:bodyDiv w:val="1"/>
      <w:marLeft w:val="0"/>
      <w:marRight w:val="0"/>
      <w:marTop w:val="0"/>
      <w:marBottom w:val="0"/>
      <w:divBdr>
        <w:top w:val="none" w:sz="0" w:space="0" w:color="auto"/>
        <w:left w:val="none" w:sz="0" w:space="0" w:color="auto"/>
        <w:bottom w:val="none" w:sz="0" w:space="0" w:color="auto"/>
        <w:right w:val="none" w:sz="0" w:space="0" w:color="auto"/>
      </w:divBdr>
    </w:div>
    <w:div w:id="707946755">
      <w:bodyDiv w:val="1"/>
      <w:marLeft w:val="0"/>
      <w:marRight w:val="0"/>
      <w:marTop w:val="0"/>
      <w:marBottom w:val="0"/>
      <w:divBdr>
        <w:top w:val="none" w:sz="0" w:space="0" w:color="auto"/>
        <w:left w:val="none" w:sz="0" w:space="0" w:color="auto"/>
        <w:bottom w:val="none" w:sz="0" w:space="0" w:color="auto"/>
        <w:right w:val="none" w:sz="0" w:space="0" w:color="auto"/>
      </w:divBdr>
    </w:div>
    <w:div w:id="708455324">
      <w:bodyDiv w:val="1"/>
      <w:marLeft w:val="0"/>
      <w:marRight w:val="0"/>
      <w:marTop w:val="0"/>
      <w:marBottom w:val="0"/>
      <w:divBdr>
        <w:top w:val="none" w:sz="0" w:space="0" w:color="auto"/>
        <w:left w:val="none" w:sz="0" w:space="0" w:color="auto"/>
        <w:bottom w:val="none" w:sz="0" w:space="0" w:color="auto"/>
        <w:right w:val="none" w:sz="0" w:space="0" w:color="auto"/>
      </w:divBdr>
      <w:divsChild>
        <w:div w:id="1192842653">
          <w:marLeft w:val="0"/>
          <w:marRight w:val="0"/>
          <w:marTop w:val="0"/>
          <w:marBottom w:val="101"/>
          <w:divBdr>
            <w:top w:val="none" w:sz="0" w:space="0" w:color="auto"/>
            <w:left w:val="none" w:sz="0" w:space="0" w:color="auto"/>
            <w:bottom w:val="none" w:sz="0" w:space="0" w:color="auto"/>
            <w:right w:val="none" w:sz="0" w:space="0" w:color="auto"/>
          </w:divBdr>
        </w:div>
        <w:div w:id="142476082">
          <w:marLeft w:val="720"/>
          <w:marRight w:val="0"/>
          <w:marTop w:val="0"/>
          <w:marBottom w:val="101"/>
          <w:divBdr>
            <w:top w:val="none" w:sz="0" w:space="0" w:color="auto"/>
            <w:left w:val="none" w:sz="0" w:space="0" w:color="auto"/>
            <w:bottom w:val="none" w:sz="0" w:space="0" w:color="auto"/>
            <w:right w:val="none" w:sz="0" w:space="0" w:color="auto"/>
          </w:divBdr>
        </w:div>
      </w:divsChild>
    </w:div>
    <w:div w:id="712922704">
      <w:bodyDiv w:val="1"/>
      <w:marLeft w:val="0"/>
      <w:marRight w:val="0"/>
      <w:marTop w:val="0"/>
      <w:marBottom w:val="0"/>
      <w:divBdr>
        <w:top w:val="none" w:sz="0" w:space="0" w:color="auto"/>
        <w:left w:val="none" w:sz="0" w:space="0" w:color="auto"/>
        <w:bottom w:val="none" w:sz="0" w:space="0" w:color="auto"/>
        <w:right w:val="none" w:sz="0" w:space="0" w:color="auto"/>
      </w:divBdr>
    </w:div>
    <w:div w:id="715131327">
      <w:bodyDiv w:val="1"/>
      <w:marLeft w:val="0"/>
      <w:marRight w:val="0"/>
      <w:marTop w:val="0"/>
      <w:marBottom w:val="0"/>
      <w:divBdr>
        <w:top w:val="none" w:sz="0" w:space="0" w:color="auto"/>
        <w:left w:val="none" w:sz="0" w:space="0" w:color="auto"/>
        <w:bottom w:val="none" w:sz="0" w:space="0" w:color="auto"/>
        <w:right w:val="none" w:sz="0" w:space="0" w:color="auto"/>
      </w:divBdr>
    </w:div>
    <w:div w:id="725226400">
      <w:bodyDiv w:val="1"/>
      <w:marLeft w:val="0"/>
      <w:marRight w:val="0"/>
      <w:marTop w:val="0"/>
      <w:marBottom w:val="0"/>
      <w:divBdr>
        <w:top w:val="none" w:sz="0" w:space="0" w:color="auto"/>
        <w:left w:val="none" w:sz="0" w:space="0" w:color="auto"/>
        <w:bottom w:val="none" w:sz="0" w:space="0" w:color="auto"/>
        <w:right w:val="none" w:sz="0" w:space="0" w:color="auto"/>
      </w:divBdr>
    </w:div>
    <w:div w:id="728921454">
      <w:bodyDiv w:val="1"/>
      <w:marLeft w:val="0"/>
      <w:marRight w:val="0"/>
      <w:marTop w:val="0"/>
      <w:marBottom w:val="0"/>
      <w:divBdr>
        <w:top w:val="none" w:sz="0" w:space="0" w:color="auto"/>
        <w:left w:val="none" w:sz="0" w:space="0" w:color="auto"/>
        <w:bottom w:val="none" w:sz="0" w:space="0" w:color="auto"/>
        <w:right w:val="none" w:sz="0" w:space="0" w:color="auto"/>
      </w:divBdr>
    </w:div>
    <w:div w:id="731344157">
      <w:bodyDiv w:val="1"/>
      <w:marLeft w:val="0"/>
      <w:marRight w:val="0"/>
      <w:marTop w:val="0"/>
      <w:marBottom w:val="0"/>
      <w:divBdr>
        <w:top w:val="none" w:sz="0" w:space="0" w:color="auto"/>
        <w:left w:val="none" w:sz="0" w:space="0" w:color="auto"/>
        <w:bottom w:val="none" w:sz="0" w:space="0" w:color="auto"/>
        <w:right w:val="none" w:sz="0" w:space="0" w:color="auto"/>
      </w:divBdr>
    </w:div>
    <w:div w:id="731390047">
      <w:bodyDiv w:val="1"/>
      <w:marLeft w:val="0"/>
      <w:marRight w:val="0"/>
      <w:marTop w:val="0"/>
      <w:marBottom w:val="0"/>
      <w:divBdr>
        <w:top w:val="none" w:sz="0" w:space="0" w:color="auto"/>
        <w:left w:val="none" w:sz="0" w:space="0" w:color="auto"/>
        <w:bottom w:val="none" w:sz="0" w:space="0" w:color="auto"/>
        <w:right w:val="none" w:sz="0" w:space="0" w:color="auto"/>
      </w:divBdr>
    </w:div>
    <w:div w:id="743144469">
      <w:bodyDiv w:val="1"/>
      <w:marLeft w:val="0"/>
      <w:marRight w:val="0"/>
      <w:marTop w:val="0"/>
      <w:marBottom w:val="0"/>
      <w:divBdr>
        <w:top w:val="none" w:sz="0" w:space="0" w:color="auto"/>
        <w:left w:val="none" w:sz="0" w:space="0" w:color="auto"/>
        <w:bottom w:val="none" w:sz="0" w:space="0" w:color="auto"/>
        <w:right w:val="none" w:sz="0" w:space="0" w:color="auto"/>
      </w:divBdr>
    </w:div>
    <w:div w:id="743727135">
      <w:bodyDiv w:val="1"/>
      <w:marLeft w:val="0"/>
      <w:marRight w:val="0"/>
      <w:marTop w:val="0"/>
      <w:marBottom w:val="0"/>
      <w:divBdr>
        <w:top w:val="none" w:sz="0" w:space="0" w:color="auto"/>
        <w:left w:val="none" w:sz="0" w:space="0" w:color="auto"/>
        <w:bottom w:val="none" w:sz="0" w:space="0" w:color="auto"/>
        <w:right w:val="none" w:sz="0" w:space="0" w:color="auto"/>
      </w:divBdr>
      <w:divsChild>
        <w:div w:id="1448306150">
          <w:marLeft w:val="0"/>
          <w:marRight w:val="0"/>
          <w:marTop w:val="0"/>
          <w:marBottom w:val="0"/>
          <w:divBdr>
            <w:top w:val="none" w:sz="0" w:space="0" w:color="auto"/>
            <w:left w:val="none" w:sz="0" w:space="0" w:color="auto"/>
            <w:bottom w:val="none" w:sz="0" w:space="0" w:color="auto"/>
            <w:right w:val="none" w:sz="0" w:space="0" w:color="auto"/>
          </w:divBdr>
        </w:div>
      </w:divsChild>
    </w:div>
    <w:div w:id="745884738">
      <w:bodyDiv w:val="1"/>
      <w:marLeft w:val="0"/>
      <w:marRight w:val="0"/>
      <w:marTop w:val="0"/>
      <w:marBottom w:val="0"/>
      <w:divBdr>
        <w:top w:val="none" w:sz="0" w:space="0" w:color="auto"/>
        <w:left w:val="none" w:sz="0" w:space="0" w:color="auto"/>
        <w:bottom w:val="none" w:sz="0" w:space="0" w:color="auto"/>
        <w:right w:val="none" w:sz="0" w:space="0" w:color="auto"/>
      </w:divBdr>
    </w:div>
    <w:div w:id="748386995">
      <w:bodyDiv w:val="1"/>
      <w:marLeft w:val="0"/>
      <w:marRight w:val="0"/>
      <w:marTop w:val="0"/>
      <w:marBottom w:val="0"/>
      <w:divBdr>
        <w:top w:val="none" w:sz="0" w:space="0" w:color="auto"/>
        <w:left w:val="none" w:sz="0" w:space="0" w:color="auto"/>
        <w:bottom w:val="none" w:sz="0" w:space="0" w:color="auto"/>
        <w:right w:val="none" w:sz="0" w:space="0" w:color="auto"/>
      </w:divBdr>
    </w:div>
    <w:div w:id="751195956">
      <w:bodyDiv w:val="1"/>
      <w:marLeft w:val="0"/>
      <w:marRight w:val="0"/>
      <w:marTop w:val="0"/>
      <w:marBottom w:val="0"/>
      <w:divBdr>
        <w:top w:val="none" w:sz="0" w:space="0" w:color="auto"/>
        <w:left w:val="none" w:sz="0" w:space="0" w:color="auto"/>
        <w:bottom w:val="none" w:sz="0" w:space="0" w:color="auto"/>
        <w:right w:val="none" w:sz="0" w:space="0" w:color="auto"/>
      </w:divBdr>
    </w:div>
    <w:div w:id="757865343">
      <w:bodyDiv w:val="1"/>
      <w:marLeft w:val="0"/>
      <w:marRight w:val="0"/>
      <w:marTop w:val="0"/>
      <w:marBottom w:val="0"/>
      <w:divBdr>
        <w:top w:val="none" w:sz="0" w:space="0" w:color="auto"/>
        <w:left w:val="none" w:sz="0" w:space="0" w:color="auto"/>
        <w:bottom w:val="none" w:sz="0" w:space="0" w:color="auto"/>
        <w:right w:val="none" w:sz="0" w:space="0" w:color="auto"/>
      </w:divBdr>
    </w:div>
    <w:div w:id="758256146">
      <w:bodyDiv w:val="1"/>
      <w:marLeft w:val="0"/>
      <w:marRight w:val="0"/>
      <w:marTop w:val="0"/>
      <w:marBottom w:val="0"/>
      <w:divBdr>
        <w:top w:val="none" w:sz="0" w:space="0" w:color="auto"/>
        <w:left w:val="none" w:sz="0" w:space="0" w:color="auto"/>
        <w:bottom w:val="none" w:sz="0" w:space="0" w:color="auto"/>
        <w:right w:val="none" w:sz="0" w:space="0" w:color="auto"/>
      </w:divBdr>
    </w:div>
    <w:div w:id="764111839">
      <w:bodyDiv w:val="1"/>
      <w:marLeft w:val="0"/>
      <w:marRight w:val="0"/>
      <w:marTop w:val="0"/>
      <w:marBottom w:val="0"/>
      <w:divBdr>
        <w:top w:val="none" w:sz="0" w:space="0" w:color="auto"/>
        <w:left w:val="none" w:sz="0" w:space="0" w:color="auto"/>
        <w:bottom w:val="none" w:sz="0" w:space="0" w:color="auto"/>
        <w:right w:val="none" w:sz="0" w:space="0" w:color="auto"/>
      </w:divBdr>
    </w:div>
    <w:div w:id="764771166">
      <w:bodyDiv w:val="1"/>
      <w:marLeft w:val="0"/>
      <w:marRight w:val="0"/>
      <w:marTop w:val="0"/>
      <w:marBottom w:val="0"/>
      <w:divBdr>
        <w:top w:val="none" w:sz="0" w:space="0" w:color="auto"/>
        <w:left w:val="none" w:sz="0" w:space="0" w:color="auto"/>
        <w:bottom w:val="none" w:sz="0" w:space="0" w:color="auto"/>
        <w:right w:val="none" w:sz="0" w:space="0" w:color="auto"/>
      </w:divBdr>
    </w:div>
    <w:div w:id="765075946">
      <w:bodyDiv w:val="1"/>
      <w:marLeft w:val="0"/>
      <w:marRight w:val="0"/>
      <w:marTop w:val="0"/>
      <w:marBottom w:val="0"/>
      <w:divBdr>
        <w:top w:val="none" w:sz="0" w:space="0" w:color="auto"/>
        <w:left w:val="none" w:sz="0" w:space="0" w:color="auto"/>
        <w:bottom w:val="none" w:sz="0" w:space="0" w:color="auto"/>
        <w:right w:val="none" w:sz="0" w:space="0" w:color="auto"/>
      </w:divBdr>
    </w:div>
    <w:div w:id="766197028">
      <w:bodyDiv w:val="1"/>
      <w:marLeft w:val="0"/>
      <w:marRight w:val="0"/>
      <w:marTop w:val="0"/>
      <w:marBottom w:val="0"/>
      <w:divBdr>
        <w:top w:val="none" w:sz="0" w:space="0" w:color="auto"/>
        <w:left w:val="none" w:sz="0" w:space="0" w:color="auto"/>
        <w:bottom w:val="none" w:sz="0" w:space="0" w:color="auto"/>
        <w:right w:val="none" w:sz="0" w:space="0" w:color="auto"/>
      </w:divBdr>
    </w:div>
    <w:div w:id="766736845">
      <w:bodyDiv w:val="1"/>
      <w:marLeft w:val="0"/>
      <w:marRight w:val="0"/>
      <w:marTop w:val="0"/>
      <w:marBottom w:val="0"/>
      <w:divBdr>
        <w:top w:val="none" w:sz="0" w:space="0" w:color="auto"/>
        <w:left w:val="none" w:sz="0" w:space="0" w:color="auto"/>
        <w:bottom w:val="none" w:sz="0" w:space="0" w:color="auto"/>
        <w:right w:val="none" w:sz="0" w:space="0" w:color="auto"/>
      </w:divBdr>
    </w:div>
    <w:div w:id="772478062">
      <w:bodyDiv w:val="1"/>
      <w:marLeft w:val="0"/>
      <w:marRight w:val="0"/>
      <w:marTop w:val="0"/>
      <w:marBottom w:val="0"/>
      <w:divBdr>
        <w:top w:val="none" w:sz="0" w:space="0" w:color="auto"/>
        <w:left w:val="none" w:sz="0" w:space="0" w:color="auto"/>
        <w:bottom w:val="none" w:sz="0" w:space="0" w:color="auto"/>
        <w:right w:val="none" w:sz="0" w:space="0" w:color="auto"/>
      </w:divBdr>
    </w:div>
    <w:div w:id="778837717">
      <w:bodyDiv w:val="1"/>
      <w:marLeft w:val="0"/>
      <w:marRight w:val="0"/>
      <w:marTop w:val="0"/>
      <w:marBottom w:val="0"/>
      <w:divBdr>
        <w:top w:val="none" w:sz="0" w:space="0" w:color="auto"/>
        <w:left w:val="none" w:sz="0" w:space="0" w:color="auto"/>
        <w:bottom w:val="none" w:sz="0" w:space="0" w:color="auto"/>
        <w:right w:val="none" w:sz="0" w:space="0" w:color="auto"/>
      </w:divBdr>
    </w:div>
    <w:div w:id="785466207">
      <w:bodyDiv w:val="1"/>
      <w:marLeft w:val="0"/>
      <w:marRight w:val="0"/>
      <w:marTop w:val="0"/>
      <w:marBottom w:val="0"/>
      <w:divBdr>
        <w:top w:val="none" w:sz="0" w:space="0" w:color="auto"/>
        <w:left w:val="none" w:sz="0" w:space="0" w:color="auto"/>
        <w:bottom w:val="none" w:sz="0" w:space="0" w:color="auto"/>
        <w:right w:val="none" w:sz="0" w:space="0" w:color="auto"/>
      </w:divBdr>
    </w:div>
    <w:div w:id="790518389">
      <w:bodyDiv w:val="1"/>
      <w:marLeft w:val="0"/>
      <w:marRight w:val="0"/>
      <w:marTop w:val="0"/>
      <w:marBottom w:val="0"/>
      <w:divBdr>
        <w:top w:val="none" w:sz="0" w:space="0" w:color="auto"/>
        <w:left w:val="none" w:sz="0" w:space="0" w:color="auto"/>
        <w:bottom w:val="none" w:sz="0" w:space="0" w:color="auto"/>
        <w:right w:val="none" w:sz="0" w:space="0" w:color="auto"/>
      </w:divBdr>
    </w:div>
    <w:div w:id="793140731">
      <w:bodyDiv w:val="1"/>
      <w:marLeft w:val="0"/>
      <w:marRight w:val="0"/>
      <w:marTop w:val="0"/>
      <w:marBottom w:val="0"/>
      <w:divBdr>
        <w:top w:val="none" w:sz="0" w:space="0" w:color="auto"/>
        <w:left w:val="none" w:sz="0" w:space="0" w:color="auto"/>
        <w:bottom w:val="none" w:sz="0" w:space="0" w:color="auto"/>
        <w:right w:val="none" w:sz="0" w:space="0" w:color="auto"/>
      </w:divBdr>
    </w:div>
    <w:div w:id="795760533">
      <w:bodyDiv w:val="1"/>
      <w:marLeft w:val="0"/>
      <w:marRight w:val="0"/>
      <w:marTop w:val="0"/>
      <w:marBottom w:val="0"/>
      <w:divBdr>
        <w:top w:val="none" w:sz="0" w:space="0" w:color="auto"/>
        <w:left w:val="none" w:sz="0" w:space="0" w:color="auto"/>
        <w:bottom w:val="none" w:sz="0" w:space="0" w:color="auto"/>
        <w:right w:val="none" w:sz="0" w:space="0" w:color="auto"/>
      </w:divBdr>
    </w:div>
    <w:div w:id="802313955">
      <w:bodyDiv w:val="1"/>
      <w:marLeft w:val="0"/>
      <w:marRight w:val="0"/>
      <w:marTop w:val="0"/>
      <w:marBottom w:val="0"/>
      <w:divBdr>
        <w:top w:val="none" w:sz="0" w:space="0" w:color="auto"/>
        <w:left w:val="none" w:sz="0" w:space="0" w:color="auto"/>
        <w:bottom w:val="none" w:sz="0" w:space="0" w:color="auto"/>
        <w:right w:val="none" w:sz="0" w:space="0" w:color="auto"/>
      </w:divBdr>
    </w:div>
    <w:div w:id="814880203">
      <w:bodyDiv w:val="1"/>
      <w:marLeft w:val="0"/>
      <w:marRight w:val="0"/>
      <w:marTop w:val="0"/>
      <w:marBottom w:val="0"/>
      <w:divBdr>
        <w:top w:val="none" w:sz="0" w:space="0" w:color="auto"/>
        <w:left w:val="none" w:sz="0" w:space="0" w:color="auto"/>
        <w:bottom w:val="none" w:sz="0" w:space="0" w:color="auto"/>
        <w:right w:val="none" w:sz="0" w:space="0" w:color="auto"/>
      </w:divBdr>
    </w:div>
    <w:div w:id="821430523">
      <w:bodyDiv w:val="1"/>
      <w:marLeft w:val="0"/>
      <w:marRight w:val="0"/>
      <w:marTop w:val="0"/>
      <w:marBottom w:val="0"/>
      <w:divBdr>
        <w:top w:val="none" w:sz="0" w:space="0" w:color="auto"/>
        <w:left w:val="none" w:sz="0" w:space="0" w:color="auto"/>
        <w:bottom w:val="none" w:sz="0" w:space="0" w:color="auto"/>
        <w:right w:val="none" w:sz="0" w:space="0" w:color="auto"/>
      </w:divBdr>
    </w:div>
    <w:div w:id="825127444">
      <w:bodyDiv w:val="1"/>
      <w:marLeft w:val="0"/>
      <w:marRight w:val="0"/>
      <w:marTop w:val="0"/>
      <w:marBottom w:val="0"/>
      <w:divBdr>
        <w:top w:val="none" w:sz="0" w:space="0" w:color="auto"/>
        <w:left w:val="none" w:sz="0" w:space="0" w:color="auto"/>
        <w:bottom w:val="none" w:sz="0" w:space="0" w:color="auto"/>
        <w:right w:val="none" w:sz="0" w:space="0" w:color="auto"/>
      </w:divBdr>
    </w:div>
    <w:div w:id="829446239">
      <w:bodyDiv w:val="1"/>
      <w:marLeft w:val="0"/>
      <w:marRight w:val="0"/>
      <w:marTop w:val="0"/>
      <w:marBottom w:val="0"/>
      <w:divBdr>
        <w:top w:val="none" w:sz="0" w:space="0" w:color="auto"/>
        <w:left w:val="none" w:sz="0" w:space="0" w:color="auto"/>
        <w:bottom w:val="none" w:sz="0" w:space="0" w:color="auto"/>
        <w:right w:val="none" w:sz="0" w:space="0" w:color="auto"/>
      </w:divBdr>
    </w:div>
    <w:div w:id="833840187">
      <w:bodyDiv w:val="1"/>
      <w:marLeft w:val="0"/>
      <w:marRight w:val="0"/>
      <w:marTop w:val="0"/>
      <w:marBottom w:val="0"/>
      <w:divBdr>
        <w:top w:val="none" w:sz="0" w:space="0" w:color="auto"/>
        <w:left w:val="none" w:sz="0" w:space="0" w:color="auto"/>
        <w:bottom w:val="none" w:sz="0" w:space="0" w:color="auto"/>
        <w:right w:val="none" w:sz="0" w:space="0" w:color="auto"/>
      </w:divBdr>
    </w:div>
    <w:div w:id="837623392">
      <w:bodyDiv w:val="1"/>
      <w:marLeft w:val="0"/>
      <w:marRight w:val="0"/>
      <w:marTop w:val="0"/>
      <w:marBottom w:val="0"/>
      <w:divBdr>
        <w:top w:val="none" w:sz="0" w:space="0" w:color="auto"/>
        <w:left w:val="none" w:sz="0" w:space="0" w:color="auto"/>
        <w:bottom w:val="none" w:sz="0" w:space="0" w:color="auto"/>
        <w:right w:val="none" w:sz="0" w:space="0" w:color="auto"/>
      </w:divBdr>
    </w:div>
    <w:div w:id="839930944">
      <w:bodyDiv w:val="1"/>
      <w:marLeft w:val="0"/>
      <w:marRight w:val="0"/>
      <w:marTop w:val="0"/>
      <w:marBottom w:val="0"/>
      <w:divBdr>
        <w:top w:val="none" w:sz="0" w:space="0" w:color="auto"/>
        <w:left w:val="none" w:sz="0" w:space="0" w:color="auto"/>
        <w:bottom w:val="none" w:sz="0" w:space="0" w:color="auto"/>
        <w:right w:val="none" w:sz="0" w:space="0" w:color="auto"/>
      </w:divBdr>
    </w:div>
    <w:div w:id="843012629">
      <w:bodyDiv w:val="1"/>
      <w:marLeft w:val="0"/>
      <w:marRight w:val="0"/>
      <w:marTop w:val="0"/>
      <w:marBottom w:val="0"/>
      <w:divBdr>
        <w:top w:val="none" w:sz="0" w:space="0" w:color="auto"/>
        <w:left w:val="none" w:sz="0" w:space="0" w:color="auto"/>
        <w:bottom w:val="none" w:sz="0" w:space="0" w:color="auto"/>
        <w:right w:val="none" w:sz="0" w:space="0" w:color="auto"/>
      </w:divBdr>
    </w:div>
    <w:div w:id="850491293">
      <w:bodyDiv w:val="1"/>
      <w:marLeft w:val="0"/>
      <w:marRight w:val="0"/>
      <w:marTop w:val="0"/>
      <w:marBottom w:val="0"/>
      <w:divBdr>
        <w:top w:val="none" w:sz="0" w:space="0" w:color="auto"/>
        <w:left w:val="none" w:sz="0" w:space="0" w:color="auto"/>
        <w:bottom w:val="none" w:sz="0" w:space="0" w:color="auto"/>
        <w:right w:val="none" w:sz="0" w:space="0" w:color="auto"/>
      </w:divBdr>
    </w:div>
    <w:div w:id="852064004">
      <w:bodyDiv w:val="1"/>
      <w:marLeft w:val="0"/>
      <w:marRight w:val="0"/>
      <w:marTop w:val="0"/>
      <w:marBottom w:val="0"/>
      <w:divBdr>
        <w:top w:val="none" w:sz="0" w:space="0" w:color="auto"/>
        <w:left w:val="none" w:sz="0" w:space="0" w:color="auto"/>
        <w:bottom w:val="none" w:sz="0" w:space="0" w:color="auto"/>
        <w:right w:val="none" w:sz="0" w:space="0" w:color="auto"/>
      </w:divBdr>
    </w:div>
    <w:div w:id="853303765">
      <w:bodyDiv w:val="1"/>
      <w:marLeft w:val="0"/>
      <w:marRight w:val="0"/>
      <w:marTop w:val="0"/>
      <w:marBottom w:val="0"/>
      <w:divBdr>
        <w:top w:val="none" w:sz="0" w:space="0" w:color="auto"/>
        <w:left w:val="none" w:sz="0" w:space="0" w:color="auto"/>
        <w:bottom w:val="none" w:sz="0" w:space="0" w:color="auto"/>
        <w:right w:val="none" w:sz="0" w:space="0" w:color="auto"/>
      </w:divBdr>
    </w:div>
    <w:div w:id="859440555">
      <w:bodyDiv w:val="1"/>
      <w:marLeft w:val="0"/>
      <w:marRight w:val="0"/>
      <w:marTop w:val="0"/>
      <w:marBottom w:val="0"/>
      <w:divBdr>
        <w:top w:val="none" w:sz="0" w:space="0" w:color="auto"/>
        <w:left w:val="none" w:sz="0" w:space="0" w:color="auto"/>
        <w:bottom w:val="none" w:sz="0" w:space="0" w:color="auto"/>
        <w:right w:val="none" w:sz="0" w:space="0" w:color="auto"/>
      </w:divBdr>
    </w:div>
    <w:div w:id="861623809">
      <w:bodyDiv w:val="1"/>
      <w:marLeft w:val="0"/>
      <w:marRight w:val="0"/>
      <w:marTop w:val="0"/>
      <w:marBottom w:val="0"/>
      <w:divBdr>
        <w:top w:val="none" w:sz="0" w:space="0" w:color="auto"/>
        <w:left w:val="none" w:sz="0" w:space="0" w:color="auto"/>
        <w:bottom w:val="none" w:sz="0" w:space="0" w:color="auto"/>
        <w:right w:val="none" w:sz="0" w:space="0" w:color="auto"/>
      </w:divBdr>
    </w:div>
    <w:div w:id="865948648">
      <w:bodyDiv w:val="1"/>
      <w:marLeft w:val="0"/>
      <w:marRight w:val="0"/>
      <w:marTop w:val="0"/>
      <w:marBottom w:val="0"/>
      <w:divBdr>
        <w:top w:val="none" w:sz="0" w:space="0" w:color="auto"/>
        <w:left w:val="none" w:sz="0" w:space="0" w:color="auto"/>
        <w:bottom w:val="none" w:sz="0" w:space="0" w:color="auto"/>
        <w:right w:val="none" w:sz="0" w:space="0" w:color="auto"/>
      </w:divBdr>
    </w:div>
    <w:div w:id="866064199">
      <w:bodyDiv w:val="1"/>
      <w:marLeft w:val="0"/>
      <w:marRight w:val="0"/>
      <w:marTop w:val="0"/>
      <w:marBottom w:val="0"/>
      <w:divBdr>
        <w:top w:val="none" w:sz="0" w:space="0" w:color="auto"/>
        <w:left w:val="none" w:sz="0" w:space="0" w:color="auto"/>
        <w:bottom w:val="none" w:sz="0" w:space="0" w:color="auto"/>
        <w:right w:val="none" w:sz="0" w:space="0" w:color="auto"/>
      </w:divBdr>
    </w:div>
    <w:div w:id="876428242">
      <w:bodyDiv w:val="1"/>
      <w:marLeft w:val="0"/>
      <w:marRight w:val="0"/>
      <w:marTop w:val="0"/>
      <w:marBottom w:val="0"/>
      <w:divBdr>
        <w:top w:val="none" w:sz="0" w:space="0" w:color="auto"/>
        <w:left w:val="none" w:sz="0" w:space="0" w:color="auto"/>
        <w:bottom w:val="none" w:sz="0" w:space="0" w:color="auto"/>
        <w:right w:val="none" w:sz="0" w:space="0" w:color="auto"/>
      </w:divBdr>
    </w:div>
    <w:div w:id="879170976">
      <w:bodyDiv w:val="1"/>
      <w:marLeft w:val="0"/>
      <w:marRight w:val="0"/>
      <w:marTop w:val="0"/>
      <w:marBottom w:val="0"/>
      <w:divBdr>
        <w:top w:val="none" w:sz="0" w:space="0" w:color="auto"/>
        <w:left w:val="none" w:sz="0" w:space="0" w:color="auto"/>
        <w:bottom w:val="none" w:sz="0" w:space="0" w:color="auto"/>
        <w:right w:val="none" w:sz="0" w:space="0" w:color="auto"/>
      </w:divBdr>
    </w:div>
    <w:div w:id="880552849">
      <w:bodyDiv w:val="1"/>
      <w:marLeft w:val="0"/>
      <w:marRight w:val="0"/>
      <w:marTop w:val="0"/>
      <w:marBottom w:val="0"/>
      <w:divBdr>
        <w:top w:val="none" w:sz="0" w:space="0" w:color="auto"/>
        <w:left w:val="none" w:sz="0" w:space="0" w:color="auto"/>
        <w:bottom w:val="none" w:sz="0" w:space="0" w:color="auto"/>
        <w:right w:val="none" w:sz="0" w:space="0" w:color="auto"/>
      </w:divBdr>
    </w:div>
    <w:div w:id="881329413">
      <w:bodyDiv w:val="1"/>
      <w:marLeft w:val="0"/>
      <w:marRight w:val="0"/>
      <w:marTop w:val="0"/>
      <w:marBottom w:val="0"/>
      <w:divBdr>
        <w:top w:val="none" w:sz="0" w:space="0" w:color="auto"/>
        <w:left w:val="none" w:sz="0" w:space="0" w:color="auto"/>
        <w:bottom w:val="none" w:sz="0" w:space="0" w:color="auto"/>
        <w:right w:val="none" w:sz="0" w:space="0" w:color="auto"/>
      </w:divBdr>
    </w:div>
    <w:div w:id="887958569">
      <w:bodyDiv w:val="1"/>
      <w:marLeft w:val="0"/>
      <w:marRight w:val="0"/>
      <w:marTop w:val="0"/>
      <w:marBottom w:val="0"/>
      <w:divBdr>
        <w:top w:val="none" w:sz="0" w:space="0" w:color="auto"/>
        <w:left w:val="none" w:sz="0" w:space="0" w:color="auto"/>
        <w:bottom w:val="none" w:sz="0" w:space="0" w:color="auto"/>
        <w:right w:val="none" w:sz="0" w:space="0" w:color="auto"/>
      </w:divBdr>
    </w:div>
    <w:div w:id="888303655">
      <w:bodyDiv w:val="1"/>
      <w:marLeft w:val="0"/>
      <w:marRight w:val="0"/>
      <w:marTop w:val="0"/>
      <w:marBottom w:val="0"/>
      <w:divBdr>
        <w:top w:val="none" w:sz="0" w:space="0" w:color="auto"/>
        <w:left w:val="none" w:sz="0" w:space="0" w:color="auto"/>
        <w:bottom w:val="none" w:sz="0" w:space="0" w:color="auto"/>
        <w:right w:val="none" w:sz="0" w:space="0" w:color="auto"/>
      </w:divBdr>
    </w:div>
    <w:div w:id="890573722">
      <w:bodyDiv w:val="1"/>
      <w:marLeft w:val="0"/>
      <w:marRight w:val="0"/>
      <w:marTop w:val="0"/>
      <w:marBottom w:val="0"/>
      <w:divBdr>
        <w:top w:val="none" w:sz="0" w:space="0" w:color="auto"/>
        <w:left w:val="none" w:sz="0" w:space="0" w:color="auto"/>
        <w:bottom w:val="none" w:sz="0" w:space="0" w:color="auto"/>
        <w:right w:val="none" w:sz="0" w:space="0" w:color="auto"/>
      </w:divBdr>
    </w:div>
    <w:div w:id="890966475">
      <w:bodyDiv w:val="1"/>
      <w:marLeft w:val="0"/>
      <w:marRight w:val="0"/>
      <w:marTop w:val="0"/>
      <w:marBottom w:val="0"/>
      <w:divBdr>
        <w:top w:val="none" w:sz="0" w:space="0" w:color="auto"/>
        <w:left w:val="none" w:sz="0" w:space="0" w:color="auto"/>
        <w:bottom w:val="none" w:sz="0" w:space="0" w:color="auto"/>
        <w:right w:val="none" w:sz="0" w:space="0" w:color="auto"/>
      </w:divBdr>
    </w:div>
    <w:div w:id="894854385">
      <w:bodyDiv w:val="1"/>
      <w:marLeft w:val="0"/>
      <w:marRight w:val="0"/>
      <w:marTop w:val="0"/>
      <w:marBottom w:val="0"/>
      <w:divBdr>
        <w:top w:val="none" w:sz="0" w:space="0" w:color="auto"/>
        <w:left w:val="none" w:sz="0" w:space="0" w:color="auto"/>
        <w:bottom w:val="none" w:sz="0" w:space="0" w:color="auto"/>
        <w:right w:val="none" w:sz="0" w:space="0" w:color="auto"/>
      </w:divBdr>
    </w:div>
    <w:div w:id="897016606">
      <w:bodyDiv w:val="1"/>
      <w:marLeft w:val="0"/>
      <w:marRight w:val="0"/>
      <w:marTop w:val="0"/>
      <w:marBottom w:val="0"/>
      <w:divBdr>
        <w:top w:val="none" w:sz="0" w:space="0" w:color="auto"/>
        <w:left w:val="none" w:sz="0" w:space="0" w:color="auto"/>
        <w:bottom w:val="none" w:sz="0" w:space="0" w:color="auto"/>
        <w:right w:val="none" w:sz="0" w:space="0" w:color="auto"/>
      </w:divBdr>
    </w:div>
    <w:div w:id="902910985">
      <w:bodyDiv w:val="1"/>
      <w:marLeft w:val="0"/>
      <w:marRight w:val="0"/>
      <w:marTop w:val="0"/>
      <w:marBottom w:val="0"/>
      <w:divBdr>
        <w:top w:val="none" w:sz="0" w:space="0" w:color="auto"/>
        <w:left w:val="none" w:sz="0" w:space="0" w:color="auto"/>
        <w:bottom w:val="none" w:sz="0" w:space="0" w:color="auto"/>
        <w:right w:val="none" w:sz="0" w:space="0" w:color="auto"/>
      </w:divBdr>
    </w:div>
    <w:div w:id="905532877">
      <w:bodyDiv w:val="1"/>
      <w:marLeft w:val="0"/>
      <w:marRight w:val="0"/>
      <w:marTop w:val="0"/>
      <w:marBottom w:val="0"/>
      <w:divBdr>
        <w:top w:val="none" w:sz="0" w:space="0" w:color="auto"/>
        <w:left w:val="none" w:sz="0" w:space="0" w:color="auto"/>
        <w:bottom w:val="none" w:sz="0" w:space="0" w:color="auto"/>
        <w:right w:val="none" w:sz="0" w:space="0" w:color="auto"/>
      </w:divBdr>
    </w:div>
    <w:div w:id="906378715">
      <w:bodyDiv w:val="1"/>
      <w:marLeft w:val="0"/>
      <w:marRight w:val="0"/>
      <w:marTop w:val="0"/>
      <w:marBottom w:val="0"/>
      <w:divBdr>
        <w:top w:val="none" w:sz="0" w:space="0" w:color="auto"/>
        <w:left w:val="none" w:sz="0" w:space="0" w:color="auto"/>
        <w:bottom w:val="none" w:sz="0" w:space="0" w:color="auto"/>
        <w:right w:val="none" w:sz="0" w:space="0" w:color="auto"/>
      </w:divBdr>
    </w:div>
    <w:div w:id="913127741">
      <w:bodyDiv w:val="1"/>
      <w:marLeft w:val="0"/>
      <w:marRight w:val="0"/>
      <w:marTop w:val="0"/>
      <w:marBottom w:val="0"/>
      <w:divBdr>
        <w:top w:val="none" w:sz="0" w:space="0" w:color="auto"/>
        <w:left w:val="none" w:sz="0" w:space="0" w:color="auto"/>
        <w:bottom w:val="none" w:sz="0" w:space="0" w:color="auto"/>
        <w:right w:val="none" w:sz="0" w:space="0" w:color="auto"/>
      </w:divBdr>
    </w:div>
    <w:div w:id="923026452">
      <w:bodyDiv w:val="1"/>
      <w:marLeft w:val="0"/>
      <w:marRight w:val="0"/>
      <w:marTop w:val="0"/>
      <w:marBottom w:val="0"/>
      <w:divBdr>
        <w:top w:val="none" w:sz="0" w:space="0" w:color="auto"/>
        <w:left w:val="none" w:sz="0" w:space="0" w:color="auto"/>
        <w:bottom w:val="none" w:sz="0" w:space="0" w:color="auto"/>
        <w:right w:val="none" w:sz="0" w:space="0" w:color="auto"/>
      </w:divBdr>
    </w:div>
    <w:div w:id="939604105">
      <w:bodyDiv w:val="1"/>
      <w:marLeft w:val="0"/>
      <w:marRight w:val="0"/>
      <w:marTop w:val="0"/>
      <w:marBottom w:val="0"/>
      <w:divBdr>
        <w:top w:val="none" w:sz="0" w:space="0" w:color="auto"/>
        <w:left w:val="none" w:sz="0" w:space="0" w:color="auto"/>
        <w:bottom w:val="none" w:sz="0" w:space="0" w:color="auto"/>
        <w:right w:val="none" w:sz="0" w:space="0" w:color="auto"/>
      </w:divBdr>
    </w:div>
    <w:div w:id="944193808">
      <w:bodyDiv w:val="1"/>
      <w:marLeft w:val="0"/>
      <w:marRight w:val="0"/>
      <w:marTop w:val="0"/>
      <w:marBottom w:val="0"/>
      <w:divBdr>
        <w:top w:val="none" w:sz="0" w:space="0" w:color="auto"/>
        <w:left w:val="none" w:sz="0" w:space="0" w:color="auto"/>
        <w:bottom w:val="none" w:sz="0" w:space="0" w:color="auto"/>
        <w:right w:val="none" w:sz="0" w:space="0" w:color="auto"/>
      </w:divBdr>
    </w:div>
    <w:div w:id="949238221">
      <w:bodyDiv w:val="1"/>
      <w:marLeft w:val="0"/>
      <w:marRight w:val="0"/>
      <w:marTop w:val="0"/>
      <w:marBottom w:val="0"/>
      <w:divBdr>
        <w:top w:val="none" w:sz="0" w:space="0" w:color="auto"/>
        <w:left w:val="none" w:sz="0" w:space="0" w:color="auto"/>
        <w:bottom w:val="none" w:sz="0" w:space="0" w:color="auto"/>
        <w:right w:val="none" w:sz="0" w:space="0" w:color="auto"/>
      </w:divBdr>
    </w:div>
    <w:div w:id="957685942">
      <w:bodyDiv w:val="1"/>
      <w:marLeft w:val="0"/>
      <w:marRight w:val="0"/>
      <w:marTop w:val="0"/>
      <w:marBottom w:val="0"/>
      <w:divBdr>
        <w:top w:val="none" w:sz="0" w:space="0" w:color="auto"/>
        <w:left w:val="none" w:sz="0" w:space="0" w:color="auto"/>
        <w:bottom w:val="none" w:sz="0" w:space="0" w:color="auto"/>
        <w:right w:val="none" w:sz="0" w:space="0" w:color="auto"/>
      </w:divBdr>
    </w:div>
    <w:div w:id="960768600">
      <w:bodyDiv w:val="1"/>
      <w:marLeft w:val="0"/>
      <w:marRight w:val="0"/>
      <w:marTop w:val="0"/>
      <w:marBottom w:val="0"/>
      <w:divBdr>
        <w:top w:val="none" w:sz="0" w:space="0" w:color="auto"/>
        <w:left w:val="none" w:sz="0" w:space="0" w:color="auto"/>
        <w:bottom w:val="none" w:sz="0" w:space="0" w:color="auto"/>
        <w:right w:val="none" w:sz="0" w:space="0" w:color="auto"/>
      </w:divBdr>
    </w:div>
    <w:div w:id="971179625">
      <w:bodyDiv w:val="1"/>
      <w:marLeft w:val="0"/>
      <w:marRight w:val="0"/>
      <w:marTop w:val="0"/>
      <w:marBottom w:val="0"/>
      <w:divBdr>
        <w:top w:val="none" w:sz="0" w:space="0" w:color="auto"/>
        <w:left w:val="none" w:sz="0" w:space="0" w:color="auto"/>
        <w:bottom w:val="none" w:sz="0" w:space="0" w:color="auto"/>
        <w:right w:val="none" w:sz="0" w:space="0" w:color="auto"/>
      </w:divBdr>
    </w:div>
    <w:div w:id="972827608">
      <w:bodyDiv w:val="1"/>
      <w:marLeft w:val="0"/>
      <w:marRight w:val="0"/>
      <w:marTop w:val="0"/>
      <w:marBottom w:val="0"/>
      <w:divBdr>
        <w:top w:val="none" w:sz="0" w:space="0" w:color="auto"/>
        <w:left w:val="none" w:sz="0" w:space="0" w:color="auto"/>
        <w:bottom w:val="none" w:sz="0" w:space="0" w:color="auto"/>
        <w:right w:val="none" w:sz="0" w:space="0" w:color="auto"/>
      </w:divBdr>
    </w:div>
    <w:div w:id="975332306">
      <w:bodyDiv w:val="1"/>
      <w:marLeft w:val="0"/>
      <w:marRight w:val="0"/>
      <w:marTop w:val="0"/>
      <w:marBottom w:val="0"/>
      <w:divBdr>
        <w:top w:val="none" w:sz="0" w:space="0" w:color="auto"/>
        <w:left w:val="none" w:sz="0" w:space="0" w:color="auto"/>
        <w:bottom w:val="none" w:sz="0" w:space="0" w:color="auto"/>
        <w:right w:val="none" w:sz="0" w:space="0" w:color="auto"/>
      </w:divBdr>
    </w:div>
    <w:div w:id="976253810">
      <w:bodyDiv w:val="1"/>
      <w:marLeft w:val="0"/>
      <w:marRight w:val="0"/>
      <w:marTop w:val="0"/>
      <w:marBottom w:val="0"/>
      <w:divBdr>
        <w:top w:val="none" w:sz="0" w:space="0" w:color="auto"/>
        <w:left w:val="none" w:sz="0" w:space="0" w:color="auto"/>
        <w:bottom w:val="none" w:sz="0" w:space="0" w:color="auto"/>
        <w:right w:val="none" w:sz="0" w:space="0" w:color="auto"/>
      </w:divBdr>
    </w:div>
    <w:div w:id="981497876">
      <w:bodyDiv w:val="1"/>
      <w:marLeft w:val="0"/>
      <w:marRight w:val="0"/>
      <w:marTop w:val="0"/>
      <w:marBottom w:val="0"/>
      <w:divBdr>
        <w:top w:val="none" w:sz="0" w:space="0" w:color="auto"/>
        <w:left w:val="none" w:sz="0" w:space="0" w:color="auto"/>
        <w:bottom w:val="none" w:sz="0" w:space="0" w:color="auto"/>
        <w:right w:val="none" w:sz="0" w:space="0" w:color="auto"/>
      </w:divBdr>
    </w:div>
    <w:div w:id="983126048">
      <w:bodyDiv w:val="1"/>
      <w:marLeft w:val="0"/>
      <w:marRight w:val="0"/>
      <w:marTop w:val="0"/>
      <w:marBottom w:val="0"/>
      <w:divBdr>
        <w:top w:val="none" w:sz="0" w:space="0" w:color="auto"/>
        <w:left w:val="none" w:sz="0" w:space="0" w:color="auto"/>
        <w:bottom w:val="none" w:sz="0" w:space="0" w:color="auto"/>
        <w:right w:val="none" w:sz="0" w:space="0" w:color="auto"/>
      </w:divBdr>
    </w:div>
    <w:div w:id="985940982">
      <w:bodyDiv w:val="1"/>
      <w:marLeft w:val="0"/>
      <w:marRight w:val="0"/>
      <w:marTop w:val="0"/>
      <w:marBottom w:val="0"/>
      <w:divBdr>
        <w:top w:val="none" w:sz="0" w:space="0" w:color="auto"/>
        <w:left w:val="none" w:sz="0" w:space="0" w:color="auto"/>
        <w:bottom w:val="none" w:sz="0" w:space="0" w:color="auto"/>
        <w:right w:val="none" w:sz="0" w:space="0" w:color="auto"/>
      </w:divBdr>
      <w:divsChild>
        <w:div w:id="1017930310">
          <w:marLeft w:val="0"/>
          <w:marRight w:val="0"/>
          <w:marTop w:val="130"/>
          <w:marBottom w:val="195"/>
          <w:divBdr>
            <w:top w:val="none" w:sz="0" w:space="0" w:color="auto"/>
            <w:left w:val="none" w:sz="0" w:space="0" w:color="auto"/>
            <w:bottom w:val="none" w:sz="0" w:space="0" w:color="auto"/>
            <w:right w:val="none" w:sz="0" w:space="0" w:color="auto"/>
          </w:divBdr>
        </w:div>
      </w:divsChild>
    </w:div>
    <w:div w:id="993685692">
      <w:bodyDiv w:val="1"/>
      <w:marLeft w:val="0"/>
      <w:marRight w:val="0"/>
      <w:marTop w:val="0"/>
      <w:marBottom w:val="0"/>
      <w:divBdr>
        <w:top w:val="none" w:sz="0" w:space="0" w:color="auto"/>
        <w:left w:val="none" w:sz="0" w:space="0" w:color="auto"/>
        <w:bottom w:val="none" w:sz="0" w:space="0" w:color="auto"/>
        <w:right w:val="none" w:sz="0" w:space="0" w:color="auto"/>
      </w:divBdr>
    </w:div>
    <w:div w:id="999234931">
      <w:bodyDiv w:val="1"/>
      <w:marLeft w:val="0"/>
      <w:marRight w:val="0"/>
      <w:marTop w:val="0"/>
      <w:marBottom w:val="0"/>
      <w:divBdr>
        <w:top w:val="none" w:sz="0" w:space="0" w:color="auto"/>
        <w:left w:val="none" w:sz="0" w:space="0" w:color="auto"/>
        <w:bottom w:val="none" w:sz="0" w:space="0" w:color="auto"/>
        <w:right w:val="none" w:sz="0" w:space="0" w:color="auto"/>
      </w:divBdr>
    </w:div>
    <w:div w:id="1001928781">
      <w:bodyDiv w:val="1"/>
      <w:marLeft w:val="0"/>
      <w:marRight w:val="0"/>
      <w:marTop w:val="0"/>
      <w:marBottom w:val="0"/>
      <w:divBdr>
        <w:top w:val="none" w:sz="0" w:space="0" w:color="auto"/>
        <w:left w:val="none" w:sz="0" w:space="0" w:color="auto"/>
        <w:bottom w:val="none" w:sz="0" w:space="0" w:color="auto"/>
        <w:right w:val="none" w:sz="0" w:space="0" w:color="auto"/>
      </w:divBdr>
    </w:div>
    <w:div w:id="1002853640">
      <w:bodyDiv w:val="1"/>
      <w:marLeft w:val="0"/>
      <w:marRight w:val="0"/>
      <w:marTop w:val="0"/>
      <w:marBottom w:val="0"/>
      <w:divBdr>
        <w:top w:val="none" w:sz="0" w:space="0" w:color="auto"/>
        <w:left w:val="none" w:sz="0" w:space="0" w:color="auto"/>
        <w:bottom w:val="none" w:sz="0" w:space="0" w:color="auto"/>
        <w:right w:val="none" w:sz="0" w:space="0" w:color="auto"/>
      </w:divBdr>
    </w:div>
    <w:div w:id="1004552204">
      <w:bodyDiv w:val="1"/>
      <w:marLeft w:val="0"/>
      <w:marRight w:val="0"/>
      <w:marTop w:val="0"/>
      <w:marBottom w:val="0"/>
      <w:divBdr>
        <w:top w:val="none" w:sz="0" w:space="0" w:color="auto"/>
        <w:left w:val="none" w:sz="0" w:space="0" w:color="auto"/>
        <w:bottom w:val="none" w:sz="0" w:space="0" w:color="auto"/>
        <w:right w:val="none" w:sz="0" w:space="0" w:color="auto"/>
      </w:divBdr>
    </w:div>
    <w:div w:id="1006900652">
      <w:bodyDiv w:val="1"/>
      <w:marLeft w:val="0"/>
      <w:marRight w:val="0"/>
      <w:marTop w:val="0"/>
      <w:marBottom w:val="0"/>
      <w:divBdr>
        <w:top w:val="none" w:sz="0" w:space="0" w:color="auto"/>
        <w:left w:val="none" w:sz="0" w:space="0" w:color="auto"/>
        <w:bottom w:val="none" w:sz="0" w:space="0" w:color="auto"/>
        <w:right w:val="none" w:sz="0" w:space="0" w:color="auto"/>
      </w:divBdr>
    </w:div>
    <w:div w:id="1009527661">
      <w:bodyDiv w:val="1"/>
      <w:marLeft w:val="0"/>
      <w:marRight w:val="0"/>
      <w:marTop w:val="0"/>
      <w:marBottom w:val="0"/>
      <w:divBdr>
        <w:top w:val="none" w:sz="0" w:space="0" w:color="auto"/>
        <w:left w:val="none" w:sz="0" w:space="0" w:color="auto"/>
        <w:bottom w:val="none" w:sz="0" w:space="0" w:color="auto"/>
        <w:right w:val="none" w:sz="0" w:space="0" w:color="auto"/>
      </w:divBdr>
    </w:div>
    <w:div w:id="1010177533">
      <w:bodyDiv w:val="1"/>
      <w:marLeft w:val="0"/>
      <w:marRight w:val="0"/>
      <w:marTop w:val="0"/>
      <w:marBottom w:val="0"/>
      <w:divBdr>
        <w:top w:val="none" w:sz="0" w:space="0" w:color="auto"/>
        <w:left w:val="none" w:sz="0" w:space="0" w:color="auto"/>
        <w:bottom w:val="none" w:sz="0" w:space="0" w:color="auto"/>
        <w:right w:val="none" w:sz="0" w:space="0" w:color="auto"/>
      </w:divBdr>
    </w:div>
    <w:div w:id="1014573080">
      <w:bodyDiv w:val="1"/>
      <w:marLeft w:val="0"/>
      <w:marRight w:val="0"/>
      <w:marTop w:val="0"/>
      <w:marBottom w:val="0"/>
      <w:divBdr>
        <w:top w:val="none" w:sz="0" w:space="0" w:color="auto"/>
        <w:left w:val="none" w:sz="0" w:space="0" w:color="auto"/>
        <w:bottom w:val="none" w:sz="0" w:space="0" w:color="auto"/>
        <w:right w:val="none" w:sz="0" w:space="0" w:color="auto"/>
      </w:divBdr>
    </w:div>
    <w:div w:id="1018581713">
      <w:bodyDiv w:val="1"/>
      <w:marLeft w:val="0"/>
      <w:marRight w:val="0"/>
      <w:marTop w:val="0"/>
      <w:marBottom w:val="0"/>
      <w:divBdr>
        <w:top w:val="none" w:sz="0" w:space="0" w:color="auto"/>
        <w:left w:val="none" w:sz="0" w:space="0" w:color="auto"/>
        <w:bottom w:val="none" w:sz="0" w:space="0" w:color="auto"/>
        <w:right w:val="none" w:sz="0" w:space="0" w:color="auto"/>
      </w:divBdr>
    </w:div>
    <w:div w:id="1021474907">
      <w:bodyDiv w:val="1"/>
      <w:marLeft w:val="0"/>
      <w:marRight w:val="0"/>
      <w:marTop w:val="0"/>
      <w:marBottom w:val="0"/>
      <w:divBdr>
        <w:top w:val="none" w:sz="0" w:space="0" w:color="auto"/>
        <w:left w:val="none" w:sz="0" w:space="0" w:color="auto"/>
        <w:bottom w:val="none" w:sz="0" w:space="0" w:color="auto"/>
        <w:right w:val="none" w:sz="0" w:space="0" w:color="auto"/>
      </w:divBdr>
    </w:div>
    <w:div w:id="1021928555">
      <w:bodyDiv w:val="1"/>
      <w:marLeft w:val="0"/>
      <w:marRight w:val="0"/>
      <w:marTop w:val="0"/>
      <w:marBottom w:val="0"/>
      <w:divBdr>
        <w:top w:val="none" w:sz="0" w:space="0" w:color="auto"/>
        <w:left w:val="none" w:sz="0" w:space="0" w:color="auto"/>
        <w:bottom w:val="none" w:sz="0" w:space="0" w:color="auto"/>
        <w:right w:val="none" w:sz="0" w:space="0" w:color="auto"/>
      </w:divBdr>
    </w:div>
    <w:div w:id="1022895535">
      <w:bodyDiv w:val="1"/>
      <w:marLeft w:val="0"/>
      <w:marRight w:val="0"/>
      <w:marTop w:val="0"/>
      <w:marBottom w:val="0"/>
      <w:divBdr>
        <w:top w:val="none" w:sz="0" w:space="0" w:color="auto"/>
        <w:left w:val="none" w:sz="0" w:space="0" w:color="auto"/>
        <w:bottom w:val="none" w:sz="0" w:space="0" w:color="auto"/>
        <w:right w:val="none" w:sz="0" w:space="0" w:color="auto"/>
      </w:divBdr>
    </w:div>
    <w:div w:id="1023895287">
      <w:bodyDiv w:val="1"/>
      <w:marLeft w:val="0"/>
      <w:marRight w:val="0"/>
      <w:marTop w:val="0"/>
      <w:marBottom w:val="0"/>
      <w:divBdr>
        <w:top w:val="none" w:sz="0" w:space="0" w:color="auto"/>
        <w:left w:val="none" w:sz="0" w:space="0" w:color="auto"/>
        <w:bottom w:val="none" w:sz="0" w:space="0" w:color="auto"/>
        <w:right w:val="none" w:sz="0" w:space="0" w:color="auto"/>
      </w:divBdr>
    </w:div>
    <w:div w:id="1028532763">
      <w:bodyDiv w:val="1"/>
      <w:marLeft w:val="0"/>
      <w:marRight w:val="0"/>
      <w:marTop w:val="0"/>
      <w:marBottom w:val="0"/>
      <w:divBdr>
        <w:top w:val="none" w:sz="0" w:space="0" w:color="auto"/>
        <w:left w:val="none" w:sz="0" w:space="0" w:color="auto"/>
        <w:bottom w:val="none" w:sz="0" w:space="0" w:color="auto"/>
        <w:right w:val="none" w:sz="0" w:space="0" w:color="auto"/>
      </w:divBdr>
    </w:div>
    <w:div w:id="1030180319">
      <w:bodyDiv w:val="1"/>
      <w:marLeft w:val="0"/>
      <w:marRight w:val="0"/>
      <w:marTop w:val="0"/>
      <w:marBottom w:val="0"/>
      <w:divBdr>
        <w:top w:val="none" w:sz="0" w:space="0" w:color="auto"/>
        <w:left w:val="none" w:sz="0" w:space="0" w:color="auto"/>
        <w:bottom w:val="none" w:sz="0" w:space="0" w:color="auto"/>
        <w:right w:val="none" w:sz="0" w:space="0" w:color="auto"/>
      </w:divBdr>
    </w:div>
    <w:div w:id="1042484496">
      <w:bodyDiv w:val="1"/>
      <w:marLeft w:val="0"/>
      <w:marRight w:val="0"/>
      <w:marTop w:val="0"/>
      <w:marBottom w:val="0"/>
      <w:divBdr>
        <w:top w:val="none" w:sz="0" w:space="0" w:color="auto"/>
        <w:left w:val="none" w:sz="0" w:space="0" w:color="auto"/>
        <w:bottom w:val="none" w:sz="0" w:space="0" w:color="auto"/>
        <w:right w:val="none" w:sz="0" w:space="0" w:color="auto"/>
      </w:divBdr>
    </w:div>
    <w:div w:id="1051730638">
      <w:bodyDiv w:val="1"/>
      <w:marLeft w:val="0"/>
      <w:marRight w:val="0"/>
      <w:marTop w:val="0"/>
      <w:marBottom w:val="0"/>
      <w:divBdr>
        <w:top w:val="none" w:sz="0" w:space="0" w:color="auto"/>
        <w:left w:val="none" w:sz="0" w:space="0" w:color="auto"/>
        <w:bottom w:val="none" w:sz="0" w:space="0" w:color="auto"/>
        <w:right w:val="none" w:sz="0" w:space="0" w:color="auto"/>
      </w:divBdr>
    </w:div>
    <w:div w:id="1052657169">
      <w:bodyDiv w:val="1"/>
      <w:marLeft w:val="0"/>
      <w:marRight w:val="0"/>
      <w:marTop w:val="0"/>
      <w:marBottom w:val="0"/>
      <w:divBdr>
        <w:top w:val="none" w:sz="0" w:space="0" w:color="auto"/>
        <w:left w:val="none" w:sz="0" w:space="0" w:color="auto"/>
        <w:bottom w:val="none" w:sz="0" w:space="0" w:color="auto"/>
        <w:right w:val="none" w:sz="0" w:space="0" w:color="auto"/>
      </w:divBdr>
    </w:div>
    <w:div w:id="1055011580">
      <w:bodyDiv w:val="1"/>
      <w:marLeft w:val="0"/>
      <w:marRight w:val="0"/>
      <w:marTop w:val="0"/>
      <w:marBottom w:val="0"/>
      <w:divBdr>
        <w:top w:val="none" w:sz="0" w:space="0" w:color="auto"/>
        <w:left w:val="none" w:sz="0" w:space="0" w:color="auto"/>
        <w:bottom w:val="none" w:sz="0" w:space="0" w:color="auto"/>
        <w:right w:val="none" w:sz="0" w:space="0" w:color="auto"/>
      </w:divBdr>
    </w:div>
    <w:div w:id="1057053440">
      <w:bodyDiv w:val="1"/>
      <w:marLeft w:val="0"/>
      <w:marRight w:val="0"/>
      <w:marTop w:val="0"/>
      <w:marBottom w:val="0"/>
      <w:divBdr>
        <w:top w:val="none" w:sz="0" w:space="0" w:color="auto"/>
        <w:left w:val="none" w:sz="0" w:space="0" w:color="auto"/>
        <w:bottom w:val="none" w:sz="0" w:space="0" w:color="auto"/>
        <w:right w:val="none" w:sz="0" w:space="0" w:color="auto"/>
      </w:divBdr>
    </w:div>
    <w:div w:id="1076323291">
      <w:bodyDiv w:val="1"/>
      <w:marLeft w:val="0"/>
      <w:marRight w:val="0"/>
      <w:marTop w:val="0"/>
      <w:marBottom w:val="0"/>
      <w:divBdr>
        <w:top w:val="none" w:sz="0" w:space="0" w:color="auto"/>
        <w:left w:val="none" w:sz="0" w:space="0" w:color="auto"/>
        <w:bottom w:val="none" w:sz="0" w:space="0" w:color="auto"/>
        <w:right w:val="none" w:sz="0" w:space="0" w:color="auto"/>
      </w:divBdr>
    </w:div>
    <w:div w:id="1085492938">
      <w:bodyDiv w:val="1"/>
      <w:marLeft w:val="0"/>
      <w:marRight w:val="0"/>
      <w:marTop w:val="0"/>
      <w:marBottom w:val="0"/>
      <w:divBdr>
        <w:top w:val="none" w:sz="0" w:space="0" w:color="auto"/>
        <w:left w:val="none" w:sz="0" w:space="0" w:color="auto"/>
        <w:bottom w:val="none" w:sz="0" w:space="0" w:color="auto"/>
        <w:right w:val="none" w:sz="0" w:space="0" w:color="auto"/>
      </w:divBdr>
    </w:div>
    <w:div w:id="1095521317">
      <w:bodyDiv w:val="1"/>
      <w:marLeft w:val="0"/>
      <w:marRight w:val="0"/>
      <w:marTop w:val="0"/>
      <w:marBottom w:val="0"/>
      <w:divBdr>
        <w:top w:val="none" w:sz="0" w:space="0" w:color="auto"/>
        <w:left w:val="none" w:sz="0" w:space="0" w:color="auto"/>
        <w:bottom w:val="none" w:sz="0" w:space="0" w:color="auto"/>
        <w:right w:val="none" w:sz="0" w:space="0" w:color="auto"/>
      </w:divBdr>
    </w:div>
    <w:div w:id="1098520280">
      <w:bodyDiv w:val="1"/>
      <w:marLeft w:val="0"/>
      <w:marRight w:val="0"/>
      <w:marTop w:val="0"/>
      <w:marBottom w:val="0"/>
      <w:divBdr>
        <w:top w:val="none" w:sz="0" w:space="0" w:color="auto"/>
        <w:left w:val="none" w:sz="0" w:space="0" w:color="auto"/>
        <w:bottom w:val="none" w:sz="0" w:space="0" w:color="auto"/>
        <w:right w:val="none" w:sz="0" w:space="0" w:color="auto"/>
      </w:divBdr>
    </w:div>
    <w:div w:id="1103038297">
      <w:bodyDiv w:val="1"/>
      <w:marLeft w:val="0"/>
      <w:marRight w:val="0"/>
      <w:marTop w:val="0"/>
      <w:marBottom w:val="0"/>
      <w:divBdr>
        <w:top w:val="none" w:sz="0" w:space="0" w:color="auto"/>
        <w:left w:val="none" w:sz="0" w:space="0" w:color="auto"/>
        <w:bottom w:val="none" w:sz="0" w:space="0" w:color="auto"/>
        <w:right w:val="none" w:sz="0" w:space="0" w:color="auto"/>
      </w:divBdr>
    </w:div>
    <w:div w:id="1106777447">
      <w:bodyDiv w:val="1"/>
      <w:marLeft w:val="0"/>
      <w:marRight w:val="0"/>
      <w:marTop w:val="0"/>
      <w:marBottom w:val="0"/>
      <w:divBdr>
        <w:top w:val="none" w:sz="0" w:space="0" w:color="auto"/>
        <w:left w:val="none" w:sz="0" w:space="0" w:color="auto"/>
        <w:bottom w:val="none" w:sz="0" w:space="0" w:color="auto"/>
        <w:right w:val="none" w:sz="0" w:space="0" w:color="auto"/>
      </w:divBdr>
    </w:div>
    <w:div w:id="1106925187">
      <w:bodyDiv w:val="1"/>
      <w:marLeft w:val="0"/>
      <w:marRight w:val="0"/>
      <w:marTop w:val="0"/>
      <w:marBottom w:val="0"/>
      <w:divBdr>
        <w:top w:val="none" w:sz="0" w:space="0" w:color="auto"/>
        <w:left w:val="none" w:sz="0" w:space="0" w:color="auto"/>
        <w:bottom w:val="none" w:sz="0" w:space="0" w:color="auto"/>
        <w:right w:val="none" w:sz="0" w:space="0" w:color="auto"/>
      </w:divBdr>
    </w:div>
    <w:div w:id="1109081077">
      <w:bodyDiv w:val="1"/>
      <w:marLeft w:val="0"/>
      <w:marRight w:val="0"/>
      <w:marTop w:val="0"/>
      <w:marBottom w:val="0"/>
      <w:divBdr>
        <w:top w:val="none" w:sz="0" w:space="0" w:color="auto"/>
        <w:left w:val="none" w:sz="0" w:space="0" w:color="auto"/>
        <w:bottom w:val="none" w:sz="0" w:space="0" w:color="auto"/>
        <w:right w:val="none" w:sz="0" w:space="0" w:color="auto"/>
      </w:divBdr>
      <w:divsChild>
        <w:div w:id="1229652235">
          <w:marLeft w:val="0"/>
          <w:marRight w:val="0"/>
          <w:marTop w:val="0"/>
          <w:marBottom w:val="0"/>
          <w:divBdr>
            <w:top w:val="none" w:sz="0" w:space="0" w:color="auto"/>
            <w:left w:val="none" w:sz="0" w:space="0" w:color="auto"/>
            <w:bottom w:val="none" w:sz="0" w:space="0" w:color="auto"/>
            <w:right w:val="none" w:sz="0" w:space="0" w:color="auto"/>
          </w:divBdr>
        </w:div>
      </w:divsChild>
    </w:div>
    <w:div w:id="1110932529">
      <w:bodyDiv w:val="1"/>
      <w:marLeft w:val="0"/>
      <w:marRight w:val="0"/>
      <w:marTop w:val="0"/>
      <w:marBottom w:val="0"/>
      <w:divBdr>
        <w:top w:val="none" w:sz="0" w:space="0" w:color="auto"/>
        <w:left w:val="none" w:sz="0" w:space="0" w:color="auto"/>
        <w:bottom w:val="none" w:sz="0" w:space="0" w:color="auto"/>
        <w:right w:val="none" w:sz="0" w:space="0" w:color="auto"/>
      </w:divBdr>
    </w:div>
    <w:div w:id="1111166954">
      <w:bodyDiv w:val="1"/>
      <w:marLeft w:val="0"/>
      <w:marRight w:val="0"/>
      <w:marTop w:val="0"/>
      <w:marBottom w:val="0"/>
      <w:divBdr>
        <w:top w:val="none" w:sz="0" w:space="0" w:color="auto"/>
        <w:left w:val="none" w:sz="0" w:space="0" w:color="auto"/>
        <w:bottom w:val="none" w:sz="0" w:space="0" w:color="auto"/>
        <w:right w:val="none" w:sz="0" w:space="0" w:color="auto"/>
      </w:divBdr>
    </w:div>
    <w:div w:id="1112095746">
      <w:bodyDiv w:val="1"/>
      <w:marLeft w:val="0"/>
      <w:marRight w:val="0"/>
      <w:marTop w:val="0"/>
      <w:marBottom w:val="0"/>
      <w:divBdr>
        <w:top w:val="none" w:sz="0" w:space="0" w:color="auto"/>
        <w:left w:val="none" w:sz="0" w:space="0" w:color="auto"/>
        <w:bottom w:val="none" w:sz="0" w:space="0" w:color="auto"/>
        <w:right w:val="none" w:sz="0" w:space="0" w:color="auto"/>
      </w:divBdr>
    </w:div>
    <w:div w:id="1115566034">
      <w:bodyDiv w:val="1"/>
      <w:marLeft w:val="0"/>
      <w:marRight w:val="0"/>
      <w:marTop w:val="0"/>
      <w:marBottom w:val="0"/>
      <w:divBdr>
        <w:top w:val="none" w:sz="0" w:space="0" w:color="auto"/>
        <w:left w:val="none" w:sz="0" w:space="0" w:color="auto"/>
        <w:bottom w:val="none" w:sz="0" w:space="0" w:color="auto"/>
        <w:right w:val="none" w:sz="0" w:space="0" w:color="auto"/>
      </w:divBdr>
    </w:div>
    <w:div w:id="1128545473">
      <w:bodyDiv w:val="1"/>
      <w:marLeft w:val="0"/>
      <w:marRight w:val="0"/>
      <w:marTop w:val="0"/>
      <w:marBottom w:val="0"/>
      <w:divBdr>
        <w:top w:val="none" w:sz="0" w:space="0" w:color="auto"/>
        <w:left w:val="none" w:sz="0" w:space="0" w:color="auto"/>
        <w:bottom w:val="none" w:sz="0" w:space="0" w:color="auto"/>
        <w:right w:val="none" w:sz="0" w:space="0" w:color="auto"/>
      </w:divBdr>
    </w:div>
    <w:div w:id="1131285474">
      <w:bodyDiv w:val="1"/>
      <w:marLeft w:val="0"/>
      <w:marRight w:val="0"/>
      <w:marTop w:val="0"/>
      <w:marBottom w:val="0"/>
      <w:divBdr>
        <w:top w:val="none" w:sz="0" w:space="0" w:color="auto"/>
        <w:left w:val="none" w:sz="0" w:space="0" w:color="auto"/>
        <w:bottom w:val="none" w:sz="0" w:space="0" w:color="auto"/>
        <w:right w:val="none" w:sz="0" w:space="0" w:color="auto"/>
      </w:divBdr>
    </w:div>
    <w:div w:id="1137722160">
      <w:bodyDiv w:val="1"/>
      <w:marLeft w:val="0"/>
      <w:marRight w:val="0"/>
      <w:marTop w:val="0"/>
      <w:marBottom w:val="0"/>
      <w:divBdr>
        <w:top w:val="none" w:sz="0" w:space="0" w:color="auto"/>
        <w:left w:val="none" w:sz="0" w:space="0" w:color="auto"/>
        <w:bottom w:val="none" w:sz="0" w:space="0" w:color="auto"/>
        <w:right w:val="none" w:sz="0" w:space="0" w:color="auto"/>
      </w:divBdr>
    </w:div>
    <w:div w:id="1140995136">
      <w:bodyDiv w:val="1"/>
      <w:marLeft w:val="0"/>
      <w:marRight w:val="0"/>
      <w:marTop w:val="0"/>
      <w:marBottom w:val="0"/>
      <w:divBdr>
        <w:top w:val="none" w:sz="0" w:space="0" w:color="auto"/>
        <w:left w:val="none" w:sz="0" w:space="0" w:color="auto"/>
        <w:bottom w:val="none" w:sz="0" w:space="0" w:color="auto"/>
        <w:right w:val="none" w:sz="0" w:space="0" w:color="auto"/>
      </w:divBdr>
    </w:div>
    <w:div w:id="1144851965">
      <w:bodyDiv w:val="1"/>
      <w:marLeft w:val="0"/>
      <w:marRight w:val="0"/>
      <w:marTop w:val="0"/>
      <w:marBottom w:val="0"/>
      <w:divBdr>
        <w:top w:val="none" w:sz="0" w:space="0" w:color="auto"/>
        <w:left w:val="none" w:sz="0" w:space="0" w:color="auto"/>
        <w:bottom w:val="none" w:sz="0" w:space="0" w:color="auto"/>
        <w:right w:val="none" w:sz="0" w:space="0" w:color="auto"/>
      </w:divBdr>
    </w:div>
    <w:div w:id="1145315217">
      <w:bodyDiv w:val="1"/>
      <w:marLeft w:val="0"/>
      <w:marRight w:val="0"/>
      <w:marTop w:val="0"/>
      <w:marBottom w:val="0"/>
      <w:divBdr>
        <w:top w:val="none" w:sz="0" w:space="0" w:color="auto"/>
        <w:left w:val="none" w:sz="0" w:space="0" w:color="auto"/>
        <w:bottom w:val="none" w:sz="0" w:space="0" w:color="auto"/>
        <w:right w:val="none" w:sz="0" w:space="0" w:color="auto"/>
      </w:divBdr>
    </w:div>
    <w:div w:id="1155681157">
      <w:bodyDiv w:val="1"/>
      <w:marLeft w:val="0"/>
      <w:marRight w:val="0"/>
      <w:marTop w:val="0"/>
      <w:marBottom w:val="0"/>
      <w:divBdr>
        <w:top w:val="none" w:sz="0" w:space="0" w:color="auto"/>
        <w:left w:val="none" w:sz="0" w:space="0" w:color="auto"/>
        <w:bottom w:val="none" w:sz="0" w:space="0" w:color="auto"/>
        <w:right w:val="none" w:sz="0" w:space="0" w:color="auto"/>
      </w:divBdr>
    </w:div>
    <w:div w:id="1155998985">
      <w:bodyDiv w:val="1"/>
      <w:marLeft w:val="0"/>
      <w:marRight w:val="0"/>
      <w:marTop w:val="0"/>
      <w:marBottom w:val="0"/>
      <w:divBdr>
        <w:top w:val="none" w:sz="0" w:space="0" w:color="auto"/>
        <w:left w:val="none" w:sz="0" w:space="0" w:color="auto"/>
        <w:bottom w:val="none" w:sz="0" w:space="0" w:color="auto"/>
        <w:right w:val="none" w:sz="0" w:space="0" w:color="auto"/>
      </w:divBdr>
    </w:div>
    <w:div w:id="1164666353">
      <w:bodyDiv w:val="1"/>
      <w:marLeft w:val="0"/>
      <w:marRight w:val="0"/>
      <w:marTop w:val="0"/>
      <w:marBottom w:val="0"/>
      <w:divBdr>
        <w:top w:val="none" w:sz="0" w:space="0" w:color="auto"/>
        <w:left w:val="none" w:sz="0" w:space="0" w:color="auto"/>
        <w:bottom w:val="none" w:sz="0" w:space="0" w:color="auto"/>
        <w:right w:val="none" w:sz="0" w:space="0" w:color="auto"/>
      </w:divBdr>
    </w:div>
    <w:div w:id="1170486521">
      <w:bodyDiv w:val="1"/>
      <w:marLeft w:val="0"/>
      <w:marRight w:val="0"/>
      <w:marTop w:val="0"/>
      <w:marBottom w:val="0"/>
      <w:divBdr>
        <w:top w:val="none" w:sz="0" w:space="0" w:color="auto"/>
        <w:left w:val="none" w:sz="0" w:space="0" w:color="auto"/>
        <w:bottom w:val="none" w:sz="0" w:space="0" w:color="auto"/>
        <w:right w:val="none" w:sz="0" w:space="0" w:color="auto"/>
      </w:divBdr>
    </w:div>
    <w:div w:id="1173841893">
      <w:bodyDiv w:val="1"/>
      <w:marLeft w:val="0"/>
      <w:marRight w:val="0"/>
      <w:marTop w:val="0"/>
      <w:marBottom w:val="0"/>
      <w:divBdr>
        <w:top w:val="none" w:sz="0" w:space="0" w:color="auto"/>
        <w:left w:val="none" w:sz="0" w:space="0" w:color="auto"/>
        <w:bottom w:val="none" w:sz="0" w:space="0" w:color="auto"/>
        <w:right w:val="none" w:sz="0" w:space="0" w:color="auto"/>
      </w:divBdr>
    </w:div>
    <w:div w:id="1177960377">
      <w:bodyDiv w:val="1"/>
      <w:marLeft w:val="0"/>
      <w:marRight w:val="0"/>
      <w:marTop w:val="0"/>
      <w:marBottom w:val="0"/>
      <w:divBdr>
        <w:top w:val="none" w:sz="0" w:space="0" w:color="auto"/>
        <w:left w:val="none" w:sz="0" w:space="0" w:color="auto"/>
        <w:bottom w:val="none" w:sz="0" w:space="0" w:color="auto"/>
        <w:right w:val="none" w:sz="0" w:space="0" w:color="auto"/>
      </w:divBdr>
    </w:div>
    <w:div w:id="1180195469">
      <w:bodyDiv w:val="1"/>
      <w:marLeft w:val="0"/>
      <w:marRight w:val="0"/>
      <w:marTop w:val="0"/>
      <w:marBottom w:val="0"/>
      <w:divBdr>
        <w:top w:val="none" w:sz="0" w:space="0" w:color="auto"/>
        <w:left w:val="none" w:sz="0" w:space="0" w:color="auto"/>
        <w:bottom w:val="none" w:sz="0" w:space="0" w:color="auto"/>
        <w:right w:val="none" w:sz="0" w:space="0" w:color="auto"/>
      </w:divBdr>
    </w:div>
    <w:div w:id="1182553652">
      <w:bodyDiv w:val="1"/>
      <w:marLeft w:val="0"/>
      <w:marRight w:val="0"/>
      <w:marTop w:val="0"/>
      <w:marBottom w:val="0"/>
      <w:divBdr>
        <w:top w:val="none" w:sz="0" w:space="0" w:color="auto"/>
        <w:left w:val="none" w:sz="0" w:space="0" w:color="auto"/>
        <w:bottom w:val="none" w:sz="0" w:space="0" w:color="auto"/>
        <w:right w:val="none" w:sz="0" w:space="0" w:color="auto"/>
      </w:divBdr>
    </w:div>
    <w:div w:id="1184319895">
      <w:bodyDiv w:val="1"/>
      <w:marLeft w:val="0"/>
      <w:marRight w:val="0"/>
      <w:marTop w:val="0"/>
      <w:marBottom w:val="0"/>
      <w:divBdr>
        <w:top w:val="none" w:sz="0" w:space="0" w:color="auto"/>
        <w:left w:val="none" w:sz="0" w:space="0" w:color="auto"/>
        <w:bottom w:val="none" w:sz="0" w:space="0" w:color="auto"/>
        <w:right w:val="none" w:sz="0" w:space="0" w:color="auto"/>
      </w:divBdr>
    </w:div>
    <w:div w:id="1186015650">
      <w:bodyDiv w:val="1"/>
      <w:marLeft w:val="0"/>
      <w:marRight w:val="0"/>
      <w:marTop w:val="0"/>
      <w:marBottom w:val="0"/>
      <w:divBdr>
        <w:top w:val="none" w:sz="0" w:space="0" w:color="auto"/>
        <w:left w:val="none" w:sz="0" w:space="0" w:color="auto"/>
        <w:bottom w:val="none" w:sz="0" w:space="0" w:color="auto"/>
        <w:right w:val="none" w:sz="0" w:space="0" w:color="auto"/>
      </w:divBdr>
    </w:div>
    <w:div w:id="1196963654">
      <w:bodyDiv w:val="1"/>
      <w:marLeft w:val="0"/>
      <w:marRight w:val="0"/>
      <w:marTop w:val="0"/>
      <w:marBottom w:val="0"/>
      <w:divBdr>
        <w:top w:val="none" w:sz="0" w:space="0" w:color="auto"/>
        <w:left w:val="none" w:sz="0" w:space="0" w:color="auto"/>
        <w:bottom w:val="none" w:sz="0" w:space="0" w:color="auto"/>
        <w:right w:val="none" w:sz="0" w:space="0" w:color="auto"/>
      </w:divBdr>
    </w:div>
    <w:div w:id="1204515462">
      <w:bodyDiv w:val="1"/>
      <w:marLeft w:val="0"/>
      <w:marRight w:val="0"/>
      <w:marTop w:val="0"/>
      <w:marBottom w:val="0"/>
      <w:divBdr>
        <w:top w:val="none" w:sz="0" w:space="0" w:color="auto"/>
        <w:left w:val="none" w:sz="0" w:space="0" w:color="auto"/>
        <w:bottom w:val="none" w:sz="0" w:space="0" w:color="auto"/>
        <w:right w:val="none" w:sz="0" w:space="0" w:color="auto"/>
      </w:divBdr>
    </w:div>
    <w:div w:id="1207335149">
      <w:bodyDiv w:val="1"/>
      <w:marLeft w:val="0"/>
      <w:marRight w:val="0"/>
      <w:marTop w:val="0"/>
      <w:marBottom w:val="0"/>
      <w:divBdr>
        <w:top w:val="none" w:sz="0" w:space="0" w:color="auto"/>
        <w:left w:val="none" w:sz="0" w:space="0" w:color="auto"/>
        <w:bottom w:val="none" w:sz="0" w:space="0" w:color="auto"/>
        <w:right w:val="none" w:sz="0" w:space="0" w:color="auto"/>
      </w:divBdr>
    </w:div>
    <w:div w:id="1213074087">
      <w:bodyDiv w:val="1"/>
      <w:marLeft w:val="0"/>
      <w:marRight w:val="0"/>
      <w:marTop w:val="0"/>
      <w:marBottom w:val="0"/>
      <w:divBdr>
        <w:top w:val="none" w:sz="0" w:space="0" w:color="auto"/>
        <w:left w:val="none" w:sz="0" w:space="0" w:color="auto"/>
        <w:bottom w:val="none" w:sz="0" w:space="0" w:color="auto"/>
        <w:right w:val="none" w:sz="0" w:space="0" w:color="auto"/>
      </w:divBdr>
    </w:div>
    <w:div w:id="1231505473">
      <w:bodyDiv w:val="1"/>
      <w:marLeft w:val="0"/>
      <w:marRight w:val="0"/>
      <w:marTop w:val="0"/>
      <w:marBottom w:val="0"/>
      <w:divBdr>
        <w:top w:val="none" w:sz="0" w:space="0" w:color="auto"/>
        <w:left w:val="none" w:sz="0" w:space="0" w:color="auto"/>
        <w:bottom w:val="none" w:sz="0" w:space="0" w:color="auto"/>
        <w:right w:val="none" w:sz="0" w:space="0" w:color="auto"/>
      </w:divBdr>
    </w:div>
    <w:div w:id="1253856963">
      <w:bodyDiv w:val="1"/>
      <w:marLeft w:val="0"/>
      <w:marRight w:val="0"/>
      <w:marTop w:val="0"/>
      <w:marBottom w:val="0"/>
      <w:divBdr>
        <w:top w:val="none" w:sz="0" w:space="0" w:color="auto"/>
        <w:left w:val="none" w:sz="0" w:space="0" w:color="auto"/>
        <w:bottom w:val="none" w:sz="0" w:space="0" w:color="auto"/>
        <w:right w:val="none" w:sz="0" w:space="0" w:color="auto"/>
      </w:divBdr>
    </w:div>
    <w:div w:id="1261061069">
      <w:bodyDiv w:val="1"/>
      <w:marLeft w:val="0"/>
      <w:marRight w:val="0"/>
      <w:marTop w:val="0"/>
      <w:marBottom w:val="0"/>
      <w:divBdr>
        <w:top w:val="none" w:sz="0" w:space="0" w:color="auto"/>
        <w:left w:val="none" w:sz="0" w:space="0" w:color="auto"/>
        <w:bottom w:val="none" w:sz="0" w:space="0" w:color="auto"/>
        <w:right w:val="none" w:sz="0" w:space="0" w:color="auto"/>
      </w:divBdr>
    </w:div>
    <w:div w:id="1262686398">
      <w:bodyDiv w:val="1"/>
      <w:marLeft w:val="0"/>
      <w:marRight w:val="0"/>
      <w:marTop w:val="0"/>
      <w:marBottom w:val="0"/>
      <w:divBdr>
        <w:top w:val="none" w:sz="0" w:space="0" w:color="auto"/>
        <w:left w:val="none" w:sz="0" w:space="0" w:color="auto"/>
        <w:bottom w:val="none" w:sz="0" w:space="0" w:color="auto"/>
        <w:right w:val="none" w:sz="0" w:space="0" w:color="auto"/>
      </w:divBdr>
    </w:div>
    <w:div w:id="1271888953">
      <w:bodyDiv w:val="1"/>
      <w:marLeft w:val="0"/>
      <w:marRight w:val="0"/>
      <w:marTop w:val="0"/>
      <w:marBottom w:val="0"/>
      <w:divBdr>
        <w:top w:val="none" w:sz="0" w:space="0" w:color="auto"/>
        <w:left w:val="none" w:sz="0" w:space="0" w:color="auto"/>
        <w:bottom w:val="none" w:sz="0" w:space="0" w:color="auto"/>
        <w:right w:val="none" w:sz="0" w:space="0" w:color="auto"/>
      </w:divBdr>
    </w:div>
    <w:div w:id="1280529608">
      <w:bodyDiv w:val="1"/>
      <w:marLeft w:val="0"/>
      <w:marRight w:val="0"/>
      <w:marTop w:val="0"/>
      <w:marBottom w:val="0"/>
      <w:divBdr>
        <w:top w:val="none" w:sz="0" w:space="0" w:color="auto"/>
        <w:left w:val="none" w:sz="0" w:space="0" w:color="auto"/>
        <w:bottom w:val="none" w:sz="0" w:space="0" w:color="auto"/>
        <w:right w:val="none" w:sz="0" w:space="0" w:color="auto"/>
      </w:divBdr>
    </w:div>
    <w:div w:id="1285842037">
      <w:bodyDiv w:val="1"/>
      <w:marLeft w:val="0"/>
      <w:marRight w:val="0"/>
      <w:marTop w:val="0"/>
      <w:marBottom w:val="0"/>
      <w:divBdr>
        <w:top w:val="none" w:sz="0" w:space="0" w:color="auto"/>
        <w:left w:val="none" w:sz="0" w:space="0" w:color="auto"/>
        <w:bottom w:val="none" w:sz="0" w:space="0" w:color="auto"/>
        <w:right w:val="none" w:sz="0" w:space="0" w:color="auto"/>
      </w:divBdr>
    </w:div>
    <w:div w:id="1290549071">
      <w:bodyDiv w:val="1"/>
      <w:marLeft w:val="0"/>
      <w:marRight w:val="0"/>
      <w:marTop w:val="0"/>
      <w:marBottom w:val="0"/>
      <w:divBdr>
        <w:top w:val="none" w:sz="0" w:space="0" w:color="auto"/>
        <w:left w:val="none" w:sz="0" w:space="0" w:color="auto"/>
        <w:bottom w:val="none" w:sz="0" w:space="0" w:color="auto"/>
        <w:right w:val="none" w:sz="0" w:space="0" w:color="auto"/>
      </w:divBdr>
    </w:div>
    <w:div w:id="1290741186">
      <w:bodyDiv w:val="1"/>
      <w:marLeft w:val="0"/>
      <w:marRight w:val="0"/>
      <w:marTop w:val="0"/>
      <w:marBottom w:val="0"/>
      <w:divBdr>
        <w:top w:val="none" w:sz="0" w:space="0" w:color="auto"/>
        <w:left w:val="none" w:sz="0" w:space="0" w:color="auto"/>
        <w:bottom w:val="none" w:sz="0" w:space="0" w:color="auto"/>
        <w:right w:val="none" w:sz="0" w:space="0" w:color="auto"/>
      </w:divBdr>
    </w:div>
    <w:div w:id="1301306744">
      <w:bodyDiv w:val="1"/>
      <w:marLeft w:val="0"/>
      <w:marRight w:val="0"/>
      <w:marTop w:val="0"/>
      <w:marBottom w:val="0"/>
      <w:divBdr>
        <w:top w:val="none" w:sz="0" w:space="0" w:color="auto"/>
        <w:left w:val="none" w:sz="0" w:space="0" w:color="auto"/>
        <w:bottom w:val="none" w:sz="0" w:space="0" w:color="auto"/>
        <w:right w:val="none" w:sz="0" w:space="0" w:color="auto"/>
      </w:divBdr>
    </w:div>
    <w:div w:id="1308167326">
      <w:bodyDiv w:val="1"/>
      <w:marLeft w:val="0"/>
      <w:marRight w:val="0"/>
      <w:marTop w:val="0"/>
      <w:marBottom w:val="0"/>
      <w:divBdr>
        <w:top w:val="none" w:sz="0" w:space="0" w:color="auto"/>
        <w:left w:val="none" w:sz="0" w:space="0" w:color="auto"/>
        <w:bottom w:val="none" w:sz="0" w:space="0" w:color="auto"/>
        <w:right w:val="none" w:sz="0" w:space="0" w:color="auto"/>
      </w:divBdr>
    </w:div>
    <w:div w:id="1308896349">
      <w:bodyDiv w:val="1"/>
      <w:marLeft w:val="0"/>
      <w:marRight w:val="0"/>
      <w:marTop w:val="0"/>
      <w:marBottom w:val="0"/>
      <w:divBdr>
        <w:top w:val="none" w:sz="0" w:space="0" w:color="auto"/>
        <w:left w:val="none" w:sz="0" w:space="0" w:color="auto"/>
        <w:bottom w:val="none" w:sz="0" w:space="0" w:color="auto"/>
        <w:right w:val="none" w:sz="0" w:space="0" w:color="auto"/>
      </w:divBdr>
    </w:div>
    <w:div w:id="1309821101">
      <w:bodyDiv w:val="1"/>
      <w:marLeft w:val="0"/>
      <w:marRight w:val="0"/>
      <w:marTop w:val="0"/>
      <w:marBottom w:val="0"/>
      <w:divBdr>
        <w:top w:val="none" w:sz="0" w:space="0" w:color="auto"/>
        <w:left w:val="none" w:sz="0" w:space="0" w:color="auto"/>
        <w:bottom w:val="none" w:sz="0" w:space="0" w:color="auto"/>
        <w:right w:val="none" w:sz="0" w:space="0" w:color="auto"/>
      </w:divBdr>
    </w:div>
    <w:div w:id="1310594651">
      <w:bodyDiv w:val="1"/>
      <w:marLeft w:val="0"/>
      <w:marRight w:val="0"/>
      <w:marTop w:val="0"/>
      <w:marBottom w:val="0"/>
      <w:divBdr>
        <w:top w:val="none" w:sz="0" w:space="0" w:color="auto"/>
        <w:left w:val="none" w:sz="0" w:space="0" w:color="auto"/>
        <w:bottom w:val="none" w:sz="0" w:space="0" w:color="auto"/>
        <w:right w:val="none" w:sz="0" w:space="0" w:color="auto"/>
      </w:divBdr>
    </w:div>
    <w:div w:id="1316688547">
      <w:bodyDiv w:val="1"/>
      <w:marLeft w:val="0"/>
      <w:marRight w:val="0"/>
      <w:marTop w:val="0"/>
      <w:marBottom w:val="0"/>
      <w:divBdr>
        <w:top w:val="none" w:sz="0" w:space="0" w:color="auto"/>
        <w:left w:val="none" w:sz="0" w:space="0" w:color="auto"/>
        <w:bottom w:val="none" w:sz="0" w:space="0" w:color="auto"/>
        <w:right w:val="none" w:sz="0" w:space="0" w:color="auto"/>
      </w:divBdr>
    </w:div>
    <w:div w:id="1323388545">
      <w:bodyDiv w:val="1"/>
      <w:marLeft w:val="0"/>
      <w:marRight w:val="0"/>
      <w:marTop w:val="0"/>
      <w:marBottom w:val="0"/>
      <w:divBdr>
        <w:top w:val="none" w:sz="0" w:space="0" w:color="auto"/>
        <w:left w:val="none" w:sz="0" w:space="0" w:color="auto"/>
        <w:bottom w:val="none" w:sz="0" w:space="0" w:color="auto"/>
        <w:right w:val="none" w:sz="0" w:space="0" w:color="auto"/>
      </w:divBdr>
    </w:div>
    <w:div w:id="1331103110">
      <w:bodyDiv w:val="1"/>
      <w:marLeft w:val="0"/>
      <w:marRight w:val="0"/>
      <w:marTop w:val="0"/>
      <w:marBottom w:val="0"/>
      <w:divBdr>
        <w:top w:val="none" w:sz="0" w:space="0" w:color="auto"/>
        <w:left w:val="none" w:sz="0" w:space="0" w:color="auto"/>
        <w:bottom w:val="none" w:sz="0" w:space="0" w:color="auto"/>
        <w:right w:val="none" w:sz="0" w:space="0" w:color="auto"/>
      </w:divBdr>
    </w:div>
    <w:div w:id="1334914209">
      <w:bodyDiv w:val="1"/>
      <w:marLeft w:val="0"/>
      <w:marRight w:val="0"/>
      <w:marTop w:val="0"/>
      <w:marBottom w:val="0"/>
      <w:divBdr>
        <w:top w:val="none" w:sz="0" w:space="0" w:color="auto"/>
        <w:left w:val="none" w:sz="0" w:space="0" w:color="auto"/>
        <w:bottom w:val="none" w:sz="0" w:space="0" w:color="auto"/>
        <w:right w:val="none" w:sz="0" w:space="0" w:color="auto"/>
      </w:divBdr>
    </w:div>
    <w:div w:id="1337490322">
      <w:bodyDiv w:val="1"/>
      <w:marLeft w:val="0"/>
      <w:marRight w:val="0"/>
      <w:marTop w:val="0"/>
      <w:marBottom w:val="0"/>
      <w:divBdr>
        <w:top w:val="none" w:sz="0" w:space="0" w:color="auto"/>
        <w:left w:val="none" w:sz="0" w:space="0" w:color="auto"/>
        <w:bottom w:val="none" w:sz="0" w:space="0" w:color="auto"/>
        <w:right w:val="none" w:sz="0" w:space="0" w:color="auto"/>
      </w:divBdr>
    </w:div>
    <w:div w:id="1339573569">
      <w:bodyDiv w:val="1"/>
      <w:marLeft w:val="0"/>
      <w:marRight w:val="0"/>
      <w:marTop w:val="0"/>
      <w:marBottom w:val="0"/>
      <w:divBdr>
        <w:top w:val="none" w:sz="0" w:space="0" w:color="auto"/>
        <w:left w:val="none" w:sz="0" w:space="0" w:color="auto"/>
        <w:bottom w:val="none" w:sz="0" w:space="0" w:color="auto"/>
        <w:right w:val="none" w:sz="0" w:space="0" w:color="auto"/>
      </w:divBdr>
    </w:div>
    <w:div w:id="1339819034">
      <w:bodyDiv w:val="1"/>
      <w:marLeft w:val="0"/>
      <w:marRight w:val="0"/>
      <w:marTop w:val="0"/>
      <w:marBottom w:val="0"/>
      <w:divBdr>
        <w:top w:val="none" w:sz="0" w:space="0" w:color="auto"/>
        <w:left w:val="none" w:sz="0" w:space="0" w:color="auto"/>
        <w:bottom w:val="none" w:sz="0" w:space="0" w:color="auto"/>
        <w:right w:val="none" w:sz="0" w:space="0" w:color="auto"/>
      </w:divBdr>
    </w:div>
    <w:div w:id="1343360475">
      <w:bodyDiv w:val="1"/>
      <w:marLeft w:val="0"/>
      <w:marRight w:val="0"/>
      <w:marTop w:val="0"/>
      <w:marBottom w:val="0"/>
      <w:divBdr>
        <w:top w:val="none" w:sz="0" w:space="0" w:color="auto"/>
        <w:left w:val="none" w:sz="0" w:space="0" w:color="auto"/>
        <w:bottom w:val="none" w:sz="0" w:space="0" w:color="auto"/>
        <w:right w:val="none" w:sz="0" w:space="0" w:color="auto"/>
      </w:divBdr>
    </w:div>
    <w:div w:id="1349597755">
      <w:bodyDiv w:val="1"/>
      <w:marLeft w:val="0"/>
      <w:marRight w:val="0"/>
      <w:marTop w:val="0"/>
      <w:marBottom w:val="0"/>
      <w:divBdr>
        <w:top w:val="none" w:sz="0" w:space="0" w:color="auto"/>
        <w:left w:val="none" w:sz="0" w:space="0" w:color="auto"/>
        <w:bottom w:val="none" w:sz="0" w:space="0" w:color="auto"/>
        <w:right w:val="none" w:sz="0" w:space="0" w:color="auto"/>
      </w:divBdr>
    </w:div>
    <w:div w:id="1349914609">
      <w:bodyDiv w:val="1"/>
      <w:marLeft w:val="0"/>
      <w:marRight w:val="0"/>
      <w:marTop w:val="0"/>
      <w:marBottom w:val="0"/>
      <w:divBdr>
        <w:top w:val="none" w:sz="0" w:space="0" w:color="auto"/>
        <w:left w:val="none" w:sz="0" w:space="0" w:color="auto"/>
        <w:bottom w:val="none" w:sz="0" w:space="0" w:color="auto"/>
        <w:right w:val="none" w:sz="0" w:space="0" w:color="auto"/>
      </w:divBdr>
    </w:div>
    <w:div w:id="1353264768">
      <w:bodyDiv w:val="1"/>
      <w:marLeft w:val="0"/>
      <w:marRight w:val="0"/>
      <w:marTop w:val="0"/>
      <w:marBottom w:val="0"/>
      <w:divBdr>
        <w:top w:val="none" w:sz="0" w:space="0" w:color="auto"/>
        <w:left w:val="none" w:sz="0" w:space="0" w:color="auto"/>
        <w:bottom w:val="none" w:sz="0" w:space="0" w:color="auto"/>
        <w:right w:val="none" w:sz="0" w:space="0" w:color="auto"/>
      </w:divBdr>
    </w:div>
    <w:div w:id="1356737158">
      <w:bodyDiv w:val="1"/>
      <w:marLeft w:val="0"/>
      <w:marRight w:val="0"/>
      <w:marTop w:val="0"/>
      <w:marBottom w:val="0"/>
      <w:divBdr>
        <w:top w:val="none" w:sz="0" w:space="0" w:color="auto"/>
        <w:left w:val="none" w:sz="0" w:space="0" w:color="auto"/>
        <w:bottom w:val="none" w:sz="0" w:space="0" w:color="auto"/>
        <w:right w:val="none" w:sz="0" w:space="0" w:color="auto"/>
      </w:divBdr>
    </w:div>
    <w:div w:id="1367371916">
      <w:bodyDiv w:val="1"/>
      <w:marLeft w:val="0"/>
      <w:marRight w:val="0"/>
      <w:marTop w:val="0"/>
      <w:marBottom w:val="0"/>
      <w:divBdr>
        <w:top w:val="none" w:sz="0" w:space="0" w:color="auto"/>
        <w:left w:val="none" w:sz="0" w:space="0" w:color="auto"/>
        <w:bottom w:val="none" w:sz="0" w:space="0" w:color="auto"/>
        <w:right w:val="none" w:sz="0" w:space="0" w:color="auto"/>
      </w:divBdr>
    </w:div>
    <w:div w:id="1370490168">
      <w:bodyDiv w:val="1"/>
      <w:marLeft w:val="0"/>
      <w:marRight w:val="0"/>
      <w:marTop w:val="0"/>
      <w:marBottom w:val="0"/>
      <w:divBdr>
        <w:top w:val="none" w:sz="0" w:space="0" w:color="auto"/>
        <w:left w:val="none" w:sz="0" w:space="0" w:color="auto"/>
        <w:bottom w:val="none" w:sz="0" w:space="0" w:color="auto"/>
        <w:right w:val="none" w:sz="0" w:space="0" w:color="auto"/>
      </w:divBdr>
    </w:div>
    <w:div w:id="1372421724">
      <w:bodyDiv w:val="1"/>
      <w:marLeft w:val="0"/>
      <w:marRight w:val="0"/>
      <w:marTop w:val="0"/>
      <w:marBottom w:val="0"/>
      <w:divBdr>
        <w:top w:val="none" w:sz="0" w:space="0" w:color="auto"/>
        <w:left w:val="none" w:sz="0" w:space="0" w:color="auto"/>
        <w:bottom w:val="none" w:sz="0" w:space="0" w:color="auto"/>
        <w:right w:val="none" w:sz="0" w:space="0" w:color="auto"/>
      </w:divBdr>
    </w:div>
    <w:div w:id="1374378530">
      <w:bodyDiv w:val="1"/>
      <w:marLeft w:val="0"/>
      <w:marRight w:val="0"/>
      <w:marTop w:val="0"/>
      <w:marBottom w:val="0"/>
      <w:divBdr>
        <w:top w:val="none" w:sz="0" w:space="0" w:color="auto"/>
        <w:left w:val="none" w:sz="0" w:space="0" w:color="auto"/>
        <w:bottom w:val="none" w:sz="0" w:space="0" w:color="auto"/>
        <w:right w:val="none" w:sz="0" w:space="0" w:color="auto"/>
      </w:divBdr>
    </w:div>
    <w:div w:id="1381050064">
      <w:bodyDiv w:val="1"/>
      <w:marLeft w:val="0"/>
      <w:marRight w:val="0"/>
      <w:marTop w:val="0"/>
      <w:marBottom w:val="0"/>
      <w:divBdr>
        <w:top w:val="none" w:sz="0" w:space="0" w:color="auto"/>
        <w:left w:val="none" w:sz="0" w:space="0" w:color="auto"/>
        <w:bottom w:val="none" w:sz="0" w:space="0" w:color="auto"/>
        <w:right w:val="none" w:sz="0" w:space="0" w:color="auto"/>
      </w:divBdr>
    </w:div>
    <w:div w:id="1384669863">
      <w:bodyDiv w:val="1"/>
      <w:marLeft w:val="0"/>
      <w:marRight w:val="0"/>
      <w:marTop w:val="0"/>
      <w:marBottom w:val="0"/>
      <w:divBdr>
        <w:top w:val="none" w:sz="0" w:space="0" w:color="auto"/>
        <w:left w:val="none" w:sz="0" w:space="0" w:color="auto"/>
        <w:bottom w:val="none" w:sz="0" w:space="0" w:color="auto"/>
        <w:right w:val="none" w:sz="0" w:space="0" w:color="auto"/>
      </w:divBdr>
    </w:div>
    <w:div w:id="1385790727">
      <w:bodyDiv w:val="1"/>
      <w:marLeft w:val="0"/>
      <w:marRight w:val="0"/>
      <w:marTop w:val="0"/>
      <w:marBottom w:val="0"/>
      <w:divBdr>
        <w:top w:val="none" w:sz="0" w:space="0" w:color="auto"/>
        <w:left w:val="none" w:sz="0" w:space="0" w:color="auto"/>
        <w:bottom w:val="none" w:sz="0" w:space="0" w:color="auto"/>
        <w:right w:val="none" w:sz="0" w:space="0" w:color="auto"/>
      </w:divBdr>
    </w:div>
    <w:div w:id="1387879023">
      <w:bodyDiv w:val="1"/>
      <w:marLeft w:val="0"/>
      <w:marRight w:val="0"/>
      <w:marTop w:val="0"/>
      <w:marBottom w:val="0"/>
      <w:divBdr>
        <w:top w:val="none" w:sz="0" w:space="0" w:color="auto"/>
        <w:left w:val="none" w:sz="0" w:space="0" w:color="auto"/>
        <w:bottom w:val="none" w:sz="0" w:space="0" w:color="auto"/>
        <w:right w:val="none" w:sz="0" w:space="0" w:color="auto"/>
      </w:divBdr>
    </w:div>
    <w:div w:id="1391149383">
      <w:bodyDiv w:val="1"/>
      <w:marLeft w:val="0"/>
      <w:marRight w:val="0"/>
      <w:marTop w:val="0"/>
      <w:marBottom w:val="0"/>
      <w:divBdr>
        <w:top w:val="none" w:sz="0" w:space="0" w:color="auto"/>
        <w:left w:val="none" w:sz="0" w:space="0" w:color="auto"/>
        <w:bottom w:val="none" w:sz="0" w:space="0" w:color="auto"/>
        <w:right w:val="none" w:sz="0" w:space="0" w:color="auto"/>
      </w:divBdr>
    </w:div>
    <w:div w:id="1397895981">
      <w:bodyDiv w:val="1"/>
      <w:marLeft w:val="0"/>
      <w:marRight w:val="0"/>
      <w:marTop w:val="0"/>
      <w:marBottom w:val="0"/>
      <w:divBdr>
        <w:top w:val="none" w:sz="0" w:space="0" w:color="auto"/>
        <w:left w:val="none" w:sz="0" w:space="0" w:color="auto"/>
        <w:bottom w:val="none" w:sz="0" w:space="0" w:color="auto"/>
        <w:right w:val="none" w:sz="0" w:space="0" w:color="auto"/>
      </w:divBdr>
    </w:div>
    <w:div w:id="1407073758">
      <w:bodyDiv w:val="1"/>
      <w:marLeft w:val="0"/>
      <w:marRight w:val="0"/>
      <w:marTop w:val="0"/>
      <w:marBottom w:val="0"/>
      <w:divBdr>
        <w:top w:val="none" w:sz="0" w:space="0" w:color="auto"/>
        <w:left w:val="none" w:sz="0" w:space="0" w:color="auto"/>
        <w:bottom w:val="none" w:sz="0" w:space="0" w:color="auto"/>
        <w:right w:val="none" w:sz="0" w:space="0" w:color="auto"/>
      </w:divBdr>
    </w:div>
    <w:div w:id="1408965069">
      <w:bodyDiv w:val="1"/>
      <w:marLeft w:val="0"/>
      <w:marRight w:val="0"/>
      <w:marTop w:val="0"/>
      <w:marBottom w:val="0"/>
      <w:divBdr>
        <w:top w:val="none" w:sz="0" w:space="0" w:color="auto"/>
        <w:left w:val="none" w:sz="0" w:space="0" w:color="auto"/>
        <w:bottom w:val="none" w:sz="0" w:space="0" w:color="auto"/>
        <w:right w:val="none" w:sz="0" w:space="0" w:color="auto"/>
      </w:divBdr>
    </w:div>
    <w:div w:id="1409424829">
      <w:bodyDiv w:val="1"/>
      <w:marLeft w:val="0"/>
      <w:marRight w:val="0"/>
      <w:marTop w:val="0"/>
      <w:marBottom w:val="0"/>
      <w:divBdr>
        <w:top w:val="none" w:sz="0" w:space="0" w:color="auto"/>
        <w:left w:val="none" w:sz="0" w:space="0" w:color="auto"/>
        <w:bottom w:val="none" w:sz="0" w:space="0" w:color="auto"/>
        <w:right w:val="none" w:sz="0" w:space="0" w:color="auto"/>
      </w:divBdr>
    </w:div>
    <w:div w:id="1411272805">
      <w:bodyDiv w:val="1"/>
      <w:marLeft w:val="0"/>
      <w:marRight w:val="0"/>
      <w:marTop w:val="0"/>
      <w:marBottom w:val="0"/>
      <w:divBdr>
        <w:top w:val="none" w:sz="0" w:space="0" w:color="auto"/>
        <w:left w:val="none" w:sz="0" w:space="0" w:color="auto"/>
        <w:bottom w:val="none" w:sz="0" w:space="0" w:color="auto"/>
        <w:right w:val="none" w:sz="0" w:space="0" w:color="auto"/>
      </w:divBdr>
    </w:div>
    <w:div w:id="1416897330">
      <w:bodyDiv w:val="1"/>
      <w:marLeft w:val="0"/>
      <w:marRight w:val="0"/>
      <w:marTop w:val="0"/>
      <w:marBottom w:val="0"/>
      <w:divBdr>
        <w:top w:val="none" w:sz="0" w:space="0" w:color="auto"/>
        <w:left w:val="none" w:sz="0" w:space="0" w:color="auto"/>
        <w:bottom w:val="none" w:sz="0" w:space="0" w:color="auto"/>
        <w:right w:val="none" w:sz="0" w:space="0" w:color="auto"/>
      </w:divBdr>
    </w:div>
    <w:div w:id="1422524468">
      <w:bodyDiv w:val="1"/>
      <w:marLeft w:val="0"/>
      <w:marRight w:val="0"/>
      <w:marTop w:val="0"/>
      <w:marBottom w:val="0"/>
      <w:divBdr>
        <w:top w:val="none" w:sz="0" w:space="0" w:color="auto"/>
        <w:left w:val="none" w:sz="0" w:space="0" w:color="auto"/>
        <w:bottom w:val="none" w:sz="0" w:space="0" w:color="auto"/>
        <w:right w:val="none" w:sz="0" w:space="0" w:color="auto"/>
      </w:divBdr>
    </w:div>
    <w:div w:id="1424494595">
      <w:bodyDiv w:val="1"/>
      <w:marLeft w:val="0"/>
      <w:marRight w:val="0"/>
      <w:marTop w:val="0"/>
      <w:marBottom w:val="0"/>
      <w:divBdr>
        <w:top w:val="none" w:sz="0" w:space="0" w:color="auto"/>
        <w:left w:val="none" w:sz="0" w:space="0" w:color="auto"/>
        <w:bottom w:val="none" w:sz="0" w:space="0" w:color="auto"/>
        <w:right w:val="none" w:sz="0" w:space="0" w:color="auto"/>
      </w:divBdr>
    </w:div>
    <w:div w:id="1427732001">
      <w:bodyDiv w:val="1"/>
      <w:marLeft w:val="0"/>
      <w:marRight w:val="0"/>
      <w:marTop w:val="0"/>
      <w:marBottom w:val="0"/>
      <w:divBdr>
        <w:top w:val="none" w:sz="0" w:space="0" w:color="auto"/>
        <w:left w:val="none" w:sz="0" w:space="0" w:color="auto"/>
        <w:bottom w:val="none" w:sz="0" w:space="0" w:color="auto"/>
        <w:right w:val="none" w:sz="0" w:space="0" w:color="auto"/>
      </w:divBdr>
    </w:div>
    <w:div w:id="1428234253">
      <w:bodyDiv w:val="1"/>
      <w:marLeft w:val="0"/>
      <w:marRight w:val="0"/>
      <w:marTop w:val="0"/>
      <w:marBottom w:val="0"/>
      <w:divBdr>
        <w:top w:val="none" w:sz="0" w:space="0" w:color="auto"/>
        <w:left w:val="none" w:sz="0" w:space="0" w:color="auto"/>
        <w:bottom w:val="none" w:sz="0" w:space="0" w:color="auto"/>
        <w:right w:val="none" w:sz="0" w:space="0" w:color="auto"/>
      </w:divBdr>
    </w:div>
    <w:div w:id="1429500329">
      <w:bodyDiv w:val="1"/>
      <w:marLeft w:val="0"/>
      <w:marRight w:val="0"/>
      <w:marTop w:val="0"/>
      <w:marBottom w:val="0"/>
      <w:divBdr>
        <w:top w:val="none" w:sz="0" w:space="0" w:color="auto"/>
        <w:left w:val="none" w:sz="0" w:space="0" w:color="auto"/>
        <w:bottom w:val="none" w:sz="0" w:space="0" w:color="auto"/>
        <w:right w:val="none" w:sz="0" w:space="0" w:color="auto"/>
      </w:divBdr>
    </w:div>
    <w:div w:id="1432504488">
      <w:bodyDiv w:val="1"/>
      <w:marLeft w:val="0"/>
      <w:marRight w:val="0"/>
      <w:marTop w:val="0"/>
      <w:marBottom w:val="0"/>
      <w:divBdr>
        <w:top w:val="none" w:sz="0" w:space="0" w:color="auto"/>
        <w:left w:val="none" w:sz="0" w:space="0" w:color="auto"/>
        <w:bottom w:val="none" w:sz="0" w:space="0" w:color="auto"/>
        <w:right w:val="none" w:sz="0" w:space="0" w:color="auto"/>
      </w:divBdr>
    </w:div>
    <w:div w:id="1434981522">
      <w:bodyDiv w:val="1"/>
      <w:marLeft w:val="0"/>
      <w:marRight w:val="0"/>
      <w:marTop w:val="0"/>
      <w:marBottom w:val="0"/>
      <w:divBdr>
        <w:top w:val="none" w:sz="0" w:space="0" w:color="auto"/>
        <w:left w:val="none" w:sz="0" w:space="0" w:color="auto"/>
        <w:bottom w:val="none" w:sz="0" w:space="0" w:color="auto"/>
        <w:right w:val="none" w:sz="0" w:space="0" w:color="auto"/>
      </w:divBdr>
    </w:div>
    <w:div w:id="1443914923">
      <w:bodyDiv w:val="1"/>
      <w:marLeft w:val="0"/>
      <w:marRight w:val="0"/>
      <w:marTop w:val="0"/>
      <w:marBottom w:val="0"/>
      <w:divBdr>
        <w:top w:val="none" w:sz="0" w:space="0" w:color="auto"/>
        <w:left w:val="none" w:sz="0" w:space="0" w:color="auto"/>
        <w:bottom w:val="none" w:sz="0" w:space="0" w:color="auto"/>
        <w:right w:val="none" w:sz="0" w:space="0" w:color="auto"/>
      </w:divBdr>
    </w:div>
    <w:div w:id="1444493870">
      <w:bodyDiv w:val="1"/>
      <w:marLeft w:val="0"/>
      <w:marRight w:val="0"/>
      <w:marTop w:val="0"/>
      <w:marBottom w:val="0"/>
      <w:divBdr>
        <w:top w:val="none" w:sz="0" w:space="0" w:color="auto"/>
        <w:left w:val="none" w:sz="0" w:space="0" w:color="auto"/>
        <w:bottom w:val="none" w:sz="0" w:space="0" w:color="auto"/>
        <w:right w:val="none" w:sz="0" w:space="0" w:color="auto"/>
      </w:divBdr>
    </w:div>
    <w:div w:id="1445272168">
      <w:bodyDiv w:val="1"/>
      <w:marLeft w:val="0"/>
      <w:marRight w:val="0"/>
      <w:marTop w:val="0"/>
      <w:marBottom w:val="0"/>
      <w:divBdr>
        <w:top w:val="none" w:sz="0" w:space="0" w:color="auto"/>
        <w:left w:val="none" w:sz="0" w:space="0" w:color="auto"/>
        <w:bottom w:val="none" w:sz="0" w:space="0" w:color="auto"/>
        <w:right w:val="none" w:sz="0" w:space="0" w:color="auto"/>
      </w:divBdr>
    </w:div>
    <w:div w:id="1449735137">
      <w:bodyDiv w:val="1"/>
      <w:marLeft w:val="0"/>
      <w:marRight w:val="0"/>
      <w:marTop w:val="0"/>
      <w:marBottom w:val="0"/>
      <w:divBdr>
        <w:top w:val="none" w:sz="0" w:space="0" w:color="auto"/>
        <w:left w:val="none" w:sz="0" w:space="0" w:color="auto"/>
        <w:bottom w:val="none" w:sz="0" w:space="0" w:color="auto"/>
        <w:right w:val="none" w:sz="0" w:space="0" w:color="auto"/>
      </w:divBdr>
    </w:div>
    <w:div w:id="1455057084">
      <w:bodyDiv w:val="1"/>
      <w:marLeft w:val="0"/>
      <w:marRight w:val="0"/>
      <w:marTop w:val="0"/>
      <w:marBottom w:val="0"/>
      <w:divBdr>
        <w:top w:val="none" w:sz="0" w:space="0" w:color="auto"/>
        <w:left w:val="none" w:sz="0" w:space="0" w:color="auto"/>
        <w:bottom w:val="none" w:sz="0" w:space="0" w:color="auto"/>
        <w:right w:val="none" w:sz="0" w:space="0" w:color="auto"/>
      </w:divBdr>
    </w:div>
    <w:div w:id="1465930422">
      <w:bodyDiv w:val="1"/>
      <w:marLeft w:val="0"/>
      <w:marRight w:val="0"/>
      <w:marTop w:val="0"/>
      <w:marBottom w:val="0"/>
      <w:divBdr>
        <w:top w:val="none" w:sz="0" w:space="0" w:color="auto"/>
        <w:left w:val="none" w:sz="0" w:space="0" w:color="auto"/>
        <w:bottom w:val="none" w:sz="0" w:space="0" w:color="auto"/>
        <w:right w:val="none" w:sz="0" w:space="0" w:color="auto"/>
      </w:divBdr>
    </w:div>
    <w:div w:id="1471824432">
      <w:bodyDiv w:val="1"/>
      <w:marLeft w:val="0"/>
      <w:marRight w:val="0"/>
      <w:marTop w:val="0"/>
      <w:marBottom w:val="0"/>
      <w:divBdr>
        <w:top w:val="none" w:sz="0" w:space="0" w:color="auto"/>
        <w:left w:val="none" w:sz="0" w:space="0" w:color="auto"/>
        <w:bottom w:val="none" w:sz="0" w:space="0" w:color="auto"/>
        <w:right w:val="none" w:sz="0" w:space="0" w:color="auto"/>
      </w:divBdr>
    </w:div>
    <w:div w:id="1475297108">
      <w:bodyDiv w:val="1"/>
      <w:marLeft w:val="0"/>
      <w:marRight w:val="0"/>
      <w:marTop w:val="0"/>
      <w:marBottom w:val="0"/>
      <w:divBdr>
        <w:top w:val="none" w:sz="0" w:space="0" w:color="auto"/>
        <w:left w:val="none" w:sz="0" w:space="0" w:color="auto"/>
        <w:bottom w:val="none" w:sz="0" w:space="0" w:color="auto"/>
        <w:right w:val="none" w:sz="0" w:space="0" w:color="auto"/>
      </w:divBdr>
    </w:div>
    <w:div w:id="1479954821">
      <w:bodyDiv w:val="1"/>
      <w:marLeft w:val="0"/>
      <w:marRight w:val="0"/>
      <w:marTop w:val="0"/>
      <w:marBottom w:val="0"/>
      <w:divBdr>
        <w:top w:val="none" w:sz="0" w:space="0" w:color="auto"/>
        <w:left w:val="none" w:sz="0" w:space="0" w:color="auto"/>
        <w:bottom w:val="none" w:sz="0" w:space="0" w:color="auto"/>
        <w:right w:val="none" w:sz="0" w:space="0" w:color="auto"/>
      </w:divBdr>
    </w:div>
    <w:div w:id="1481919753">
      <w:bodyDiv w:val="1"/>
      <w:marLeft w:val="0"/>
      <w:marRight w:val="0"/>
      <w:marTop w:val="0"/>
      <w:marBottom w:val="0"/>
      <w:divBdr>
        <w:top w:val="none" w:sz="0" w:space="0" w:color="auto"/>
        <w:left w:val="none" w:sz="0" w:space="0" w:color="auto"/>
        <w:bottom w:val="none" w:sz="0" w:space="0" w:color="auto"/>
        <w:right w:val="none" w:sz="0" w:space="0" w:color="auto"/>
      </w:divBdr>
    </w:div>
    <w:div w:id="1483305868">
      <w:bodyDiv w:val="1"/>
      <w:marLeft w:val="0"/>
      <w:marRight w:val="0"/>
      <w:marTop w:val="0"/>
      <w:marBottom w:val="0"/>
      <w:divBdr>
        <w:top w:val="none" w:sz="0" w:space="0" w:color="auto"/>
        <w:left w:val="none" w:sz="0" w:space="0" w:color="auto"/>
        <w:bottom w:val="none" w:sz="0" w:space="0" w:color="auto"/>
        <w:right w:val="none" w:sz="0" w:space="0" w:color="auto"/>
      </w:divBdr>
    </w:div>
    <w:div w:id="1483697688">
      <w:bodyDiv w:val="1"/>
      <w:marLeft w:val="0"/>
      <w:marRight w:val="0"/>
      <w:marTop w:val="0"/>
      <w:marBottom w:val="0"/>
      <w:divBdr>
        <w:top w:val="none" w:sz="0" w:space="0" w:color="auto"/>
        <w:left w:val="none" w:sz="0" w:space="0" w:color="auto"/>
        <w:bottom w:val="none" w:sz="0" w:space="0" w:color="auto"/>
        <w:right w:val="none" w:sz="0" w:space="0" w:color="auto"/>
      </w:divBdr>
    </w:div>
    <w:div w:id="1492215934">
      <w:bodyDiv w:val="1"/>
      <w:marLeft w:val="0"/>
      <w:marRight w:val="0"/>
      <w:marTop w:val="0"/>
      <w:marBottom w:val="0"/>
      <w:divBdr>
        <w:top w:val="none" w:sz="0" w:space="0" w:color="auto"/>
        <w:left w:val="none" w:sz="0" w:space="0" w:color="auto"/>
        <w:bottom w:val="none" w:sz="0" w:space="0" w:color="auto"/>
        <w:right w:val="none" w:sz="0" w:space="0" w:color="auto"/>
      </w:divBdr>
    </w:div>
    <w:div w:id="1493135750">
      <w:bodyDiv w:val="1"/>
      <w:marLeft w:val="0"/>
      <w:marRight w:val="0"/>
      <w:marTop w:val="0"/>
      <w:marBottom w:val="0"/>
      <w:divBdr>
        <w:top w:val="none" w:sz="0" w:space="0" w:color="auto"/>
        <w:left w:val="none" w:sz="0" w:space="0" w:color="auto"/>
        <w:bottom w:val="none" w:sz="0" w:space="0" w:color="auto"/>
        <w:right w:val="none" w:sz="0" w:space="0" w:color="auto"/>
      </w:divBdr>
    </w:div>
    <w:div w:id="1500849950">
      <w:bodyDiv w:val="1"/>
      <w:marLeft w:val="0"/>
      <w:marRight w:val="0"/>
      <w:marTop w:val="0"/>
      <w:marBottom w:val="0"/>
      <w:divBdr>
        <w:top w:val="none" w:sz="0" w:space="0" w:color="auto"/>
        <w:left w:val="none" w:sz="0" w:space="0" w:color="auto"/>
        <w:bottom w:val="none" w:sz="0" w:space="0" w:color="auto"/>
        <w:right w:val="none" w:sz="0" w:space="0" w:color="auto"/>
      </w:divBdr>
    </w:div>
    <w:div w:id="1506747402">
      <w:bodyDiv w:val="1"/>
      <w:marLeft w:val="0"/>
      <w:marRight w:val="0"/>
      <w:marTop w:val="0"/>
      <w:marBottom w:val="0"/>
      <w:divBdr>
        <w:top w:val="none" w:sz="0" w:space="0" w:color="auto"/>
        <w:left w:val="none" w:sz="0" w:space="0" w:color="auto"/>
        <w:bottom w:val="none" w:sz="0" w:space="0" w:color="auto"/>
        <w:right w:val="none" w:sz="0" w:space="0" w:color="auto"/>
      </w:divBdr>
    </w:div>
    <w:div w:id="1510946052">
      <w:bodyDiv w:val="1"/>
      <w:marLeft w:val="0"/>
      <w:marRight w:val="0"/>
      <w:marTop w:val="0"/>
      <w:marBottom w:val="0"/>
      <w:divBdr>
        <w:top w:val="none" w:sz="0" w:space="0" w:color="auto"/>
        <w:left w:val="none" w:sz="0" w:space="0" w:color="auto"/>
        <w:bottom w:val="none" w:sz="0" w:space="0" w:color="auto"/>
        <w:right w:val="none" w:sz="0" w:space="0" w:color="auto"/>
      </w:divBdr>
    </w:div>
    <w:div w:id="1517112049">
      <w:bodyDiv w:val="1"/>
      <w:marLeft w:val="0"/>
      <w:marRight w:val="0"/>
      <w:marTop w:val="0"/>
      <w:marBottom w:val="0"/>
      <w:divBdr>
        <w:top w:val="none" w:sz="0" w:space="0" w:color="auto"/>
        <w:left w:val="none" w:sz="0" w:space="0" w:color="auto"/>
        <w:bottom w:val="none" w:sz="0" w:space="0" w:color="auto"/>
        <w:right w:val="none" w:sz="0" w:space="0" w:color="auto"/>
      </w:divBdr>
    </w:div>
    <w:div w:id="1521623053">
      <w:bodyDiv w:val="1"/>
      <w:marLeft w:val="0"/>
      <w:marRight w:val="0"/>
      <w:marTop w:val="0"/>
      <w:marBottom w:val="0"/>
      <w:divBdr>
        <w:top w:val="none" w:sz="0" w:space="0" w:color="auto"/>
        <w:left w:val="none" w:sz="0" w:space="0" w:color="auto"/>
        <w:bottom w:val="none" w:sz="0" w:space="0" w:color="auto"/>
        <w:right w:val="none" w:sz="0" w:space="0" w:color="auto"/>
      </w:divBdr>
    </w:div>
    <w:div w:id="1522892433">
      <w:bodyDiv w:val="1"/>
      <w:marLeft w:val="0"/>
      <w:marRight w:val="0"/>
      <w:marTop w:val="0"/>
      <w:marBottom w:val="0"/>
      <w:divBdr>
        <w:top w:val="none" w:sz="0" w:space="0" w:color="auto"/>
        <w:left w:val="none" w:sz="0" w:space="0" w:color="auto"/>
        <w:bottom w:val="none" w:sz="0" w:space="0" w:color="auto"/>
        <w:right w:val="none" w:sz="0" w:space="0" w:color="auto"/>
      </w:divBdr>
    </w:div>
    <w:div w:id="1545559806">
      <w:bodyDiv w:val="1"/>
      <w:marLeft w:val="0"/>
      <w:marRight w:val="0"/>
      <w:marTop w:val="0"/>
      <w:marBottom w:val="0"/>
      <w:divBdr>
        <w:top w:val="none" w:sz="0" w:space="0" w:color="auto"/>
        <w:left w:val="none" w:sz="0" w:space="0" w:color="auto"/>
        <w:bottom w:val="none" w:sz="0" w:space="0" w:color="auto"/>
        <w:right w:val="none" w:sz="0" w:space="0" w:color="auto"/>
      </w:divBdr>
    </w:div>
    <w:div w:id="1557162461">
      <w:bodyDiv w:val="1"/>
      <w:marLeft w:val="0"/>
      <w:marRight w:val="0"/>
      <w:marTop w:val="0"/>
      <w:marBottom w:val="0"/>
      <w:divBdr>
        <w:top w:val="none" w:sz="0" w:space="0" w:color="auto"/>
        <w:left w:val="none" w:sz="0" w:space="0" w:color="auto"/>
        <w:bottom w:val="none" w:sz="0" w:space="0" w:color="auto"/>
        <w:right w:val="none" w:sz="0" w:space="0" w:color="auto"/>
      </w:divBdr>
    </w:div>
    <w:div w:id="1557739020">
      <w:bodyDiv w:val="1"/>
      <w:marLeft w:val="0"/>
      <w:marRight w:val="0"/>
      <w:marTop w:val="0"/>
      <w:marBottom w:val="0"/>
      <w:divBdr>
        <w:top w:val="none" w:sz="0" w:space="0" w:color="auto"/>
        <w:left w:val="none" w:sz="0" w:space="0" w:color="auto"/>
        <w:bottom w:val="none" w:sz="0" w:space="0" w:color="auto"/>
        <w:right w:val="none" w:sz="0" w:space="0" w:color="auto"/>
      </w:divBdr>
    </w:div>
    <w:div w:id="1566791495">
      <w:bodyDiv w:val="1"/>
      <w:marLeft w:val="0"/>
      <w:marRight w:val="0"/>
      <w:marTop w:val="0"/>
      <w:marBottom w:val="0"/>
      <w:divBdr>
        <w:top w:val="none" w:sz="0" w:space="0" w:color="auto"/>
        <w:left w:val="none" w:sz="0" w:space="0" w:color="auto"/>
        <w:bottom w:val="none" w:sz="0" w:space="0" w:color="auto"/>
        <w:right w:val="none" w:sz="0" w:space="0" w:color="auto"/>
      </w:divBdr>
    </w:div>
    <w:div w:id="1568106574">
      <w:bodyDiv w:val="1"/>
      <w:marLeft w:val="0"/>
      <w:marRight w:val="0"/>
      <w:marTop w:val="0"/>
      <w:marBottom w:val="0"/>
      <w:divBdr>
        <w:top w:val="none" w:sz="0" w:space="0" w:color="auto"/>
        <w:left w:val="none" w:sz="0" w:space="0" w:color="auto"/>
        <w:bottom w:val="none" w:sz="0" w:space="0" w:color="auto"/>
        <w:right w:val="none" w:sz="0" w:space="0" w:color="auto"/>
      </w:divBdr>
    </w:div>
    <w:div w:id="1569654268">
      <w:bodyDiv w:val="1"/>
      <w:marLeft w:val="0"/>
      <w:marRight w:val="0"/>
      <w:marTop w:val="0"/>
      <w:marBottom w:val="0"/>
      <w:divBdr>
        <w:top w:val="none" w:sz="0" w:space="0" w:color="auto"/>
        <w:left w:val="none" w:sz="0" w:space="0" w:color="auto"/>
        <w:bottom w:val="none" w:sz="0" w:space="0" w:color="auto"/>
        <w:right w:val="none" w:sz="0" w:space="0" w:color="auto"/>
      </w:divBdr>
    </w:div>
    <w:div w:id="1569998548">
      <w:bodyDiv w:val="1"/>
      <w:marLeft w:val="0"/>
      <w:marRight w:val="0"/>
      <w:marTop w:val="0"/>
      <w:marBottom w:val="0"/>
      <w:divBdr>
        <w:top w:val="none" w:sz="0" w:space="0" w:color="auto"/>
        <w:left w:val="none" w:sz="0" w:space="0" w:color="auto"/>
        <w:bottom w:val="none" w:sz="0" w:space="0" w:color="auto"/>
        <w:right w:val="none" w:sz="0" w:space="0" w:color="auto"/>
      </w:divBdr>
    </w:div>
    <w:div w:id="1573008031">
      <w:bodyDiv w:val="1"/>
      <w:marLeft w:val="0"/>
      <w:marRight w:val="0"/>
      <w:marTop w:val="0"/>
      <w:marBottom w:val="0"/>
      <w:divBdr>
        <w:top w:val="none" w:sz="0" w:space="0" w:color="auto"/>
        <w:left w:val="none" w:sz="0" w:space="0" w:color="auto"/>
        <w:bottom w:val="none" w:sz="0" w:space="0" w:color="auto"/>
        <w:right w:val="none" w:sz="0" w:space="0" w:color="auto"/>
      </w:divBdr>
    </w:div>
    <w:div w:id="1575236113">
      <w:bodyDiv w:val="1"/>
      <w:marLeft w:val="0"/>
      <w:marRight w:val="0"/>
      <w:marTop w:val="0"/>
      <w:marBottom w:val="0"/>
      <w:divBdr>
        <w:top w:val="none" w:sz="0" w:space="0" w:color="auto"/>
        <w:left w:val="none" w:sz="0" w:space="0" w:color="auto"/>
        <w:bottom w:val="none" w:sz="0" w:space="0" w:color="auto"/>
        <w:right w:val="none" w:sz="0" w:space="0" w:color="auto"/>
      </w:divBdr>
    </w:div>
    <w:div w:id="1580677271">
      <w:bodyDiv w:val="1"/>
      <w:marLeft w:val="0"/>
      <w:marRight w:val="0"/>
      <w:marTop w:val="0"/>
      <w:marBottom w:val="0"/>
      <w:divBdr>
        <w:top w:val="none" w:sz="0" w:space="0" w:color="auto"/>
        <w:left w:val="none" w:sz="0" w:space="0" w:color="auto"/>
        <w:bottom w:val="none" w:sz="0" w:space="0" w:color="auto"/>
        <w:right w:val="none" w:sz="0" w:space="0" w:color="auto"/>
      </w:divBdr>
    </w:div>
    <w:div w:id="1581597038">
      <w:bodyDiv w:val="1"/>
      <w:marLeft w:val="0"/>
      <w:marRight w:val="0"/>
      <w:marTop w:val="0"/>
      <w:marBottom w:val="0"/>
      <w:divBdr>
        <w:top w:val="none" w:sz="0" w:space="0" w:color="auto"/>
        <w:left w:val="none" w:sz="0" w:space="0" w:color="auto"/>
        <w:bottom w:val="none" w:sz="0" w:space="0" w:color="auto"/>
        <w:right w:val="none" w:sz="0" w:space="0" w:color="auto"/>
      </w:divBdr>
    </w:div>
    <w:div w:id="1583174751">
      <w:bodyDiv w:val="1"/>
      <w:marLeft w:val="0"/>
      <w:marRight w:val="0"/>
      <w:marTop w:val="0"/>
      <w:marBottom w:val="0"/>
      <w:divBdr>
        <w:top w:val="none" w:sz="0" w:space="0" w:color="auto"/>
        <w:left w:val="none" w:sz="0" w:space="0" w:color="auto"/>
        <w:bottom w:val="none" w:sz="0" w:space="0" w:color="auto"/>
        <w:right w:val="none" w:sz="0" w:space="0" w:color="auto"/>
      </w:divBdr>
    </w:div>
    <w:div w:id="1588152853">
      <w:bodyDiv w:val="1"/>
      <w:marLeft w:val="0"/>
      <w:marRight w:val="0"/>
      <w:marTop w:val="0"/>
      <w:marBottom w:val="0"/>
      <w:divBdr>
        <w:top w:val="none" w:sz="0" w:space="0" w:color="auto"/>
        <w:left w:val="none" w:sz="0" w:space="0" w:color="auto"/>
        <w:bottom w:val="none" w:sz="0" w:space="0" w:color="auto"/>
        <w:right w:val="none" w:sz="0" w:space="0" w:color="auto"/>
      </w:divBdr>
    </w:div>
    <w:div w:id="1590656886">
      <w:bodyDiv w:val="1"/>
      <w:marLeft w:val="0"/>
      <w:marRight w:val="0"/>
      <w:marTop w:val="0"/>
      <w:marBottom w:val="0"/>
      <w:divBdr>
        <w:top w:val="none" w:sz="0" w:space="0" w:color="auto"/>
        <w:left w:val="none" w:sz="0" w:space="0" w:color="auto"/>
        <w:bottom w:val="none" w:sz="0" w:space="0" w:color="auto"/>
        <w:right w:val="none" w:sz="0" w:space="0" w:color="auto"/>
      </w:divBdr>
    </w:div>
    <w:div w:id="1594195062">
      <w:bodyDiv w:val="1"/>
      <w:marLeft w:val="0"/>
      <w:marRight w:val="0"/>
      <w:marTop w:val="0"/>
      <w:marBottom w:val="0"/>
      <w:divBdr>
        <w:top w:val="none" w:sz="0" w:space="0" w:color="auto"/>
        <w:left w:val="none" w:sz="0" w:space="0" w:color="auto"/>
        <w:bottom w:val="none" w:sz="0" w:space="0" w:color="auto"/>
        <w:right w:val="none" w:sz="0" w:space="0" w:color="auto"/>
      </w:divBdr>
    </w:div>
    <w:div w:id="1594779159">
      <w:bodyDiv w:val="1"/>
      <w:marLeft w:val="0"/>
      <w:marRight w:val="0"/>
      <w:marTop w:val="0"/>
      <w:marBottom w:val="0"/>
      <w:divBdr>
        <w:top w:val="none" w:sz="0" w:space="0" w:color="auto"/>
        <w:left w:val="none" w:sz="0" w:space="0" w:color="auto"/>
        <w:bottom w:val="none" w:sz="0" w:space="0" w:color="auto"/>
        <w:right w:val="none" w:sz="0" w:space="0" w:color="auto"/>
      </w:divBdr>
    </w:div>
    <w:div w:id="1595438512">
      <w:bodyDiv w:val="1"/>
      <w:marLeft w:val="0"/>
      <w:marRight w:val="0"/>
      <w:marTop w:val="0"/>
      <w:marBottom w:val="0"/>
      <w:divBdr>
        <w:top w:val="none" w:sz="0" w:space="0" w:color="auto"/>
        <w:left w:val="none" w:sz="0" w:space="0" w:color="auto"/>
        <w:bottom w:val="none" w:sz="0" w:space="0" w:color="auto"/>
        <w:right w:val="none" w:sz="0" w:space="0" w:color="auto"/>
      </w:divBdr>
    </w:div>
    <w:div w:id="1600599033">
      <w:bodyDiv w:val="1"/>
      <w:marLeft w:val="0"/>
      <w:marRight w:val="0"/>
      <w:marTop w:val="0"/>
      <w:marBottom w:val="0"/>
      <w:divBdr>
        <w:top w:val="none" w:sz="0" w:space="0" w:color="auto"/>
        <w:left w:val="none" w:sz="0" w:space="0" w:color="auto"/>
        <w:bottom w:val="none" w:sz="0" w:space="0" w:color="auto"/>
        <w:right w:val="none" w:sz="0" w:space="0" w:color="auto"/>
      </w:divBdr>
    </w:div>
    <w:div w:id="1604261970">
      <w:bodyDiv w:val="1"/>
      <w:marLeft w:val="0"/>
      <w:marRight w:val="0"/>
      <w:marTop w:val="0"/>
      <w:marBottom w:val="0"/>
      <w:divBdr>
        <w:top w:val="none" w:sz="0" w:space="0" w:color="auto"/>
        <w:left w:val="none" w:sz="0" w:space="0" w:color="auto"/>
        <w:bottom w:val="none" w:sz="0" w:space="0" w:color="auto"/>
        <w:right w:val="none" w:sz="0" w:space="0" w:color="auto"/>
      </w:divBdr>
    </w:div>
    <w:div w:id="1612129169">
      <w:bodyDiv w:val="1"/>
      <w:marLeft w:val="0"/>
      <w:marRight w:val="0"/>
      <w:marTop w:val="0"/>
      <w:marBottom w:val="0"/>
      <w:divBdr>
        <w:top w:val="none" w:sz="0" w:space="0" w:color="auto"/>
        <w:left w:val="none" w:sz="0" w:space="0" w:color="auto"/>
        <w:bottom w:val="none" w:sz="0" w:space="0" w:color="auto"/>
        <w:right w:val="none" w:sz="0" w:space="0" w:color="auto"/>
      </w:divBdr>
    </w:div>
    <w:div w:id="1619526597">
      <w:bodyDiv w:val="1"/>
      <w:marLeft w:val="0"/>
      <w:marRight w:val="0"/>
      <w:marTop w:val="0"/>
      <w:marBottom w:val="0"/>
      <w:divBdr>
        <w:top w:val="none" w:sz="0" w:space="0" w:color="auto"/>
        <w:left w:val="none" w:sz="0" w:space="0" w:color="auto"/>
        <w:bottom w:val="none" w:sz="0" w:space="0" w:color="auto"/>
        <w:right w:val="none" w:sz="0" w:space="0" w:color="auto"/>
      </w:divBdr>
    </w:div>
    <w:div w:id="1621767350">
      <w:bodyDiv w:val="1"/>
      <w:marLeft w:val="0"/>
      <w:marRight w:val="0"/>
      <w:marTop w:val="0"/>
      <w:marBottom w:val="0"/>
      <w:divBdr>
        <w:top w:val="none" w:sz="0" w:space="0" w:color="auto"/>
        <w:left w:val="none" w:sz="0" w:space="0" w:color="auto"/>
        <w:bottom w:val="none" w:sz="0" w:space="0" w:color="auto"/>
        <w:right w:val="none" w:sz="0" w:space="0" w:color="auto"/>
      </w:divBdr>
    </w:div>
    <w:div w:id="1621834001">
      <w:bodyDiv w:val="1"/>
      <w:marLeft w:val="0"/>
      <w:marRight w:val="0"/>
      <w:marTop w:val="0"/>
      <w:marBottom w:val="0"/>
      <w:divBdr>
        <w:top w:val="none" w:sz="0" w:space="0" w:color="auto"/>
        <w:left w:val="none" w:sz="0" w:space="0" w:color="auto"/>
        <w:bottom w:val="none" w:sz="0" w:space="0" w:color="auto"/>
        <w:right w:val="none" w:sz="0" w:space="0" w:color="auto"/>
      </w:divBdr>
    </w:div>
    <w:div w:id="1623272018">
      <w:bodyDiv w:val="1"/>
      <w:marLeft w:val="0"/>
      <w:marRight w:val="0"/>
      <w:marTop w:val="0"/>
      <w:marBottom w:val="0"/>
      <w:divBdr>
        <w:top w:val="none" w:sz="0" w:space="0" w:color="auto"/>
        <w:left w:val="none" w:sz="0" w:space="0" w:color="auto"/>
        <w:bottom w:val="none" w:sz="0" w:space="0" w:color="auto"/>
        <w:right w:val="none" w:sz="0" w:space="0" w:color="auto"/>
      </w:divBdr>
    </w:div>
    <w:div w:id="1626422045">
      <w:bodyDiv w:val="1"/>
      <w:marLeft w:val="0"/>
      <w:marRight w:val="0"/>
      <w:marTop w:val="0"/>
      <w:marBottom w:val="0"/>
      <w:divBdr>
        <w:top w:val="none" w:sz="0" w:space="0" w:color="auto"/>
        <w:left w:val="none" w:sz="0" w:space="0" w:color="auto"/>
        <w:bottom w:val="none" w:sz="0" w:space="0" w:color="auto"/>
        <w:right w:val="none" w:sz="0" w:space="0" w:color="auto"/>
      </w:divBdr>
    </w:div>
    <w:div w:id="1641232859">
      <w:bodyDiv w:val="1"/>
      <w:marLeft w:val="0"/>
      <w:marRight w:val="0"/>
      <w:marTop w:val="0"/>
      <w:marBottom w:val="0"/>
      <w:divBdr>
        <w:top w:val="none" w:sz="0" w:space="0" w:color="auto"/>
        <w:left w:val="none" w:sz="0" w:space="0" w:color="auto"/>
        <w:bottom w:val="none" w:sz="0" w:space="0" w:color="auto"/>
        <w:right w:val="none" w:sz="0" w:space="0" w:color="auto"/>
      </w:divBdr>
    </w:div>
    <w:div w:id="1645164573">
      <w:bodyDiv w:val="1"/>
      <w:marLeft w:val="0"/>
      <w:marRight w:val="0"/>
      <w:marTop w:val="0"/>
      <w:marBottom w:val="0"/>
      <w:divBdr>
        <w:top w:val="none" w:sz="0" w:space="0" w:color="auto"/>
        <w:left w:val="none" w:sz="0" w:space="0" w:color="auto"/>
        <w:bottom w:val="none" w:sz="0" w:space="0" w:color="auto"/>
        <w:right w:val="none" w:sz="0" w:space="0" w:color="auto"/>
      </w:divBdr>
    </w:div>
    <w:div w:id="1654212150">
      <w:bodyDiv w:val="1"/>
      <w:marLeft w:val="0"/>
      <w:marRight w:val="0"/>
      <w:marTop w:val="0"/>
      <w:marBottom w:val="0"/>
      <w:divBdr>
        <w:top w:val="none" w:sz="0" w:space="0" w:color="auto"/>
        <w:left w:val="none" w:sz="0" w:space="0" w:color="auto"/>
        <w:bottom w:val="none" w:sz="0" w:space="0" w:color="auto"/>
        <w:right w:val="none" w:sz="0" w:space="0" w:color="auto"/>
      </w:divBdr>
    </w:div>
    <w:div w:id="1666199852">
      <w:bodyDiv w:val="1"/>
      <w:marLeft w:val="0"/>
      <w:marRight w:val="0"/>
      <w:marTop w:val="0"/>
      <w:marBottom w:val="0"/>
      <w:divBdr>
        <w:top w:val="none" w:sz="0" w:space="0" w:color="auto"/>
        <w:left w:val="none" w:sz="0" w:space="0" w:color="auto"/>
        <w:bottom w:val="none" w:sz="0" w:space="0" w:color="auto"/>
        <w:right w:val="none" w:sz="0" w:space="0" w:color="auto"/>
      </w:divBdr>
    </w:div>
    <w:div w:id="1666280705">
      <w:bodyDiv w:val="1"/>
      <w:marLeft w:val="0"/>
      <w:marRight w:val="0"/>
      <w:marTop w:val="0"/>
      <w:marBottom w:val="0"/>
      <w:divBdr>
        <w:top w:val="none" w:sz="0" w:space="0" w:color="auto"/>
        <w:left w:val="none" w:sz="0" w:space="0" w:color="auto"/>
        <w:bottom w:val="none" w:sz="0" w:space="0" w:color="auto"/>
        <w:right w:val="none" w:sz="0" w:space="0" w:color="auto"/>
      </w:divBdr>
    </w:div>
    <w:div w:id="1667394894">
      <w:bodyDiv w:val="1"/>
      <w:marLeft w:val="0"/>
      <w:marRight w:val="0"/>
      <w:marTop w:val="0"/>
      <w:marBottom w:val="0"/>
      <w:divBdr>
        <w:top w:val="none" w:sz="0" w:space="0" w:color="auto"/>
        <w:left w:val="none" w:sz="0" w:space="0" w:color="auto"/>
        <w:bottom w:val="none" w:sz="0" w:space="0" w:color="auto"/>
        <w:right w:val="none" w:sz="0" w:space="0" w:color="auto"/>
      </w:divBdr>
    </w:div>
    <w:div w:id="1668093301">
      <w:bodyDiv w:val="1"/>
      <w:marLeft w:val="0"/>
      <w:marRight w:val="0"/>
      <w:marTop w:val="0"/>
      <w:marBottom w:val="0"/>
      <w:divBdr>
        <w:top w:val="none" w:sz="0" w:space="0" w:color="auto"/>
        <w:left w:val="none" w:sz="0" w:space="0" w:color="auto"/>
        <w:bottom w:val="none" w:sz="0" w:space="0" w:color="auto"/>
        <w:right w:val="none" w:sz="0" w:space="0" w:color="auto"/>
      </w:divBdr>
    </w:div>
    <w:div w:id="1669557658">
      <w:bodyDiv w:val="1"/>
      <w:marLeft w:val="0"/>
      <w:marRight w:val="0"/>
      <w:marTop w:val="0"/>
      <w:marBottom w:val="0"/>
      <w:divBdr>
        <w:top w:val="none" w:sz="0" w:space="0" w:color="auto"/>
        <w:left w:val="none" w:sz="0" w:space="0" w:color="auto"/>
        <w:bottom w:val="none" w:sz="0" w:space="0" w:color="auto"/>
        <w:right w:val="none" w:sz="0" w:space="0" w:color="auto"/>
      </w:divBdr>
    </w:div>
    <w:div w:id="1677800612">
      <w:bodyDiv w:val="1"/>
      <w:marLeft w:val="0"/>
      <w:marRight w:val="0"/>
      <w:marTop w:val="0"/>
      <w:marBottom w:val="0"/>
      <w:divBdr>
        <w:top w:val="none" w:sz="0" w:space="0" w:color="auto"/>
        <w:left w:val="none" w:sz="0" w:space="0" w:color="auto"/>
        <w:bottom w:val="none" w:sz="0" w:space="0" w:color="auto"/>
        <w:right w:val="none" w:sz="0" w:space="0" w:color="auto"/>
      </w:divBdr>
    </w:div>
    <w:div w:id="1678384896">
      <w:bodyDiv w:val="1"/>
      <w:marLeft w:val="0"/>
      <w:marRight w:val="0"/>
      <w:marTop w:val="0"/>
      <w:marBottom w:val="0"/>
      <w:divBdr>
        <w:top w:val="none" w:sz="0" w:space="0" w:color="auto"/>
        <w:left w:val="none" w:sz="0" w:space="0" w:color="auto"/>
        <w:bottom w:val="none" w:sz="0" w:space="0" w:color="auto"/>
        <w:right w:val="none" w:sz="0" w:space="0" w:color="auto"/>
      </w:divBdr>
    </w:div>
    <w:div w:id="1684431616">
      <w:bodyDiv w:val="1"/>
      <w:marLeft w:val="0"/>
      <w:marRight w:val="0"/>
      <w:marTop w:val="0"/>
      <w:marBottom w:val="0"/>
      <w:divBdr>
        <w:top w:val="none" w:sz="0" w:space="0" w:color="auto"/>
        <w:left w:val="none" w:sz="0" w:space="0" w:color="auto"/>
        <w:bottom w:val="none" w:sz="0" w:space="0" w:color="auto"/>
        <w:right w:val="none" w:sz="0" w:space="0" w:color="auto"/>
      </w:divBdr>
    </w:div>
    <w:div w:id="1685937406">
      <w:bodyDiv w:val="1"/>
      <w:marLeft w:val="0"/>
      <w:marRight w:val="0"/>
      <w:marTop w:val="0"/>
      <w:marBottom w:val="0"/>
      <w:divBdr>
        <w:top w:val="none" w:sz="0" w:space="0" w:color="auto"/>
        <w:left w:val="none" w:sz="0" w:space="0" w:color="auto"/>
        <w:bottom w:val="none" w:sz="0" w:space="0" w:color="auto"/>
        <w:right w:val="none" w:sz="0" w:space="0" w:color="auto"/>
      </w:divBdr>
    </w:div>
    <w:div w:id="1687361987">
      <w:bodyDiv w:val="1"/>
      <w:marLeft w:val="0"/>
      <w:marRight w:val="0"/>
      <w:marTop w:val="0"/>
      <w:marBottom w:val="0"/>
      <w:divBdr>
        <w:top w:val="none" w:sz="0" w:space="0" w:color="auto"/>
        <w:left w:val="none" w:sz="0" w:space="0" w:color="auto"/>
        <w:bottom w:val="none" w:sz="0" w:space="0" w:color="auto"/>
        <w:right w:val="none" w:sz="0" w:space="0" w:color="auto"/>
      </w:divBdr>
    </w:div>
    <w:div w:id="1703628928">
      <w:bodyDiv w:val="1"/>
      <w:marLeft w:val="0"/>
      <w:marRight w:val="0"/>
      <w:marTop w:val="0"/>
      <w:marBottom w:val="0"/>
      <w:divBdr>
        <w:top w:val="none" w:sz="0" w:space="0" w:color="auto"/>
        <w:left w:val="none" w:sz="0" w:space="0" w:color="auto"/>
        <w:bottom w:val="none" w:sz="0" w:space="0" w:color="auto"/>
        <w:right w:val="none" w:sz="0" w:space="0" w:color="auto"/>
      </w:divBdr>
    </w:div>
    <w:div w:id="1704940533">
      <w:bodyDiv w:val="1"/>
      <w:marLeft w:val="0"/>
      <w:marRight w:val="0"/>
      <w:marTop w:val="0"/>
      <w:marBottom w:val="0"/>
      <w:divBdr>
        <w:top w:val="none" w:sz="0" w:space="0" w:color="auto"/>
        <w:left w:val="none" w:sz="0" w:space="0" w:color="auto"/>
        <w:bottom w:val="none" w:sz="0" w:space="0" w:color="auto"/>
        <w:right w:val="none" w:sz="0" w:space="0" w:color="auto"/>
      </w:divBdr>
    </w:div>
    <w:div w:id="1707831605">
      <w:bodyDiv w:val="1"/>
      <w:marLeft w:val="0"/>
      <w:marRight w:val="0"/>
      <w:marTop w:val="0"/>
      <w:marBottom w:val="0"/>
      <w:divBdr>
        <w:top w:val="none" w:sz="0" w:space="0" w:color="auto"/>
        <w:left w:val="none" w:sz="0" w:space="0" w:color="auto"/>
        <w:bottom w:val="none" w:sz="0" w:space="0" w:color="auto"/>
        <w:right w:val="none" w:sz="0" w:space="0" w:color="auto"/>
      </w:divBdr>
    </w:div>
    <w:div w:id="1708986255">
      <w:bodyDiv w:val="1"/>
      <w:marLeft w:val="0"/>
      <w:marRight w:val="0"/>
      <w:marTop w:val="0"/>
      <w:marBottom w:val="0"/>
      <w:divBdr>
        <w:top w:val="none" w:sz="0" w:space="0" w:color="auto"/>
        <w:left w:val="none" w:sz="0" w:space="0" w:color="auto"/>
        <w:bottom w:val="none" w:sz="0" w:space="0" w:color="auto"/>
        <w:right w:val="none" w:sz="0" w:space="0" w:color="auto"/>
      </w:divBdr>
    </w:div>
    <w:div w:id="1712999734">
      <w:bodyDiv w:val="1"/>
      <w:marLeft w:val="0"/>
      <w:marRight w:val="0"/>
      <w:marTop w:val="0"/>
      <w:marBottom w:val="0"/>
      <w:divBdr>
        <w:top w:val="none" w:sz="0" w:space="0" w:color="auto"/>
        <w:left w:val="none" w:sz="0" w:space="0" w:color="auto"/>
        <w:bottom w:val="none" w:sz="0" w:space="0" w:color="auto"/>
        <w:right w:val="none" w:sz="0" w:space="0" w:color="auto"/>
      </w:divBdr>
    </w:div>
    <w:div w:id="1719740543">
      <w:bodyDiv w:val="1"/>
      <w:marLeft w:val="0"/>
      <w:marRight w:val="0"/>
      <w:marTop w:val="0"/>
      <w:marBottom w:val="0"/>
      <w:divBdr>
        <w:top w:val="none" w:sz="0" w:space="0" w:color="auto"/>
        <w:left w:val="none" w:sz="0" w:space="0" w:color="auto"/>
        <w:bottom w:val="none" w:sz="0" w:space="0" w:color="auto"/>
        <w:right w:val="none" w:sz="0" w:space="0" w:color="auto"/>
      </w:divBdr>
    </w:div>
    <w:div w:id="1727801839">
      <w:bodyDiv w:val="1"/>
      <w:marLeft w:val="0"/>
      <w:marRight w:val="0"/>
      <w:marTop w:val="0"/>
      <w:marBottom w:val="0"/>
      <w:divBdr>
        <w:top w:val="none" w:sz="0" w:space="0" w:color="auto"/>
        <w:left w:val="none" w:sz="0" w:space="0" w:color="auto"/>
        <w:bottom w:val="none" w:sz="0" w:space="0" w:color="auto"/>
        <w:right w:val="none" w:sz="0" w:space="0" w:color="auto"/>
      </w:divBdr>
    </w:div>
    <w:div w:id="1730181845">
      <w:bodyDiv w:val="1"/>
      <w:marLeft w:val="0"/>
      <w:marRight w:val="0"/>
      <w:marTop w:val="0"/>
      <w:marBottom w:val="0"/>
      <w:divBdr>
        <w:top w:val="none" w:sz="0" w:space="0" w:color="auto"/>
        <w:left w:val="none" w:sz="0" w:space="0" w:color="auto"/>
        <w:bottom w:val="none" w:sz="0" w:space="0" w:color="auto"/>
        <w:right w:val="none" w:sz="0" w:space="0" w:color="auto"/>
      </w:divBdr>
    </w:div>
    <w:div w:id="1743138776">
      <w:bodyDiv w:val="1"/>
      <w:marLeft w:val="0"/>
      <w:marRight w:val="0"/>
      <w:marTop w:val="0"/>
      <w:marBottom w:val="0"/>
      <w:divBdr>
        <w:top w:val="none" w:sz="0" w:space="0" w:color="auto"/>
        <w:left w:val="none" w:sz="0" w:space="0" w:color="auto"/>
        <w:bottom w:val="none" w:sz="0" w:space="0" w:color="auto"/>
        <w:right w:val="none" w:sz="0" w:space="0" w:color="auto"/>
      </w:divBdr>
    </w:div>
    <w:div w:id="1746101190">
      <w:bodyDiv w:val="1"/>
      <w:marLeft w:val="0"/>
      <w:marRight w:val="0"/>
      <w:marTop w:val="0"/>
      <w:marBottom w:val="0"/>
      <w:divBdr>
        <w:top w:val="none" w:sz="0" w:space="0" w:color="auto"/>
        <w:left w:val="none" w:sz="0" w:space="0" w:color="auto"/>
        <w:bottom w:val="none" w:sz="0" w:space="0" w:color="auto"/>
        <w:right w:val="none" w:sz="0" w:space="0" w:color="auto"/>
      </w:divBdr>
    </w:div>
    <w:div w:id="1753239035">
      <w:bodyDiv w:val="1"/>
      <w:marLeft w:val="0"/>
      <w:marRight w:val="0"/>
      <w:marTop w:val="0"/>
      <w:marBottom w:val="0"/>
      <w:divBdr>
        <w:top w:val="none" w:sz="0" w:space="0" w:color="auto"/>
        <w:left w:val="none" w:sz="0" w:space="0" w:color="auto"/>
        <w:bottom w:val="none" w:sz="0" w:space="0" w:color="auto"/>
        <w:right w:val="none" w:sz="0" w:space="0" w:color="auto"/>
      </w:divBdr>
    </w:div>
    <w:div w:id="1756629085">
      <w:bodyDiv w:val="1"/>
      <w:marLeft w:val="0"/>
      <w:marRight w:val="0"/>
      <w:marTop w:val="0"/>
      <w:marBottom w:val="0"/>
      <w:divBdr>
        <w:top w:val="none" w:sz="0" w:space="0" w:color="auto"/>
        <w:left w:val="none" w:sz="0" w:space="0" w:color="auto"/>
        <w:bottom w:val="none" w:sz="0" w:space="0" w:color="auto"/>
        <w:right w:val="none" w:sz="0" w:space="0" w:color="auto"/>
      </w:divBdr>
    </w:div>
    <w:div w:id="1760446511">
      <w:bodyDiv w:val="1"/>
      <w:marLeft w:val="0"/>
      <w:marRight w:val="0"/>
      <w:marTop w:val="0"/>
      <w:marBottom w:val="0"/>
      <w:divBdr>
        <w:top w:val="none" w:sz="0" w:space="0" w:color="auto"/>
        <w:left w:val="none" w:sz="0" w:space="0" w:color="auto"/>
        <w:bottom w:val="none" w:sz="0" w:space="0" w:color="auto"/>
        <w:right w:val="none" w:sz="0" w:space="0" w:color="auto"/>
      </w:divBdr>
    </w:div>
    <w:div w:id="1763456768">
      <w:bodyDiv w:val="1"/>
      <w:marLeft w:val="0"/>
      <w:marRight w:val="0"/>
      <w:marTop w:val="0"/>
      <w:marBottom w:val="0"/>
      <w:divBdr>
        <w:top w:val="none" w:sz="0" w:space="0" w:color="auto"/>
        <w:left w:val="none" w:sz="0" w:space="0" w:color="auto"/>
        <w:bottom w:val="none" w:sz="0" w:space="0" w:color="auto"/>
        <w:right w:val="none" w:sz="0" w:space="0" w:color="auto"/>
      </w:divBdr>
    </w:div>
    <w:div w:id="1764758774">
      <w:bodyDiv w:val="1"/>
      <w:marLeft w:val="0"/>
      <w:marRight w:val="0"/>
      <w:marTop w:val="0"/>
      <w:marBottom w:val="0"/>
      <w:divBdr>
        <w:top w:val="none" w:sz="0" w:space="0" w:color="auto"/>
        <w:left w:val="none" w:sz="0" w:space="0" w:color="auto"/>
        <w:bottom w:val="none" w:sz="0" w:space="0" w:color="auto"/>
        <w:right w:val="none" w:sz="0" w:space="0" w:color="auto"/>
      </w:divBdr>
    </w:div>
    <w:div w:id="1770736977">
      <w:bodyDiv w:val="1"/>
      <w:marLeft w:val="0"/>
      <w:marRight w:val="0"/>
      <w:marTop w:val="0"/>
      <w:marBottom w:val="0"/>
      <w:divBdr>
        <w:top w:val="none" w:sz="0" w:space="0" w:color="auto"/>
        <w:left w:val="none" w:sz="0" w:space="0" w:color="auto"/>
        <w:bottom w:val="none" w:sz="0" w:space="0" w:color="auto"/>
        <w:right w:val="none" w:sz="0" w:space="0" w:color="auto"/>
      </w:divBdr>
    </w:div>
    <w:div w:id="1771314285">
      <w:bodyDiv w:val="1"/>
      <w:marLeft w:val="0"/>
      <w:marRight w:val="0"/>
      <w:marTop w:val="0"/>
      <w:marBottom w:val="0"/>
      <w:divBdr>
        <w:top w:val="none" w:sz="0" w:space="0" w:color="auto"/>
        <w:left w:val="none" w:sz="0" w:space="0" w:color="auto"/>
        <w:bottom w:val="none" w:sz="0" w:space="0" w:color="auto"/>
        <w:right w:val="none" w:sz="0" w:space="0" w:color="auto"/>
      </w:divBdr>
    </w:div>
    <w:div w:id="1777945642">
      <w:bodyDiv w:val="1"/>
      <w:marLeft w:val="0"/>
      <w:marRight w:val="0"/>
      <w:marTop w:val="0"/>
      <w:marBottom w:val="0"/>
      <w:divBdr>
        <w:top w:val="none" w:sz="0" w:space="0" w:color="auto"/>
        <w:left w:val="none" w:sz="0" w:space="0" w:color="auto"/>
        <w:bottom w:val="none" w:sz="0" w:space="0" w:color="auto"/>
        <w:right w:val="none" w:sz="0" w:space="0" w:color="auto"/>
      </w:divBdr>
    </w:div>
    <w:div w:id="1780487862">
      <w:bodyDiv w:val="1"/>
      <w:marLeft w:val="0"/>
      <w:marRight w:val="0"/>
      <w:marTop w:val="0"/>
      <w:marBottom w:val="0"/>
      <w:divBdr>
        <w:top w:val="none" w:sz="0" w:space="0" w:color="auto"/>
        <w:left w:val="none" w:sz="0" w:space="0" w:color="auto"/>
        <w:bottom w:val="none" w:sz="0" w:space="0" w:color="auto"/>
        <w:right w:val="none" w:sz="0" w:space="0" w:color="auto"/>
      </w:divBdr>
    </w:div>
    <w:div w:id="1781409020">
      <w:bodyDiv w:val="1"/>
      <w:marLeft w:val="0"/>
      <w:marRight w:val="0"/>
      <w:marTop w:val="0"/>
      <w:marBottom w:val="0"/>
      <w:divBdr>
        <w:top w:val="none" w:sz="0" w:space="0" w:color="auto"/>
        <w:left w:val="none" w:sz="0" w:space="0" w:color="auto"/>
        <w:bottom w:val="none" w:sz="0" w:space="0" w:color="auto"/>
        <w:right w:val="none" w:sz="0" w:space="0" w:color="auto"/>
      </w:divBdr>
    </w:div>
    <w:div w:id="1803617822">
      <w:bodyDiv w:val="1"/>
      <w:marLeft w:val="0"/>
      <w:marRight w:val="0"/>
      <w:marTop w:val="0"/>
      <w:marBottom w:val="0"/>
      <w:divBdr>
        <w:top w:val="none" w:sz="0" w:space="0" w:color="auto"/>
        <w:left w:val="none" w:sz="0" w:space="0" w:color="auto"/>
        <w:bottom w:val="none" w:sz="0" w:space="0" w:color="auto"/>
        <w:right w:val="none" w:sz="0" w:space="0" w:color="auto"/>
      </w:divBdr>
    </w:div>
    <w:div w:id="1807576605">
      <w:bodyDiv w:val="1"/>
      <w:marLeft w:val="0"/>
      <w:marRight w:val="0"/>
      <w:marTop w:val="0"/>
      <w:marBottom w:val="0"/>
      <w:divBdr>
        <w:top w:val="none" w:sz="0" w:space="0" w:color="auto"/>
        <w:left w:val="none" w:sz="0" w:space="0" w:color="auto"/>
        <w:bottom w:val="none" w:sz="0" w:space="0" w:color="auto"/>
        <w:right w:val="none" w:sz="0" w:space="0" w:color="auto"/>
      </w:divBdr>
      <w:divsChild>
        <w:div w:id="297734621">
          <w:marLeft w:val="0"/>
          <w:marRight w:val="0"/>
          <w:marTop w:val="0"/>
          <w:marBottom w:val="0"/>
          <w:divBdr>
            <w:top w:val="none" w:sz="0" w:space="0" w:color="auto"/>
            <w:left w:val="none" w:sz="0" w:space="0" w:color="auto"/>
            <w:bottom w:val="none" w:sz="0" w:space="0" w:color="auto"/>
            <w:right w:val="none" w:sz="0" w:space="0" w:color="auto"/>
          </w:divBdr>
        </w:div>
      </w:divsChild>
    </w:div>
    <w:div w:id="1819489401">
      <w:bodyDiv w:val="1"/>
      <w:marLeft w:val="0"/>
      <w:marRight w:val="0"/>
      <w:marTop w:val="0"/>
      <w:marBottom w:val="0"/>
      <w:divBdr>
        <w:top w:val="none" w:sz="0" w:space="0" w:color="auto"/>
        <w:left w:val="none" w:sz="0" w:space="0" w:color="auto"/>
        <w:bottom w:val="none" w:sz="0" w:space="0" w:color="auto"/>
        <w:right w:val="none" w:sz="0" w:space="0" w:color="auto"/>
      </w:divBdr>
    </w:div>
    <w:div w:id="1823808967">
      <w:bodyDiv w:val="1"/>
      <w:marLeft w:val="0"/>
      <w:marRight w:val="0"/>
      <w:marTop w:val="0"/>
      <w:marBottom w:val="0"/>
      <w:divBdr>
        <w:top w:val="none" w:sz="0" w:space="0" w:color="auto"/>
        <w:left w:val="none" w:sz="0" w:space="0" w:color="auto"/>
        <w:bottom w:val="none" w:sz="0" w:space="0" w:color="auto"/>
        <w:right w:val="none" w:sz="0" w:space="0" w:color="auto"/>
      </w:divBdr>
    </w:div>
    <w:div w:id="1828010380">
      <w:bodyDiv w:val="1"/>
      <w:marLeft w:val="0"/>
      <w:marRight w:val="0"/>
      <w:marTop w:val="0"/>
      <w:marBottom w:val="0"/>
      <w:divBdr>
        <w:top w:val="none" w:sz="0" w:space="0" w:color="auto"/>
        <w:left w:val="none" w:sz="0" w:space="0" w:color="auto"/>
        <w:bottom w:val="none" w:sz="0" w:space="0" w:color="auto"/>
        <w:right w:val="none" w:sz="0" w:space="0" w:color="auto"/>
      </w:divBdr>
    </w:div>
    <w:div w:id="1830166939">
      <w:bodyDiv w:val="1"/>
      <w:marLeft w:val="0"/>
      <w:marRight w:val="0"/>
      <w:marTop w:val="0"/>
      <w:marBottom w:val="0"/>
      <w:divBdr>
        <w:top w:val="none" w:sz="0" w:space="0" w:color="auto"/>
        <w:left w:val="none" w:sz="0" w:space="0" w:color="auto"/>
        <w:bottom w:val="none" w:sz="0" w:space="0" w:color="auto"/>
        <w:right w:val="none" w:sz="0" w:space="0" w:color="auto"/>
      </w:divBdr>
    </w:div>
    <w:div w:id="1835340589">
      <w:bodyDiv w:val="1"/>
      <w:marLeft w:val="0"/>
      <w:marRight w:val="0"/>
      <w:marTop w:val="0"/>
      <w:marBottom w:val="0"/>
      <w:divBdr>
        <w:top w:val="none" w:sz="0" w:space="0" w:color="auto"/>
        <w:left w:val="none" w:sz="0" w:space="0" w:color="auto"/>
        <w:bottom w:val="none" w:sz="0" w:space="0" w:color="auto"/>
        <w:right w:val="none" w:sz="0" w:space="0" w:color="auto"/>
      </w:divBdr>
    </w:div>
    <w:div w:id="1841576016">
      <w:bodyDiv w:val="1"/>
      <w:marLeft w:val="0"/>
      <w:marRight w:val="0"/>
      <w:marTop w:val="0"/>
      <w:marBottom w:val="0"/>
      <w:divBdr>
        <w:top w:val="none" w:sz="0" w:space="0" w:color="auto"/>
        <w:left w:val="none" w:sz="0" w:space="0" w:color="auto"/>
        <w:bottom w:val="none" w:sz="0" w:space="0" w:color="auto"/>
        <w:right w:val="none" w:sz="0" w:space="0" w:color="auto"/>
      </w:divBdr>
    </w:div>
    <w:div w:id="1849637770">
      <w:bodyDiv w:val="1"/>
      <w:marLeft w:val="0"/>
      <w:marRight w:val="0"/>
      <w:marTop w:val="0"/>
      <w:marBottom w:val="0"/>
      <w:divBdr>
        <w:top w:val="none" w:sz="0" w:space="0" w:color="auto"/>
        <w:left w:val="none" w:sz="0" w:space="0" w:color="auto"/>
        <w:bottom w:val="none" w:sz="0" w:space="0" w:color="auto"/>
        <w:right w:val="none" w:sz="0" w:space="0" w:color="auto"/>
      </w:divBdr>
    </w:div>
    <w:div w:id="1858885347">
      <w:bodyDiv w:val="1"/>
      <w:marLeft w:val="0"/>
      <w:marRight w:val="0"/>
      <w:marTop w:val="0"/>
      <w:marBottom w:val="0"/>
      <w:divBdr>
        <w:top w:val="none" w:sz="0" w:space="0" w:color="auto"/>
        <w:left w:val="none" w:sz="0" w:space="0" w:color="auto"/>
        <w:bottom w:val="none" w:sz="0" w:space="0" w:color="auto"/>
        <w:right w:val="none" w:sz="0" w:space="0" w:color="auto"/>
      </w:divBdr>
    </w:div>
    <w:div w:id="1860195776">
      <w:bodyDiv w:val="1"/>
      <w:marLeft w:val="0"/>
      <w:marRight w:val="0"/>
      <w:marTop w:val="0"/>
      <w:marBottom w:val="0"/>
      <w:divBdr>
        <w:top w:val="none" w:sz="0" w:space="0" w:color="auto"/>
        <w:left w:val="none" w:sz="0" w:space="0" w:color="auto"/>
        <w:bottom w:val="none" w:sz="0" w:space="0" w:color="auto"/>
        <w:right w:val="none" w:sz="0" w:space="0" w:color="auto"/>
      </w:divBdr>
    </w:div>
    <w:div w:id="1886868289">
      <w:bodyDiv w:val="1"/>
      <w:marLeft w:val="0"/>
      <w:marRight w:val="0"/>
      <w:marTop w:val="0"/>
      <w:marBottom w:val="0"/>
      <w:divBdr>
        <w:top w:val="none" w:sz="0" w:space="0" w:color="auto"/>
        <w:left w:val="none" w:sz="0" w:space="0" w:color="auto"/>
        <w:bottom w:val="none" w:sz="0" w:space="0" w:color="auto"/>
        <w:right w:val="none" w:sz="0" w:space="0" w:color="auto"/>
      </w:divBdr>
    </w:div>
    <w:div w:id="1893344688">
      <w:bodyDiv w:val="1"/>
      <w:marLeft w:val="0"/>
      <w:marRight w:val="0"/>
      <w:marTop w:val="0"/>
      <w:marBottom w:val="0"/>
      <w:divBdr>
        <w:top w:val="none" w:sz="0" w:space="0" w:color="auto"/>
        <w:left w:val="none" w:sz="0" w:space="0" w:color="auto"/>
        <w:bottom w:val="none" w:sz="0" w:space="0" w:color="auto"/>
        <w:right w:val="none" w:sz="0" w:space="0" w:color="auto"/>
      </w:divBdr>
    </w:div>
    <w:div w:id="1894265752">
      <w:bodyDiv w:val="1"/>
      <w:marLeft w:val="0"/>
      <w:marRight w:val="0"/>
      <w:marTop w:val="0"/>
      <w:marBottom w:val="0"/>
      <w:divBdr>
        <w:top w:val="none" w:sz="0" w:space="0" w:color="auto"/>
        <w:left w:val="none" w:sz="0" w:space="0" w:color="auto"/>
        <w:bottom w:val="none" w:sz="0" w:space="0" w:color="auto"/>
        <w:right w:val="none" w:sz="0" w:space="0" w:color="auto"/>
      </w:divBdr>
    </w:div>
    <w:div w:id="1894808627">
      <w:bodyDiv w:val="1"/>
      <w:marLeft w:val="0"/>
      <w:marRight w:val="0"/>
      <w:marTop w:val="0"/>
      <w:marBottom w:val="0"/>
      <w:divBdr>
        <w:top w:val="none" w:sz="0" w:space="0" w:color="auto"/>
        <w:left w:val="none" w:sz="0" w:space="0" w:color="auto"/>
        <w:bottom w:val="none" w:sz="0" w:space="0" w:color="auto"/>
        <w:right w:val="none" w:sz="0" w:space="0" w:color="auto"/>
      </w:divBdr>
    </w:div>
    <w:div w:id="1906649257">
      <w:bodyDiv w:val="1"/>
      <w:marLeft w:val="0"/>
      <w:marRight w:val="0"/>
      <w:marTop w:val="0"/>
      <w:marBottom w:val="0"/>
      <w:divBdr>
        <w:top w:val="none" w:sz="0" w:space="0" w:color="auto"/>
        <w:left w:val="none" w:sz="0" w:space="0" w:color="auto"/>
        <w:bottom w:val="none" w:sz="0" w:space="0" w:color="auto"/>
        <w:right w:val="none" w:sz="0" w:space="0" w:color="auto"/>
      </w:divBdr>
    </w:div>
    <w:div w:id="1908492706">
      <w:bodyDiv w:val="1"/>
      <w:marLeft w:val="0"/>
      <w:marRight w:val="0"/>
      <w:marTop w:val="0"/>
      <w:marBottom w:val="0"/>
      <w:divBdr>
        <w:top w:val="none" w:sz="0" w:space="0" w:color="auto"/>
        <w:left w:val="none" w:sz="0" w:space="0" w:color="auto"/>
        <w:bottom w:val="none" w:sz="0" w:space="0" w:color="auto"/>
        <w:right w:val="none" w:sz="0" w:space="0" w:color="auto"/>
      </w:divBdr>
    </w:div>
    <w:div w:id="1909731828">
      <w:bodyDiv w:val="1"/>
      <w:marLeft w:val="0"/>
      <w:marRight w:val="0"/>
      <w:marTop w:val="0"/>
      <w:marBottom w:val="0"/>
      <w:divBdr>
        <w:top w:val="none" w:sz="0" w:space="0" w:color="auto"/>
        <w:left w:val="none" w:sz="0" w:space="0" w:color="auto"/>
        <w:bottom w:val="none" w:sz="0" w:space="0" w:color="auto"/>
        <w:right w:val="none" w:sz="0" w:space="0" w:color="auto"/>
      </w:divBdr>
    </w:div>
    <w:div w:id="1935356935">
      <w:bodyDiv w:val="1"/>
      <w:marLeft w:val="0"/>
      <w:marRight w:val="0"/>
      <w:marTop w:val="0"/>
      <w:marBottom w:val="0"/>
      <w:divBdr>
        <w:top w:val="none" w:sz="0" w:space="0" w:color="auto"/>
        <w:left w:val="none" w:sz="0" w:space="0" w:color="auto"/>
        <w:bottom w:val="none" w:sz="0" w:space="0" w:color="auto"/>
        <w:right w:val="none" w:sz="0" w:space="0" w:color="auto"/>
      </w:divBdr>
    </w:div>
    <w:div w:id="1939874167">
      <w:bodyDiv w:val="1"/>
      <w:marLeft w:val="0"/>
      <w:marRight w:val="0"/>
      <w:marTop w:val="0"/>
      <w:marBottom w:val="0"/>
      <w:divBdr>
        <w:top w:val="none" w:sz="0" w:space="0" w:color="auto"/>
        <w:left w:val="none" w:sz="0" w:space="0" w:color="auto"/>
        <w:bottom w:val="none" w:sz="0" w:space="0" w:color="auto"/>
        <w:right w:val="none" w:sz="0" w:space="0" w:color="auto"/>
      </w:divBdr>
    </w:div>
    <w:div w:id="1940795295">
      <w:bodyDiv w:val="1"/>
      <w:marLeft w:val="0"/>
      <w:marRight w:val="0"/>
      <w:marTop w:val="0"/>
      <w:marBottom w:val="0"/>
      <w:divBdr>
        <w:top w:val="none" w:sz="0" w:space="0" w:color="auto"/>
        <w:left w:val="none" w:sz="0" w:space="0" w:color="auto"/>
        <w:bottom w:val="none" w:sz="0" w:space="0" w:color="auto"/>
        <w:right w:val="none" w:sz="0" w:space="0" w:color="auto"/>
      </w:divBdr>
      <w:divsChild>
        <w:div w:id="284164239">
          <w:marLeft w:val="0"/>
          <w:marRight w:val="0"/>
          <w:marTop w:val="130"/>
          <w:marBottom w:val="195"/>
          <w:divBdr>
            <w:top w:val="none" w:sz="0" w:space="0" w:color="auto"/>
            <w:left w:val="none" w:sz="0" w:space="0" w:color="auto"/>
            <w:bottom w:val="none" w:sz="0" w:space="0" w:color="auto"/>
            <w:right w:val="none" w:sz="0" w:space="0" w:color="auto"/>
          </w:divBdr>
        </w:div>
      </w:divsChild>
    </w:div>
    <w:div w:id="1955207664">
      <w:bodyDiv w:val="1"/>
      <w:marLeft w:val="0"/>
      <w:marRight w:val="0"/>
      <w:marTop w:val="0"/>
      <w:marBottom w:val="0"/>
      <w:divBdr>
        <w:top w:val="none" w:sz="0" w:space="0" w:color="auto"/>
        <w:left w:val="none" w:sz="0" w:space="0" w:color="auto"/>
        <w:bottom w:val="none" w:sz="0" w:space="0" w:color="auto"/>
        <w:right w:val="none" w:sz="0" w:space="0" w:color="auto"/>
      </w:divBdr>
    </w:div>
    <w:div w:id="1961373946">
      <w:bodyDiv w:val="1"/>
      <w:marLeft w:val="0"/>
      <w:marRight w:val="0"/>
      <w:marTop w:val="0"/>
      <w:marBottom w:val="0"/>
      <w:divBdr>
        <w:top w:val="none" w:sz="0" w:space="0" w:color="auto"/>
        <w:left w:val="none" w:sz="0" w:space="0" w:color="auto"/>
        <w:bottom w:val="none" w:sz="0" w:space="0" w:color="auto"/>
        <w:right w:val="none" w:sz="0" w:space="0" w:color="auto"/>
      </w:divBdr>
    </w:div>
    <w:div w:id="1968193119">
      <w:bodyDiv w:val="1"/>
      <w:marLeft w:val="0"/>
      <w:marRight w:val="0"/>
      <w:marTop w:val="0"/>
      <w:marBottom w:val="0"/>
      <w:divBdr>
        <w:top w:val="none" w:sz="0" w:space="0" w:color="auto"/>
        <w:left w:val="none" w:sz="0" w:space="0" w:color="auto"/>
        <w:bottom w:val="none" w:sz="0" w:space="0" w:color="auto"/>
        <w:right w:val="none" w:sz="0" w:space="0" w:color="auto"/>
      </w:divBdr>
    </w:div>
    <w:div w:id="1968851025">
      <w:bodyDiv w:val="1"/>
      <w:marLeft w:val="0"/>
      <w:marRight w:val="0"/>
      <w:marTop w:val="0"/>
      <w:marBottom w:val="0"/>
      <w:divBdr>
        <w:top w:val="none" w:sz="0" w:space="0" w:color="auto"/>
        <w:left w:val="none" w:sz="0" w:space="0" w:color="auto"/>
        <w:bottom w:val="none" w:sz="0" w:space="0" w:color="auto"/>
        <w:right w:val="none" w:sz="0" w:space="0" w:color="auto"/>
      </w:divBdr>
    </w:div>
    <w:div w:id="1975718195">
      <w:bodyDiv w:val="1"/>
      <w:marLeft w:val="0"/>
      <w:marRight w:val="0"/>
      <w:marTop w:val="0"/>
      <w:marBottom w:val="0"/>
      <w:divBdr>
        <w:top w:val="none" w:sz="0" w:space="0" w:color="auto"/>
        <w:left w:val="none" w:sz="0" w:space="0" w:color="auto"/>
        <w:bottom w:val="none" w:sz="0" w:space="0" w:color="auto"/>
        <w:right w:val="none" w:sz="0" w:space="0" w:color="auto"/>
      </w:divBdr>
    </w:div>
    <w:div w:id="1977375556">
      <w:bodyDiv w:val="1"/>
      <w:marLeft w:val="0"/>
      <w:marRight w:val="0"/>
      <w:marTop w:val="0"/>
      <w:marBottom w:val="0"/>
      <w:divBdr>
        <w:top w:val="none" w:sz="0" w:space="0" w:color="auto"/>
        <w:left w:val="none" w:sz="0" w:space="0" w:color="auto"/>
        <w:bottom w:val="none" w:sz="0" w:space="0" w:color="auto"/>
        <w:right w:val="none" w:sz="0" w:space="0" w:color="auto"/>
      </w:divBdr>
    </w:div>
    <w:div w:id="1981574323">
      <w:bodyDiv w:val="1"/>
      <w:marLeft w:val="0"/>
      <w:marRight w:val="0"/>
      <w:marTop w:val="0"/>
      <w:marBottom w:val="0"/>
      <w:divBdr>
        <w:top w:val="none" w:sz="0" w:space="0" w:color="auto"/>
        <w:left w:val="none" w:sz="0" w:space="0" w:color="auto"/>
        <w:bottom w:val="none" w:sz="0" w:space="0" w:color="auto"/>
        <w:right w:val="none" w:sz="0" w:space="0" w:color="auto"/>
      </w:divBdr>
    </w:div>
    <w:div w:id="1985693625">
      <w:bodyDiv w:val="1"/>
      <w:marLeft w:val="0"/>
      <w:marRight w:val="0"/>
      <w:marTop w:val="0"/>
      <w:marBottom w:val="0"/>
      <w:divBdr>
        <w:top w:val="none" w:sz="0" w:space="0" w:color="auto"/>
        <w:left w:val="none" w:sz="0" w:space="0" w:color="auto"/>
        <w:bottom w:val="none" w:sz="0" w:space="0" w:color="auto"/>
        <w:right w:val="none" w:sz="0" w:space="0" w:color="auto"/>
      </w:divBdr>
    </w:div>
    <w:div w:id="1988239344">
      <w:bodyDiv w:val="1"/>
      <w:marLeft w:val="0"/>
      <w:marRight w:val="0"/>
      <w:marTop w:val="0"/>
      <w:marBottom w:val="0"/>
      <w:divBdr>
        <w:top w:val="none" w:sz="0" w:space="0" w:color="auto"/>
        <w:left w:val="none" w:sz="0" w:space="0" w:color="auto"/>
        <w:bottom w:val="none" w:sz="0" w:space="0" w:color="auto"/>
        <w:right w:val="none" w:sz="0" w:space="0" w:color="auto"/>
      </w:divBdr>
    </w:div>
    <w:div w:id="1991395897">
      <w:bodyDiv w:val="1"/>
      <w:marLeft w:val="0"/>
      <w:marRight w:val="0"/>
      <w:marTop w:val="0"/>
      <w:marBottom w:val="0"/>
      <w:divBdr>
        <w:top w:val="none" w:sz="0" w:space="0" w:color="auto"/>
        <w:left w:val="none" w:sz="0" w:space="0" w:color="auto"/>
        <w:bottom w:val="none" w:sz="0" w:space="0" w:color="auto"/>
        <w:right w:val="none" w:sz="0" w:space="0" w:color="auto"/>
      </w:divBdr>
    </w:div>
    <w:div w:id="1994331296">
      <w:bodyDiv w:val="1"/>
      <w:marLeft w:val="0"/>
      <w:marRight w:val="0"/>
      <w:marTop w:val="0"/>
      <w:marBottom w:val="0"/>
      <w:divBdr>
        <w:top w:val="none" w:sz="0" w:space="0" w:color="auto"/>
        <w:left w:val="none" w:sz="0" w:space="0" w:color="auto"/>
        <w:bottom w:val="none" w:sz="0" w:space="0" w:color="auto"/>
        <w:right w:val="none" w:sz="0" w:space="0" w:color="auto"/>
      </w:divBdr>
    </w:div>
    <w:div w:id="1999378963">
      <w:bodyDiv w:val="1"/>
      <w:marLeft w:val="0"/>
      <w:marRight w:val="0"/>
      <w:marTop w:val="0"/>
      <w:marBottom w:val="0"/>
      <w:divBdr>
        <w:top w:val="none" w:sz="0" w:space="0" w:color="auto"/>
        <w:left w:val="none" w:sz="0" w:space="0" w:color="auto"/>
        <w:bottom w:val="none" w:sz="0" w:space="0" w:color="auto"/>
        <w:right w:val="none" w:sz="0" w:space="0" w:color="auto"/>
      </w:divBdr>
    </w:div>
    <w:div w:id="2000695447">
      <w:bodyDiv w:val="1"/>
      <w:marLeft w:val="0"/>
      <w:marRight w:val="0"/>
      <w:marTop w:val="0"/>
      <w:marBottom w:val="0"/>
      <w:divBdr>
        <w:top w:val="none" w:sz="0" w:space="0" w:color="auto"/>
        <w:left w:val="none" w:sz="0" w:space="0" w:color="auto"/>
        <w:bottom w:val="none" w:sz="0" w:space="0" w:color="auto"/>
        <w:right w:val="none" w:sz="0" w:space="0" w:color="auto"/>
      </w:divBdr>
    </w:div>
    <w:div w:id="2001078682">
      <w:bodyDiv w:val="1"/>
      <w:marLeft w:val="0"/>
      <w:marRight w:val="0"/>
      <w:marTop w:val="0"/>
      <w:marBottom w:val="0"/>
      <w:divBdr>
        <w:top w:val="none" w:sz="0" w:space="0" w:color="auto"/>
        <w:left w:val="none" w:sz="0" w:space="0" w:color="auto"/>
        <w:bottom w:val="none" w:sz="0" w:space="0" w:color="auto"/>
        <w:right w:val="none" w:sz="0" w:space="0" w:color="auto"/>
      </w:divBdr>
    </w:div>
    <w:div w:id="2003779049">
      <w:bodyDiv w:val="1"/>
      <w:marLeft w:val="0"/>
      <w:marRight w:val="0"/>
      <w:marTop w:val="0"/>
      <w:marBottom w:val="0"/>
      <w:divBdr>
        <w:top w:val="none" w:sz="0" w:space="0" w:color="auto"/>
        <w:left w:val="none" w:sz="0" w:space="0" w:color="auto"/>
        <w:bottom w:val="none" w:sz="0" w:space="0" w:color="auto"/>
        <w:right w:val="none" w:sz="0" w:space="0" w:color="auto"/>
      </w:divBdr>
    </w:div>
    <w:div w:id="2004505318">
      <w:bodyDiv w:val="1"/>
      <w:marLeft w:val="0"/>
      <w:marRight w:val="0"/>
      <w:marTop w:val="0"/>
      <w:marBottom w:val="0"/>
      <w:divBdr>
        <w:top w:val="none" w:sz="0" w:space="0" w:color="auto"/>
        <w:left w:val="none" w:sz="0" w:space="0" w:color="auto"/>
        <w:bottom w:val="none" w:sz="0" w:space="0" w:color="auto"/>
        <w:right w:val="none" w:sz="0" w:space="0" w:color="auto"/>
      </w:divBdr>
    </w:div>
    <w:div w:id="2010208873">
      <w:bodyDiv w:val="1"/>
      <w:marLeft w:val="0"/>
      <w:marRight w:val="0"/>
      <w:marTop w:val="0"/>
      <w:marBottom w:val="0"/>
      <w:divBdr>
        <w:top w:val="none" w:sz="0" w:space="0" w:color="auto"/>
        <w:left w:val="none" w:sz="0" w:space="0" w:color="auto"/>
        <w:bottom w:val="none" w:sz="0" w:space="0" w:color="auto"/>
        <w:right w:val="none" w:sz="0" w:space="0" w:color="auto"/>
      </w:divBdr>
    </w:div>
    <w:div w:id="2017002644">
      <w:bodyDiv w:val="1"/>
      <w:marLeft w:val="0"/>
      <w:marRight w:val="0"/>
      <w:marTop w:val="0"/>
      <w:marBottom w:val="0"/>
      <w:divBdr>
        <w:top w:val="none" w:sz="0" w:space="0" w:color="auto"/>
        <w:left w:val="none" w:sz="0" w:space="0" w:color="auto"/>
        <w:bottom w:val="none" w:sz="0" w:space="0" w:color="auto"/>
        <w:right w:val="none" w:sz="0" w:space="0" w:color="auto"/>
      </w:divBdr>
    </w:div>
    <w:div w:id="2017271045">
      <w:bodyDiv w:val="1"/>
      <w:marLeft w:val="0"/>
      <w:marRight w:val="0"/>
      <w:marTop w:val="0"/>
      <w:marBottom w:val="0"/>
      <w:divBdr>
        <w:top w:val="none" w:sz="0" w:space="0" w:color="auto"/>
        <w:left w:val="none" w:sz="0" w:space="0" w:color="auto"/>
        <w:bottom w:val="none" w:sz="0" w:space="0" w:color="auto"/>
        <w:right w:val="none" w:sz="0" w:space="0" w:color="auto"/>
      </w:divBdr>
    </w:div>
    <w:div w:id="2018116505">
      <w:bodyDiv w:val="1"/>
      <w:marLeft w:val="0"/>
      <w:marRight w:val="0"/>
      <w:marTop w:val="0"/>
      <w:marBottom w:val="0"/>
      <w:divBdr>
        <w:top w:val="none" w:sz="0" w:space="0" w:color="auto"/>
        <w:left w:val="none" w:sz="0" w:space="0" w:color="auto"/>
        <w:bottom w:val="none" w:sz="0" w:space="0" w:color="auto"/>
        <w:right w:val="none" w:sz="0" w:space="0" w:color="auto"/>
      </w:divBdr>
    </w:div>
    <w:div w:id="2021589938">
      <w:bodyDiv w:val="1"/>
      <w:marLeft w:val="0"/>
      <w:marRight w:val="0"/>
      <w:marTop w:val="0"/>
      <w:marBottom w:val="0"/>
      <w:divBdr>
        <w:top w:val="none" w:sz="0" w:space="0" w:color="auto"/>
        <w:left w:val="none" w:sz="0" w:space="0" w:color="auto"/>
        <w:bottom w:val="none" w:sz="0" w:space="0" w:color="auto"/>
        <w:right w:val="none" w:sz="0" w:space="0" w:color="auto"/>
      </w:divBdr>
    </w:div>
    <w:div w:id="2027052295">
      <w:bodyDiv w:val="1"/>
      <w:marLeft w:val="0"/>
      <w:marRight w:val="0"/>
      <w:marTop w:val="0"/>
      <w:marBottom w:val="0"/>
      <w:divBdr>
        <w:top w:val="none" w:sz="0" w:space="0" w:color="auto"/>
        <w:left w:val="none" w:sz="0" w:space="0" w:color="auto"/>
        <w:bottom w:val="none" w:sz="0" w:space="0" w:color="auto"/>
        <w:right w:val="none" w:sz="0" w:space="0" w:color="auto"/>
      </w:divBdr>
    </w:div>
    <w:div w:id="2040814040">
      <w:bodyDiv w:val="1"/>
      <w:marLeft w:val="0"/>
      <w:marRight w:val="0"/>
      <w:marTop w:val="0"/>
      <w:marBottom w:val="0"/>
      <w:divBdr>
        <w:top w:val="none" w:sz="0" w:space="0" w:color="auto"/>
        <w:left w:val="none" w:sz="0" w:space="0" w:color="auto"/>
        <w:bottom w:val="none" w:sz="0" w:space="0" w:color="auto"/>
        <w:right w:val="none" w:sz="0" w:space="0" w:color="auto"/>
      </w:divBdr>
    </w:div>
    <w:div w:id="2047171007">
      <w:bodyDiv w:val="1"/>
      <w:marLeft w:val="0"/>
      <w:marRight w:val="0"/>
      <w:marTop w:val="0"/>
      <w:marBottom w:val="0"/>
      <w:divBdr>
        <w:top w:val="none" w:sz="0" w:space="0" w:color="auto"/>
        <w:left w:val="none" w:sz="0" w:space="0" w:color="auto"/>
        <w:bottom w:val="none" w:sz="0" w:space="0" w:color="auto"/>
        <w:right w:val="none" w:sz="0" w:space="0" w:color="auto"/>
      </w:divBdr>
    </w:div>
    <w:div w:id="2047370793">
      <w:bodyDiv w:val="1"/>
      <w:marLeft w:val="0"/>
      <w:marRight w:val="0"/>
      <w:marTop w:val="0"/>
      <w:marBottom w:val="0"/>
      <w:divBdr>
        <w:top w:val="none" w:sz="0" w:space="0" w:color="auto"/>
        <w:left w:val="none" w:sz="0" w:space="0" w:color="auto"/>
        <w:bottom w:val="none" w:sz="0" w:space="0" w:color="auto"/>
        <w:right w:val="none" w:sz="0" w:space="0" w:color="auto"/>
      </w:divBdr>
    </w:div>
    <w:div w:id="2052413354">
      <w:bodyDiv w:val="1"/>
      <w:marLeft w:val="0"/>
      <w:marRight w:val="0"/>
      <w:marTop w:val="0"/>
      <w:marBottom w:val="0"/>
      <w:divBdr>
        <w:top w:val="none" w:sz="0" w:space="0" w:color="auto"/>
        <w:left w:val="none" w:sz="0" w:space="0" w:color="auto"/>
        <w:bottom w:val="none" w:sz="0" w:space="0" w:color="auto"/>
        <w:right w:val="none" w:sz="0" w:space="0" w:color="auto"/>
      </w:divBdr>
    </w:div>
    <w:div w:id="2057388503">
      <w:bodyDiv w:val="1"/>
      <w:marLeft w:val="0"/>
      <w:marRight w:val="0"/>
      <w:marTop w:val="0"/>
      <w:marBottom w:val="0"/>
      <w:divBdr>
        <w:top w:val="none" w:sz="0" w:space="0" w:color="auto"/>
        <w:left w:val="none" w:sz="0" w:space="0" w:color="auto"/>
        <w:bottom w:val="none" w:sz="0" w:space="0" w:color="auto"/>
        <w:right w:val="none" w:sz="0" w:space="0" w:color="auto"/>
      </w:divBdr>
    </w:div>
    <w:div w:id="2058048432">
      <w:bodyDiv w:val="1"/>
      <w:marLeft w:val="0"/>
      <w:marRight w:val="0"/>
      <w:marTop w:val="0"/>
      <w:marBottom w:val="0"/>
      <w:divBdr>
        <w:top w:val="none" w:sz="0" w:space="0" w:color="auto"/>
        <w:left w:val="none" w:sz="0" w:space="0" w:color="auto"/>
        <w:bottom w:val="none" w:sz="0" w:space="0" w:color="auto"/>
        <w:right w:val="none" w:sz="0" w:space="0" w:color="auto"/>
      </w:divBdr>
    </w:div>
    <w:div w:id="2058116591">
      <w:bodyDiv w:val="1"/>
      <w:marLeft w:val="0"/>
      <w:marRight w:val="0"/>
      <w:marTop w:val="0"/>
      <w:marBottom w:val="0"/>
      <w:divBdr>
        <w:top w:val="none" w:sz="0" w:space="0" w:color="auto"/>
        <w:left w:val="none" w:sz="0" w:space="0" w:color="auto"/>
        <w:bottom w:val="none" w:sz="0" w:space="0" w:color="auto"/>
        <w:right w:val="none" w:sz="0" w:space="0" w:color="auto"/>
      </w:divBdr>
    </w:div>
    <w:div w:id="2065251523">
      <w:bodyDiv w:val="1"/>
      <w:marLeft w:val="0"/>
      <w:marRight w:val="0"/>
      <w:marTop w:val="0"/>
      <w:marBottom w:val="0"/>
      <w:divBdr>
        <w:top w:val="none" w:sz="0" w:space="0" w:color="auto"/>
        <w:left w:val="none" w:sz="0" w:space="0" w:color="auto"/>
        <w:bottom w:val="none" w:sz="0" w:space="0" w:color="auto"/>
        <w:right w:val="none" w:sz="0" w:space="0" w:color="auto"/>
      </w:divBdr>
    </w:div>
    <w:div w:id="2083991547">
      <w:bodyDiv w:val="1"/>
      <w:marLeft w:val="0"/>
      <w:marRight w:val="0"/>
      <w:marTop w:val="0"/>
      <w:marBottom w:val="0"/>
      <w:divBdr>
        <w:top w:val="none" w:sz="0" w:space="0" w:color="auto"/>
        <w:left w:val="none" w:sz="0" w:space="0" w:color="auto"/>
        <w:bottom w:val="none" w:sz="0" w:space="0" w:color="auto"/>
        <w:right w:val="none" w:sz="0" w:space="0" w:color="auto"/>
      </w:divBdr>
    </w:div>
    <w:div w:id="2090734559">
      <w:bodyDiv w:val="1"/>
      <w:marLeft w:val="0"/>
      <w:marRight w:val="0"/>
      <w:marTop w:val="0"/>
      <w:marBottom w:val="0"/>
      <w:divBdr>
        <w:top w:val="none" w:sz="0" w:space="0" w:color="auto"/>
        <w:left w:val="none" w:sz="0" w:space="0" w:color="auto"/>
        <w:bottom w:val="none" w:sz="0" w:space="0" w:color="auto"/>
        <w:right w:val="none" w:sz="0" w:space="0" w:color="auto"/>
      </w:divBdr>
    </w:div>
    <w:div w:id="2091803611">
      <w:bodyDiv w:val="1"/>
      <w:marLeft w:val="0"/>
      <w:marRight w:val="0"/>
      <w:marTop w:val="0"/>
      <w:marBottom w:val="0"/>
      <w:divBdr>
        <w:top w:val="none" w:sz="0" w:space="0" w:color="auto"/>
        <w:left w:val="none" w:sz="0" w:space="0" w:color="auto"/>
        <w:bottom w:val="none" w:sz="0" w:space="0" w:color="auto"/>
        <w:right w:val="none" w:sz="0" w:space="0" w:color="auto"/>
      </w:divBdr>
    </w:div>
    <w:div w:id="2094818738">
      <w:bodyDiv w:val="1"/>
      <w:marLeft w:val="0"/>
      <w:marRight w:val="0"/>
      <w:marTop w:val="0"/>
      <w:marBottom w:val="0"/>
      <w:divBdr>
        <w:top w:val="none" w:sz="0" w:space="0" w:color="auto"/>
        <w:left w:val="none" w:sz="0" w:space="0" w:color="auto"/>
        <w:bottom w:val="none" w:sz="0" w:space="0" w:color="auto"/>
        <w:right w:val="none" w:sz="0" w:space="0" w:color="auto"/>
      </w:divBdr>
    </w:div>
    <w:div w:id="2095127956">
      <w:bodyDiv w:val="1"/>
      <w:marLeft w:val="0"/>
      <w:marRight w:val="0"/>
      <w:marTop w:val="0"/>
      <w:marBottom w:val="0"/>
      <w:divBdr>
        <w:top w:val="none" w:sz="0" w:space="0" w:color="auto"/>
        <w:left w:val="none" w:sz="0" w:space="0" w:color="auto"/>
        <w:bottom w:val="none" w:sz="0" w:space="0" w:color="auto"/>
        <w:right w:val="none" w:sz="0" w:space="0" w:color="auto"/>
      </w:divBdr>
    </w:div>
    <w:div w:id="2099017589">
      <w:bodyDiv w:val="1"/>
      <w:marLeft w:val="0"/>
      <w:marRight w:val="0"/>
      <w:marTop w:val="0"/>
      <w:marBottom w:val="0"/>
      <w:divBdr>
        <w:top w:val="none" w:sz="0" w:space="0" w:color="auto"/>
        <w:left w:val="none" w:sz="0" w:space="0" w:color="auto"/>
        <w:bottom w:val="none" w:sz="0" w:space="0" w:color="auto"/>
        <w:right w:val="none" w:sz="0" w:space="0" w:color="auto"/>
      </w:divBdr>
    </w:div>
    <w:div w:id="2107455824">
      <w:bodyDiv w:val="1"/>
      <w:marLeft w:val="0"/>
      <w:marRight w:val="0"/>
      <w:marTop w:val="0"/>
      <w:marBottom w:val="0"/>
      <w:divBdr>
        <w:top w:val="none" w:sz="0" w:space="0" w:color="auto"/>
        <w:left w:val="none" w:sz="0" w:space="0" w:color="auto"/>
        <w:bottom w:val="none" w:sz="0" w:space="0" w:color="auto"/>
        <w:right w:val="none" w:sz="0" w:space="0" w:color="auto"/>
      </w:divBdr>
    </w:div>
    <w:div w:id="2118525271">
      <w:bodyDiv w:val="1"/>
      <w:marLeft w:val="0"/>
      <w:marRight w:val="0"/>
      <w:marTop w:val="0"/>
      <w:marBottom w:val="0"/>
      <w:divBdr>
        <w:top w:val="none" w:sz="0" w:space="0" w:color="auto"/>
        <w:left w:val="none" w:sz="0" w:space="0" w:color="auto"/>
        <w:bottom w:val="none" w:sz="0" w:space="0" w:color="auto"/>
        <w:right w:val="none" w:sz="0" w:space="0" w:color="auto"/>
      </w:divBdr>
    </w:div>
    <w:div w:id="2124687298">
      <w:bodyDiv w:val="1"/>
      <w:marLeft w:val="0"/>
      <w:marRight w:val="0"/>
      <w:marTop w:val="0"/>
      <w:marBottom w:val="0"/>
      <w:divBdr>
        <w:top w:val="none" w:sz="0" w:space="0" w:color="auto"/>
        <w:left w:val="none" w:sz="0" w:space="0" w:color="auto"/>
        <w:bottom w:val="none" w:sz="0" w:space="0" w:color="auto"/>
        <w:right w:val="none" w:sz="0" w:space="0" w:color="auto"/>
      </w:divBdr>
    </w:div>
    <w:div w:id="2125541433">
      <w:bodyDiv w:val="1"/>
      <w:marLeft w:val="0"/>
      <w:marRight w:val="0"/>
      <w:marTop w:val="0"/>
      <w:marBottom w:val="0"/>
      <w:divBdr>
        <w:top w:val="none" w:sz="0" w:space="0" w:color="auto"/>
        <w:left w:val="none" w:sz="0" w:space="0" w:color="auto"/>
        <w:bottom w:val="none" w:sz="0" w:space="0" w:color="auto"/>
        <w:right w:val="none" w:sz="0" w:space="0" w:color="auto"/>
      </w:divBdr>
    </w:div>
    <w:div w:id="2133788154">
      <w:bodyDiv w:val="1"/>
      <w:marLeft w:val="0"/>
      <w:marRight w:val="0"/>
      <w:marTop w:val="0"/>
      <w:marBottom w:val="0"/>
      <w:divBdr>
        <w:top w:val="none" w:sz="0" w:space="0" w:color="auto"/>
        <w:left w:val="none" w:sz="0" w:space="0" w:color="auto"/>
        <w:bottom w:val="none" w:sz="0" w:space="0" w:color="auto"/>
        <w:right w:val="none" w:sz="0" w:space="0" w:color="auto"/>
      </w:divBdr>
    </w:div>
    <w:div w:id="2136944147">
      <w:bodyDiv w:val="1"/>
      <w:marLeft w:val="0"/>
      <w:marRight w:val="0"/>
      <w:marTop w:val="0"/>
      <w:marBottom w:val="0"/>
      <w:divBdr>
        <w:top w:val="none" w:sz="0" w:space="0" w:color="auto"/>
        <w:left w:val="none" w:sz="0" w:space="0" w:color="auto"/>
        <w:bottom w:val="none" w:sz="0" w:space="0" w:color="auto"/>
        <w:right w:val="none" w:sz="0" w:space="0" w:color="auto"/>
      </w:divBdr>
    </w:div>
    <w:div w:id="214646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A21E1-BEC6-4C1B-B261-3ACC426D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53698</Words>
  <Characters>295339</Characters>
  <Application>Microsoft Office Word</Application>
  <DocSecurity>0</DocSecurity>
  <Lines>2461</Lines>
  <Paragraphs>696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348341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Antonio Munguia Rangel</dc:creator>
  <cp:lastModifiedBy>Luis Antonio Munguia Rangel</cp:lastModifiedBy>
  <cp:revision>2</cp:revision>
  <cp:lastPrinted>2017-12-11T16:32:00Z</cp:lastPrinted>
  <dcterms:created xsi:type="dcterms:W3CDTF">2017-12-11T16:33:00Z</dcterms:created>
  <dcterms:modified xsi:type="dcterms:W3CDTF">2017-12-11T16:33:00Z</dcterms:modified>
</cp:coreProperties>
</file>