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41" w:rsidRDefault="00D12F41"/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Pr="004B73CA" w:rsidRDefault="00BE3134" w:rsidP="00BE3134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28"/>
          <w:szCs w:val="24"/>
          <w:lang w:eastAsia="es-MX"/>
        </w:rPr>
      </w:pPr>
      <w:r w:rsidRPr="004B73CA">
        <w:rPr>
          <w:rFonts w:ascii="Colaborate-Medium" w:hAnsi="Colaborate-Medium"/>
          <w:b/>
          <w:sz w:val="28"/>
          <w:szCs w:val="24"/>
          <w:lang w:eastAsia="es-MX"/>
        </w:rPr>
        <w:t>Norma para armonizar la presentación de la información adicional a la iniciativa de la Ley de Ingresos.</w:t>
      </w:r>
    </w:p>
    <w:p w:rsidR="00BE3134" w:rsidRPr="004B73CA" w:rsidRDefault="00BE3134" w:rsidP="00BE3134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28"/>
          <w:szCs w:val="24"/>
          <w:lang w:eastAsia="es-MX"/>
        </w:rPr>
      </w:pPr>
    </w:p>
    <w:p w:rsidR="00BE3134" w:rsidRPr="004B73CA" w:rsidRDefault="00BE3134" w:rsidP="00BE3134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28"/>
          <w:szCs w:val="24"/>
          <w:lang w:eastAsia="es-MX"/>
        </w:rPr>
      </w:pPr>
    </w:p>
    <w:p w:rsidR="00BE3134" w:rsidRPr="004B73CA" w:rsidRDefault="00BE3134" w:rsidP="00BE3134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28"/>
          <w:szCs w:val="24"/>
          <w:lang w:eastAsia="es-MX"/>
        </w:rPr>
      </w:pPr>
    </w:p>
    <w:p w:rsidR="00BE3134" w:rsidRPr="004B73CA" w:rsidRDefault="00BE3134" w:rsidP="00BE3134">
      <w:pPr>
        <w:pStyle w:val="Texto"/>
        <w:spacing w:line="276" w:lineRule="auto"/>
        <w:ind w:firstLine="0"/>
        <w:jc w:val="center"/>
        <w:rPr>
          <w:rFonts w:ascii="Colaborate-Medium" w:hAnsi="Colaborate-Medium"/>
          <w:b/>
          <w:sz w:val="56"/>
          <w:szCs w:val="56"/>
          <w:lang w:eastAsia="es-MX"/>
        </w:rPr>
      </w:pPr>
      <w:r w:rsidRPr="004B73CA">
        <w:rPr>
          <w:rFonts w:ascii="Colaborate-Medium" w:hAnsi="Colaborate-Medium"/>
          <w:b/>
          <w:sz w:val="56"/>
          <w:szCs w:val="56"/>
          <w:lang w:eastAsia="es-MX"/>
        </w:rPr>
        <w:t>2019</w:t>
      </w: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Default="00BE3134" w:rsidP="00BE3134">
      <w:pPr>
        <w:pStyle w:val="ANOTACION"/>
        <w:spacing w:line="219" w:lineRule="exact"/>
        <w:rPr>
          <w:rFonts w:ascii="ColABORATE M" w:hAnsi="ColABORATE M" w:cs="Arial"/>
          <w:sz w:val="24"/>
          <w:szCs w:val="24"/>
        </w:rPr>
      </w:pP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4B73CA">
        <w:rPr>
          <w:rFonts w:ascii="Colaborate-Medium" w:hAnsi="Colaborate-Medium"/>
          <w:sz w:val="24"/>
          <w:szCs w:val="24"/>
          <w:lang w:eastAsia="es-MX"/>
        </w:rPr>
        <w:lastRenderedPageBreak/>
        <w:t>Con fundamento en los artículos 9, fracciones I y IX, 14 y 61, fracción I, último párrafo de la Ley General 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gobierno, publicado en el Diario Oficial de la Federación el 12 de noviembre de 2012 se emite la: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4B73CA">
        <w:rPr>
          <w:rFonts w:ascii="Colaborate-Medium" w:hAnsi="Colaborate-Medium"/>
          <w:b/>
          <w:sz w:val="24"/>
          <w:szCs w:val="24"/>
          <w:lang w:eastAsia="es-MX"/>
        </w:rPr>
        <w:t>Norma para armonizar la presentación de la información adicional a la iniciativa de la Ley de Ingresos.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4B73CA">
        <w:rPr>
          <w:rFonts w:ascii="Colaborate-Medium" w:hAnsi="Colaborate-Medium"/>
          <w:b/>
          <w:sz w:val="24"/>
          <w:szCs w:val="24"/>
          <w:lang w:eastAsia="es-MX"/>
        </w:rPr>
        <w:t>Objeto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4B73CA">
        <w:rPr>
          <w:rFonts w:ascii="Colaborate-Medium" w:hAnsi="Colaborate-Medium"/>
          <w:sz w:val="24"/>
          <w:szCs w:val="24"/>
          <w:lang w:eastAsia="es-MX"/>
        </w:rPr>
        <w:t>1.</w:t>
      </w:r>
      <w:r w:rsidRPr="004B73CA">
        <w:rPr>
          <w:rFonts w:ascii="Colaborate-Medium" w:hAnsi="Colaborate-Medium"/>
          <w:sz w:val="24"/>
          <w:szCs w:val="24"/>
          <w:lang w:eastAsia="es-MX"/>
        </w:rPr>
        <w:tab/>
        <w:t>Establecer la estructura y contenido de la información adicional que se incluirá en las Leyes de Ingresos para que la información financiera que generen y publiquen los entes obligados sea con base en estructuras y formatos armonizados.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4B73CA">
        <w:rPr>
          <w:rFonts w:ascii="Colaborate-Medium" w:hAnsi="Colaborate-Medium"/>
          <w:b/>
          <w:sz w:val="24"/>
          <w:szCs w:val="24"/>
          <w:lang w:eastAsia="es-MX"/>
        </w:rPr>
        <w:t>Ámbito de aplicación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4B73CA">
        <w:rPr>
          <w:rFonts w:ascii="Colaborate-Medium" w:hAnsi="Colaborate-Medium"/>
          <w:sz w:val="24"/>
          <w:szCs w:val="24"/>
          <w:lang w:eastAsia="es-MX"/>
        </w:rPr>
        <w:t>2.</w:t>
      </w:r>
      <w:r w:rsidRPr="004B73CA">
        <w:rPr>
          <w:rFonts w:ascii="Colaborate-Medium" w:hAnsi="Colaborate-Medium"/>
          <w:sz w:val="24"/>
          <w:szCs w:val="24"/>
          <w:lang w:eastAsia="es-MX"/>
        </w:rPr>
        <w:tab/>
        <w:t>Las presentes disposiciones serán de observancia obligatoria para la Federación, entidades federativas y los municipios y en su caso, las demarcaciones territoriales del Distrito Federal.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4B73CA">
        <w:rPr>
          <w:rFonts w:ascii="Colaborate-Medium" w:hAnsi="Colaborate-Medium"/>
          <w:b/>
          <w:sz w:val="24"/>
          <w:szCs w:val="24"/>
          <w:lang w:eastAsia="es-MX"/>
        </w:rPr>
        <w:t>Normas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4B73CA">
        <w:rPr>
          <w:rFonts w:ascii="Colaborate-Medium" w:hAnsi="Colaborate-Medium"/>
          <w:sz w:val="24"/>
          <w:szCs w:val="24"/>
          <w:lang w:eastAsia="es-MX"/>
        </w:rPr>
        <w:t>3.</w:t>
      </w:r>
      <w:r w:rsidRPr="004B73CA">
        <w:rPr>
          <w:rFonts w:ascii="Colaborate-Medium" w:hAnsi="Colaborate-Medium"/>
          <w:sz w:val="24"/>
          <w:szCs w:val="24"/>
          <w:lang w:eastAsia="es-MX"/>
        </w:rPr>
        <w:tab/>
        <w:t>La iniciativa de la Ley de Ingresos se presentará atendiendo a lo dispuesto por el artículo 61 de la Ley General de Contabilidad Gubernamental, y el Clasificador por Rubros de Ingresos, publicado en el Diario Oficial de la Federación el 9 de diciembre de 2009.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4B73CA">
        <w:rPr>
          <w:rFonts w:ascii="Colaborate-Medium" w:hAnsi="Colaborate-Medium"/>
          <w:sz w:val="24"/>
          <w:szCs w:val="24"/>
          <w:lang w:eastAsia="es-MX"/>
        </w:rPr>
        <w:t>4.</w:t>
      </w:r>
      <w:r w:rsidRPr="004B73CA">
        <w:rPr>
          <w:rFonts w:ascii="Colaborate-Medium" w:hAnsi="Colaborate-Medium"/>
          <w:sz w:val="24"/>
          <w:szCs w:val="24"/>
          <w:lang w:eastAsia="es-MX"/>
        </w:rPr>
        <w:tab/>
        <w:t>Para el caso de la Federación la información a que se refiere esta norma se realizará de conformidad con lo establecido en la Ley Federal de Presupuesto y Responsabilidad Hacendaria.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b/>
          <w:sz w:val="24"/>
          <w:szCs w:val="24"/>
          <w:lang w:eastAsia="es-MX"/>
        </w:rPr>
      </w:pPr>
      <w:r w:rsidRPr="004B73CA">
        <w:rPr>
          <w:rFonts w:ascii="Colaborate-Medium" w:hAnsi="Colaborate-Medium"/>
          <w:b/>
          <w:sz w:val="24"/>
          <w:szCs w:val="24"/>
          <w:lang w:eastAsia="es-MX"/>
        </w:rPr>
        <w:t>Precisiones al Formato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4B73CA">
        <w:rPr>
          <w:rFonts w:ascii="Colaborate-Medium" w:hAnsi="Colaborate-Medium"/>
          <w:sz w:val="24"/>
          <w:szCs w:val="24"/>
          <w:lang w:eastAsia="es-MX"/>
        </w:rPr>
        <w:t>5.</w:t>
      </w:r>
      <w:r w:rsidRPr="004B73CA">
        <w:rPr>
          <w:rFonts w:ascii="Colaborate-Medium" w:hAnsi="Colaborate-Medium"/>
          <w:sz w:val="24"/>
          <w:szCs w:val="24"/>
          <w:lang w:eastAsia="es-MX"/>
        </w:rPr>
        <w:tab/>
        <w:t>Se deberá de considerar lo siguiente:</w:t>
      </w:r>
    </w:p>
    <w:p w:rsidR="00BE3134" w:rsidRPr="004B73CA" w:rsidRDefault="00BE3134" w:rsidP="00BE3134">
      <w:pPr>
        <w:pStyle w:val="Texto"/>
        <w:spacing w:line="276" w:lineRule="auto"/>
        <w:rPr>
          <w:rFonts w:ascii="Colaborate-Medium" w:hAnsi="Colaborate-Medium"/>
          <w:sz w:val="24"/>
          <w:szCs w:val="24"/>
          <w:lang w:eastAsia="es-MX"/>
        </w:rPr>
      </w:pPr>
      <w:r w:rsidRPr="004B73CA">
        <w:rPr>
          <w:rFonts w:ascii="Colaborate-Medium" w:hAnsi="Colaborate-Medium"/>
          <w:sz w:val="24"/>
          <w:szCs w:val="24"/>
          <w:lang w:eastAsia="es-MX"/>
        </w:rPr>
        <w:tab/>
        <w:t>Presentar con la apertura del Clasificador por Rubros de Ingresos, como mínimo al segundo nivel (tipo), incluyendo sus importes.</w:t>
      </w:r>
    </w:p>
    <w:p w:rsidR="00BE3134" w:rsidRPr="00BE28B3" w:rsidRDefault="00BE3134" w:rsidP="00BE3134">
      <w:pPr>
        <w:pStyle w:val="Texto"/>
        <w:spacing w:line="276" w:lineRule="auto"/>
        <w:jc w:val="center"/>
        <w:rPr>
          <w:rFonts w:ascii="Colaborate-Medium" w:hAnsi="Colaborate-Medium"/>
          <w:b/>
          <w:sz w:val="28"/>
          <w:szCs w:val="28"/>
          <w:lang w:eastAsia="es-MX"/>
        </w:rPr>
      </w:pPr>
      <w:r w:rsidRPr="00BE28B3">
        <w:rPr>
          <w:rFonts w:ascii="Colaborate-Medium" w:hAnsi="Colaborate-Medium"/>
          <w:b/>
          <w:sz w:val="28"/>
          <w:szCs w:val="28"/>
          <w:lang w:eastAsia="es-MX"/>
        </w:rPr>
        <w:lastRenderedPageBreak/>
        <w:t>Formato de Iniciativa de Ley de Ingresos Armonizada:</w:t>
      </w:r>
    </w:p>
    <w:p w:rsidR="00BE28B3" w:rsidRPr="004B73CA" w:rsidRDefault="00BE28B3" w:rsidP="00BE3134">
      <w:pPr>
        <w:pStyle w:val="Texto"/>
        <w:spacing w:line="276" w:lineRule="auto"/>
        <w:jc w:val="center"/>
        <w:rPr>
          <w:rFonts w:ascii="Colaborate-Medium" w:hAnsi="Colaborate-Medium"/>
          <w:b/>
          <w:sz w:val="24"/>
          <w:szCs w:val="24"/>
          <w:lang w:eastAsia="es-MX"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2593"/>
      </w:tblGrid>
      <w:tr w:rsidR="00BE28B3" w:rsidRPr="006C31EA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Pr="003D4E49" w:rsidRDefault="00BE28B3" w:rsidP="00210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Gobierno del Estado de Colima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Iniciativa de la ley de Ingresos para el Ejercicio Fiscal 2019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BE28B3" w:rsidRPr="006C31EA" w:rsidRDefault="00BE28B3" w:rsidP="00210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C3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Ingreso Estimado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Pr="003D4E49" w:rsidRDefault="00BE28B3" w:rsidP="00210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93" w:type="dxa"/>
            <w:shd w:val="clear" w:color="auto" w:fill="auto"/>
            <w:noWrap/>
            <w:vAlign w:val="center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18,137,670,000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1. Impuestos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867,881,750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1.1. Impuestos sobre los ingresos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26,401,53</w:t>
            </w:r>
            <w:r w:rsidRPr="00B0467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1.1.1. Impuestos Sobre Ejercicio de Profesiones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2,002,938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1.1.2. Impuesto Sobre Loterías, Rif</w:t>
            </w:r>
            <w:r>
              <w:rPr>
                <w:rFonts w:ascii="Arial" w:hAnsi="Arial" w:cs="Arial"/>
                <w:sz w:val="24"/>
                <w:szCs w:val="24"/>
              </w:rPr>
              <w:t xml:space="preserve">as, Sorteos, Concursos y 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Juegos </w:t>
            </w:r>
            <w:r w:rsidRPr="003D4E49">
              <w:rPr>
                <w:rFonts w:ascii="Arial" w:hAnsi="Arial" w:cs="Arial"/>
                <w:sz w:val="24"/>
                <w:szCs w:val="24"/>
              </w:rPr>
              <w:t>Permitidos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24,398,592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1.2. Impuesto sobre el patrimonio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375,599,150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1.2.1. Impuesto Sobre Tenencia o Uso de Vehículos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375,599,150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keepNext/>
              <w:spacing w:after="0" w:line="240" w:lineRule="auto"/>
              <w:ind w:firstLineChars="100" w:firstLine="241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1.3. Impuesto sobre la producción, el consumo y las </w:t>
            </w:r>
          </w:p>
          <w:p w:rsidR="00BE28B3" w:rsidRPr="003D4E49" w:rsidRDefault="00BE28B3" w:rsidP="00210CD0">
            <w:pPr>
              <w:keepNext/>
              <w:spacing w:after="0" w:line="240" w:lineRule="auto"/>
              <w:ind w:firstLineChars="100" w:firstLine="241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transacciones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49,988,836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keepNext/>
              <w:spacing w:after="0" w:line="240" w:lineRule="auto"/>
              <w:ind w:firstLineChars="200" w:firstLine="4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1.3.1. Impuesto por la Prestación del Servicio de Hospedaje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22,471,906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keepLines/>
              <w:widowControl w:val="0"/>
              <w:spacing w:after="0" w:line="240" w:lineRule="auto"/>
              <w:ind w:firstLineChars="200" w:firstLine="4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1.3.2. Impuesto a la Transmisión de la Propiedad de Vehículos </w:t>
            </w:r>
          </w:p>
          <w:p w:rsidR="00BE28B3" w:rsidRPr="003D4E49" w:rsidRDefault="00BE28B3" w:rsidP="00210CD0">
            <w:pPr>
              <w:keepLines/>
              <w:widowControl w:val="0"/>
              <w:spacing w:after="0" w:line="240" w:lineRule="auto"/>
              <w:ind w:firstLineChars="200" w:firstLine="4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27,516,930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1.4 Impuestos al Comercio Exterior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1.5. Impuesto Sobre Nómina y Asimilables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400,266,210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1.5.1. Impuesto Sobre Nómina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400,266,210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1.6 Impuestos Ecológicos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1.7. Accesorios de impuestos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15,540,022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1.7.1. Recargos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13,704,427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1.7.</w:t>
            </w:r>
            <w:proofErr w:type="gramStart"/>
            <w:r w:rsidRPr="003D4E49">
              <w:rPr>
                <w:rFonts w:ascii="Arial" w:hAnsi="Arial" w:cs="Arial"/>
                <w:sz w:val="24"/>
                <w:szCs w:val="24"/>
              </w:rPr>
              <w:t>2.Multas</w:t>
            </w:r>
            <w:proofErr w:type="gramEnd"/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808,749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1.7.3. Gastos de Ejecución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1,026,846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1.8 Otros Impuestos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Impuestos no Comprendidos en la Ley de Ingresos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Vigente, Causados en Ejercicios Fiscales Anteriores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Pendientes de Liquidación o Pago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86,001 </w:t>
            </w:r>
          </w:p>
        </w:tc>
      </w:tr>
      <w:tr w:rsidR="00BE28B3" w:rsidRPr="003D4E49" w:rsidTr="00210CD0">
        <w:trPr>
          <w:cantSplit/>
          <w:trHeight w:val="85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1.9.1. Impuestos No Comprendidos en las Fracciones de la </w:t>
            </w:r>
          </w:p>
          <w:p w:rsidR="00BE28B3" w:rsidRDefault="00BE28B3" w:rsidP="00210CD0">
            <w:pPr>
              <w:spacing w:after="0" w:line="240" w:lineRule="auto"/>
              <w:ind w:firstLineChars="200" w:firstLine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Ley de Ingresos Causados en Ejercicios Fiscales Anteriores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Pendientes de Liquidación o Pago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  86,001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2. Cuotas y Aportaciones de Seguridad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2.1. Aportaciones para Fondos de Vivienda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2.2. Cuotas para la Seguridad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2.3. Cuotas de Ahorro para el Retiro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2.4. Otras Cuotas y Aportaciones para la Seguridad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2.5. Accesorios de Cuotas y Aportaciones de Seguridad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3. Contribuciones de Mejoras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3.1. Contribuciones de Mejoras por Obras Públicas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FC3D2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Contribuciones de Mejoras no Comprendidas en la Ley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Ingresos Vigente, Causadas en Ejercicios Fiscales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Anteriores Pendientes de Liquidación o Pago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4. Derechos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412,191,073 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 Derechos por el Uso, Goce, Aprovechamiento o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Explotación de Bienes de Dominio Público.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5,444,699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4.1.1. Derecho por la Explotación de Materiales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5,444,699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FC3D2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. Derechos por prestación de servicios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400,215,410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4.3.1. Secretaría General de Gobierno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21,187,659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4.3.2. Secretaría de Planeación y Finanzas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191,871,945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4.3.3. Secretaría de Infraestructura y Desarrollo Urbano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443,820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4.3.4. Secretaría de Movilidad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98,872,056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4.3.5. Secretaría de Desarrollo Rural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229,869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4.3.6. Secretaría de Educación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9,996,667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lastRenderedPageBreak/>
              <w:t>4.3.7. Secretaría de Salud y Bienestar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3,147,343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4.3.8. Secretaría de Seguridad Pública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12,158,992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4.3.9. Instituto Colimense del Deporte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1,528,584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4.3.10. Instituto para el Registro del Territorio del Estado de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Colima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59,466,706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4.3.11. Instituto para el Medio Ambiente y Desarrollo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Sustentable del Estado de Colima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1,309,128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4.3.12. Poder Judicial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    2,641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4.4. Otros Derechos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2,881,6</w:t>
            </w:r>
            <w:r w:rsidRPr="00B04676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4.4.1. Certificaciones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  48,881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4.4.2. Servicios de vigilancia e inspección de obra pública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2,542,581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4.4.3. Información diversa no certificada expedida en los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kioscos de servicios y trámites electrónicos de gobierno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227,229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4.4.4. Certificados digitales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  44,991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4.4.5. Otros derechos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  17,972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4.5. Accesorios de Derechos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3,649,310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4.5.1. Recargos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1,141,661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4.5.2. Multas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534,718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4.5.3. Gastos De Ejecución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1,972,931 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4.9. Derechos no Comprendidos en la Ley de Ingresos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Vigente, Causados en Ejercicios Fiscales Anteriores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Pendientes de Liquidación o Pago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 Productos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30,537,263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5.1. Productos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30,537,263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5.1.1. Productos derivados del uso y aprovechamiento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bienes no sujetos a régimen de dominio público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2,758,008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lastRenderedPageBreak/>
              <w:t>5.1.3. Otros productos que generan ingresos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26,349,255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5.1.4. Venta de bienes muebles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1,430,000 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  <w:r w:rsidRPr="00FC3D2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Productos no Comprendidos en la Ley de Ingresos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Vigente, Causados en Ejercicios Fiscales Anteriores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Pendientes de Liquidación o Pago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                       -  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 Aprovechamientos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98,769,339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6.1. Aprovechamientos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98,769,339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6.1.2. Multas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2,015,888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6.1.3. Indemnizaciones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1,525,071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6.1.4. Reintegros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28,220,588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6.1.5. Aportaciones de terceros para obras y servicios públicos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3,170,258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6.1.6. Aportaciones del 1% para obras de beneficio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6,453,849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6.1.7. Otros aprovechamientos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57,383,685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6.2. Aprovechamientos Patrimoniales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6.3. Accesorios de Aprovechamientos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  <w:r w:rsidRPr="00FC3D2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Aprovechamientos no comprendidos en las fracciones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La Ley de Ingresos causadas en ejercicios fiscales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Ingresos por Venta de Bienes, Prestación de Servicios y </w:t>
            </w:r>
          </w:p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Otros Ingresos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7.1. Ingresos por Venta de Bienes y Prestación de Servicios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de Instituciones Públicas de Seguridad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7.2. Ingresos por Venta de Bienes y Prestación de Servicios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de Empresas Productivas del Estado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7.3. Ingresos por Venta de Bienes y Prestación de Servicios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Entidades Paraestatales y Fideicomisos No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Empresariales y No Financieros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7.4 Ingresos por Venta de Bienes y Prestación de Servicios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Entidades Paraestatales Empresariales No Financieras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con Participación Estatal Mayoritaria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7.5. Ingresos por Venta de Bienes y Prestación de Servicios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Entidades Paraestatales Empresariales Financieras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Monetarias con Participación Estatal Mayoritaria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7.6. Ingresos por Venta de Bienes y Prestación de Servicios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Entidades Paraestatales Empresariales Financieras No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Monetarias con Participación Estatal Mayoritaria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9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7.7. Ingresos por Venta de Bienes y Prestación de Servicios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Fideicomisos Financieros Públicos con Participación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Estatal Mayoritaria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7.8. Ingresos por Venta de Bienes y Prestación de Servicios </w:t>
            </w:r>
          </w:p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los Poderes Legislativo y Judicial, y de los Órganos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Autónomos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center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7.9. Otros Ingresos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8. Participaciones, Aportaciones, Convenios, Incentivos </w:t>
            </w:r>
          </w:p>
          <w:p w:rsidR="00BE28B3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Derivados de la Colaboración Fiscal y Fondos Distintos de </w:t>
            </w:r>
          </w:p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Aportaciones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15,069,823,841 </w:t>
            </w:r>
          </w:p>
        </w:tc>
      </w:tr>
      <w:tr w:rsidR="00BE28B3" w:rsidRPr="00D31205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8.1. Participaciones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D31205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31205">
              <w:rPr>
                <w:rFonts w:ascii="Arial" w:hAnsi="Arial" w:cs="Arial"/>
                <w:b/>
                <w:bCs/>
                <w:sz w:val="24"/>
                <w:szCs w:val="24"/>
              </w:rPr>
              <w:t>5,227,938,50</w:t>
            </w:r>
            <w:r w:rsidRPr="00B0467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D3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8.1.1. Fondo General De Participaciones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3,936,341,633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8.1.2. Fondo de Fomento Municipal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314,761,438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8.1.3. Fondo de Fiscalización y Recaudación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204,800,807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8.1.4. Participación Específica del I.E.P.S.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88,743,655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8.1.5. Fondo de Compensación del Impuesto Sobre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Automóviles Nuevos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15,805,838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8.1.6. Fondo I.E.P.S. Venta Final de Gasolina y Diesel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228,705,263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8.1.7. Fondo de I.S.R. Participable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438,779,87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8.1.7.1. Fondo de I.S.R. Participable Estatal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342,836,16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8.1.7.2. Fondo de I.S.R. Participable Municipal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95,943,710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8.2. Aportaciones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5,969,198,978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8.2.1. Fondo de Aportaciones de Nómina Educativa y Gastos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Operativos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3,247,306,380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8.2.2. Fondo de Aportaciones para los Servicios de Salud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1,358,462,754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8.2.3. Fondo de Aportaciones para la Infraestructura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244,443,763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8.2.4. Fondo para el Fortalecimiento de los Municipios y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demarcaciones Territoriales del DF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455,656,581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8.2.5. Fondo de Aportaciones Múltiples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192,966,413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8.2.6. Fondo para la Educación Tecnológica y de Adultos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77,250,584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8.2.7. Fondo de Aportaciones de la Seguridad Pública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134,788,495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8.2.8. Fondo de Aportaciones para el Fortalecimiento de las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Entidades Federativas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258,324,008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8.3. Convenios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3,375,430,051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8.3.1. Secretaría de Educación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414,888,28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8.3.1.1. Programa escuelas de tiempo completo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134,293,4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8.3.1.2. Programa Nacional de becas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1,218,231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8.3.1.3. Programa para la inclusión y equidad educativa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1,641,569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8.3.1.4. Programa Nacional de ingles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10,352,990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8.3.1.5. Programa de fortalecimiento de la calidad en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educación básica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4,096,552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8.3.1.6. Programa Nacional de convivencia escolar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1,445,511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8.3.1.7. Fondo para fortalecer la autonomía de gestión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(P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D4E49">
              <w:rPr>
                <w:rFonts w:ascii="Arial" w:hAnsi="Arial" w:cs="Arial"/>
                <w:sz w:val="24"/>
                <w:szCs w:val="24"/>
              </w:rPr>
              <w:t>AGES)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1,800,000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8.3.1.8. </w:t>
            </w:r>
            <w:proofErr w:type="gramStart"/>
            <w:r w:rsidRPr="003D4E49">
              <w:rPr>
                <w:rFonts w:ascii="Arial" w:hAnsi="Arial" w:cs="Arial"/>
                <w:sz w:val="24"/>
                <w:szCs w:val="24"/>
              </w:rPr>
              <w:t>Tele bachillerato</w:t>
            </w:r>
            <w:proofErr w:type="gramEnd"/>
            <w:r w:rsidRPr="003D4E49">
              <w:rPr>
                <w:rFonts w:ascii="Arial" w:hAnsi="Arial" w:cs="Arial"/>
                <w:sz w:val="24"/>
                <w:szCs w:val="24"/>
              </w:rPr>
              <w:t xml:space="preserve"> comunitario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7,932,000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8.3.1.9. Centros de educación media superior a distancia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20,084,087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8.3.1.10 Plan de apoyo a la calidad educativa y la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transformación de las escuelas normales (PACTEN)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6,000,000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8.3.1.11. </w:t>
            </w:r>
            <w:r>
              <w:rPr>
                <w:rFonts w:ascii="Arial" w:hAnsi="Arial" w:cs="Arial"/>
                <w:sz w:val="24"/>
                <w:szCs w:val="24"/>
              </w:rPr>
              <w:t>Programa becas de apoyo a la prá</w:t>
            </w:r>
            <w:r w:rsidRPr="003D4E49">
              <w:rPr>
                <w:rFonts w:ascii="Arial" w:hAnsi="Arial" w:cs="Arial"/>
                <w:sz w:val="24"/>
                <w:szCs w:val="24"/>
              </w:rPr>
              <w:t xml:space="preserve">ctica intensiva y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al servicio social (BAPISS)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4,000,000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8.3.1.12 Programa de la reforma educativa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1,125,675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8.3.1.13 Programa para el desarrollo profesional docente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8,190,967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8.3.1.14 Fondo concursable de inversión en infraestructura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8,000,000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8.3.1.15 Apoyo financiero extraordinario no regularizable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(Apoyo a Centros de Educación)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200,000,000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8.3.1.16 Apoyo financiero extraordinario no regularizable </w:t>
            </w:r>
          </w:p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(Fortalecimiento a la Educación Temprana y el Desarrollo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Infantil)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4,707,282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8.3.2. Secretaría de Salud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246,387,392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8.3.2.1. Fortalecimiento a la atención medica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5,267,912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8.3.2.2. Acuerdo para el Fortalecimiento de las Acciones </w:t>
            </w:r>
          </w:p>
          <w:p w:rsidR="00BE28B3" w:rsidRDefault="00BE28B3" w:rsidP="00210CD0">
            <w:pPr>
              <w:spacing w:after="0" w:line="240" w:lineRule="auto"/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de Salud Publica en las Entidades Federativas </w:t>
            </w:r>
          </w:p>
          <w:p w:rsidR="00BE28B3" w:rsidRPr="003D4E49" w:rsidRDefault="00BE28B3" w:rsidP="00210CD0">
            <w:pPr>
              <w:spacing w:after="0" w:line="240" w:lineRule="auto"/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(A.F.A.S.P.E.)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85,959,247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8.3.2.3. </w:t>
            </w:r>
            <w:r>
              <w:rPr>
                <w:rFonts w:ascii="Arial" w:hAnsi="Arial" w:cs="Arial"/>
                <w:sz w:val="24"/>
                <w:szCs w:val="24"/>
              </w:rPr>
              <w:t xml:space="preserve">Acuerdo de Coordinación para la Ejecución del </w:t>
            </w:r>
          </w:p>
          <w:p w:rsidR="00BE28B3" w:rsidRPr="003D4E49" w:rsidRDefault="00BE28B3" w:rsidP="00210CD0">
            <w:pPr>
              <w:spacing w:after="0" w:line="240" w:lineRule="auto"/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Protección Social en Salud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155,160,233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8.3.3. Secretarí</w:t>
            </w: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a del Medio Ambiente y Recursos Naturales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20,000,000 </w:t>
            </w:r>
          </w:p>
        </w:tc>
      </w:tr>
      <w:tr w:rsidR="00BE28B3" w:rsidRPr="003D4E49" w:rsidTr="00210CD0">
        <w:trPr>
          <w:cantSplit/>
          <w:trHeight w:val="31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8.3.3.1. Convenio de Coordinación de Cambio Climático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20,000,000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8.3.4. Secretaría de Turismo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60,000,000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8.3.4.1 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rograma de Desarrollo Regional Turístico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Sustentable y Pueblos Mágicos (PRODERMAGICO)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60,000,000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8.3.5. Secretaría de Comunicaciones y Transportes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180,000,000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8.3.5.1. Construcción, modernización y mantenimiento de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caminos y carreteras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180,000,000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8.3.6. Secretaría de Desarrollo Agrario, Territorial y Urbano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50,000,000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8.3.6.1. Programa de Infraestructura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20,000,000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8.3.6.2. Fondo Minero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30,000,000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8.3.7. Secretaría de Hacienda y Crédito Público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1,116,589,938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8.3.7.1. Programa de Desarrollo Regional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260,000,000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8.3.7.2. Fondo para el Fortalecimiento de la infraestructura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estatal y municipal (Fortalece)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108,000,000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8.3.7.3. Fideicomiso para la infraestructura en los estados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17,419,938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8.3.7.4.  Fondo para la Accesibilidad en el Transporte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pú</w:t>
            </w: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blico para las Personas con Discapacidad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(FOTRADIS)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8,500,000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8.3.7.5. Fortalecimiento Financiero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652,670,000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8.3.7.6. Fortalecimiento Financiero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70,000,000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8.3.8. Secretaría del Trabajo y Previsión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12,554,239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8.3.8.1. </w:t>
            </w:r>
            <w:r>
              <w:rPr>
                <w:rFonts w:ascii="Arial" w:hAnsi="Arial" w:cs="Arial"/>
                <w:sz w:val="24"/>
                <w:szCs w:val="24"/>
              </w:rPr>
              <w:t>Programa de apoyo al empleo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12,554,239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8.3.9. Secretaría de Gobernación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42,485,121 </w:t>
            </w:r>
          </w:p>
        </w:tc>
      </w:tr>
      <w:tr w:rsidR="00BE28B3" w:rsidRPr="003D4E49" w:rsidTr="00210CD0">
        <w:trPr>
          <w:cantSplit/>
          <w:trHeight w:val="85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8.3.9.1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de Justicia Penal y Sistemas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Complementarios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42,485,121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8.3.10. Secretaría de Agricultura, Ganadería, Desarrollo Rural,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Pesca y Alimentación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430,759,100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8.3.10.1. Repoblamiento del Hato Ganadero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29,300,100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8.3.10.2. Rastro Tipo Inspección Federal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40,000,000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8.3.10.3. Tecnificación de 30 mil hectáreas con sistema de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Riego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92,000,000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8.3.10.4. Establecimiento de plantación de palma de coco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10,009,000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8.3.10.5. Establecimiento y reconversión de 5000 hectáreas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del cultivo del limón mexicano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6,750,000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8.3.10.6. Rehabilitación de caminos saca cosechas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30,000,000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8.3.10.7. Contratación de seguros agropecuarios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11,500,000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8.3.10.8. Programa de Concurrencia con las Entidades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Federativas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140,000,000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8.3.10.9. Programa de apoyo a pequeños productores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31,200,000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8.3.10.10. Programa de productividad y competitividad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agroalimentaria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8.3.10.11. Programa de sanidad e inocuidad agroalimentaria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33,000,000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8.3.10.12. Despensas "Canasta Agrícola Colimense"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6,000,000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8.3.11. Secretaría de Desarrollo Social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17,500,000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lastRenderedPageBreak/>
              <w:t>8.3.11.1 Programa 3 x 1 para Migrantes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12,500,000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8.3.11.2 Programa de Atención a Jornaleros Agrícolas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5,000,000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8.3.12. Secretaría de Cultura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40,540,000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8.3.12.1.</w:t>
            </w:r>
            <w:r>
              <w:rPr>
                <w:rFonts w:ascii="Arial" w:hAnsi="Arial" w:cs="Arial"/>
                <w:sz w:val="24"/>
                <w:szCs w:val="24"/>
              </w:rPr>
              <w:t xml:space="preserve"> Desarrollo Cultural Infantil "</w:t>
            </w:r>
            <w:r w:rsidRPr="003D4E49">
              <w:rPr>
                <w:rFonts w:ascii="Arial" w:hAnsi="Arial" w:cs="Arial"/>
                <w:sz w:val="24"/>
                <w:szCs w:val="24"/>
              </w:rPr>
              <w:t>Alas y raíces"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8.3.12.2. Desarrollo Cultural Juventud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150,000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8.3.12.3.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de </w:t>
            </w:r>
            <w:r w:rsidRPr="003D4E49">
              <w:rPr>
                <w:rFonts w:ascii="Arial" w:hAnsi="Arial" w:cs="Arial"/>
                <w:sz w:val="24"/>
                <w:szCs w:val="24"/>
              </w:rPr>
              <w:t xml:space="preserve">Desarrollo Cultural y Atención a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Públicos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E49">
              <w:rPr>
                <w:rFonts w:ascii="Arial" w:hAnsi="Arial" w:cs="Arial"/>
                <w:sz w:val="24"/>
                <w:szCs w:val="24"/>
              </w:rPr>
              <w:t>Específicos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150,000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8.3.12.4. Centro Estatal de las Artes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8.3.12.5. </w:t>
            </w:r>
            <w:r w:rsidRPr="003D4E49">
              <w:rPr>
                <w:rFonts w:ascii="Arial" w:hAnsi="Arial" w:cs="Arial"/>
                <w:sz w:val="24"/>
                <w:szCs w:val="24"/>
              </w:rPr>
              <w:t>Estímulo</w:t>
            </w:r>
            <w:r w:rsidRPr="003D4E49">
              <w:rPr>
                <w:rFonts w:ascii="Arial" w:hAnsi="Arial" w:cs="Arial"/>
                <w:sz w:val="24"/>
                <w:szCs w:val="24"/>
              </w:rPr>
              <w:t xml:space="preserve"> a la creación y al desarrollo artístico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1,600,000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8.3.12.6. Programa para el desarrollo cultural de los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municipios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8.3.12.7. Apoyo a las culturas municipales y comunitarias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8.3.12.8. Fondo especial de fomento a la lectura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8.3.12.9. Fondo para el desarrollo cultural de la zona Tierra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Caliente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150,000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8.3.12.10. Fondo Regional Centro Occidente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560,000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8.3.12.11. Apoyo a Instituciones Estatales de Cultura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10,000,000 </w:t>
            </w:r>
          </w:p>
        </w:tc>
      </w:tr>
      <w:tr w:rsidR="00BE28B3" w:rsidRPr="003D4E49" w:rsidTr="00210CD0">
        <w:trPr>
          <w:cantSplit/>
          <w:trHeight w:val="31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8.3.12.12. XV Teatro a una sola voz "Festival de Monólogos"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1,350,000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8.3.12.13. Muestra Nacional de Teatro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8.3.12.14. Programas de salas de cultura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750,000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8.3.12.15. Programa de Apoyo a Infraestructura Cultural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(PAICE)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15,000,000 </w:t>
            </w:r>
          </w:p>
        </w:tc>
      </w:tr>
      <w:tr w:rsidR="00BE28B3" w:rsidRPr="003D4E49" w:rsidTr="00210CD0">
        <w:trPr>
          <w:cantSplit/>
          <w:trHeight w:val="31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8.3.12.16. Programa Festival Cultural y Artístico PROFEST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830,000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8.3.</w:t>
            </w:r>
            <w:r w:rsidRPr="00FC3D2D">
              <w:rPr>
                <w:rFonts w:ascii="Arial" w:hAnsi="Arial" w:cs="Arial"/>
                <w:sz w:val="24"/>
                <w:szCs w:val="24"/>
              </w:rPr>
              <w:t>20</w:t>
            </w: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. Sistema Nacional para el Desarrollo Integral de la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Familia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1,819,000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8.3.20.1. Subprograma de Infraestructura, Rehabilitación y/o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Equipamiento </w:t>
            </w:r>
            <w:r>
              <w:rPr>
                <w:rFonts w:ascii="Arial" w:hAnsi="Arial" w:cs="Arial"/>
                <w:sz w:val="24"/>
                <w:szCs w:val="24"/>
              </w:rPr>
              <w:t>de Espacios Alimentarios (Ramo XII</w:t>
            </w:r>
            <w:r w:rsidRPr="003D4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472,000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8.3.20.2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D4E49">
              <w:rPr>
                <w:rFonts w:ascii="Arial" w:hAnsi="Arial" w:cs="Arial"/>
                <w:sz w:val="24"/>
                <w:szCs w:val="24"/>
              </w:rPr>
              <w:t>Subprograma Comunidad Diferente</w:t>
            </w:r>
            <w:r>
              <w:rPr>
                <w:rFonts w:ascii="Arial" w:hAnsi="Arial" w:cs="Arial"/>
                <w:sz w:val="24"/>
                <w:szCs w:val="24"/>
              </w:rPr>
              <w:t xml:space="preserve"> (Ramo XII)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1,347,000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8.3.21. Instituto Nacional del Emprendedor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17,400,000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8.3.21.1. Apoyo a iniciativa de prioridad estatal para el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apoyo de MIPYMES y el Ecosistema Emprendedor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15,000,000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8.3.21.2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D4E49">
              <w:rPr>
                <w:rFonts w:ascii="Arial" w:hAnsi="Arial" w:cs="Arial"/>
                <w:sz w:val="24"/>
                <w:szCs w:val="24"/>
              </w:rPr>
              <w:t xml:space="preserve"> Instituto Nacional del emprendedor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2,400,000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8.3.22. Instituto Mexicano de la Juventud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1,390,000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8.3.22.1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D4E49">
              <w:rPr>
                <w:rFonts w:ascii="Arial" w:hAnsi="Arial" w:cs="Arial"/>
                <w:sz w:val="24"/>
                <w:szCs w:val="24"/>
              </w:rPr>
              <w:t xml:space="preserve"> Red Nacional programas de radio y televisión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240,000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8.3.22.2. Centros Poder Joven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450,000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8.3.22.3. Casa del Emprendedor Manzanillo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100,000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8.3.22.4. Casa del Emprendedor Villa de Álvarez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100,000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8.3.22.5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D4E49">
              <w:rPr>
                <w:rFonts w:ascii="Arial" w:hAnsi="Arial" w:cs="Arial"/>
                <w:sz w:val="24"/>
                <w:szCs w:val="24"/>
              </w:rPr>
              <w:t xml:space="preserve"> Proyectos locales juveniles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8.3.23. Instituto Nacional de las Mujeres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15,600,125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8.3.23.1. Programa de apoyo a instancias de mujeres en las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entidades federativas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7,607,276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8.3.23.2. Programa de fortalecimiento a la transversalidad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de la perspe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ctiva de gé</w:t>
            </w: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nero Modalidad I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3,989,246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8.3.23.3. Programa de fortalecimiento a la transve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rsalidad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 la perspectiva de gé</w:t>
            </w: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nero Modalidad III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1,500,000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8.23.4. Programa de Fortalecimiento al Servicio Brindado en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el Refugio del </w:t>
            </w:r>
            <w:r w:rsidRPr="009902D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.C.M.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2,503,603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8.3.24. Instituto Nacional de Educación para Adult</w:t>
            </w:r>
            <w:r w:rsidRPr="00DC0157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13,185,000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lastRenderedPageBreak/>
              <w:t xml:space="preserve">8.3.24.1. Programa Educación para Adultos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13,185,000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8.3.25. Comisión Nacional de Cultura Física y Deporte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201,634,600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8.3.25.1. Programa de Infraestructura Deportiva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200,000,000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8.3.25.2. Entrenadores Nacionales de Talentos Deportivos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480,000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8.3.25.3. Entrenadores Nacionales de Reserva Nacional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336,000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8.3.25.4. Entrenadores Nacionales Deporte Adaptado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192,000 </w:t>
            </w:r>
          </w:p>
        </w:tc>
      </w:tr>
      <w:tr w:rsidR="00BE28B3" w:rsidRPr="003D4E49" w:rsidTr="00210CD0">
        <w:trPr>
          <w:cantSplit/>
          <w:trHeight w:val="31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8.3.25.5. Etapa Regional de Olimpiada Nacional y Nacional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Juvenil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516,600 </w:t>
            </w:r>
          </w:p>
        </w:tc>
      </w:tr>
      <w:tr w:rsidR="00BE28B3" w:rsidRPr="003D4E49" w:rsidTr="00210CD0">
        <w:trPr>
          <w:cantSplit/>
          <w:trHeight w:val="31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8.3.25.6. Premio Estatal del Deporte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110,000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8.3.26. Comisión Nacional contra las Adicciones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1,332,040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8.3.26.1. Prevención y control de adicciones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1,332,040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8.3.27. Comisión Nacional de Acuacultura y Pesca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24,500,000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8.3.27.1. Programa de fomento a la productividad pesquera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y acuícola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4,500,000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8.3.27.2. Componente al desarrollo de la acuacultura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20,000,000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8.3.28. Comisión Nacional de Protección Social en Salud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77,152,622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8.3.28.1. Programa de inclusión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PROSPERA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10,789,867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8.3.28.2. Comisión Estatal de Prevención contra Riesgo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Sanitarios </w:t>
            </w:r>
            <w:r>
              <w:rPr>
                <w:rFonts w:ascii="Arial" w:hAnsi="Arial" w:cs="Arial"/>
                <w:sz w:val="24"/>
                <w:szCs w:val="24"/>
              </w:rPr>
              <w:t>COESPRIS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2,744,757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8.3.28.3. </w:t>
            </w:r>
            <w:r>
              <w:rPr>
                <w:rFonts w:ascii="Arial" w:hAnsi="Arial" w:cs="Arial"/>
                <w:sz w:val="24"/>
                <w:szCs w:val="24"/>
              </w:rPr>
              <w:t>fondo de protección contra gastos</w:t>
            </w:r>
            <w:r w:rsidRPr="003D4E49">
              <w:rPr>
                <w:rFonts w:ascii="Arial" w:hAnsi="Arial" w:cs="Arial"/>
                <w:sz w:val="24"/>
                <w:szCs w:val="24"/>
              </w:rPr>
              <w:t xml:space="preserve"> catastróficos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48,500,000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8.3.28.4. Seguro Médico Siglo XXI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15,117,998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8.3.29. Comisión Nacional del Agua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349,530,000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lastRenderedPageBreak/>
              <w:t xml:space="preserve">8.3.29.1. Programa de Tratamiento de Aguas Residuales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(PROSAN)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140,000,000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8.3.29.2. Programa para el funcionamiento y operación de la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cuenca del rio </w:t>
            </w:r>
            <w:proofErr w:type="spellStart"/>
            <w:r w:rsidRPr="003D4E49">
              <w:rPr>
                <w:rFonts w:ascii="Arial" w:hAnsi="Arial" w:cs="Arial"/>
                <w:sz w:val="24"/>
                <w:szCs w:val="24"/>
              </w:rPr>
              <w:t>Ayuquila</w:t>
            </w:r>
            <w:proofErr w:type="spellEnd"/>
            <w:r w:rsidRPr="003D4E49">
              <w:rPr>
                <w:rFonts w:ascii="Arial" w:hAnsi="Arial" w:cs="Arial"/>
                <w:sz w:val="24"/>
                <w:szCs w:val="24"/>
              </w:rPr>
              <w:t xml:space="preserve"> - Armería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2,000,000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8.3.29.3. Consejo Costa Pacifico Centro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250,000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8.3.29.4. Programa de modernización y tecnificación de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unidades de riego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14,400,000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8.3.29.5. Programa de tecnificación, modernización y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equipamiento de distritos de riego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91,350,000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8.3.29.6. Programa de Agua Potable, Drenaje y Tratamiento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(PROAGUA)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33,180,000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8.3.29.7. Programa de Devolución de Derechos de la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CONAGUA</w:t>
            </w:r>
            <w:r>
              <w:rPr>
                <w:rFonts w:ascii="Arial" w:hAnsi="Arial" w:cs="Arial"/>
                <w:sz w:val="24"/>
                <w:szCs w:val="24"/>
              </w:rPr>
              <w:t xml:space="preserve"> (PRODDER)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7,400,000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8.3.29.8. Programa de Agua Potable, </w:t>
            </w:r>
            <w:r>
              <w:rPr>
                <w:rFonts w:ascii="Arial" w:hAnsi="Arial" w:cs="Arial"/>
                <w:sz w:val="24"/>
                <w:szCs w:val="24"/>
              </w:rPr>
              <w:t xml:space="preserve">Drenaje y Tratamiento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(PROAGUA), Apartado Agua Limpia (AAL)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550,000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8.3.29.9. Programa de Agua Potable, </w:t>
            </w:r>
            <w:r>
              <w:rPr>
                <w:rFonts w:ascii="Arial" w:hAnsi="Arial" w:cs="Arial"/>
                <w:sz w:val="24"/>
                <w:szCs w:val="24"/>
              </w:rPr>
              <w:t xml:space="preserve">Drenaje y Tratamiento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(PROAGUA),</w:t>
            </w:r>
            <w:r w:rsidRPr="003D4E49">
              <w:rPr>
                <w:rFonts w:ascii="Arial" w:hAnsi="Arial" w:cs="Arial"/>
                <w:sz w:val="24"/>
                <w:szCs w:val="24"/>
              </w:rPr>
              <w:t xml:space="preserve"> Apartado Rural (APARURAL)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10,000,000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8.3.29.10. Programa de Agua Potable, </w:t>
            </w:r>
            <w:r>
              <w:rPr>
                <w:rFonts w:ascii="Arial" w:hAnsi="Arial" w:cs="Arial"/>
                <w:sz w:val="24"/>
                <w:szCs w:val="24"/>
              </w:rPr>
              <w:t xml:space="preserve">Drenaje y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Tratamiento (PROAGUA), </w:t>
            </w:r>
            <w:r w:rsidRPr="003D4E49">
              <w:rPr>
                <w:rFonts w:ascii="Arial" w:hAnsi="Arial" w:cs="Arial"/>
                <w:sz w:val="24"/>
                <w:szCs w:val="24"/>
              </w:rPr>
              <w:t>Apartado Urbano (APAUR)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50,000,000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8.3.29.11. Capacitación Ambiental y Desarrollo Sustentable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en Materia de Cultura del Agua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400,000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8.3.30. Comisión Nacional Forestal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14,280,000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8.3.30.1. Programa de producción de planta forestal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1,200,000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8.3.30.2. Programa de incendios forestales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1,000,000 </w:t>
            </w:r>
          </w:p>
        </w:tc>
      </w:tr>
      <w:tr w:rsidR="00BE28B3" w:rsidRPr="003D4E49" w:rsidTr="00210CD0">
        <w:trPr>
          <w:cantSplit/>
          <w:trHeight w:val="57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 xml:space="preserve">8.3.30.3. Proyecto para la restructuración y conservación de </w:t>
            </w:r>
          </w:p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manglares para el estado de Colima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12,080,000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8.3.31. Comisión Nacional para el Desarrollo de los Pueblos </w:t>
            </w:r>
          </w:p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Indígenas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25,902,590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8.3.31.1. Programa de infraestructura indígena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25,902,590 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8.4. Incentivos Derivados de la Colaboración Fiscal con l</w:t>
            </w: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Federación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3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497,256,307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8.4.1. Tenencia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66,499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8.4.2. Enajenación de Bienes Inmuebles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24,550,694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8.4.3. Zona Marítimo Terrestre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2,894,445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8.4.4. Multas Administrativas No Fiscales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1,848,193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8.4.5. 0.5 % Inspección y Vigilancia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3,173,990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8.4.6. Gastos de Ejecución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226,599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8.4.7. Fiscalización Concurrente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51,479,961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8.4.8. Vigilancia de Obligaciones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44,153,231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8.4.9. Régimen de Pequeños Contribuyentes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469,331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8.4.10. Régimen Intermedio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8,620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8.4.11. Impuesto Sobre Automóviles Nuevos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69,981,472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8.4.12. Honorarios por Notificación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1,139,266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8.4.13. Cláusula XVII del C.C.A.M.F.F.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223,573,350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sz w:val="24"/>
                <w:szCs w:val="24"/>
              </w:rPr>
              <w:t>8.4.14. Anexo 19 al C.C.A.M.F.F.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73,690,656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8.5. Fondos Distintos de Aportaciones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 Transferencias, Asignaciones, Subsidios y Subvenciones, y Pensiones y Jubilaciones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1,658,466,734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9.1. Transferencias y Asignaciones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  <w:r w:rsidRPr="00FC3D2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Subsidios y Subvenciones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1,658,466,734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9.3.1. Subsidio Federal Ordinario Universidad de Colima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1,587,691,642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>9.3.2. Universidad Tecnológica de Manzanillo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21,457,342 </w:t>
            </w:r>
          </w:p>
        </w:tc>
      </w:tr>
      <w:tr w:rsidR="00BE28B3" w:rsidRPr="003D4E49" w:rsidTr="00210CD0">
        <w:trPr>
          <w:cantSplit/>
          <w:trHeight w:val="285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200" w:firstLine="4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9.3.3. Programa de Fortalecimiento para la Seguridad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300" w:firstLine="7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49,317,750 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  <w:r w:rsidRPr="00FC3D2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Pensiones y Jubilaciones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6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  <w:r w:rsidRPr="00FC3D2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Transferencias del Fondo Mexicano del Petróleo para la </w:t>
            </w:r>
          </w:p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Estabilización y el Desarrollo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 Ingresos Derivados d</w:t>
            </w: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Financiamientos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0.1. Endeudamiento Interno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0.2. Endeudamiento Externo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28B3" w:rsidRPr="003D4E49" w:rsidTr="00210CD0">
        <w:trPr>
          <w:cantSplit/>
          <w:trHeight w:val="300"/>
        </w:trPr>
        <w:tc>
          <w:tcPr>
            <w:tcW w:w="7420" w:type="dxa"/>
            <w:shd w:val="clear" w:color="auto" w:fill="auto"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sz w:val="24"/>
                <w:szCs w:val="24"/>
              </w:rPr>
              <w:t>0.3. Financiamiento Interno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BE28B3" w:rsidRPr="003D4E49" w:rsidRDefault="00BE28B3" w:rsidP="00210C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12F41" w:rsidRDefault="00D12F41" w:rsidP="00BE28B3">
      <w:bookmarkStart w:id="0" w:name="_GoBack"/>
      <w:bookmarkEnd w:id="0"/>
    </w:p>
    <w:sectPr w:rsidR="00D12F41" w:rsidSect="005B137C">
      <w:footerReference w:type="default" r:id="rId7"/>
      <w:pgSz w:w="12240" w:h="15840"/>
      <w:pgMar w:top="1985" w:right="1701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A04" w:rsidRDefault="00024A04" w:rsidP="005B137C">
      <w:pPr>
        <w:spacing w:after="0" w:line="240" w:lineRule="auto"/>
      </w:pPr>
      <w:r>
        <w:separator/>
      </w:r>
    </w:p>
  </w:endnote>
  <w:endnote w:type="continuationSeparator" w:id="0">
    <w:p w:rsidR="00024A04" w:rsidRDefault="00024A04" w:rsidP="005B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lABORATE M">
    <w:altName w:val="Cambria"/>
    <w:panose1 w:val="00000000000000000000"/>
    <w:charset w:val="00"/>
    <w:family w:val="roman"/>
    <w:notTrueType/>
    <w:pitch w:val="default"/>
  </w:font>
  <w:font w:name="Colaborate-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DA" w:rsidRDefault="008E5F1F">
    <w:pPr>
      <w:pStyle w:val="Piedepgina"/>
      <w:rPr>
        <w:noProof/>
        <w:lang w:eastAsia="es-MX"/>
      </w:rPr>
    </w:pPr>
    <w:r w:rsidRPr="008E5F1F"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-1071718</wp:posOffset>
          </wp:positionH>
          <wp:positionV relativeFrom="paragraph">
            <wp:posOffset>-506597</wp:posOffset>
          </wp:positionV>
          <wp:extent cx="7795881" cy="1254642"/>
          <wp:effectExtent l="19050" t="0" r="0" b="0"/>
          <wp:wrapNone/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881" cy="1254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13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-28575</wp:posOffset>
              </wp:positionV>
              <wp:extent cx="4171950" cy="7334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137C" w:rsidRPr="002D0652" w:rsidRDefault="005B137C" w:rsidP="00E832D1">
                          <w:pPr>
                            <w:spacing w:line="240" w:lineRule="auto"/>
                            <w:jc w:val="center"/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Complejo Administrativo de Gobierno del Estado, Edificio C, </w:t>
                          </w:r>
                          <w:r w:rsidR="00FA49F8"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primer</w:t>
                          </w:r>
                          <w:r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piso, 3er Anillo </w:t>
                          </w:r>
                          <w:r w:rsidR="007E121C"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Periférico</w:t>
                          </w:r>
                          <w:r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, Esq. </w:t>
                          </w:r>
                          <w:r w:rsidR="007E121C"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Ejército</w:t>
                          </w:r>
                          <w:r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Mexicano S/N Colonia El Diezmo C.P. 28010 Colima, Colima, México. Tel. +52 (312) 31 62000 EXT. </w:t>
                          </w:r>
                          <w:r w:rsidR="00121016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21301</w:t>
                          </w:r>
                          <w:r w:rsidR="00FA49F8"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y </w:t>
                          </w:r>
                          <w:r w:rsidR="00121016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21302</w:t>
                          </w:r>
                          <w:r w:rsidRP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>.</w:t>
                          </w:r>
                          <w:r w:rsidR="002D0652">
                            <w:rPr>
                              <w:rFonts w:ascii="Colaborate-Medium" w:hAnsi="Colaborate-Medium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D0652" w:rsidRPr="007204AD">
                            <w:rPr>
                              <w:rFonts w:ascii="Colaborate-Medium" w:hAnsi="Colaborate-Medium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8.95pt;margin-top:-2.25pt;width:328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" filled="f" stroked="f">
              <v:textbox>
                <w:txbxContent>
                  <w:p w:rsidR="005B137C" w:rsidRPr="002D0652" w:rsidRDefault="005B137C" w:rsidP="00E832D1">
                    <w:pPr>
                      <w:spacing w:line="240" w:lineRule="auto"/>
                      <w:jc w:val="center"/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</w:pPr>
                    <w:r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Complejo Administrativo de Gobierno del Estado, Edificio C, </w:t>
                    </w:r>
                    <w:r w:rsidR="00FA49F8"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primer</w:t>
                    </w:r>
                    <w:r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 piso, 3er Anillo </w:t>
                    </w:r>
                    <w:r w:rsidR="007E121C"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Periférico</w:t>
                    </w:r>
                    <w:r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, Esq. </w:t>
                    </w:r>
                    <w:r w:rsidR="007E121C"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Ejército</w:t>
                    </w:r>
                    <w:r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 Mexicano S/N Colonia El Diezmo C.P. 28010 Colima, Colima, México. Tel. +52 (312) 31 62000 EXT. </w:t>
                    </w:r>
                    <w:r w:rsidR="00121016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21301</w:t>
                    </w:r>
                    <w:r w:rsidR="00FA49F8"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 y </w:t>
                    </w:r>
                    <w:r w:rsidR="00121016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21302</w:t>
                    </w:r>
                    <w:r w:rsidRP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>.</w:t>
                    </w:r>
                    <w:r w:rsidR="002D0652">
                      <w:rPr>
                        <w:rFonts w:ascii="Colaborate-Medium" w:hAnsi="Colaborate-Medium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2D0652" w:rsidRPr="007204AD">
                      <w:rPr>
                        <w:rFonts w:ascii="Colaborate-Medium" w:hAnsi="Colaborate-Medium"/>
                        <w:b/>
                        <w:color w:val="7F7F7F" w:themeColor="text1" w:themeTint="80"/>
                        <w:sz w:val="18"/>
                        <w:szCs w:val="18"/>
                      </w:rPr>
                      <w:t>www.colima-estado.gob.mx</w:t>
                    </w:r>
                  </w:p>
                </w:txbxContent>
              </v:textbox>
            </v:shape>
          </w:pict>
        </mc:Fallback>
      </mc:AlternateContent>
    </w:r>
    <w:r w:rsidR="002178FE" w:rsidRPr="002178FE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-1082350</wp:posOffset>
          </wp:positionH>
          <wp:positionV relativeFrom="paragraph">
            <wp:posOffset>-9427313</wp:posOffset>
          </wp:positionV>
          <wp:extent cx="7774615" cy="1499190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4615" cy="149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37C" w:rsidRDefault="005B13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A04" w:rsidRDefault="00024A04" w:rsidP="005B137C">
      <w:pPr>
        <w:spacing w:after="0" w:line="240" w:lineRule="auto"/>
      </w:pPr>
      <w:r>
        <w:separator/>
      </w:r>
    </w:p>
  </w:footnote>
  <w:footnote w:type="continuationSeparator" w:id="0">
    <w:p w:rsidR="00024A04" w:rsidRDefault="00024A04" w:rsidP="005B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DE9"/>
    <w:multiLevelType w:val="multilevel"/>
    <w:tmpl w:val="84EE1C96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812"/>
    <w:multiLevelType w:val="multilevel"/>
    <w:tmpl w:val="AC027C32"/>
    <w:styleLink w:val="Estilo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CB9"/>
    <w:multiLevelType w:val="multilevel"/>
    <w:tmpl w:val="84EE1C96"/>
    <w:styleLink w:val="Estilo1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6352"/>
    <w:multiLevelType w:val="hybridMultilevel"/>
    <w:tmpl w:val="F29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160C"/>
    <w:multiLevelType w:val="hybridMultilevel"/>
    <w:tmpl w:val="83249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7CF8"/>
    <w:multiLevelType w:val="hybridMultilevel"/>
    <w:tmpl w:val="2F6A3A66"/>
    <w:lvl w:ilvl="0" w:tplc="EEA24E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940D9"/>
    <w:multiLevelType w:val="multilevel"/>
    <w:tmpl w:val="C450CC74"/>
    <w:styleLink w:val="Estilo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5508"/>
    <w:multiLevelType w:val="hybridMultilevel"/>
    <w:tmpl w:val="C96A5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5225"/>
    <w:multiLevelType w:val="multilevel"/>
    <w:tmpl w:val="DE76F44C"/>
    <w:styleLink w:val="Estilo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95ABB"/>
    <w:multiLevelType w:val="multilevel"/>
    <w:tmpl w:val="84EE1C96"/>
    <w:styleLink w:val="Estilo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0652"/>
    <w:multiLevelType w:val="hybridMultilevel"/>
    <w:tmpl w:val="726294F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B6121"/>
    <w:multiLevelType w:val="multilevel"/>
    <w:tmpl w:val="68620366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B91FA9"/>
    <w:multiLevelType w:val="multilevel"/>
    <w:tmpl w:val="93441C64"/>
    <w:styleLink w:val="Style1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F1C18"/>
    <w:multiLevelType w:val="hybridMultilevel"/>
    <w:tmpl w:val="907427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1075D"/>
    <w:multiLevelType w:val="multilevel"/>
    <w:tmpl w:val="84EE1C96"/>
    <w:styleLink w:val="Estilo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26582"/>
    <w:multiLevelType w:val="hybridMultilevel"/>
    <w:tmpl w:val="E47290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42F51"/>
    <w:multiLevelType w:val="multilevel"/>
    <w:tmpl w:val="AB544A98"/>
    <w:styleLink w:val="Estilo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none"/>
      <w:lvlText w:val="7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07E46"/>
    <w:multiLevelType w:val="multilevel"/>
    <w:tmpl w:val="84EE1C96"/>
    <w:styleLink w:val="Estilo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065"/>
    <w:multiLevelType w:val="hybridMultilevel"/>
    <w:tmpl w:val="8698E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B2C96"/>
    <w:multiLevelType w:val="multilevel"/>
    <w:tmpl w:val="84EE1C96"/>
    <w:styleLink w:val="Estilo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87D84"/>
    <w:multiLevelType w:val="multilevel"/>
    <w:tmpl w:val="080A001D"/>
    <w:styleLink w:val="Estilo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8D7602"/>
    <w:multiLevelType w:val="hybridMultilevel"/>
    <w:tmpl w:val="B8EE3732"/>
    <w:lvl w:ilvl="0" w:tplc="484618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1376"/>
    <w:multiLevelType w:val="multilevel"/>
    <w:tmpl w:val="080A001D"/>
    <w:styleLink w:val="Estilo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7E7D2F"/>
    <w:multiLevelType w:val="hybridMultilevel"/>
    <w:tmpl w:val="0CD2353A"/>
    <w:lvl w:ilvl="0" w:tplc="0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42BB6"/>
    <w:multiLevelType w:val="multilevel"/>
    <w:tmpl w:val="84EE1C96"/>
    <w:styleLink w:val="Estilo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52C7C"/>
    <w:multiLevelType w:val="hybridMultilevel"/>
    <w:tmpl w:val="7FB26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D6F21"/>
    <w:multiLevelType w:val="multilevel"/>
    <w:tmpl w:val="08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26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22"/>
  </w:num>
  <w:num w:numId="14">
    <w:abstractNumId w:val="8"/>
  </w:num>
  <w:num w:numId="15">
    <w:abstractNumId w:val="12"/>
  </w:num>
  <w:num w:numId="16">
    <w:abstractNumId w:val="11"/>
  </w:num>
  <w:num w:numId="17">
    <w:abstractNumId w:val="15"/>
  </w:num>
  <w:num w:numId="18">
    <w:abstractNumId w:val="18"/>
  </w:num>
  <w:num w:numId="19">
    <w:abstractNumId w:val="7"/>
  </w:num>
  <w:num w:numId="20">
    <w:abstractNumId w:val="25"/>
  </w:num>
  <w:num w:numId="21">
    <w:abstractNumId w:val="23"/>
  </w:num>
  <w:num w:numId="22">
    <w:abstractNumId w:val="13"/>
  </w:num>
  <w:num w:numId="23">
    <w:abstractNumId w:val="10"/>
  </w:num>
  <w:num w:numId="24">
    <w:abstractNumId w:val="4"/>
  </w:num>
  <w:num w:numId="25">
    <w:abstractNumId w:val="5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7C"/>
    <w:rsid w:val="0002103A"/>
    <w:rsid w:val="00024A04"/>
    <w:rsid w:val="000F6392"/>
    <w:rsid w:val="00121016"/>
    <w:rsid w:val="00155EDF"/>
    <w:rsid w:val="0018568B"/>
    <w:rsid w:val="00191425"/>
    <w:rsid w:val="001A14C5"/>
    <w:rsid w:val="001B5910"/>
    <w:rsid w:val="001D5BF0"/>
    <w:rsid w:val="002178FE"/>
    <w:rsid w:val="002328F0"/>
    <w:rsid w:val="0026346B"/>
    <w:rsid w:val="002D0652"/>
    <w:rsid w:val="002F1B34"/>
    <w:rsid w:val="003866C7"/>
    <w:rsid w:val="00393881"/>
    <w:rsid w:val="003C1772"/>
    <w:rsid w:val="003F30A0"/>
    <w:rsid w:val="0046663D"/>
    <w:rsid w:val="00473B88"/>
    <w:rsid w:val="004D18E9"/>
    <w:rsid w:val="00514904"/>
    <w:rsid w:val="005502EB"/>
    <w:rsid w:val="00570092"/>
    <w:rsid w:val="00581805"/>
    <w:rsid w:val="00582C4D"/>
    <w:rsid w:val="00592D09"/>
    <w:rsid w:val="005938BF"/>
    <w:rsid w:val="005B08F2"/>
    <w:rsid w:val="005B137C"/>
    <w:rsid w:val="00637190"/>
    <w:rsid w:val="0066607B"/>
    <w:rsid w:val="0068323E"/>
    <w:rsid w:val="00684BE0"/>
    <w:rsid w:val="006A4F1D"/>
    <w:rsid w:val="006A67AC"/>
    <w:rsid w:val="006D1377"/>
    <w:rsid w:val="006F336B"/>
    <w:rsid w:val="00702FD3"/>
    <w:rsid w:val="007A020D"/>
    <w:rsid w:val="007E121C"/>
    <w:rsid w:val="007F7B40"/>
    <w:rsid w:val="00816E91"/>
    <w:rsid w:val="00852328"/>
    <w:rsid w:val="00882F7F"/>
    <w:rsid w:val="008E5F1F"/>
    <w:rsid w:val="00942CCB"/>
    <w:rsid w:val="00987ACA"/>
    <w:rsid w:val="00987B73"/>
    <w:rsid w:val="009D1EEF"/>
    <w:rsid w:val="009D452D"/>
    <w:rsid w:val="009F06DA"/>
    <w:rsid w:val="00A71A37"/>
    <w:rsid w:val="00A77228"/>
    <w:rsid w:val="00AB62B5"/>
    <w:rsid w:val="00AC4ED4"/>
    <w:rsid w:val="00AF1040"/>
    <w:rsid w:val="00BC6362"/>
    <w:rsid w:val="00BD7799"/>
    <w:rsid w:val="00BE28B3"/>
    <w:rsid w:val="00BE3134"/>
    <w:rsid w:val="00C12D04"/>
    <w:rsid w:val="00C93CF7"/>
    <w:rsid w:val="00D12F41"/>
    <w:rsid w:val="00D13ADE"/>
    <w:rsid w:val="00D47959"/>
    <w:rsid w:val="00DE5D2D"/>
    <w:rsid w:val="00E832D1"/>
    <w:rsid w:val="00ED32B3"/>
    <w:rsid w:val="00FA49F8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6CE5"/>
  <w15:docId w15:val="{DF9D6F90-0F37-47CA-B8FF-A9D6C39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28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28B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28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color w:val="4F81BD"/>
      <w:sz w:val="2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28B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28B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28B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color w:val="243F60"/>
      <w:sz w:val="20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28B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color w:val="404040"/>
      <w:sz w:val="20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28B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28B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37C"/>
  </w:style>
  <w:style w:type="paragraph" w:styleId="Piedepgina">
    <w:name w:val="footer"/>
    <w:basedOn w:val="Normal"/>
    <w:link w:val="PiedepginaCar"/>
    <w:uiPriority w:val="99"/>
    <w:unhideWhenUsed/>
    <w:rsid w:val="005B1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7C"/>
  </w:style>
  <w:style w:type="paragraph" w:styleId="Textodeglobo">
    <w:name w:val="Balloon Text"/>
    <w:basedOn w:val="Normal"/>
    <w:link w:val="TextodegloboCar"/>
    <w:uiPriority w:val="99"/>
    <w:semiHidden/>
    <w:unhideWhenUsed/>
    <w:rsid w:val="005B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7C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qFormat/>
    <w:rsid w:val="00BE31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BE313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extoCar">
    <w:name w:val="Texto Car"/>
    <w:link w:val="Texto"/>
    <w:locked/>
    <w:rsid w:val="00BE313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BE313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E28B3"/>
    <w:rPr>
      <w:rFonts w:ascii="Cambria" w:eastAsia="Times New Roman" w:hAnsi="Cambria" w:cs="Times New Roman"/>
      <w:b/>
      <w:color w:val="365F91"/>
      <w:sz w:val="28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28B3"/>
    <w:rPr>
      <w:rFonts w:ascii="Cambria" w:eastAsia="Times New Roman" w:hAnsi="Cambria" w:cs="Times New Roman"/>
      <w:b/>
      <w:color w:val="4F81BD"/>
      <w:sz w:val="26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28B3"/>
    <w:rPr>
      <w:rFonts w:ascii="Cambria" w:eastAsia="Times New Roman" w:hAnsi="Cambria" w:cs="Times New Roman"/>
      <w:b/>
      <w:color w:val="4F81BD"/>
      <w:sz w:val="20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28B3"/>
    <w:rPr>
      <w:rFonts w:ascii="Cambria" w:eastAsia="Times New Roman" w:hAnsi="Cambria" w:cs="Times New Roman"/>
      <w:b/>
      <w:i/>
      <w:color w:val="4F81BD"/>
      <w:sz w:val="20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28B3"/>
    <w:rPr>
      <w:rFonts w:ascii="Cambria" w:eastAsia="Times New Roman" w:hAnsi="Cambria" w:cs="Times New Roman"/>
      <w:color w:val="243F60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28B3"/>
    <w:rPr>
      <w:rFonts w:ascii="Cambria" w:eastAsia="Times New Roman" w:hAnsi="Cambria" w:cs="Times New Roman"/>
      <w:i/>
      <w:color w:val="243F60"/>
      <w:sz w:val="20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28B3"/>
    <w:rPr>
      <w:rFonts w:ascii="Cambria" w:eastAsia="Times New Roman" w:hAnsi="Cambria" w:cs="Times New Roman"/>
      <w:i/>
      <w:color w:val="404040"/>
      <w:sz w:val="20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28B3"/>
    <w:rPr>
      <w:rFonts w:ascii="Cambria" w:eastAsia="Times New Roman" w:hAnsi="Cambria" w:cs="Times New Roman"/>
      <w:color w:val="404040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28B3"/>
    <w:rPr>
      <w:rFonts w:ascii="Cambria" w:eastAsia="Times New Roman" w:hAnsi="Cambria" w:cs="Times New Roman"/>
      <w:i/>
      <w:color w:val="404040"/>
      <w:sz w:val="20"/>
      <w:szCs w:val="20"/>
      <w:lang w:eastAsia="es-MX"/>
    </w:rPr>
  </w:style>
  <w:style w:type="character" w:styleId="Refdenotaalpie">
    <w:name w:val="footnote reference"/>
    <w:uiPriority w:val="99"/>
    <w:semiHidden/>
    <w:unhideWhenUsed/>
    <w:rsid w:val="00BE28B3"/>
    <w:rPr>
      <w:vertAlign w:val="superscript"/>
    </w:rPr>
  </w:style>
  <w:style w:type="character" w:styleId="Textoennegrita">
    <w:name w:val="Strong"/>
    <w:uiPriority w:val="22"/>
    <w:qFormat/>
    <w:rsid w:val="00BE28B3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28B3"/>
    <w:pPr>
      <w:pBdr>
        <w:bottom w:val="single" w:sz="4" w:space="0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i/>
      <w:color w:val="4F81BD"/>
      <w:sz w:val="20"/>
      <w:szCs w:val="20"/>
      <w:lang w:eastAsia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28B3"/>
    <w:rPr>
      <w:rFonts w:ascii="Calibri" w:eastAsia="Times New Roman" w:hAnsi="Calibri" w:cs="Times New Roman"/>
      <w:b/>
      <w:i/>
      <w:color w:val="4F81BD"/>
      <w:sz w:val="20"/>
      <w:szCs w:val="20"/>
      <w:lang w:eastAsia="es-MX"/>
    </w:rPr>
  </w:style>
  <w:style w:type="character" w:styleId="nfasis">
    <w:name w:val="Emphasis"/>
    <w:uiPriority w:val="20"/>
    <w:qFormat/>
    <w:rsid w:val="00BE28B3"/>
    <w:rPr>
      <w:i/>
    </w:rPr>
  </w:style>
  <w:style w:type="character" w:styleId="Ttulodellibro">
    <w:name w:val="Book Title"/>
    <w:uiPriority w:val="33"/>
    <w:qFormat/>
    <w:rsid w:val="00BE28B3"/>
    <w:rPr>
      <w:b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BE28B3"/>
    <w:rPr>
      <w:rFonts w:ascii="Calibri" w:eastAsia="Times New Roman" w:hAnsi="Calibri" w:cs="Times New Roman"/>
      <w:i/>
      <w:color w:val="000000"/>
      <w:sz w:val="20"/>
      <w:szCs w:val="20"/>
      <w:lang w:eastAsia="es-MX"/>
    </w:rPr>
  </w:style>
  <w:style w:type="character" w:customStyle="1" w:styleId="CitaCar">
    <w:name w:val="Cita Car"/>
    <w:basedOn w:val="Fuentedeprrafopredeter"/>
    <w:link w:val="Cita"/>
    <w:uiPriority w:val="29"/>
    <w:rsid w:val="00BE28B3"/>
    <w:rPr>
      <w:rFonts w:ascii="Calibri" w:eastAsia="Times New Roman" w:hAnsi="Calibri" w:cs="Times New Roman"/>
      <w:i/>
      <w:color w:val="000000"/>
      <w:sz w:val="20"/>
      <w:szCs w:val="20"/>
      <w:lang w:eastAsia="es-MX"/>
    </w:rPr>
  </w:style>
  <w:style w:type="character" w:styleId="Referenciasutil">
    <w:name w:val="Subtle Reference"/>
    <w:uiPriority w:val="31"/>
    <w:qFormat/>
    <w:rsid w:val="00BE28B3"/>
    <w:rPr>
      <w:smallCaps/>
      <w:color w:val="C0504D"/>
      <w:u w:val="single"/>
    </w:rPr>
  </w:style>
  <w:style w:type="paragraph" w:customStyle="1" w:styleId="Default">
    <w:name w:val="Default"/>
    <w:rsid w:val="00BE28B3"/>
    <w:pPr>
      <w:spacing w:after="0" w:line="240" w:lineRule="auto"/>
    </w:pPr>
    <w:rPr>
      <w:rFonts w:ascii="Arial" w:eastAsia="Times New Roman" w:hAnsi="Arial" w:cs="Arial"/>
      <w:color w:val="000000"/>
      <w:sz w:val="24"/>
      <w:lang w:val="es-ES" w:eastAsia="es-ES"/>
    </w:rPr>
  </w:style>
  <w:style w:type="character" w:customStyle="1" w:styleId="TextosinformatoCar">
    <w:name w:val="Texto sin formato Car"/>
    <w:link w:val="Textosinformato"/>
    <w:rsid w:val="00BE28B3"/>
    <w:rPr>
      <w:rFonts w:ascii="Courier New" w:hAnsi="Courier New" w:cs="Courier New"/>
      <w:sz w:val="21"/>
    </w:rPr>
  </w:style>
  <w:style w:type="character" w:styleId="Refdenotaalfinal">
    <w:name w:val="endnote reference"/>
    <w:uiPriority w:val="99"/>
    <w:semiHidden/>
    <w:unhideWhenUsed/>
    <w:rsid w:val="00BE28B3"/>
    <w:rPr>
      <w:vertAlign w:val="superscript"/>
    </w:rPr>
  </w:style>
  <w:style w:type="character" w:styleId="nfasissutil">
    <w:name w:val="Subtle Emphasis"/>
    <w:uiPriority w:val="19"/>
    <w:qFormat/>
    <w:rsid w:val="00BE28B3"/>
    <w:rPr>
      <w:i/>
      <w:color w:val="808080"/>
    </w:rPr>
  </w:style>
  <w:style w:type="character" w:customStyle="1" w:styleId="SubttuloCar">
    <w:name w:val="Subtítulo Car"/>
    <w:link w:val="Subttulo"/>
    <w:uiPriority w:val="11"/>
    <w:rsid w:val="00BE28B3"/>
    <w:rPr>
      <w:rFonts w:ascii="Cambria" w:eastAsia="Times New Roman" w:hAnsi="Cambria" w:cs="Times New Roman"/>
      <w:i/>
      <w:color w:val="4F81BD"/>
      <w:spacing w:val="15"/>
      <w:sz w:val="24"/>
    </w:rPr>
  </w:style>
  <w:style w:type="paragraph" w:styleId="Prrafodelista">
    <w:name w:val="List Paragraph"/>
    <w:basedOn w:val="Normal"/>
    <w:uiPriority w:val="34"/>
    <w:qFormat/>
    <w:rsid w:val="00BE28B3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character" w:customStyle="1" w:styleId="TextonotaalfinalCar">
    <w:name w:val="Texto nota al final Car"/>
    <w:link w:val="Textonotaalfinal"/>
    <w:uiPriority w:val="99"/>
    <w:semiHidden/>
    <w:rsid w:val="00BE28B3"/>
    <w:rPr>
      <w:sz w:val="20"/>
    </w:rPr>
  </w:style>
  <w:style w:type="table" w:styleId="Tablaconcuadrcula">
    <w:name w:val="Table Grid"/>
    <w:basedOn w:val="Tablanormal"/>
    <w:uiPriority w:val="59"/>
    <w:rsid w:val="00BE28B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uiPriority w:val="32"/>
    <w:qFormat/>
    <w:rsid w:val="00BE28B3"/>
    <w:rPr>
      <w:b/>
      <w:smallCaps/>
      <w:color w:val="C0504D"/>
      <w:spacing w:val="5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28B3"/>
    <w:pPr>
      <w:spacing w:after="0" w:line="240" w:lineRule="auto"/>
    </w:pPr>
    <w:rPr>
      <w:sz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BE28B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E28B3"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28B3"/>
    <w:pPr>
      <w:spacing w:after="0" w:line="240" w:lineRule="auto"/>
    </w:pPr>
    <w:rPr>
      <w:sz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BE28B3"/>
    <w:rPr>
      <w:sz w:val="20"/>
      <w:szCs w:val="20"/>
    </w:rPr>
  </w:style>
  <w:style w:type="paragraph" w:styleId="Textosinformato">
    <w:name w:val="Plain Text"/>
    <w:basedOn w:val="Normal"/>
    <w:link w:val="TextosinformatoCar"/>
    <w:unhideWhenUsed/>
    <w:rsid w:val="00BE28B3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osinformatoCar1">
    <w:name w:val="Texto sin formato Car1"/>
    <w:basedOn w:val="Fuentedeprrafopredeter"/>
    <w:uiPriority w:val="99"/>
    <w:semiHidden/>
    <w:rsid w:val="00BE28B3"/>
    <w:rPr>
      <w:rFonts w:ascii="Consolas" w:hAnsi="Consolas"/>
      <w:sz w:val="21"/>
      <w:szCs w:val="21"/>
    </w:rPr>
  </w:style>
  <w:style w:type="character" w:styleId="nfasisintenso">
    <w:name w:val="Intense Emphasis"/>
    <w:uiPriority w:val="21"/>
    <w:qFormat/>
    <w:rsid w:val="00BE28B3"/>
    <w:rPr>
      <w:b/>
      <w:i/>
      <w:color w:val="4F81BD"/>
    </w:rPr>
  </w:style>
  <w:style w:type="paragraph" w:styleId="Sinespaciado">
    <w:name w:val="No Spacing"/>
    <w:uiPriority w:val="1"/>
    <w:qFormat/>
    <w:rsid w:val="00BE28B3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uiPriority w:val="99"/>
    <w:unhideWhenUsed/>
    <w:rsid w:val="00BE28B3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BE28B3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</w:rPr>
  </w:style>
  <w:style w:type="character" w:customStyle="1" w:styleId="SubttuloCar1">
    <w:name w:val="Subtítulo Car1"/>
    <w:basedOn w:val="Fuentedeprrafopredeter"/>
    <w:uiPriority w:val="11"/>
    <w:rsid w:val="00BE28B3"/>
    <w:rPr>
      <w:rFonts w:eastAsiaTheme="minorEastAsia"/>
      <w:color w:val="5A5A5A" w:themeColor="text1" w:themeTint="A5"/>
      <w:spacing w:val="15"/>
    </w:rPr>
  </w:style>
  <w:style w:type="character" w:customStyle="1" w:styleId="PuestoCar">
    <w:name w:val="Puesto Car"/>
    <w:link w:val="Puesto1"/>
    <w:uiPriority w:val="10"/>
    <w:rsid w:val="00BE28B3"/>
    <w:rPr>
      <w:rFonts w:ascii="Cambria" w:eastAsia="Times New Roman" w:hAnsi="Cambria" w:cs="Times New Roman"/>
      <w:color w:val="17365D"/>
      <w:spacing w:val="5"/>
      <w:sz w:val="52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BE28B3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</w:rPr>
  </w:style>
  <w:style w:type="character" w:customStyle="1" w:styleId="st1">
    <w:name w:val="st1"/>
    <w:basedOn w:val="Fuentedeprrafopredeter"/>
    <w:rsid w:val="00BE28B3"/>
  </w:style>
  <w:style w:type="numbering" w:customStyle="1" w:styleId="Estilo1">
    <w:name w:val="Estilo1"/>
    <w:uiPriority w:val="99"/>
    <w:rsid w:val="00BE28B3"/>
    <w:pPr>
      <w:numPr>
        <w:numId w:val="1"/>
      </w:numPr>
    </w:pPr>
  </w:style>
  <w:style w:type="numbering" w:customStyle="1" w:styleId="Estilo2">
    <w:name w:val="Estilo2"/>
    <w:uiPriority w:val="99"/>
    <w:rsid w:val="00BE28B3"/>
    <w:pPr>
      <w:numPr>
        <w:numId w:val="2"/>
      </w:numPr>
    </w:pPr>
  </w:style>
  <w:style w:type="numbering" w:customStyle="1" w:styleId="Estilo3">
    <w:name w:val="Estilo3"/>
    <w:uiPriority w:val="99"/>
    <w:rsid w:val="00BE28B3"/>
    <w:pPr>
      <w:numPr>
        <w:numId w:val="3"/>
      </w:numPr>
    </w:pPr>
  </w:style>
  <w:style w:type="numbering" w:customStyle="1" w:styleId="Estilo4">
    <w:name w:val="Estilo4"/>
    <w:uiPriority w:val="99"/>
    <w:rsid w:val="00BE28B3"/>
    <w:pPr>
      <w:numPr>
        <w:numId w:val="4"/>
      </w:numPr>
    </w:pPr>
  </w:style>
  <w:style w:type="numbering" w:customStyle="1" w:styleId="Estilo5">
    <w:name w:val="Estilo5"/>
    <w:uiPriority w:val="99"/>
    <w:rsid w:val="00BE28B3"/>
    <w:pPr>
      <w:numPr>
        <w:numId w:val="5"/>
      </w:numPr>
    </w:pPr>
  </w:style>
  <w:style w:type="numbering" w:customStyle="1" w:styleId="Estilo6">
    <w:name w:val="Estilo6"/>
    <w:uiPriority w:val="99"/>
    <w:rsid w:val="00BE28B3"/>
    <w:pPr>
      <w:numPr>
        <w:numId w:val="6"/>
      </w:numPr>
    </w:pPr>
  </w:style>
  <w:style w:type="numbering" w:customStyle="1" w:styleId="Estilo7">
    <w:name w:val="Estilo7"/>
    <w:uiPriority w:val="99"/>
    <w:rsid w:val="00BE28B3"/>
    <w:pPr>
      <w:numPr>
        <w:numId w:val="7"/>
      </w:numPr>
    </w:pPr>
  </w:style>
  <w:style w:type="numbering" w:customStyle="1" w:styleId="Estilo8">
    <w:name w:val="Estilo8"/>
    <w:uiPriority w:val="99"/>
    <w:rsid w:val="00BE28B3"/>
    <w:pPr>
      <w:numPr>
        <w:numId w:val="8"/>
      </w:numPr>
    </w:pPr>
  </w:style>
  <w:style w:type="numbering" w:customStyle="1" w:styleId="Estilo9">
    <w:name w:val="Estilo9"/>
    <w:uiPriority w:val="99"/>
    <w:rsid w:val="00BE28B3"/>
    <w:pPr>
      <w:numPr>
        <w:numId w:val="9"/>
      </w:numPr>
    </w:pPr>
  </w:style>
  <w:style w:type="numbering" w:customStyle="1" w:styleId="Estilo10">
    <w:name w:val="Estilo10"/>
    <w:uiPriority w:val="99"/>
    <w:rsid w:val="00BE28B3"/>
    <w:pPr>
      <w:numPr>
        <w:numId w:val="10"/>
      </w:numPr>
    </w:pPr>
  </w:style>
  <w:style w:type="numbering" w:customStyle="1" w:styleId="Estilo11">
    <w:name w:val="Estilo11"/>
    <w:uiPriority w:val="99"/>
    <w:rsid w:val="00BE28B3"/>
    <w:pPr>
      <w:numPr>
        <w:numId w:val="11"/>
      </w:numPr>
    </w:pPr>
  </w:style>
  <w:style w:type="numbering" w:customStyle="1" w:styleId="Estilo12">
    <w:name w:val="Estilo12"/>
    <w:uiPriority w:val="99"/>
    <w:rsid w:val="00BE28B3"/>
    <w:pPr>
      <w:numPr>
        <w:numId w:val="12"/>
      </w:numPr>
    </w:pPr>
  </w:style>
  <w:style w:type="numbering" w:customStyle="1" w:styleId="Estilo13">
    <w:name w:val="Estilo13"/>
    <w:uiPriority w:val="99"/>
    <w:rsid w:val="00BE28B3"/>
    <w:pPr>
      <w:numPr>
        <w:numId w:val="13"/>
      </w:numPr>
    </w:pPr>
  </w:style>
  <w:style w:type="numbering" w:customStyle="1" w:styleId="Estilo14">
    <w:name w:val="Estilo14"/>
    <w:uiPriority w:val="99"/>
    <w:rsid w:val="00BE28B3"/>
    <w:pPr>
      <w:numPr>
        <w:numId w:val="14"/>
      </w:numPr>
    </w:pPr>
  </w:style>
  <w:style w:type="numbering" w:customStyle="1" w:styleId="Style1">
    <w:name w:val="Style1"/>
    <w:uiPriority w:val="99"/>
    <w:rsid w:val="00BE28B3"/>
    <w:pPr>
      <w:numPr>
        <w:numId w:val="15"/>
      </w:numPr>
    </w:pPr>
  </w:style>
  <w:style w:type="numbering" w:customStyle="1" w:styleId="Style2">
    <w:name w:val="Style2"/>
    <w:uiPriority w:val="99"/>
    <w:rsid w:val="00BE28B3"/>
    <w:pPr>
      <w:numPr>
        <w:numId w:val="16"/>
      </w:numPr>
    </w:pPr>
  </w:style>
  <w:style w:type="character" w:styleId="Refdecomentario">
    <w:name w:val="annotation reference"/>
    <w:uiPriority w:val="99"/>
    <w:semiHidden/>
    <w:unhideWhenUsed/>
    <w:rsid w:val="00BE28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8B3"/>
    <w:pPr>
      <w:spacing w:line="240" w:lineRule="auto"/>
    </w:pPr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8B3"/>
    <w:rPr>
      <w:rFonts w:ascii="Calibri" w:eastAsia="Times New Roman" w:hAnsi="Calibri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8B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customStyle="1" w:styleId="Puesto">
    <w:name w:val="Puesto"/>
    <w:basedOn w:val="Normal"/>
    <w:next w:val="Normal"/>
    <w:uiPriority w:val="10"/>
    <w:qFormat/>
    <w:rsid w:val="00BE28B3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3298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Maricela Zamora González</cp:lastModifiedBy>
  <cp:revision>2</cp:revision>
  <cp:lastPrinted>2013-07-04T20:26:00Z</cp:lastPrinted>
  <dcterms:created xsi:type="dcterms:W3CDTF">2019-01-31T01:14:00Z</dcterms:created>
  <dcterms:modified xsi:type="dcterms:W3CDTF">2019-01-31T01:14:00Z</dcterms:modified>
</cp:coreProperties>
</file>